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b/>
          <w:color w:val="000000"/>
          <w:kern w:val="0"/>
          <w:sz w:val="72"/>
          <w:szCs w:val="72"/>
          <w:lang w:val="en-US" w:eastAsia="zh-CN" w:bidi="ar"/>
        </w:rPr>
      </w:pPr>
    </w:p>
    <w:p>
      <w:pPr>
        <w:keepNext w:val="0"/>
        <w:keepLines w:val="0"/>
        <w:widowControl/>
        <w:suppressLineNumbers w:val="0"/>
        <w:jc w:val="center"/>
        <w:rPr>
          <w:rFonts w:hint="eastAsia" w:ascii="宋体" w:hAnsi="宋体" w:eastAsia="宋体" w:cs="宋体"/>
          <w:b/>
          <w:color w:val="000000"/>
          <w:kern w:val="0"/>
          <w:sz w:val="72"/>
          <w:szCs w:val="72"/>
          <w:lang w:val="en-US" w:eastAsia="zh-CN" w:bidi="ar"/>
        </w:rPr>
      </w:pPr>
    </w:p>
    <w:p>
      <w:pPr>
        <w:widowControl/>
        <w:adjustRightInd w:val="0"/>
        <w:snapToGrid w:val="0"/>
        <w:spacing w:after="200" w:line="360" w:lineRule="auto"/>
        <w:jc w:val="center"/>
        <w:rPr>
          <w:rFonts w:hint="eastAsia" w:ascii="Times New Roman" w:hAnsi="Times New Roman" w:eastAsia="楷体" w:cs="Times New Roman"/>
          <w:b/>
          <w:color w:val="000000"/>
          <w:kern w:val="0"/>
          <w:sz w:val="48"/>
          <w:szCs w:val="48"/>
          <w:lang w:eastAsia="zh-CN"/>
        </w:rPr>
      </w:pPr>
      <w:r>
        <w:rPr>
          <w:rFonts w:hint="eastAsia" w:ascii="Times New Roman" w:hAnsi="Times New Roman" w:eastAsia="楷体" w:cs="Times New Roman"/>
          <w:b/>
          <w:color w:val="000000"/>
          <w:kern w:val="0"/>
          <w:sz w:val="48"/>
          <w:szCs w:val="48"/>
          <w:lang w:eastAsia="zh-CN"/>
        </w:rPr>
        <w:t>重庆乐仁汽车电子有限公司</w:t>
      </w:r>
    </w:p>
    <w:p>
      <w:pPr>
        <w:widowControl/>
        <w:adjustRightInd w:val="0"/>
        <w:snapToGrid w:val="0"/>
        <w:spacing w:after="200" w:line="360" w:lineRule="auto"/>
        <w:jc w:val="center"/>
        <w:rPr>
          <w:rFonts w:hint="eastAsia" w:ascii="Times New Roman" w:hAnsi="Times New Roman" w:eastAsia="楷体" w:cs="Times New Roman"/>
          <w:b/>
          <w:color w:val="000000"/>
          <w:kern w:val="0"/>
          <w:sz w:val="48"/>
          <w:szCs w:val="48"/>
          <w:lang w:eastAsia="zh-CN"/>
        </w:rPr>
      </w:pPr>
      <w:r>
        <w:rPr>
          <w:rFonts w:hint="eastAsia" w:ascii="Times New Roman" w:hAnsi="Times New Roman" w:eastAsia="楷体" w:cs="Times New Roman"/>
          <w:b/>
          <w:color w:val="000000"/>
          <w:kern w:val="0"/>
          <w:sz w:val="48"/>
          <w:szCs w:val="48"/>
          <w:lang w:eastAsia="zh-CN"/>
        </w:rPr>
        <w:t>汽车线束总成生产项目</w:t>
      </w:r>
    </w:p>
    <w:p>
      <w:pPr>
        <w:widowControl/>
        <w:adjustRightInd w:val="0"/>
        <w:snapToGrid w:val="0"/>
        <w:spacing w:after="200" w:line="360" w:lineRule="auto"/>
        <w:jc w:val="center"/>
        <w:rPr>
          <w:rFonts w:hint="eastAsia" w:ascii="楷体" w:hAnsi="楷体" w:eastAsia="楷体" w:cs="楷体"/>
          <w:b/>
          <w:i w:val="0"/>
          <w:iCs w:val="0"/>
          <w:color w:val="000000"/>
          <w:kern w:val="0"/>
          <w:sz w:val="56"/>
          <w:szCs w:val="56"/>
          <w:lang w:val="en-US" w:eastAsia="zh-CN"/>
        </w:rPr>
      </w:pPr>
      <w:r>
        <w:rPr>
          <w:rFonts w:hint="eastAsia" w:ascii="楷体" w:hAnsi="楷体" w:eastAsia="楷体" w:cs="楷体"/>
          <w:b/>
          <w:i w:val="0"/>
          <w:iCs w:val="0"/>
          <w:color w:val="000000"/>
          <w:kern w:val="0"/>
          <w:sz w:val="56"/>
          <w:szCs w:val="56"/>
          <w:lang w:val="en-US" w:eastAsia="zh-CN"/>
        </w:rPr>
        <w:t>竣工环境保护验收监测报告表</w:t>
      </w:r>
    </w:p>
    <w:p>
      <w:pPr>
        <w:keepNext w:val="0"/>
        <w:keepLines w:val="0"/>
        <w:widowControl/>
        <w:suppressLineNumbers w:val="0"/>
        <w:jc w:val="center"/>
        <w:rPr>
          <w:rFonts w:hint="eastAsia" w:ascii="宋体" w:hAnsi="宋体" w:eastAsia="宋体" w:cs="宋体"/>
          <w:b/>
          <w:color w:val="000000"/>
          <w:kern w:val="0"/>
          <w:sz w:val="72"/>
          <w:szCs w:val="72"/>
          <w:lang w:val="en-US" w:eastAsia="zh-CN" w:bidi="ar"/>
        </w:rPr>
      </w:pPr>
    </w:p>
    <w:p>
      <w:pPr>
        <w:keepNext w:val="0"/>
        <w:keepLines w:val="0"/>
        <w:widowControl/>
        <w:suppressLineNumbers w:val="0"/>
        <w:jc w:val="left"/>
        <w:rPr>
          <w:rFonts w:hint="eastAsia" w:ascii="宋体" w:hAnsi="宋体" w:eastAsia="宋体" w:cs="宋体"/>
          <w:b/>
          <w:color w:val="000000"/>
          <w:kern w:val="0"/>
          <w:sz w:val="72"/>
          <w:szCs w:val="72"/>
          <w:lang w:val="en-US" w:eastAsia="zh-CN" w:bidi="ar"/>
        </w:rPr>
      </w:pPr>
    </w:p>
    <w:p>
      <w:pPr>
        <w:keepNext w:val="0"/>
        <w:keepLines w:val="0"/>
        <w:widowControl/>
        <w:suppressLineNumbers w:val="0"/>
        <w:jc w:val="left"/>
        <w:rPr>
          <w:rFonts w:hint="eastAsia" w:ascii="宋体" w:hAnsi="宋体" w:eastAsia="宋体" w:cs="宋体"/>
          <w:b/>
          <w:color w:val="000000"/>
          <w:kern w:val="0"/>
          <w:sz w:val="72"/>
          <w:szCs w:val="72"/>
          <w:lang w:val="en-US" w:eastAsia="zh-CN" w:bidi="ar"/>
        </w:rPr>
      </w:pPr>
    </w:p>
    <w:p>
      <w:pPr>
        <w:keepNext w:val="0"/>
        <w:keepLines w:val="0"/>
        <w:widowControl/>
        <w:suppressLineNumbers w:val="0"/>
        <w:jc w:val="left"/>
        <w:rPr>
          <w:rFonts w:hint="eastAsia" w:ascii="宋体" w:hAnsi="宋体" w:eastAsia="宋体" w:cs="宋体"/>
          <w:b/>
          <w:color w:val="000000"/>
          <w:kern w:val="0"/>
          <w:sz w:val="72"/>
          <w:szCs w:val="72"/>
          <w:lang w:val="en-US" w:eastAsia="zh-CN" w:bidi="ar"/>
        </w:rPr>
      </w:pPr>
    </w:p>
    <w:p>
      <w:pPr>
        <w:keepNext w:val="0"/>
        <w:keepLines w:val="0"/>
        <w:widowControl/>
        <w:suppressLineNumbers w:val="0"/>
        <w:spacing w:line="360" w:lineRule="auto"/>
        <w:jc w:val="left"/>
        <w:rPr>
          <w:rFonts w:hint="eastAsia" w:ascii="宋体" w:hAnsi="宋体" w:eastAsia="宋体" w:cs="宋体"/>
          <w:b/>
          <w:color w:val="000000"/>
          <w:kern w:val="0"/>
          <w:sz w:val="72"/>
          <w:szCs w:val="72"/>
          <w:lang w:val="en-US" w:eastAsia="zh-CN" w:bidi="ar"/>
        </w:rPr>
      </w:pPr>
    </w:p>
    <w:p>
      <w:pPr>
        <w:spacing w:after="360" w:line="360" w:lineRule="auto"/>
        <w:ind w:firstLine="1928" w:firstLineChars="600"/>
        <w:rPr>
          <w:rFonts w:hint="eastAsia" w:ascii="华文新魏" w:eastAsia="华文新魏"/>
          <w:b/>
          <w:bCs/>
          <w:color w:val="000000"/>
          <w:sz w:val="32"/>
          <w:szCs w:val="32"/>
          <w:lang w:eastAsia="zh-CN"/>
        </w:rPr>
      </w:pPr>
      <w:r>
        <w:rPr>
          <w:rFonts w:hint="eastAsia" w:ascii="华文新魏" w:eastAsia="华文新魏"/>
          <w:b/>
          <w:bCs/>
          <w:color w:val="000000"/>
          <w:sz w:val="32"/>
          <w:szCs w:val="32"/>
        </w:rPr>
        <w:t>建设单位：</w:t>
      </w:r>
      <w:r>
        <w:rPr>
          <w:rFonts w:hint="eastAsia" w:ascii="华文新魏" w:eastAsia="华文新魏"/>
          <w:b/>
          <w:bCs/>
          <w:color w:val="000000"/>
          <w:sz w:val="32"/>
          <w:szCs w:val="32"/>
          <w:lang w:eastAsia="zh-CN"/>
        </w:rPr>
        <w:t>重庆乐仁汽车电子有限公司</w:t>
      </w:r>
    </w:p>
    <w:p>
      <w:pPr>
        <w:spacing w:after="360" w:line="360" w:lineRule="auto"/>
        <w:ind w:firstLine="1928" w:firstLineChars="600"/>
        <w:rPr>
          <w:rFonts w:hint="eastAsia" w:ascii="华文新魏" w:eastAsia="华文新魏"/>
          <w:b/>
          <w:bCs/>
          <w:color w:val="000000"/>
          <w:sz w:val="32"/>
          <w:szCs w:val="32"/>
          <w:lang w:val="en-US" w:eastAsia="zh-CN"/>
        </w:rPr>
      </w:pPr>
      <w:r>
        <w:rPr>
          <w:rFonts w:hint="eastAsia" w:ascii="华文新魏" w:eastAsia="华文新魏"/>
          <w:b/>
          <w:bCs/>
          <w:color w:val="000000"/>
          <w:sz w:val="32"/>
          <w:szCs w:val="32"/>
        </w:rPr>
        <w:t>编制单位：</w:t>
      </w:r>
      <w:r>
        <w:rPr>
          <w:rFonts w:hint="eastAsia" w:ascii="华文新魏" w:eastAsia="华文新魏"/>
          <w:b/>
          <w:bCs/>
          <w:color w:val="000000"/>
          <w:sz w:val="32"/>
          <w:szCs w:val="32"/>
          <w:lang w:eastAsia="zh-CN"/>
        </w:rPr>
        <w:t>重庆乐仁汽车电子有限公司</w:t>
      </w:r>
    </w:p>
    <w:p>
      <w:pPr>
        <w:jc w:val="center"/>
        <w:rPr>
          <w:rFonts w:hint="eastAsia" w:ascii="宋体" w:hAnsi="宋体" w:eastAsia="宋体"/>
          <w:b/>
          <w:bCs/>
          <w:color w:val="000000"/>
          <w:sz w:val="28"/>
          <w:szCs w:val="28"/>
        </w:rPr>
      </w:pPr>
    </w:p>
    <w:p>
      <w:pPr>
        <w:jc w:val="center"/>
        <w:rPr>
          <w:rFonts w:hint="eastAsia" w:ascii="宋体" w:hAnsi="宋体" w:eastAsia="宋体"/>
          <w:b/>
          <w:bCs/>
          <w:color w:val="000000"/>
          <w:sz w:val="28"/>
          <w:szCs w:val="28"/>
        </w:rPr>
      </w:pPr>
      <w:r>
        <w:rPr>
          <w:rFonts w:hint="eastAsia" w:ascii="宋体" w:hAnsi="宋体" w:eastAsia="宋体"/>
          <w:b/>
          <w:bCs/>
          <w:color w:val="000000"/>
          <w:sz w:val="28"/>
          <w:szCs w:val="28"/>
        </w:rPr>
        <w:t>二○</w:t>
      </w:r>
      <w:r>
        <w:rPr>
          <w:rFonts w:hint="eastAsia" w:ascii="宋体" w:hAnsi="宋体" w:eastAsia="宋体"/>
          <w:b/>
          <w:bCs/>
          <w:color w:val="000000"/>
          <w:sz w:val="28"/>
          <w:szCs w:val="28"/>
          <w:lang w:eastAsia="zh-CN"/>
        </w:rPr>
        <w:t>二一</w:t>
      </w:r>
      <w:r>
        <w:rPr>
          <w:rFonts w:hint="eastAsia" w:ascii="宋体" w:hAnsi="宋体" w:eastAsia="宋体"/>
          <w:b/>
          <w:bCs/>
          <w:color w:val="000000"/>
          <w:sz w:val="28"/>
          <w:szCs w:val="28"/>
        </w:rPr>
        <w:t>年</w:t>
      </w:r>
      <w:r>
        <w:rPr>
          <w:rFonts w:hint="eastAsia" w:ascii="宋体" w:hAnsi="宋体" w:eastAsia="宋体"/>
          <w:b/>
          <w:bCs/>
          <w:color w:val="000000"/>
          <w:sz w:val="28"/>
          <w:szCs w:val="28"/>
          <w:lang w:eastAsia="zh-CN"/>
        </w:rPr>
        <w:t>八</w:t>
      </w:r>
      <w:r>
        <w:rPr>
          <w:rFonts w:hint="eastAsia" w:ascii="宋体" w:hAnsi="宋体" w:eastAsia="宋体"/>
          <w:b/>
          <w:bCs/>
          <w:color w:val="000000"/>
          <w:sz w:val="28"/>
          <w:szCs w:val="28"/>
        </w:rPr>
        <w:t>月</w:t>
      </w:r>
    </w:p>
    <w:p>
      <w:pPr>
        <w:jc w:val="both"/>
        <w:rPr>
          <w:rFonts w:hint="eastAsia" w:ascii="宋体" w:hAnsi="宋体" w:eastAsia="宋体" w:cs="宋体"/>
          <w:b/>
          <w:color w:val="000000"/>
          <w:kern w:val="0"/>
          <w:sz w:val="30"/>
          <w:szCs w:val="30"/>
          <w:lang w:val="en-US" w:eastAsia="zh-CN" w:bidi="ar"/>
        </w:rPr>
      </w:pPr>
    </w:p>
    <w:p>
      <w:pPr>
        <w:keepNext w:val="0"/>
        <w:keepLines w:val="0"/>
        <w:widowControl/>
        <w:suppressLineNumbers w:val="0"/>
        <w:jc w:val="left"/>
        <w:rPr>
          <w:rFonts w:hint="eastAsia" w:ascii="宋体" w:hAnsi="宋体" w:eastAsia="宋体" w:cs="宋体"/>
          <w:b/>
          <w:color w:val="000000"/>
          <w:kern w:val="0"/>
          <w:sz w:val="28"/>
          <w:szCs w:val="28"/>
          <w:lang w:val="en-US" w:eastAsia="zh-CN" w:bidi="ar"/>
        </w:rPr>
        <w:sectPr>
          <w:pgSz w:w="11906" w:h="16838"/>
          <w:pgMar w:top="1440" w:right="1800" w:bottom="1440" w:left="1800" w:header="851" w:footer="992" w:gutter="0"/>
          <w:cols w:space="425" w:num="1"/>
          <w:docGrid w:type="lines" w:linePitch="312" w:charSpace="0"/>
        </w:sectPr>
      </w:pPr>
    </w:p>
    <w:p>
      <w:pPr>
        <w:keepNext w:val="0"/>
        <w:keepLines w:val="0"/>
        <w:widowControl/>
        <w:suppressLineNumbers w:val="0"/>
        <w:jc w:val="left"/>
        <w:rPr>
          <w:rFonts w:hint="eastAsia" w:ascii="宋体" w:hAnsi="宋体" w:eastAsia="宋体" w:cs="宋体"/>
          <w:b/>
          <w:color w:val="000000"/>
          <w:kern w:val="0"/>
          <w:sz w:val="28"/>
          <w:szCs w:val="28"/>
          <w:lang w:val="en-US" w:eastAsia="zh-CN" w:bidi="ar"/>
        </w:rPr>
      </w:pPr>
    </w:p>
    <w:p>
      <w:pPr>
        <w:keepNext w:val="0"/>
        <w:keepLines w:val="0"/>
        <w:widowControl/>
        <w:suppressLineNumbers w:val="0"/>
        <w:jc w:val="left"/>
        <w:rPr>
          <w:sz w:val="28"/>
          <w:szCs w:val="28"/>
        </w:rPr>
      </w:pPr>
      <w:r>
        <w:rPr>
          <w:rFonts w:hint="eastAsia" w:ascii="宋体" w:hAnsi="宋体" w:eastAsia="宋体" w:cs="宋体"/>
          <w:b/>
          <w:color w:val="000000"/>
          <w:kern w:val="0"/>
          <w:sz w:val="28"/>
          <w:szCs w:val="28"/>
          <w:lang w:val="en-US" w:eastAsia="zh-CN" w:bidi="ar"/>
        </w:rPr>
        <w:t>建设单位：</w:t>
      </w:r>
      <w:r>
        <w:rPr>
          <w:rFonts w:hint="eastAsia" w:ascii="宋体" w:hAnsi="宋体" w:eastAsia="宋体" w:cs="宋体"/>
          <w:color w:val="000000"/>
          <w:kern w:val="0"/>
          <w:sz w:val="28"/>
          <w:szCs w:val="28"/>
          <w:lang w:val="en-US" w:eastAsia="zh-CN" w:bidi="ar"/>
        </w:rPr>
        <w:t>重庆乐仁汽车电子有限公司</w:t>
      </w: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b/>
          <w:color w:val="000000"/>
          <w:kern w:val="0"/>
          <w:sz w:val="28"/>
          <w:szCs w:val="28"/>
          <w:lang w:val="en-US" w:eastAsia="zh-CN" w:bidi="ar"/>
        </w:rPr>
        <w:t>法人代表：</w:t>
      </w:r>
      <w:r>
        <w:rPr>
          <w:rFonts w:hint="eastAsia" w:ascii="宋体" w:hAnsi="宋体" w:eastAsia="宋体" w:cs="宋体"/>
          <w:color w:val="000000"/>
          <w:kern w:val="0"/>
          <w:sz w:val="28"/>
          <w:szCs w:val="28"/>
          <w:lang w:val="en-US" w:eastAsia="zh-CN" w:bidi="ar"/>
        </w:rPr>
        <w:t>王选</w:t>
      </w:r>
    </w:p>
    <w:p>
      <w:pPr>
        <w:keepNext w:val="0"/>
        <w:keepLines w:val="0"/>
        <w:widowControl/>
        <w:suppressLineNumbers w:val="0"/>
        <w:jc w:val="left"/>
        <w:rPr>
          <w:rFonts w:hint="eastAsia" w:ascii="宋体" w:hAnsi="宋体" w:eastAsia="宋体" w:cs="宋体"/>
          <w:b/>
          <w:color w:val="000000"/>
          <w:kern w:val="0"/>
          <w:sz w:val="28"/>
          <w:szCs w:val="28"/>
          <w:lang w:val="en-US" w:eastAsia="zh-CN" w:bidi="ar"/>
        </w:rPr>
      </w:pPr>
      <w:r>
        <w:rPr>
          <w:rFonts w:hint="eastAsia" w:ascii="宋体" w:hAnsi="宋体" w:eastAsia="宋体" w:cs="宋体"/>
          <w:b/>
          <w:color w:val="000000"/>
          <w:kern w:val="0"/>
          <w:sz w:val="28"/>
          <w:szCs w:val="28"/>
          <w:lang w:val="en-US" w:eastAsia="zh-CN" w:bidi="ar"/>
        </w:rPr>
        <w:t>项目负责人：</w:t>
      </w:r>
      <w:r>
        <w:rPr>
          <w:rFonts w:hint="eastAsia" w:ascii="宋体" w:hAnsi="宋体" w:eastAsia="宋体" w:cs="宋体"/>
          <w:color w:val="000000"/>
          <w:kern w:val="0"/>
          <w:sz w:val="28"/>
          <w:szCs w:val="28"/>
          <w:lang w:val="en-US" w:eastAsia="zh-CN" w:bidi="ar"/>
        </w:rPr>
        <w:t>王选</w:t>
      </w:r>
    </w:p>
    <w:p>
      <w:pPr>
        <w:keepNext w:val="0"/>
        <w:keepLines w:val="0"/>
        <w:widowControl/>
        <w:suppressLineNumbers w:val="0"/>
        <w:jc w:val="left"/>
        <w:rPr>
          <w:rFonts w:hint="eastAsia" w:ascii="宋体" w:hAnsi="宋体" w:eastAsia="宋体" w:cs="宋体"/>
          <w:b/>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 </w:t>
      </w:r>
    </w:p>
    <w:tbl>
      <w:tblPr>
        <w:tblStyle w:val="14"/>
        <w:tblW w:w="6327" w:type="dxa"/>
        <w:tblInd w:w="0" w:type="dxa"/>
        <w:tblLayout w:type="fixed"/>
        <w:tblCellMar>
          <w:top w:w="0" w:type="dxa"/>
          <w:left w:w="108" w:type="dxa"/>
          <w:bottom w:w="0" w:type="dxa"/>
          <w:right w:w="108" w:type="dxa"/>
        </w:tblCellMar>
      </w:tblPr>
      <w:tblGrid>
        <w:gridCol w:w="6327"/>
      </w:tblGrid>
      <w:tr>
        <w:tblPrEx>
          <w:tblCellMar>
            <w:top w:w="0" w:type="dxa"/>
            <w:left w:w="108" w:type="dxa"/>
            <w:bottom w:w="0" w:type="dxa"/>
            <w:right w:w="108" w:type="dxa"/>
          </w:tblCellMar>
        </w:tblPrEx>
        <w:trPr>
          <w:trHeight w:val="680" w:hRule="atLeast"/>
        </w:trPr>
        <w:tc>
          <w:tcPr>
            <w:tcW w:w="6327" w:type="dxa"/>
            <w:noWrap w:val="0"/>
            <w:vAlign w:val="top"/>
          </w:tcPr>
          <w:p>
            <w:pPr>
              <w:spacing w:line="500" w:lineRule="exact"/>
              <w:ind w:left="1200" w:right="105" w:rightChars="50" w:hanging="1205" w:hangingChars="500"/>
              <w:rPr>
                <w:rFonts w:ascii="宋体" w:hAnsi="宋体" w:eastAsia="宋体"/>
                <w:sz w:val="24"/>
                <w:szCs w:val="24"/>
              </w:rPr>
            </w:pPr>
            <w:r>
              <w:rPr>
                <w:rFonts w:hint="eastAsia" w:ascii="宋体" w:hAnsi="宋体" w:eastAsia="宋体"/>
                <w:b/>
                <w:bCs/>
                <w:sz w:val="24"/>
                <w:szCs w:val="24"/>
              </w:rPr>
              <w:t>建设单位</w:t>
            </w:r>
            <w:r>
              <w:rPr>
                <w:rFonts w:hint="eastAsia" w:ascii="宋体" w:hAnsi="宋体" w:eastAsia="宋体"/>
                <w:sz w:val="24"/>
                <w:szCs w:val="24"/>
              </w:rPr>
              <w:t>:</w:t>
            </w:r>
            <w:r>
              <w:rPr>
                <w:rFonts w:hint="eastAsia" w:ascii="宋体" w:hAnsi="宋体" w:eastAsia="宋体"/>
                <w:b/>
                <w:sz w:val="24"/>
                <w:szCs w:val="24"/>
              </w:rPr>
              <w:t xml:space="preserve"> </w:t>
            </w:r>
            <w:r>
              <w:rPr>
                <w:rFonts w:hint="eastAsia" w:ascii="宋体" w:hAnsi="宋体" w:eastAsia="宋体"/>
                <w:sz w:val="24"/>
                <w:szCs w:val="24"/>
                <w:lang w:val="en-US" w:eastAsia="zh-CN"/>
              </w:rPr>
              <w:t>重庆乐仁汽车</w:t>
            </w:r>
            <w:r>
              <w:rPr>
                <w:rFonts w:hint="default" w:ascii="宋体" w:hAnsi="宋体" w:eastAsia="宋体"/>
                <w:sz w:val="24"/>
                <w:szCs w:val="24"/>
                <w:lang w:val="en-US" w:eastAsia="zh-CN"/>
              </w:rPr>
              <w:t>公</w:t>
            </w:r>
            <w:r>
              <w:rPr>
                <w:rFonts w:hint="eastAsia" w:ascii="宋体" w:hAnsi="宋体" w:eastAsia="宋体"/>
                <w:sz w:val="24"/>
                <w:szCs w:val="24"/>
                <w:lang w:val="en-US" w:eastAsia="zh-CN"/>
              </w:rPr>
              <w:t>工业有限公</w:t>
            </w:r>
            <w:r>
              <w:rPr>
                <w:rFonts w:hint="default" w:ascii="宋体" w:hAnsi="宋体" w:eastAsia="宋体"/>
                <w:sz w:val="24"/>
                <w:szCs w:val="24"/>
                <w:lang w:val="en-US" w:eastAsia="zh-CN"/>
              </w:rPr>
              <w:t>司</w:t>
            </w:r>
            <w:r>
              <w:rPr>
                <w:rFonts w:hint="eastAsia" w:ascii="宋体" w:hAnsi="宋体" w:eastAsia="宋体"/>
                <w:sz w:val="24"/>
                <w:szCs w:val="24"/>
                <w:lang w:val="en-US" w:eastAsia="zh-CN"/>
              </w:rPr>
              <w:t>（盖章）</w:t>
            </w:r>
          </w:p>
        </w:tc>
      </w:tr>
      <w:tr>
        <w:tblPrEx>
          <w:tblCellMar>
            <w:top w:w="0" w:type="dxa"/>
            <w:left w:w="108" w:type="dxa"/>
            <w:bottom w:w="0" w:type="dxa"/>
            <w:right w:w="108" w:type="dxa"/>
          </w:tblCellMar>
        </w:tblPrEx>
        <w:trPr>
          <w:trHeight w:val="680" w:hRule="atLeast"/>
        </w:trPr>
        <w:tc>
          <w:tcPr>
            <w:tcW w:w="6327" w:type="dxa"/>
            <w:noWrap w:val="0"/>
            <w:vAlign w:val="top"/>
          </w:tcPr>
          <w:p>
            <w:pPr>
              <w:spacing w:line="500" w:lineRule="exact"/>
              <w:ind w:right="210" w:rightChars="100"/>
              <w:rPr>
                <w:rFonts w:hint="default" w:ascii="宋体" w:hAnsi="宋体" w:eastAsia="宋体"/>
                <w:sz w:val="24"/>
                <w:szCs w:val="24"/>
                <w:lang w:val="en-US" w:eastAsia="zh-CN"/>
              </w:rPr>
            </w:pPr>
            <w:r>
              <w:rPr>
                <w:rFonts w:hint="eastAsia" w:ascii="宋体" w:hAnsi="宋体" w:eastAsia="宋体"/>
                <w:b/>
                <w:bCs/>
                <w:sz w:val="24"/>
                <w:szCs w:val="24"/>
              </w:rPr>
              <w:t>电    话:</w:t>
            </w:r>
            <w:r>
              <w:rPr>
                <w:rFonts w:hint="eastAsia" w:ascii="宋体" w:hAnsi="宋体" w:eastAsia="宋体"/>
                <w:sz w:val="24"/>
                <w:szCs w:val="24"/>
              </w:rPr>
              <w:t xml:space="preserve"> </w:t>
            </w:r>
            <w:r>
              <w:rPr>
                <w:rFonts w:hint="eastAsia" w:ascii="宋体" w:hAnsi="宋体" w:eastAsia="宋体"/>
                <w:sz w:val="24"/>
                <w:szCs w:val="24"/>
                <w:lang w:val="en-US" w:eastAsia="zh-CN"/>
              </w:rPr>
              <w:t>18157129958</w:t>
            </w:r>
          </w:p>
        </w:tc>
      </w:tr>
      <w:tr>
        <w:tblPrEx>
          <w:tblCellMar>
            <w:top w:w="0" w:type="dxa"/>
            <w:left w:w="108" w:type="dxa"/>
            <w:bottom w:w="0" w:type="dxa"/>
            <w:right w:w="108" w:type="dxa"/>
          </w:tblCellMar>
        </w:tblPrEx>
        <w:trPr>
          <w:trHeight w:val="680" w:hRule="atLeast"/>
        </w:trPr>
        <w:tc>
          <w:tcPr>
            <w:tcW w:w="6327" w:type="dxa"/>
            <w:noWrap w:val="0"/>
            <w:vAlign w:val="top"/>
          </w:tcPr>
          <w:p>
            <w:pPr>
              <w:spacing w:line="500" w:lineRule="exact"/>
              <w:ind w:right="210" w:rightChars="100"/>
              <w:rPr>
                <w:rFonts w:hint="default" w:ascii="宋体" w:hAnsi="宋体" w:eastAsia="宋体"/>
                <w:sz w:val="24"/>
                <w:szCs w:val="24"/>
                <w:lang w:val="en-US" w:eastAsia="zh-CN"/>
              </w:rPr>
            </w:pPr>
            <w:r>
              <w:rPr>
                <w:rFonts w:hint="eastAsia" w:ascii="宋体" w:hAnsi="宋体" w:eastAsia="宋体"/>
                <w:b/>
                <w:bCs/>
                <w:sz w:val="24"/>
                <w:szCs w:val="24"/>
              </w:rPr>
              <w:t xml:space="preserve">邮    编: </w:t>
            </w:r>
            <w:r>
              <w:rPr>
                <w:rFonts w:hint="eastAsia" w:ascii="宋体" w:hAnsi="宋体" w:eastAsia="宋体"/>
                <w:sz w:val="24"/>
                <w:szCs w:val="24"/>
              </w:rPr>
              <w:t>4040</w:t>
            </w:r>
            <w:r>
              <w:rPr>
                <w:rFonts w:hint="eastAsia" w:ascii="宋体" w:hAnsi="宋体" w:eastAsia="宋体"/>
                <w:sz w:val="24"/>
                <w:szCs w:val="24"/>
                <w:lang w:val="en-US" w:eastAsia="zh-CN"/>
              </w:rPr>
              <w:t>52</w:t>
            </w:r>
          </w:p>
        </w:tc>
      </w:tr>
      <w:tr>
        <w:tblPrEx>
          <w:tblCellMar>
            <w:top w:w="0" w:type="dxa"/>
            <w:left w:w="108" w:type="dxa"/>
            <w:bottom w:w="0" w:type="dxa"/>
            <w:right w:w="108" w:type="dxa"/>
          </w:tblCellMar>
        </w:tblPrEx>
        <w:trPr>
          <w:trHeight w:val="680" w:hRule="atLeast"/>
        </w:trPr>
        <w:tc>
          <w:tcPr>
            <w:tcW w:w="6327" w:type="dxa"/>
            <w:noWrap w:val="0"/>
            <w:vAlign w:val="top"/>
          </w:tcPr>
          <w:p>
            <w:pPr>
              <w:spacing w:line="500" w:lineRule="exact"/>
              <w:ind w:left="1200" w:right="51" w:hanging="1205" w:hangingChars="500"/>
              <w:rPr>
                <w:rFonts w:hint="eastAsia" w:ascii="宋体" w:hAnsi="宋体" w:eastAsia="宋体"/>
                <w:sz w:val="24"/>
                <w:szCs w:val="24"/>
                <w:lang w:eastAsia="zh-CN"/>
              </w:rPr>
            </w:pPr>
            <w:r>
              <w:rPr>
                <w:rFonts w:hint="eastAsia" w:ascii="宋体" w:hAnsi="宋体" w:eastAsia="宋体"/>
                <w:b/>
                <w:bCs/>
                <w:sz w:val="24"/>
                <w:szCs w:val="24"/>
              </w:rPr>
              <w:t>地    址:</w:t>
            </w:r>
            <w:r>
              <w:rPr>
                <w:rFonts w:hint="eastAsia" w:ascii="宋体" w:hAnsi="宋体" w:eastAsia="宋体"/>
                <w:b/>
                <w:bCs/>
                <w:sz w:val="24"/>
                <w:szCs w:val="24"/>
                <w:lang w:val="en-US" w:eastAsia="zh-CN"/>
              </w:rPr>
              <w:t xml:space="preserve"> </w:t>
            </w:r>
            <w:r>
              <w:rPr>
                <w:rFonts w:hint="eastAsia" w:eastAsia="宋体"/>
                <w:bCs/>
                <w:sz w:val="26"/>
                <w:szCs w:val="26"/>
                <w:lang w:eastAsia="zh-CN"/>
              </w:rPr>
              <w:t>重庆市梁平工业区智能家居孵化园3栋A区</w:t>
            </w:r>
          </w:p>
        </w:tc>
      </w:tr>
    </w:tbl>
    <w:p>
      <w:pPr>
        <w:jc w:val="center"/>
        <w:rPr>
          <w:rFonts w:hint="eastAsia" w:ascii="宋体" w:hAnsi="宋体" w:eastAsia="宋体" w:cs="宋体"/>
          <w:b/>
          <w:color w:val="000000"/>
          <w:kern w:val="0"/>
          <w:sz w:val="28"/>
          <w:szCs w:val="28"/>
          <w:lang w:val="en-US" w:eastAsia="zh-CN" w:bidi="ar"/>
        </w:rPr>
      </w:pPr>
    </w:p>
    <w:p>
      <w:pPr>
        <w:jc w:val="center"/>
        <w:rPr>
          <w:rFonts w:hint="eastAsia" w:ascii="宋体" w:hAnsi="宋体" w:eastAsia="宋体" w:cs="宋体"/>
          <w:b/>
          <w:color w:val="000000"/>
          <w:kern w:val="0"/>
          <w:sz w:val="28"/>
          <w:szCs w:val="28"/>
          <w:lang w:val="en-US" w:eastAsia="zh-CN" w:bidi="ar"/>
        </w:rPr>
      </w:pPr>
    </w:p>
    <w:p>
      <w:pPr>
        <w:jc w:val="left"/>
        <w:rPr>
          <w:rFonts w:hint="eastAsia" w:ascii="宋体" w:hAnsi="宋体" w:eastAsia="宋体" w:cs="宋体"/>
          <w:b/>
          <w:color w:val="000000"/>
          <w:kern w:val="0"/>
          <w:sz w:val="28"/>
          <w:szCs w:val="28"/>
          <w:lang w:val="en-US" w:eastAsia="zh-CN" w:bidi="ar"/>
        </w:rPr>
        <w:sectPr>
          <w:footerReference r:id="rId3" w:type="default"/>
          <w:pgSz w:w="11906" w:h="16838"/>
          <w:pgMar w:top="1440" w:right="1800" w:bottom="1440" w:left="1800" w:header="851" w:footer="992" w:gutter="0"/>
          <w:pgNumType w:start="1"/>
          <w:cols w:space="425" w:num="1"/>
          <w:docGrid w:type="lines" w:linePitch="312" w:charSpace="0"/>
        </w:sectPr>
      </w:pPr>
    </w:p>
    <w:p>
      <w:pPr>
        <w:spacing w:after="0" w:line="480" w:lineRule="auto"/>
        <w:rPr>
          <w:rFonts w:hint="eastAsia" w:ascii="Times New Roman" w:hAnsi="宋体" w:eastAsia="宋体"/>
          <w:b/>
          <w:color w:val="000000"/>
          <w:sz w:val="28"/>
          <w:szCs w:val="28"/>
          <w:lang w:val="en-US" w:eastAsia="zh-CN"/>
        </w:rPr>
      </w:pPr>
      <w:r>
        <w:rPr>
          <w:rFonts w:hint="eastAsia" w:ascii="Times New Roman" w:hAnsi="宋体" w:eastAsia="宋体"/>
          <w:b/>
          <w:color w:val="000000"/>
          <w:sz w:val="28"/>
          <w:szCs w:val="28"/>
          <w:lang w:val="en-US" w:eastAsia="zh-CN"/>
        </w:rPr>
        <w:t>表一  项目总体情况</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991"/>
        <w:gridCol w:w="2093"/>
        <w:gridCol w:w="1935"/>
        <w:gridCol w:w="915"/>
        <w:gridCol w:w="735"/>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1" w:type="dxa"/>
            <w:gridSpan w:val="2"/>
            <w:vAlign w:val="center"/>
          </w:tcPr>
          <w:p>
            <w:pPr>
              <w:spacing w:after="0" w:line="440" w:lineRule="exact"/>
              <w:jc w:val="center"/>
              <w:rPr>
                <w:rFonts w:hint="default" w:ascii="宋体" w:hAnsi="宋体" w:eastAsia="宋体" w:cs="宋体"/>
                <w:b/>
                <w:color w:val="000000"/>
                <w:kern w:val="0"/>
                <w:sz w:val="24"/>
                <w:szCs w:val="24"/>
                <w:vertAlign w:val="baseline"/>
                <w:lang w:val="en-US" w:eastAsia="zh-CN" w:bidi="ar"/>
              </w:rPr>
            </w:pPr>
            <w:r>
              <w:rPr>
                <w:rFonts w:ascii="Times New Roman" w:hAnsi="宋体" w:eastAsia="宋体"/>
                <w:color w:val="000000"/>
                <w:sz w:val="24"/>
                <w:szCs w:val="24"/>
              </w:rPr>
              <w:t>建设项目名称</w:t>
            </w:r>
          </w:p>
        </w:tc>
        <w:tc>
          <w:tcPr>
            <w:tcW w:w="6541" w:type="dxa"/>
            <w:gridSpan w:val="5"/>
            <w:vAlign w:val="center"/>
          </w:tcPr>
          <w:p>
            <w:pPr>
              <w:spacing w:after="0" w:line="440" w:lineRule="exact"/>
              <w:jc w:val="center"/>
              <w:rPr>
                <w:rFonts w:hint="eastAsia" w:ascii="Times New Roman" w:hAnsi="宋体" w:eastAsia="宋体"/>
                <w:color w:val="000000"/>
                <w:sz w:val="24"/>
                <w:szCs w:val="24"/>
                <w:lang w:val="en-US" w:eastAsia="zh-CN"/>
              </w:rPr>
            </w:pPr>
            <w:r>
              <w:rPr>
                <w:rFonts w:hint="eastAsia" w:ascii="Times New Roman" w:hAnsi="Times New Roman" w:eastAsia="宋体"/>
                <w:bCs/>
                <w:sz w:val="26"/>
                <w:szCs w:val="26"/>
                <w:lang w:eastAsia="zh-CN"/>
              </w:rPr>
              <w:t>汽车线束总成生产项目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1" w:type="dxa"/>
            <w:gridSpan w:val="2"/>
            <w:vAlign w:val="center"/>
          </w:tcPr>
          <w:p>
            <w:pPr>
              <w:spacing w:after="0" w:line="440" w:lineRule="exact"/>
              <w:jc w:val="center"/>
              <w:rPr>
                <w:rFonts w:hint="default" w:ascii="宋体" w:hAnsi="宋体" w:eastAsia="宋体" w:cs="宋体"/>
                <w:b/>
                <w:color w:val="000000"/>
                <w:kern w:val="0"/>
                <w:sz w:val="24"/>
                <w:szCs w:val="24"/>
                <w:vertAlign w:val="baseline"/>
                <w:lang w:val="en-US" w:eastAsia="zh-CN" w:bidi="ar"/>
              </w:rPr>
            </w:pPr>
            <w:r>
              <w:rPr>
                <w:rFonts w:ascii="Times New Roman" w:hAnsi="宋体" w:eastAsia="宋体"/>
                <w:color w:val="000000"/>
                <w:sz w:val="24"/>
                <w:szCs w:val="24"/>
              </w:rPr>
              <w:t>建设单位名称</w:t>
            </w:r>
          </w:p>
        </w:tc>
        <w:tc>
          <w:tcPr>
            <w:tcW w:w="6541" w:type="dxa"/>
            <w:gridSpan w:val="5"/>
            <w:vAlign w:val="center"/>
          </w:tcPr>
          <w:p>
            <w:pPr>
              <w:spacing w:after="0" w:line="440" w:lineRule="exact"/>
              <w:jc w:val="center"/>
              <w:rPr>
                <w:rFonts w:hint="eastAsia" w:ascii="Times New Roman" w:hAnsi="宋体" w:eastAsia="宋体"/>
                <w:color w:val="000000"/>
                <w:sz w:val="24"/>
                <w:szCs w:val="24"/>
                <w:lang w:val="en-US" w:eastAsia="zh-CN"/>
              </w:rPr>
            </w:pPr>
            <w:r>
              <w:rPr>
                <w:rFonts w:hint="eastAsia" w:ascii="Times New Roman" w:hAnsi="Times New Roman" w:eastAsia="宋体"/>
                <w:bCs/>
                <w:sz w:val="26"/>
                <w:szCs w:val="26"/>
                <w:lang w:eastAsia="zh-CN"/>
              </w:rPr>
              <w:t>重庆乐仁汽车电子有限公司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1" w:type="dxa"/>
            <w:gridSpan w:val="2"/>
            <w:vAlign w:val="center"/>
          </w:tcPr>
          <w:p>
            <w:pPr>
              <w:spacing w:after="0" w:line="440" w:lineRule="exact"/>
              <w:jc w:val="center"/>
              <w:rPr>
                <w:rFonts w:hint="default" w:ascii="宋体" w:hAnsi="宋体" w:eastAsia="宋体" w:cs="宋体"/>
                <w:b/>
                <w:color w:val="000000"/>
                <w:kern w:val="0"/>
                <w:sz w:val="24"/>
                <w:szCs w:val="24"/>
                <w:vertAlign w:val="baseline"/>
                <w:lang w:val="en-US" w:eastAsia="zh-CN" w:bidi="ar"/>
              </w:rPr>
            </w:pPr>
            <w:r>
              <w:rPr>
                <w:rFonts w:ascii="Times New Roman" w:hAnsi="宋体" w:eastAsia="宋体"/>
                <w:color w:val="000000"/>
                <w:sz w:val="24"/>
                <w:szCs w:val="24"/>
              </w:rPr>
              <w:t>建设项目性质</w:t>
            </w:r>
          </w:p>
        </w:tc>
        <w:tc>
          <w:tcPr>
            <w:tcW w:w="6541" w:type="dxa"/>
            <w:gridSpan w:val="5"/>
            <w:vAlign w:val="center"/>
          </w:tcPr>
          <w:p>
            <w:pPr>
              <w:keepNext w:val="0"/>
              <w:keepLines w:val="0"/>
              <w:widowControl/>
              <w:suppressLineNumbers w:val="0"/>
              <w:jc w:val="center"/>
              <w:rPr>
                <w:rFonts w:hint="default" w:ascii="Times New Roman" w:hAnsi="宋体" w:eastAsia="宋体"/>
                <w:color w:val="000000"/>
                <w:sz w:val="24"/>
                <w:szCs w:val="24"/>
                <w:lang w:val="en-US" w:eastAsia="zh-CN"/>
              </w:rPr>
            </w:pPr>
            <w:r>
              <w:rPr>
                <w:rFonts w:ascii="Times New Roman" w:hAnsi="Times New Roman" w:eastAsia="宋体"/>
                <w:color w:val="000000"/>
                <w:sz w:val="24"/>
                <w:szCs w:val="24"/>
              </w:rPr>
              <w:t>√</w:t>
            </w:r>
            <w:r>
              <w:rPr>
                <w:rFonts w:ascii="Times New Roman" w:hAnsi="宋体" w:eastAsia="宋体"/>
                <w:color w:val="000000"/>
                <w:sz w:val="24"/>
                <w:szCs w:val="24"/>
              </w:rPr>
              <w:t>新建</w:t>
            </w:r>
            <w:r>
              <w:rPr>
                <w:rFonts w:ascii="Times New Roman" w:hAnsi="Times New Roman" w:eastAsia="宋体"/>
                <w:color w:val="000000"/>
                <w:sz w:val="24"/>
                <w:szCs w:val="24"/>
              </w:rPr>
              <w:t xml:space="preserve">  </w:t>
            </w:r>
            <w:r>
              <w:rPr>
                <w:rFonts w:ascii="Times New Roman" w:hAnsi="宋体" w:eastAsia="宋体"/>
                <w:color w:val="000000"/>
                <w:sz w:val="24"/>
                <w:szCs w:val="24"/>
              </w:rPr>
              <w:t>改扩建</w:t>
            </w:r>
            <w:r>
              <w:rPr>
                <w:rFonts w:ascii="Times New Roman" w:hAnsi="Times New Roman" w:eastAsia="宋体"/>
                <w:color w:val="000000"/>
                <w:sz w:val="24"/>
                <w:szCs w:val="24"/>
              </w:rPr>
              <w:t xml:space="preserve">  </w:t>
            </w:r>
            <w:r>
              <w:rPr>
                <w:rFonts w:ascii="Times New Roman" w:hAnsi="宋体" w:eastAsia="宋体"/>
                <w:color w:val="000000"/>
                <w:sz w:val="24"/>
                <w:szCs w:val="24"/>
              </w:rPr>
              <w:t>技改</w:t>
            </w:r>
            <w:r>
              <w:rPr>
                <w:rFonts w:ascii="Times New Roman" w:hAnsi="Times New Roman" w:eastAsia="宋体"/>
                <w:color w:val="000000"/>
                <w:sz w:val="24"/>
                <w:szCs w:val="24"/>
              </w:rPr>
              <w:t xml:space="preserve">  </w:t>
            </w:r>
            <w:r>
              <w:rPr>
                <w:rFonts w:ascii="Times New Roman" w:hAnsi="宋体" w:eastAsia="宋体"/>
                <w:color w:val="000000"/>
                <w:sz w:val="24"/>
                <w:szCs w:val="24"/>
              </w:rPr>
              <w:t>迁建</w:t>
            </w:r>
            <w:r>
              <w:rPr>
                <w:rFonts w:hint="eastAsia" w:ascii="Times New Roman" w:hAnsi="宋体" w:eastAsia="宋体"/>
                <w:color w:val="000000"/>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1" w:type="dxa"/>
            <w:gridSpan w:val="2"/>
            <w:vAlign w:val="center"/>
          </w:tcPr>
          <w:p>
            <w:pPr>
              <w:spacing w:after="0" w:line="440" w:lineRule="exact"/>
              <w:jc w:val="center"/>
              <w:rPr>
                <w:rFonts w:hint="default" w:ascii="宋体" w:hAnsi="宋体" w:eastAsia="宋体" w:cs="宋体"/>
                <w:b/>
                <w:color w:val="000000"/>
                <w:kern w:val="0"/>
                <w:sz w:val="24"/>
                <w:szCs w:val="24"/>
                <w:vertAlign w:val="baseline"/>
                <w:lang w:val="en-US" w:eastAsia="zh-CN" w:bidi="ar"/>
              </w:rPr>
            </w:pPr>
            <w:r>
              <w:rPr>
                <w:rFonts w:ascii="Times New Roman" w:hAnsi="宋体" w:eastAsia="宋体"/>
                <w:color w:val="000000"/>
                <w:sz w:val="24"/>
                <w:szCs w:val="24"/>
              </w:rPr>
              <w:t>建设地点</w:t>
            </w:r>
          </w:p>
        </w:tc>
        <w:tc>
          <w:tcPr>
            <w:tcW w:w="6541" w:type="dxa"/>
            <w:gridSpan w:val="5"/>
            <w:vAlign w:val="center"/>
          </w:tcPr>
          <w:p>
            <w:pPr>
              <w:spacing w:after="0" w:line="440" w:lineRule="exact"/>
              <w:jc w:val="center"/>
              <w:rPr>
                <w:rFonts w:hint="eastAsia" w:ascii="Times New Roman" w:hAnsi="宋体" w:eastAsia="宋体"/>
                <w:color w:val="000000"/>
                <w:sz w:val="24"/>
                <w:szCs w:val="24"/>
                <w:lang w:val="en-US" w:eastAsia="zh-CN"/>
              </w:rPr>
            </w:pPr>
            <w:r>
              <w:rPr>
                <w:rFonts w:hint="eastAsia" w:eastAsia="宋体"/>
                <w:bCs/>
                <w:sz w:val="26"/>
                <w:szCs w:val="26"/>
                <w:lang w:eastAsia="zh-CN"/>
              </w:rPr>
              <w:t>重庆市梁平工业区智能家居孵化园3栋A区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1" w:type="dxa"/>
            <w:gridSpan w:val="2"/>
            <w:vAlign w:val="center"/>
          </w:tcPr>
          <w:p>
            <w:pPr>
              <w:spacing w:after="0" w:line="440" w:lineRule="exact"/>
              <w:jc w:val="center"/>
              <w:rPr>
                <w:rFonts w:hint="default" w:ascii="宋体" w:hAnsi="宋体" w:eastAsia="宋体" w:cs="宋体"/>
                <w:b/>
                <w:color w:val="000000"/>
                <w:kern w:val="0"/>
                <w:sz w:val="24"/>
                <w:szCs w:val="24"/>
                <w:vertAlign w:val="baseline"/>
                <w:lang w:val="en-US" w:eastAsia="zh-CN" w:bidi="ar"/>
              </w:rPr>
            </w:pPr>
            <w:r>
              <w:rPr>
                <w:rFonts w:ascii="Times New Roman" w:hAnsi="宋体" w:eastAsia="宋体"/>
                <w:color w:val="000000"/>
                <w:sz w:val="24"/>
                <w:szCs w:val="24"/>
              </w:rPr>
              <w:t>主要产品名称</w:t>
            </w:r>
          </w:p>
        </w:tc>
        <w:tc>
          <w:tcPr>
            <w:tcW w:w="6541" w:type="dxa"/>
            <w:gridSpan w:val="5"/>
            <w:vAlign w:val="center"/>
          </w:tcPr>
          <w:p>
            <w:pPr>
              <w:spacing w:after="0" w:line="440" w:lineRule="exact"/>
              <w:jc w:val="center"/>
              <w:rPr>
                <w:rFonts w:hint="default" w:ascii="Times New Roman" w:hAnsi="宋体" w:eastAsia="宋体"/>
                <w:color w:val="000000"/>
                <w:sz w:val="24"/>
                <w:szCs w:val="24"/>
                <w:lang w:val="en-US" w:eastAsia="zh-CN"/>
              </w:rPr>
            </w:pPr>
            <w:r>
              <w:rPr>
                <w:rFonts w:hint="eastAsia" w:hAnsi="宋体"/>
                <w:color w:val="000000"/>
                <w:sz w:val="26"/>
                <w:szCs w:val="26"/>
              </w:rPr>
              <w:t>汽车线束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1" w:type="dxa"/>
            <w:gridSpan w:val="2"/>
            <w:vAlign w:val="center"/>
          </w:tcPr>
          <w:p>
            <w:pPr>
              <w:spacing w:after="0" w:line="440" w:lineRule="exact"/>
              <w:jc w:val="center"/>
              <w:rPr>
                <w:rFonts w:hint="default" w:ascii="宋体" w:hAnsi="宋体" w:eastAsia="宋体" w:cs="宋体"/>
                <w:b/>
                <w:color w:val="000000"/>
                <w:kern w:val="0"/>
                <w:sz w:val="24"/>
                <w:szCs w:val="24"/>
                <w:vertAlign w:val="baseline"/>
                <w:lang w:val="en-US" w:eastAsia="zh-CN" w:bidi="ar"/>
              </w:rPr>
            </w:pPr>
            <w:r>
              <w:rPr>
                <w:rFonts w:ascii="Times New Roman" w:hAnsi="宋体" w:eastAsia="宋体"/>
                <w:color w:val="000000"/>
                <w:sz w:val="24"/>
                <w:szCs w:val="24"/>
              </w:rPr>
              <w:t>设计生产能力</w:t>
            </w:r>
          </w:p>
        </w:tc>
        <w:tc>
          <w:tcPr>
            <w:tcW w:w="6541" w:type="dxa"/>
            <w:gridSpan w:val="5"/>
            <w:vAlign w:val="center"/>
          </w:tcPr>
          <w:p>
            <w:pPr>
              <w:spacing w:after="0" w:line="440" w:lineRule="exact"/>
              <w:jc w:val="center"/>
              <w:rPr>
                <w:rFonts w:hint="default" w:ascii="Times New Roman" w:hAnsi="宋体" w:eastAsia="宋体"/>
                <w:color w:val="auto"/>
                <w:sz w:val="24"/>
                <w:szCs w:val="24"/>
                <w:lang w:val="en-US" w:eastAsia="zh-CN"/>
              </w:rPr>
            </w:pPr>
            <w:r>
              <w:rPr>
                <w:rFonts w:hint="eastAsia" w:ascii="Times New Roman" w:hAnsi="Times New Roman"/>
                <w:bCs/>
                <w:color w:val="auto"/>
                <w:sz w:val="26"/>
                <w:szCs w:val="26"/>
              </w:rPr>
              <w:t>年产16万套整车线束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1" w:type="dxa"/>
            <w:gridSpan w:val="2"/>
            <w:vAlign w:val="center"/>
          </w:tcPr>
          <w:p>
            <w:pPr>
              <w:spacing w:after="0" w:line="440" w:lineRule="exact"/>
              <w:jc w:val="center"/>
              <w:rPr>
                <w:rFonts w:hint="default" w:ascii="宋体" w:hAnsi="宋体" w:eastAsia="宋体" w:cs="宋体"/>
                <w:b/>
                <w:color w:val="000000"/>
                <w:kern w:val="0"/>
                <w:sz w:val="24"/>
                <w:szCs w:val="24"/>
                <w:vertAlign w:val="baseline"/>
                <w:lang w:val="en-US" w:eastAsia="zh-CN" w:bidi="ar"/>
              </w:rPr>
            </w:pPr>
            <w:r>
              <w:rPr>
                <w:rFonts w:ascii="Times New Roman" w:hAnsi="宋体" w:eastAsia="宋体"/>
                <w:color w:val="000000"/>
                <w:sz w:val="24"/>
                <w:szCs w:val="24"/>
              </w:rPr>
              <w:t>实际生产能力</w:t>
            </w:r>
          </w:p>
        </w:tc>
        <w:tc>
          <w:tcPr>
            <w:tcW w:w="6541" w:type="dxa"/>
            <w:gridSpan w:val="5"/>
            <w:vAlign w:val="center"/>
          </w:tcPr>
          <w:p>
            <w:pPr>
              <w:spacing w:after="0" w:line="440" w:lineRule="exact"/>
              <w:jc w:val="center"/>
              <w:rPr>
                <w:rFonts w:hint="default" w:ascii="Times New Roman" w:hAnsi="宋体" w:eastAsia="宋体"/>
                <w:color w:val="auto"/>
                <w:sz w:val="24"/>
                <w:szCs w:val="24"/>
                <w:lang w:val="en-US" w:eastAsia="zh-CN"/>
              </w:rPr>
            </w:pPr>
            <w:r>
              <w:rPr>
                <w:rFonts w:hint="eastAsia" w:ascii="Times New Roman" w:hAnsi="Times New Roman"/>
                <w:bCs/>
                <w:color w:val="auto"/>
                <w:sz w:val="26"/>
                <w:szCs w:val="26"/>
              </w:rPr>
              <w:t>年产16万套整车线束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1" w:type="dxa"/>
            <w:gridSpan w:val="2"/>
            <w:vAlign w:val="center"/>
          </w:tcPr>
          <w:p>
            <w:pPr>
              <w:spacing w:after="0" w:line="440" w:lineRule="exact"/>
              <w:ind w:left="-105" w:leftChars="-50" w:right="-105" w:rightChars="-50"/>
              <w:jc w:val="center"/>
              <w:rPr>
                <w:rFonts w:hint="default" w:ascii="宋体" w:hAnsi="宋体" w:eastAsia="宋体" w:cs="宋体"/>
                <w:b/>
                <w:color w:val="000000"/>
                <w:kern w:val="0"/>
                <w:sz w:val="28"/>
                <w:szCs w:val="28"/>
                <w:vertAlign w:val="baseline"/>
                <w:lang w:val="en-US" w:eastAsia="zh-CN" w:bidi="ar"/>
              </w:rPr>
            </w:pPr>
            <w:r>
              <w:rPr>
                <w:rFonts w:ascii="Times New Roman" w:hAnsi="宋体" w:eastAsia="宋体"/>
                <w:color w:val="000000"/>
                <w:sz w:val="24"/>
                <w:szCs w:val="24"/>
              </w:rPr>
              <w:t>建设项目环评时间</w:t>
            </w:r>
          </w:p>
        </w:tc>
        <w:tc>
          <w:tcPr>
            <w:tcW w:w="2093" w:type="dxa"/>
            <w:vAlign w:val="center"/>
          </w:tcPr>
          <w:p>
            <w:pPr>
              <w:spacing w:after="0" w:line="440" w:lineRule="exact"/>
              <w:jc w:val="center"/>
              <w:rPr>
                <w:rFonts w:hint="default" w:ascii="宋体" w:hAnsi="宋体" w:eastAsia="宋体" w:cs="宋体"/>
                <w:b/>
                <w:color w:val="000000"/>
                <w:kern w:val="0"/>
                <w:sz w:val="28"/>
                <w:szCs w:val="28"/>
                <w:vertAlign w:val="baseline"/>
                <w:lang w:val="en-US" w:eastAsia="zh-CN" w:bidi="ar"/>
              </w:rPr>
            </w:pPr>
            <w:r>
              <w:rPr>
                <w:rFonts w:ascii="Times New Roman" w:hAnsi="Times New Roman" w:eastAsia="宋体"/>
                <w:color w:val="000000"/>
                <w:sz w:val="24"/>
                <w:szCs w:val="24"/>
              </w:rPr>
              <w:t>20</w:t>
            </w:r>
            <w:r>
              <w:rPr>
                <w:rFonts w:hint="eastAsia" w:ascii="Times New Roman" w:hAnsi="Times New Roman" w:eastAsia="宋体"/>
                <w:color w:val="000000"/>
                <w:sz w:val="24"/>
                <w:szCs w:val="24"/>
                <w:lang w:val="en-US" w:eastAsia="zh-CN"/>
              </w:rPr>
              <w:t>21</w:t>
            </w:r>
            <w:r>
              <w:rPr>
                <w:rFonts w:ascii="Times New Roman" w:hAnsi="宋体" w:eastAsia="宋体"/>
                <w:color w:val="000000"/>
                <w:sz w:val="24"/>
                <w:szCs w:val="24"/>
              </w:rPr>
              <w:t>年</w:t>
            </w:r>
            <w:r>
              <w:rPr>
                <w:rFonts w:hint="eastAsia" w:ascii="Times New Roman" w:hAnsi="Times New Roman" w:eastAsia="宋体"/>
                <w:color w:val="000000"/>
                <w:sz w:val="24"/>
                <w:szCs w:val="24"/>
                <w:lang w:val="en-US" w:eastAsia="zh-CN"/>
              </w:rPr>
              <w:t>6</w:t>
            </w:r>
            <w:r>
              <w:rPr>
                <w:rFonts w:ascii="Times New Roman" w:hAnsi="宋体" w:eastAsia="宋体"/>
                <w:color w:val="000000"/>
                <w:sz w:val="24"/>
                <w:szCs w:val="24"/>
              </w:rPr>
              <w:t>月</w:t>
            </w:r>
          </w:p>
        </w:tc>
        <w:tc>
          <w:tcPr>
            <w:tcW w:w="1935" w:type="dxa"/>
            <w:vAlign w:val="center"/>
          </w:tcPr>
          <w:p>
            <w:pPr>
              <w:spacing w:after="0" w:line="440" w:lineRule="exact"/>
              <w:jc w:val="center"/>
              <w:rPr>
                <w:rFonts w:hint="default" w:ascii="宋体" w:hAnsi="宋体" w:eastAsia="宋体" w:cs="宋体"/>
                <w:b/>
                <w:color w:val="000000"/>
                <w:kern w:val="0"/>
                <w:sz w:val="28"/>
                <w:szCs w:val="28"/>
                <w:vertAlign w:val="baseline"/>
                <w:lang w:val="en-US" w:eastAsia="zh-CN" w:bidi="ar"/>
              </w:rPr>
            </w:pPr>
            <w:r>
              <w:rPr>
                <w:rFonts w:ascii="Times New Roman" w:hAnsi="宋体" w:eastAsia="宋体"/>
                <w:color w:val="000000"/>
                <w:sz w:val="24"/>
                <w:szCs w:val="24"/>
              </w:rPr>
              <w:t>开工建设时间</w:t>
            </w:r>
          </w:p>
        </w:tc>
        <w:tc>
          <w:tcPr>
            <w:tcW w:w="2513" w:type="dxa"/>
            <w:gridSpan w:val="3"/>
            <w:vAlign w:val="center"/>
          </w:tcPr>
          <w:p>
            <w:pPr>
              <w:spacing w:after="0" w:line="400" w:lineRule="exact"/>
              <w:jc w:val="center"/>
              <w:rPr>
                <w:rFonts w:hint="default" w:ascii="宋体" w:hAnsi="宋体" w:eastAsia="宋体" w:cs="宋体"/>
                <w:b/>
                <w:color w:val="000000"/>
                <w:kern w:val="0"/>
                <w:sz w:val="28"/>
                <w:szCs w:val="28"/>
                <w:vertAlign w:val="baseline"/>
                <w:lang w:val="en-US" w:eastAsia="zh-CN" w:bidi="ar"/>
              </w:rPr>
            </w:pPr>
            <w:r>
              <w:rPr>
                <w:rFonts w:hint="eastAsia" w:ascii="Times New Roman" w:hAnsi="Times New Roman" w:eastAsia="宋体"/>
                <w:color w:val="000000"/>
                <w:sz w:val="24"/>
                <w:szCs w:val="24"/>
                <w:lang w:val="en-US" w:eastAsia="zh-CN"/>
              </w:rPr>
              <w:t>2021</w:t>
            </w:r>
            <w:r>
              <w:rPr>
                <w:rFonts w:ascii="Times New Roman" w:hAnsi="宋体" w:eastAsia="宋体"/>
                <w:color w:val="000000"/>
                <w:sz w:val="24"/>
                <w:szCs w:val="24"/>
              </w:rPr>
              <w:t>年</w:t>
            </w:r>
            <w:r>
              <w:rPr>
                <w:rFonts w:hint="eastAsia" w:ascii="Times New Roman" w:hAnsi="Times New Roman" w:eastAsia="宋体"/>
                <w:color w:val="000000"/>
                <w:sz w:val="24"/>
                <w:szCs w:val="24"/>
                <w:lang w:val="en-US" w:eastAsia="zh-CN"/>
              </w:rPr>
              <w:t>7</w:t>
            </w:r>
            <w:r>
              <w:rPr>
                <w:rFonts w:ascii="Times New Roman" w:hAnsi="宋体" w:eastAsia="宋体"/>
                <w:color w:val="000000"/>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1" w:type="dxa"/>
            <w:gridSpan w:val="2"/>
            <w:vAlign w:val="center"/>
          </w:tcPr>
          <w:p>
            <w:pPr>
              <w:spacing w:after="0" w:line="440" w:lineRule="exact"/>
              <w:jc w:val="center"/>
              <w:rPr>
                <w:rFonts w:hint="default" w:ascii="宋体" w:hAnsi="宋体" w:eastAsia="宋体" w:cs="宋体"/>
                <w:b/>
                <w:color w:val="000000"/>
                <w:kern w:val="0"/>
                <w:sz w:val="28"/>
                <w:szCs w:val="28"/>
                <w:vertAlign w:val="baseline"/>
                <w:lang w:val="en-US" w:eastAsia="zh-CN" w:bidi="ar"/>
              </w:rPr>
            </w:pPr>
            <w:r>
              <w:rPr>
                <w:rFonts w:ascii="Times New Roman" w:hAnsi="宋体" w:eastAsia="宋体"/>
                <w:color w:val="000000"/>
                <w:sz w:val="24"/>
                <w:szCs w:val="24"/>
              </w:rPr>
              <w:t>调试时间</w:t>
            </w:r>
          </w:p>
        </w:tc>
        <w:tc>
          <w:tcPr>
            <w:tcW w:w="2093" w:type="dxa"/>
            <w:vAlign w:val="center"/>
          </w:tcPr>
          <w:p>
            <w:pPr>
              <w:spacing w:after="0" w:line="440" w:lineRule="exact"/>
              <w:jc w:val="center"/>
              <w:rPr>
                <w:rFonts w:hint="default" w:ascii="宋体" w:hAnsi="宋体" w:eastAsia="宋体" w:cs="宋体"/>
                <w:b/>
                <w:color w:val="000000"/>
                <w:kern w:val="0"/>
                <w:sz w:val="28"/>
                <w:szCs w:val="28"/>
                <w:vertAlign w:val="baseline"/>
                <w:lang w:val="en-US" w:eastAsia="zh-CN" w:bidi="ar"/>
              </w:rPr>
            </w:pPr>
            <w:r>
              <w:rPr>
                <w:rFonts w:hint="eastAsia" w:ascii="Times New Roman" w:hAnsi="Times New Roman" w:eastAsia="宋体"/>
                <w:color w:val="000000"/>
                <w:sz w:val="24"/>
                <w:szCs w:val="24"/>
              </w:rPr>
              <w:t>20</w:t>
            </w:r>
            <w:r>
              <w:rPr>
                <w:rFonts w:hint="eastAsia" w:ascii="Times New Roman" w:hAnsi="Times New Roman" w:eastAsia="宋体"/>
                <w:color w:val="000000"/>
                <w:sz w:val="24"/>
                <w:szCs w:val="24"/>
                <w:lang w:val="en-US" w:eastAsia="zh-CN"/>
              </w:rPr>
              <w:t>21</w:t>
            </w:r>
            <w:r>
              <w:rPr>
                <w:rFonts w:hint="eastAsia" w:ascii="Times New Roman" w:hAnsi="Times New Roman" w:eastAsia="宋体"/>
                <w:color w:val="000000"/>
                <w:sz w:val="24"/>
                <w:szCs w:val="24"/>
              </w:rPr>
              <w:t>年</w:t>
            </w:r>
            <w:r>
              <w:rPr>
                <w:rFonts w:hint="eastAsia" w:ascii="Times New Roman" w:hAnsi="Times New Roman" w:eastAsia="宋体"/>
                <w:color w:val="000000"/>
                <w:sz w:val="24"/>
                <w:szCs w:val="24"/>
                <w:lang w:val="en-US" w:eastAsia="zh-CN"/>
              </w:rPr>
              <w:t>7月</w:t>
            </w:r>
          </w:p>
        </w:tc>
        <w:tc>
          <w:tcPr>
            <w:tcW w:w="1935" w:type="dxa"/>
            <w:vAlign w:val="center"/>
          </w:tcPr>
          <w:p>
            <w:pPr>
              <w:spacing w:after="0" w:line="440" w:lineRule="exact"/>
              <w:ind w:left="-105" w:leftChars="-50" w:right="-105" w:rightChars="-50"/>
              <w:jc w:val="center"/>
              <w:rPr>
                <w:rFonts w:ascii="Times New Roman" w:hAnsi="宋体" w:eastAsia="宋体"/>
                <w:color w:val="000000"/>
                <w:sz w:val="24"/>
                <w:szCs w:val="24"/>
              </w:rPr>
            </w:pPr>
            <w:r>
              <w:rPr>
                <w:rFonts w:ascii="Times New Roman" w:hAnsi="宋体" w:eastAsia="宋体"/>
                <w:color w:val="000000"/>
                <w:sz w:val="24"/>
                <w:szCs w:val="24"/>
              </w:rPr>
              <w:t>验收现场</w:t>
            </w:r>
          </w:p>
          <w:p>
            <w:pPr>
              <w:spacing w:after="0" w:line="440" w:lineRule="exact"/>
              <w:ind w:left="-105" w:leftChars="-50" w:right="-105" w:rightChars="-50"/>
              <w:jc w:val="center"/>
              <w:rPr>
                <w:rFonts w:hint="default" w:ascii="宋体" w:hAnsi="宋体" w:eastAsia="宋体" w:cs="宋体"/>
                <w:b/>
                <w:color w:val="000000"/>
                <w:kern w:val="0"/>
                <w:sz w:val="28"/>
                <w:szCs w:val="28"/>
                <w:vertAlign w:val="baseline"/>
                <w:lang w:val="en-US" w:eastAsia="zh-CN" w:bidi="ar"/>
              </w:rPr>
            </w:pPr>
            <w:r>
              <w:rPr>
                <w:rFonts w:ascii="Times New Roman" w:hAnsi="宋体" w:eastAsia="宋体"/>
                <w:color w:val="000000"/>
                <w:sz w:val="24"/>
                <w:szCs w:val="24"/>
              </w:rPr>
              <w:t>监测时间</w:t>
            </w:r>
          </w:p>
        </w:tc>
        <w:tc>
          <w:tcPr>
            <w:tcW w:w="2513" w:type="dxa"/>
            <w:gridSpan w:val="3"/>
            <w:vAlign w:val="center"/>
          </w:tcPr>
          <w:p>
            <w:pPr>
              <w:spacing w:after="0" w:line="400" w:lineRule="exact"/>
              <w:ind w:left="-105" w:leftChars="-50" w:right="-105" w:rightChars="-50"/>
              <w:jc w:val="center"/>
              <w:rPr>
                <w:rFonts w:hint="default" w:ascii="宋体" w:hAnsi="宋体" w:eastAsia="宋体" w:cs="宋体"/>
                <w:b/>
                <w:color w:val="000000" w:themeColor="text1"/>
                <w:kern w:val="0"/>
                <w:sz w:val="28"/>
                <w:szCs w:val="28"/>
                <w:vertAlign w:val="baseline"/>
                <w:lang w:val="en-US" w:eastAsia="zh-CN" w:bidi="ar"/>
                <w14:textFill>
                  <w14:solidFill>
                    <w14:schemeClr w14:val="tx1"/>
                  </w14:solidFill>
                </w14:textFill>
              </w:rPr>
            </w:pPr>
            <w:r>
              <w:rPr>
                <w:rFonts w:hint="eastAsia" w:ascii="Times New Roman" w:hAnsi="Times New Roman" w:eastAsia="宋体"/>
                <w:color w:val="000000"/>
                <w:sz w:val="24"/>
                <w:szCs w:val="24"/>
              </w:rPr>
              <w:t>20</w:t>
            </w:r>
            <w:r>
              <w:rPr>
                <w:rFonts w:hint="eastAsia" w:ascii="Times New Roman" w:hAnsi="Times New Roman" w:eastAsia="宋体"/>
                <w:color w:val="000000"/>
                <w:sz w:val="24"/>
                <w:szCs w:val="24"/>
                <w:lang w:val="en-US" w:eastAsia="zh-CN"/>
              </w:rPr>
              <w:t>21</w:t>
            </w:r>
            <w:r>
              <w:rPr>
                <w:rFonts w:hint="eastAsia" w:ascii="Times New Roman" w:hAnsi="Times New Roman" w:eastAsia="宋体"/>
                <w:color w:val="000000"/>
                <w:sz w:val="24"/>
                <w:szCs w:val="24"/>
              </w:rPr>
              <w:t>年</w:t>
            </w:r>
            <w:r>
              <w:rPr>
                <w:rFonts w:hint="eastAsia" w:ascii="Times New Roman" w:hAnsi="Times New Roman" w:eastAsia="宋体"/>
                <w:color w:val="000000"/>
                <w:sz w:val="24"/>
                <w:szCs w:val="24"/>
                <w:lang w:val="en-US" w:eastAsia="zh-CN"/>
              </w:rPr>
              <w:t>7月19日-20日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1" w:type="dxa"/>
            <w:gridSpan w:val="2"/>
            <w:vAlign w:val="center"/>
          </w:tcPr>
          <w:p>
            <w:pPr>
              <w:spacing w:after="0" w:line="440" w:lineRule="exact"/>
              <w:jc w:val="center"/>
              <w:rPr>
                <w:rFonts w:ascii="Times New Roman" w:hAnsi="宋体" w:eastAsia="宋体"/>
                <w:color w:val="000000"/>
                <w:sz w:val="24"/>
                <w:szCs w:val="24"/>
              </w:rPr>
            </w:pPr>
            <w:r>
              <w:rPr>
                <w:rFonts w:ascii="Times New Roman" w:hAnsi="宋体" w:eastAsia="宋体"/>
                <w:color w:val="000000"/>
                <w:sz w:val="24"/>
                <w:szCs w:val="24"/>
              </w:rPr>
              <w:t>环评报告表</w:t>
            </w:r>
          </w:p>
          <w:p>
            <w:pPr>
              <w:spacing w:after="0" w:line="440" w:lineRule="exact"/>
              <w:jc w:val="center"/>
              <w:rPr>
                <w:rFonts w:hint="default" w:ascii="宋体" w:hAnsi="宋体" w:eastAsia="宋体" w:cs="宋体"/>
                <w:b/>
                <w:color w:val="000000"/>
                <w:kern w:val="0"/>
                <w:sz w:val="28"/>
                <w:szCs w:val="28"/>
                <w:vertAlign w:val="baseline"/>
                <w:lang w:val="en-US" w:eastAsia="zh-CN" w:bidi="ar"/>
              </w:rPr>
            </w:pPr>
            <w:r>
              <w:rPr>
                <w:rFonts w:ascii="Times New Roman" w:hAnsi="宋体" w:eastAsia="宋体"/>
                <w:color w:val="000000"/>
                <w:sz w:val="24"/>
                <w:szCs w:val="24"/>
              </w:rPr>
              <w:t>审批部门</w:t>
            </w:r>
          </w:p>
        </w:tc>
        <w:tc>
          <w:tcPr>
            <w:tcW w:w="2093" w:type="dxa"/>
            <w:vAlign w:val="center"/>
          </w:tcPr>
          <w:p>
            <w:pPr>
              <w:spacing w:after="0" w:line="440" w:lineRule="exact"/>
              <w:jc w:val="center"/>
              <w:rPr>
                <w:rFonts w:hint="default" w:ascii="宋体" w:hAnsi="宋体" w:eastAsia="宋体" w:cs="宋体"/>
                <w:b/>
                <w:color w:val="000000"/>
                <w:kern w:val="0"/>
                <w:sz w:val="28"/>
                <w:szCs w:val="28"/>
                <w:vertAlign w:val="baseline"/>
                <w:lang w:val="en-US" w:eastAsia="zh-CN" w:bidi="ar"/>
              </w:rPr>
            </w:pPr>
            <w:r>
              <w:rPr>
                <w:rFonts w:ascii="Times New Roman" w:hAnsi="宋体" w:eastAsia="宋体"/>
                <w:color w:val="000000"/>
                <w:sz w:val="24"/>
                <w:szCs w:val="24"/>
              </w:rPr>
              <w:t>重庆市</w:t>
            </w:r>
            <w:r>
              <w:rPr>
                <w:rFonts w:hint="eastAsia" w:ascii="Times New Roman" w:hAnsi="宋体" w:eastAsia="宋体"/>
                <w:color w:val="000000"/>
                <w:sz w:val="24"/>
                <w:szCs w:val="24"/>
                <w:lang w:eastAsia="zh-CN"/>
              </w:rPr>
              <w:t>梁平区生态</w:t>
            </w:r>
            <w:r>
              <w:rPr>
                <w:rFonts w:ascii="Times New Roman" w:hAnsi="宋体" w:eastAsia="宋体"/>
                <w:color w:val="000000"/>
                <w:sz w:val="24"/>
                <w:szCs w:val="24"/>
              </w:rPr>
              <w:t>环境局</w:t>
            </w:r>
          </w:p>
        </w:tc>
        <w:tc>
          <w:tcPr>
            <w:tcW w:w="1935" w:type="dxa"/>
            <w:vAlign w:val="center"/>
          </w:tcPr>
          <w:p>
            <w:pPr>
              <w:spacing w:after="0" w:line="440" w:lineRule="exact"/>
              <w:jc w:val="center"/>
              <w:rPr>
                <w:rFonts w:ascii="Times New Roman" w:hAnsi="宋体" w:eastAsia="宋体"/>
                <w:color w:val="000000"/>
                <w:sz w:val="24"/>
                <w:szCs w:val="24"/>
              </w:rPr>
            </w:pPr>
            <w:r>
              <w:rPr>
                <w:rFonts w:ascii="Times New Roman" w:hAnsi="宋体" w:eastAsia="宋体"/>
                <w:color w:val="000000"/>
                <w:sz w:val="24"/>
                <w:szCs w:val="24"/>
              </w:rPr>
              <w:t>环评报告表</w:t>
            </w:r>
          </w:p>
          <w:p>
            <w:pPr>
              <w:spacing w:after="0" w:line="440" w:lineRule="exact"/>
              <w:jc w:val="center"/>
              <w:rPr>
                <w:rFonts w:hint="default" w:ascii="宋体" w:hAnsi="宋体" w:eastAsia="宋体" w:cs="宋体"/>
                <w:b/>
                <w:color w:val="000000"/>
                <w:kern w:val="0"/>
                <w:sz w:val="28"/>
                <w:szCs w:val="28"/>
                <w:vertAlign w:val="baseline"/>
                <w:lang w:val="en-US" w:eastAsia="zh-CN" w:bidi="ar"/>
              </w:rPr>
            </w:pPr>
            <w:r>
              <w:rPr>
                <w:rFonts w:ascii="Times New Roman" w:hAnsi="宋体" w:eastAsia="宋体"/>
                <w:color w:val="000000"/>
                <w:sz w:val="24"/>
                <w:szCs w:val="24"/>
              </w:rPr>
              <w:t>编制单位</w:t>
            </w:r>
          </w:p>
        </w:tc>
        <w:tc>
          <w:tcPr>
            <w:tcW w:w="2513" w:type="dxa"/>
            <w:gridSpan w:val="3"/>
            <w:vAlign w:val="center"/>
          </w:tcPr>
          <w:p>
            <w:pPr>
              <w:spacing w:after="0" w:line="440" w:lineRule="exact"/>
              <w:jc w:val="center"/>
              <w:rPr>
                <w:rFonts w:hint="eastAsia" w:ascii="宋体" w:hAnsi="宋体" w:eastAsia="宋体" w:cs="宋体"/>
                <w:b/>
                <w:color w:val="000000"/>
                <w:kern w:val="0"/>
                <w:sz w:val="28"/>
                <w:szCs w:val="28"/>
                <w:vertAlign w:val="baseline"/>
                <w:lang w:val="en-US" w:eastAsia="zh-CN" w:bidi="ar"/>
              </w:rPr>
            </w:pPr>
            <w:r>
              <w:rPr>
                <w:rFonts w:hint="eastAsia" w:ascii="Times New Roman" w:hAnsi="宋体" w:eastAsia="宋体"/>
                <w:color w:val="000000"/>
                <w:sz w:val="24"/>
                <w:szCs w:val="24"/>
                <w:lang w:eastAsia="zh-CN"/>
              </w:rPr>
              <w:t>成都元页环保科技有限公司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1" w:type="dxa"/>
            <w:gridSpan w:val="2"/>
            <w:vAlign w:val="center"/>
          </w:tcPr>
          <w:p>
            <w:pPr>
              <w:spacing w:after="0" w:line="440" w:lineRule="exact"/>
              <w:jc w:val="center"/>
              <w:rPr>
                <w:rFonts w:ascii="Times New Roman" w:hAnsi="宋体" w:eastAsia="宋体"/>
                <w:color w:val="000000"/>
                <w:sz w:val="24"/>
                <w:szCs w:val="24"/>
              </w:rPr>
            </w:pPr>
            <w:r>
              <w:rPr>
                <w:rFonts w:ascii="Times New Roman" w:hAnsi="宋体" w:eastAsia="宋体"/>
                <w:color w:val="000000"/>
                <w:sz w:val="24"/>
                <w:szCs w:val="24"/>
              </w:rPr>
              <w:t>环保设施</w:t>
            </w:r>
          </w:p>
          <w:p>
            <w:pPr>
              <w:spacing w:after="0" w:line="440" w:lineRule="exact"/>
              <w:jc w:val="center"/>
              <w:rPr>
                <w:rFonts w:hint="default" w:ascii="宋体" w:hAnsi="宋体" w:eastAsia="宋体" w:cs="宋体"/>
                <w:b/>
                <w:color w:val="000000"/>
                <w:kern w:val="0"/>
                <w:sz w:val="28"/>
                <w:szCs w:val="28"/>
                <w:vertAlign w:val="baseline"/>
                <w:lang w:val="en-US" w:eastAsia="zh-CN" w:bidi="ar"/>
              </w:rPr>
            </w:pPr>
            <w:r>
              <w:rPr>
                <w:rFonts w:ascii="Times New Roman" w:hAnsi="宋体" w:eastAsia="宋体"/>
                <w:color w:val="000000"/>
                <w:sz w:val="24"/>
                <w:szCs w:val="24"/>
              </w:rPr>
              <w:t>设计单位</w:t>
            </w:r>
          </w:p>
        </w:tc>
        <w:tc>
          <w:tcPr>
            <w:tcW w:w="2093" w:type="dxa"/>
            <w:vAlign w:val="center"/>
          </w:tcPr>
          <w:p>
            <w:pPr>
              <w:spacing w:after="0" w:line="440" w:lineRule="exact"/>
              <w:jc w:val="center"/>
              <w:rPr>
                <w:rFonts w:hint="default" w:ascii="宋体" w:hAnsi="宋体" w:eastAsia="宋体" w:cs="宋体"/>
                <w:b/>
                <w:color w:val="000000"/>
                <w:kern w:val="0"/>
                <w:sz w:val="28"/>
                <w:szCs w:val="28"/>
                <w:vertAlign w:val="baseline"/>
                <w:lang w:val="en-US" w:eastAsia="zh-CN" w:bidi="ar"/>
              </w:rPr>
            </w:pPr>
            <w:r>
              <w:rPr>
                <w:rFonts w:hint="eastAsia" w:ascii="Times New Roman" w:hAnsi="Times New Roman" w:eastAsia="宋体"/>
                <w:bCs/>
                <w:sz w:val="26"/>
                <w:szCs w:val="26"/>
                <w:lang w:eastAsia="zh-CN"/>
              </w:rPr>
              <w:t>重庆乐仁汽车电子有限公司</w:t>
            </w:r>
          </w:p>
        </w:tc>
        <w:tc>
          <w:tcPr>
            <w:tcW w:w="1935" w:type="dxa"/>
            <w:vAlign w:val="center"/>
          </w:tcPr>
          <w:p>
            <w:pPr>
              <w:spacing w:after="0" w:line="440" w:lineRule="exact"/>
              <w:ind w:left="-105" w:leftChars="-50" w:right="-105" w:rightChars="-50"/>
              <w:jc w:val="center"/>
              <w:rPr>
                <w:rFonts w:ascii="Times New Roman" w:hAnsi="宋体" w:eastAsia="宋体"/>
                <w:color w:val="000000"/>
                <w:sz w:val="24"/>
                <w:szCs w:val="24"/>
              </w:rPr>
            </w:pPr>
            <w:r>
              <w:rPr>
                <w:rFonts w:ascii="Times New Roman" w:hAnsi="宋体" w:eastAsia="宋体"/>
                <w:color w:val="000000"/>
                <w:sz w:val="24"/>
                <w:szCs w:val="24"/>
              </w:rPr>
              <w:t>环保设施</w:t>
            </w:r>
          </w:p>
          <w:p>
            <w:pPr>
              <w:spacing w:after="0" w:line="440" w:lineRule="exact"/>
              <w:ind w:left="-105" w:leftChars="-50" w:right="-105" w:rightChars="-50"/>
              <w:jc w:val="center"/>
              <w:rPr>
                <w:rFonts w:hint="default" w:ascii="宋体" w:hAnsi="宋体" w:eastAsia="宋体" w:cs="宋体"/>
                <w:b/>
                <w:color w:val="000000"/>
                <w:kern w:val="0"/>
                <w:sz w:val="28"/>
                <w:szCs w:val="28"/>
                <w:vertAlign w:val="baseline"/>
                <w:lang w:val="en-US" w:eastAsia="zh-CN" w:bidi="ar"/>
              </w:rPr>
            </w:pPr>
            <w:r>
              <w:rPr>
                <w:rFonts w:ascii="Times New Roman" w:hAnsi="宋体" w:eastAsia="宋体"/>
                <w:color w:val="000000"/>
                <w:sz w:val="24"/>
                <w:szCs w:val="24"/>
              </w:rPr>
              <w:t>施工单位</w:t>
            </w:r>
          </w:p>
        </w:tc>
        <w:tc>
          <w:tcPr>
            <w:tcW w:w="2513" w:type="dxa"/>
            <w:gridSpan w:val="3"/>
            <w:vAlign w:val="center"/>
          </w:tcPr>
          <w:p>
            <w:pPr>
              <w:spacing w:after="0" w:line="400" w:lineRule="exact"/>
              <w:jc w:val="center"/>
              <w:rPr>
                <w:rFonts w:hint="default" w:ascii="宋体" w:hAnsi="宋体" w:eastAsia="宋体" w:cs="宋体"/>
                <w:b/>
                <w:color w:val="000000"/>
                <w:kern w:val="0"/>
                <w:sz w:val="28"/>
                <w:szCs w:val="28"/>
                <w:vertAlign w:val="baseline"/>
                <w:lang w:val="en-US" w:eastAsia="zh-CN" w:bidi="ar"/>
              </w:rPr>
            </w:pPr>
            <w:r>
              <w:rPr>
                <w:rFonts w:hint="eastAsia" w:ascii="Times New Roman" w:hAnsi="Times New Roman" w:eastAsia="宋体"/>
                <w:bCs/>
                <w:sz w:val="26"/>
                <w:szCs w:val="26"/>
                <w:lang w:eastAsia="zh-CN"/>
              </w:rPr>
              <w:t>重庆乐仁汽车电子有限公司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1" w:type="dxa"/>
            <w:gridSpan w:val="2"/>
            <w:vAlign w:val="center"/>
          </w:tcPr>
          <w:p>
            <w:pPr>
              <w:spacing w:after="0" w:line="440" w:lineRule="exact"/>
              <w:jc w:val="center"/>
              <w:rPr>
                <w:rFonts w:hint="default" w:ascii="宋体" w:hAnsi="宋体" w:eastAsia="宋体" w:cs="宋体"/>
                <w:b/>
                <w:color w:val="000000"/>
                <w:kern w:val="0"/>
                <w:sz w:val="28"/>
                <w:szCs w:val="28"/>
                <w:vertAlign w:val="baseline"/>
                <w:lang w:val="en-US" w:eastAsia="zh-CN" w:bidi="ar"/>
              </w:rPr>
            </w:pPr>
            <w:r>
              <w:rPr>
                <w:rFonts w:ascii="Times New Roman" w:hAnsi="宋体" w:eastAsia="宋体"/>
                <w:color w:val="000000"/>
                <w:sz w:val="24"/>
                <w:szCs w:val="24"/>
              </w:rPr>
              <w:t>投资总概算</w:t>
            </w:r>
          </w:p>
        </w:tc>
        <w:tc>
          <w:tcPr>
            <w:tcW w:w="2093" w:type="dxa"/>
            <w:vAlign w:val="center"/>
          </w:tcPr>
          <w:p>
            <w:pPr>
              <w:spacing w:after="0" w:line="440" w:lineRule="exact"/>
              <w:jc w:val="center"/>
              <w:rPr>
                <w:rFonts w:hint="default" w:ascii="宋体" w:hAnsi="宋体" w:eastAsia="宋体" w:cs="宋体"/>
                <w:b/>
                <w:color w:val="000000" w:themeColor="text1"/>
                <w:kern w:val="0"/>
                <w:sz w:val="28"/>
                <w:szCs w:val="28"/>
                <w:vertAlign w:val="baseline"/>
                <w:lang w:val="en-US" w:eastAsia="zh-CN" w:bidi="ar"/>
                <w14:textFill>
                  <w14:solidFill>
                    <w14:schemeClr w14:val="tx1"/>
                  </w14:solidFill>
                </w14:textFill>
              </w:rPr>
            </w:pPr>
            <w:r>
              <w:rPr>
                <w:rFonts w:hint="eastAsia" w:ascii="Times New Roman" w:hAnsi="Times New Roman" w:eastAsia="宋体"/>
                <w:color w:val="000000" w:themeColor="text1"/>
                <w:sz w:val="24"/>
                <w:szCs w:val="24"/>
                <w:lang w:val="en-US" w:eastAsia="zh-CN"/>
                <w14:textFill>
                  <w14:solidFill>
                    <w14:schemeClr w14:val="tx1"/>
                  </w14:solidFill>
                </w14:textFill>
              </w:rPr>
              <w:t>8000</w:t>
            </w:r>
            <w:r>
              <w:rPr>
                <w:rFonts w:hint="eastAsia" w:ascii="Times New Roman" w:hAnsi="Times New Roman" w:eastAsia="宋体"/>
                <w:color w:val="000000" w:themeColor="text1"/>
                <w:sz w:val="24"/>
                <w:szCs w:val="24"/>
                <w14:textFill>
                  <w14:solidFill>
                    <w14:schemeClr w14:val="tx1"/>
                  </w14:solidFill>
                </w14:textFill>
              </w:rPr>
              <w:t>万元</w:t>
            </w:r>
          </w:p>
        </w:tc>
        <w:tc>
          <w:tcPr>
            <w:tcW w:w="1935" w:type="dxa"/>
            <w:vAlign w:val="center"/>
          </w:tcPr>
          <w:p>
            <w:pPr>
              <w:spacing w:after="0" w:line="440" w:lineRule="exact"/>
              <w:jc w:val="center"/>
              <w:rPr>
                <w:rFonts w:ascii="Times New Roman" w:hAnsi="宋体" w:eastAsia="宋体"/>
                <w:color w:val="000000" w:themeColor="text1"/>
                <w:sz w:val="24"/>
                <w:szCs w:val="24"/>
                <w14:textFill>
                  <w14:solidFill>
                    <w14:schemeClr w14:val="tx1"/>
                  </w14:solidFill>
                </w14:textFill>
              </w:rPr>
            </w:pPr>
            <w:r>
              <w:rPr>
                <w:rFonts w:ascii="Times New Roman" w:hAnsi="宋体" w:eastAsia="宋体"/>
                <w:color w:val="000000" w:themeColor="text1"/>
                <w:sz w:val="24"/>
                <w:szCs w:val="24"/>
                <w14:textFill>
                  <w14:solidFill>
                    <w14:schemeClr w14:val="tx1"/>
                  </w14:solidFill>
                </w14:textFill>
              </w:rPr>
              <w:t>环保投资</w:t>
            </w:r>
          </w:p>
          <w:p>
            <w:pPr>
              <w:spacing w:after="0" w:line="440" w:lineRule="exact"/>
              <w:jc w:val="center"/>
              <w:rPr>
                <w:rFonts w:hint="default" w:ascii="宋体" w:hAnsi="宋体" w:eastAsia="宋体" w:cs="宋体"/>
                <w:b/>
                <w:color w:val="000000" w:themeColor="text1"/>
                <w:kern w:val="0"/>
                <w:sz w:val="28"/>
                <w:szCs w:val="28"/>
                <w:vertAlign w:val="baseline"/>
                <w:lang w:val="en-US" w:eastAsia="zh-CN" w:bidi="ar"/>
                <w14:textFill>
                  <w14:solidFill>
                    <w14:schemeClr w14:val="tx1"/>
                  </w14:solidFill>
                </w14:textFill>
              </w:rPr>
            </w:pPr>
            <w:r>
              <w:rPr>
                <w:rFonts w:ascii="Times New Roman" w:hAnsi="宋体" w:eastAsia="宋体"/>
                <w:color w:val="000000" w:themeColor="text1"/>
                <w:sz w:val="24"/>
                <w:szCs w:val="24"/>
                <w14:textFill>
                  <w14:solidFill>
                    <w14:schemeClr w14:val="tx1"/>
                  </w14:solidFill>
                </w14:textFill>
              </w:rPr>
              <w:t>总概算</w:t>
            </w:r>
          </w:p>
        </w:tc>
        <w:tc>
          <w:tcPr>
            <w:tcW w:w="915" w:type="dxa"/>
            <w:vAlign w:val="center"/>
          </w:tcPr>
          <w:p>
            <w:pPr>
              <w:spacing w:after="0" w:line="440" w:lineRule="exact"/>
              <w:jc w:val="center"/>
              <w:rPr>
                <w:rFonts w:hint="default"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5万元</w:t>
            </w:r>
          </w:p>
        </w:tc>
        <w:tc>
          <w:tcPr>
            <w:tcW w:w="735" w:type="dxa"/>
            <w:vAlign w:val="center"/>
          </w:tcPr>
          <w:p>
            <w:pPr>
              <w:spacing w:after="0" w:line="440" w:lineRule="exact"/>
              <w:jc w:val="center"/>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比例</w:t>
            </w:r>
          </w:p>
        </w:tc>
        <w:tc>
          <w:tcPr>
            <w:tcW w:w="863" w:type="dxa"/>
            <w:vAlign w:val="center"/>
          </w:tcPr>
          <w:p>
            <w:pPr>
              <w:spacing w:after="0" w:line="440" w:lineRule="exact"/>
              <w:jc w:val="center"/>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1" w:type="dxa"/>
            <w:gridSpan w:val="2"/>
            <w:vAlign w:val="center"/>
          </w:tcPr>
          <w:p>
            <w:pPr>
              <w:spacing w:after="0" w:line="440" w:lineRule="exact"/>
              <w:jc w:val="center"/>
              <w:rPr>
                <w:rFonts w:hint="default" w:ascii="宋体" w:hAnsi="宋体" w:eastAsia="宋体" w:cs="宋体"/>
                <w:b/>
                <w:color w:val="000000"/>
                <w:kern w:val="0"/>
                <w:sz w:val="28"/>
                <w:szCs w:val="28"/>
                <w:vertAlign w:val="baseline"/>
                <w:lang w:val="en-US" w:eastAsia="zh-CN" w:bidi="ar"/>
              </w:rPr>
            </w:pPr>
            <w:r>
              <w:rPr>
                <w:rFonts w:ascii="Times New Roman" w:hAnsi="宋体" w:eastAsia="宋体"/>
                <w:color w:val="000000"/>
                <w:sz w:val="24"/>
                <w:szCs w:val="24"/>
              </w:rPr>
              <w:t>实际总概算</w:t>
            </w:r>
          </w:p>
        </w:tc>
        <w:tc>
          <w:tcPr>
            <w:tcW w:w="2093" w:type="dxa"/>
            <w:vAlign w:val="center"/>
          </w:tcPr>
          <w:p>
            <w:pPr>
              <w:spacing w:after="0" w:line="440" w:lineRule="exact"/>
              <w:jc w:val="center"/>
              <w:rPr>
                <w:rFonts w:hint="default" w:ascii="宋体" w:hAnsi="宋体" w:eastAsia="宋体" w:cs="宋体"/>
                <w:b/>
                <w:color w:val="auto"/>
                <w:kern w:val="0"/>
                <w:sz w:val="28"/>
                <w:szCs w:val="28"/>
                <w:vertAlign w:val="baseline"/>
                <w:lang w:val="en-US" w:eastAsia="zh-CN" w:bidi="ar"/>
              </w:rPr>
            </w:pPr>
            <w:r>
              <w:rPr>
                <w:rFonts w:hint="eastAsia" w:ascii="Times New Roman" w:hAnsi="Times New Roman" w:eastAsia="宋体"/>
                <w:color w:val="auto"/>
                <w:sz w:val="24"/>
                <w:szCs w:val="24"/>
                <w:lang w:val="en-US" w:eastAsia="zh-CN"/>
              </w:rPr>
              <w:t>8000</w:t>
            </w:r>
            <w:r>
              <w:rPr>
                <w:rFonts w:hint="eastAsia" w:ascii="Times New Roman" w:hAnsi="Times New Roman" w:eastAsia="宋体"/>
                <w:color w:val="auto"/>
                <w:sz w:val="24"/>
                <w:szCs w:val="24"/>
              </w:rPr>
              <w:t>万元</w:t>
            </w:r>
          </w:p>
        </w:tc>
        <w:tc>
          <w:tcPr>
            <w:tcW w:w="1935" w:type="dxa"/>
            <w:vAlign w:val="center"/>
          </w:tcPr>
          <w:p>
            <w:pPr>
              <w:spacing w:after="0" w:line="440" w:lineRule="exact"/>
              <w:jc w:val="center"/>
              <w:rPr>
                <w:rFonts w:hint="default" w:ascii="宋体" w:hAnsi="宋体" w:eastAsia="宋体" w:cs="宋体"/>
                <w:b/>
                <w:color w:val="auto"/>
                <w:kern w:val="0"/>
                <w:sz w:val="28"/>
                <w:szCs w:val="28"/>
                <w:vertAlign w:val="baseline"/>
                <w:lang w:val="en-US" w:eastAsia="zh-CN" w:bidi="ar"/>
              </w:rPr>
            </w:pPr>
            <w:r>
              <w:rPr>
                <w:rFonts w:ascii="Times New Roman" w:hAnsi="宋体" w:eastAsia="宋体"/>
                <w:color w:val="auto"/>
                <w:sz w:val="24"/>
                <w:szCs w:val="24"/>
              </w:rPr>
              <w:t>环保投资</w:t>
            </w:r>
          </w:p>
        </w:tc>
        <w:tc>
          <w:tcPr>
            <w:tcW w:w="915" w:type="dxa"/>
            <w:vAlign w:val="center"/>
          </w:tcPr>
          <w:p>
            <w:pPr>
              <w:spacing w:after="0" w:line="440" w:lineRule="exact"/>
              <w:jc w:val="center"/>
              <w:rPr>
                <w:rFonts w:hint="default"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6万元</w:t>
            </w:r>
          </w:p>
        </w:tc>
        <w:tc>
          <w:tcPr>
            <w:tcW w:w="735" w:type="dxa"/>
            <w:vAlign w:val="center"/>
          </w:tcPr>
          <w:p>
            <w:pPr>
              <w:spacing w:after="0" w:line="440" w:lineRule="exact"/>
              <w:jc w:val="center"/>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比例</w:t>
            </w:r>
          </w:p>
        </w:tc>
        <w:tc>
          <w:tcPr>
            <w:tcW w:w="863" w:type="dxa"/>
            <w:vAlign w:val="center"/>
          </w:tcPr>
          <w:p>
            <w:pPr>
              <w:spacing w:after="0" w:line="440" w:lineRule="exact"/>
              <w:jc w:val="center"/>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0" w:type="dxa"/>
            <w:vAlign w:val="center"/>
          </w:tcPr>
          <w:p>
            <w:pPr>
              <w:spacing w:after="0" w:line="440" w:lineRule="exact"/>
              <w:jc w:val="center"/>
              <w:rPr>
                <w:rFonts w:ascii="Times New Roman" w:hAnsi="宋体" w:eastAsia="宋体"/>
                <w:color w:val="000000"/>
                <w:sz w:val="24"/>
                <w:szCs w:val="24"/>
              </w:rPr>
            </w:pPr>
            <w:r>
              <w:rPr>
                <w:rFonts w:hint="eastAsia" w:ascii="Times New Roman" w:hAnsi="宋体" w:eastAsia="宋体"/>
                <w:color w:val="000000"/>
                <w:sz w:val="24"/>
                <w:szCs w:val="24"/>
                <w:lang w:val="en-US" w:eastAsia="zh-CN"/>
              </w:rPr>
              <w:t>验收监测依据</w:t>
            </w:r>
          </w:p>
        </w:tc>
        <w:tc>
          <w:tcPr>
            <w:tcW w:w="7532" w:type="dxa"/>
            <w:gridSpan w:val="6"/>
            <w:vAlign w:val="center"/>
          </w:tcPr>
          <w:p>
            <w:pPr>
              <w:spacing w:after="0" w:line="480" w:lineRule="auto"/>
              <w:rPr>
                <w:rFonts w:ascii="Times New Roman" w:hAnsi="Times New Roman" w:eastAsia="宋体"/>
                <w:b/>
                <w:color w:val="000000"/>
                <w:sz w:val="24"/>
                <w:szCs w:val="24"/>
              </w:rPr>
            </w:pPr>
            <w:r>
              <w:rPr>
                <w:rFonts w:hint="eastAsia" w:ascii="宋体" w:hAnsi="宋体" w:eastAsia="宋体"/>
                <w:b/>
                <w:color w:val="000000"/>
                <w:sz w:val="24"/>
                <w:szCs w:val="24"/>
              </w:rPr>
              <w:t>1、</w:t>
            </w:r>
            <w:r>
              <w:rPr>
                <w:rFonts w:ascii="Times New Roman" w:hAnsi="宋体" w:eastAsia="宋体"/>
                <w:b/>
                <w:color w:val="000000"/>
                <w:sz w:val="24"/>
                <w:szCs w:val="24"/>
              </w:rPr>
              <w:t>环境保护有关法规、政策</w:t>
            </w:r>
          </w:p>
          <w:p>
            <w:pPr>
              <w:spacing w:after="0" w:line="360" w:lineRule="auto"/>
              <w:ind w:firstLine="480" w:firstLineChars="200"/>
              <w:jc w:val="both"/>
              <w:rPr>
                <w:rFonts w:hint="default" w:ascii="Times New Roman" w:hAnsi="宋体" w:eastAsia="宋体"/>
                <w:color w:val="000000"/>
                <w:sz w:val="24"/>
                <w:szCs w:val="24"/>
              </w:rPr>
            </w:pPr>
            <w:r>
              <w:rPr>
                <w:rFonts w:hint="default" w:ascii="Times New Roman" w:hAnsi="宋体" w:eastAsia="宋体"/>
                <w:color w:val="000000"/>
                <w:sz w:val="24"/>
                <w:szCs w:val="24"/>
              </w:rPr>
              <w:t>（1）《中华人民共和国环境保护法》（2015年修订）；</w:t>
            </w:r>
          </w:p>
          <w:p>
            <w:pPr>
              <w:spacing w:after="0" w:line="360" w:lineRule="auto"/>
              <w:ind w:firstLine="480" w:firstLineChars="200"/>
              <w:jc w:val="both"/>
              <w:rPr>
                <w:rFonts w:hint="default" w:ascii="Times New Roman" w:hAnsi="宋体" w:eastAsia="宋体"/>
                <w:color w:val="000000"/>
                <w:sz w:val="24"/>
                <w:szCs w:val="24"/>
              </w:rPr>
            </w:pPr>
            <w:r>
              <w:rPr>
                <w:rFonts w:hint="default" w:ascii="Times New Roman" w:hAnsi="宋体" w:eastAsia="宋体"/>
                <w:color w:val="000000"/>
                <w:sz w:val="24"/>
                <w:szCs w:val="24"/>
              </w:rPr>
              <w:t>（2）《中华人民共和国环境影响评价法》（2018年修订）；</w:t>
            </w:r>
          </w:p>
          <w:p>
            <w:pPr>
              <w:spacing w:after="0" w:line="360" w:lineRule="auto"/>
              <w:ind w:firstLine="480" w:firstLineChars="200"/>
              <w:jc w:val="both"/>
              <w:rPr>
                <w:rFonts w:hint="default" w:ascii="Times New Roman" w:hAnsi="宋体" w:eastAsia="宋体"/>
                <w:color w:val="000000"/>
                <w:sz w:val="24"/>
                <w:szCs w:val="24"/>
              </w:rPr>
            </w:pPr>
            <w:r>
              <w:rPr>
                <w:rFonts w:hint="default" w:ascii="Times New Roman" w:hAnsi="宋体" w:eastAsia="宋体"/>
                <w:color w:val="000000"/>
                <w:sz w:val="24"/>
                <w:szCs w:val="24"/>
              </w:rPr>
              <w:t>（3）《中华人民共和国大气污染防治法》（2016年1月1日实施）；</w:t>
            </w:r>
          </w:p>
          <w:p>
            <w:pPr>
              <w:spacing w:after="0" w:line="360" w:lineRule="auto"/>
              <w:ind w:firstLine="480" w:firstLineChars="200"/>
              <w:jc w:val="both"/>
              <w:rPr>
                <w:rFonts w:hint="default" w:ascii="Times New Roman" w:hAnsi="宋体" w:eastAsia="宋体"/>
                <w:color w:val="000000"/>
                <w:sz w:val="24"/>
                <w:szCs w:val="24"/>
              </w:rPr>
            </w:pPr>
            <w:r>
              <w:rPr>
                <w:rFonts w:hint="default" w:ascii="Times New Roman" w:hAnsi="宋体" w:eastAsia="宋体"/>
                <w:color w:val="000000"/>
                <w:sz w:val="24"/>
                <w:szCs w:val="24"/>
              </w:rPr>
              <w:t>（4）《中华人民共和国水污染防治法》（2018年1月修订）；</w:t>
            </w:r>
          </w:p>
          <w:p>
            <w:pPr>
              <w:spacing w:after="0" w:line="360" w:lineRule="auto"/>
              <w:ind w:firstLine="480" w:firstLineChars="200"/>
              <w:jc w:val="both"/>
              <w:rPr>
                <w:rFonts w:hint="default" w:ascii="Times New Roman" w:hAnsi="宋体" w:eastAsia="宋体"/>
                <w:color w:val="000000"/>
                <w:sz w:val="24"/>
                <w:szCs w:val="24"/>
              </w:rPr>
            </w:pPr>
            <w:r>
              <w:rPr>
                <w:rFonts w:hint="default" w:ascii="Times New Roman" w:hAnsi="宋体" w:eastAsia="宋体"/>
                <w:color w:val="000000"/>
                <w:sz w:val="24"/>
                <w:szCs w:val="24"/>
              </w:rPr>
              <w:t>（5）《中华人民共和国固体废物污染环境防治法》（2020年9月1日实施）；</w:t>
            </w:r>
          </w:p>
          <w:p>
            <w:pPr>
              <w:spacing w:after="0" w:line="360" w:lineRule="auto"/>
              <w:ind w:firstLine="480" w:firstLineChars="200"/>
              <w:jc w:val="both"/>
              <w:rPr>
                <w:rFonts w:ascii="Times New Roman" w:hAnsi="宋体" w:eastAsia="宋体"/>
                <w:color w:val="000000"/>
                <w:sz w:val="24"/>
                <w:szCs w:val="24"/>
              </w:rPr>
            </w:pPr>
            <w:r>
              <w:rPr>
                <w:rFonts w:hint="default" w:ascii="Times New Roman" w:hAnsi="宋体" w:eastAsia="宋体"/>
                <w:color w:val="000000"/>
                <w:sz w:val="24"/>
                <w:szCs w:val="24"/>
              </w:rPr>
              <w:t>（6）《中华人民共和国环境噪声污染防治法》（2018年）。</w:t>
            </w:r>
          </w:p>
          <w:p>
            <w:pPr>
              <w:spacing w:after="0" w:line="480" w:lineRule="auto"/>
              <w:jc w:val="both"/>
              <w:rPr>
                <w:rFonts w:ascii="Times New Roman" w:hAnsi="宋体" w:eastAsia="宋体"/>
                <w:b/>
                <w:color w:val="000000"/>
                <w:sz w:val="24"/>
                <w:szCs w:val="24"/>
              </w:rPr>
            </w:pPr>
            <w:r>
              <w:rPr>
                <w:rFonts w:ascii="Times New Roman" w:hAnsi="宋体" w:eastAsia="宋体"/>
                <w:b/>
                <w:color w:val="000000"/>
                <w:sz w:val="24"/>
                <w:szCs w:val="24"/>
              </w:rPr>
              <w:t xml:space="preserve">2 </w:t>
            </w:r>
            <w:r>
              <w:rPr>
                <w:rFonts w:hint="eastAsia" w:ascii="Times New Roman" w:hAnsi="宋体" w:eastAsia="宋体"/>
                <w:b/>
                <w:color w:val="000000"/>
                <w:sz w:val="24"/>
                <w:szCs w:val="24"/>
              </w:rPr>
              <w:t>、建设项目竣工环境保护验收技术规范</w:t>
            </w:r>
          </w:p>
          <w:p>
            <w:pPr>
              <w:spacing w:after="0" w:line="480" w:lineRule="auto"/>
              <w:jc w:val="both"/>
              <w:rPr>
                <w:rFonts w:hint="eastAsia" w:ascii="Times New Roman" w:hAnsi="宋体" w:eastAsia="宋体"/>
                <w:color w:val="000000"/>
                <w:sz w:val="24"/>
                <w:szCs w:val="24"/>
              </w:rPr>
            </w:pPr>
            <w:r>
              <w:rPr>
                <w:rFonts w:hint="eastAsia" w:ascii="Times New Roman" w:hAnsi="宋体" w:eastAsia="宋体"/>
                <w:color w:val="000000"/>
                <w:sz w:val="24"/>
                <w:szCs w:val="24"/>
              </w:rPr>
              <w:t>（1）《建设项目环境保护管理条例》（国务院令第682号）；</w:t>
            </w:r>
          </w:p>
          <w:p>
            <w:pPr>
              <w:spacing w:after="0" w:line="480" w:lineRule="auto"/>
              <w:jc w:val="both"/>
              <w:rPr>
                <w:rFonts w:hint="eastAsia" w:ascii="Times New Roman" w:hAnsi="宋体" w:eastAsia="宋体"/>
                <w:color w:val="000000"/>
                <w:sz w:val="24"/>
                <w:szCs w:val="24"/>
              </w:rPr>
            </w:pPr>
            <w:r>
              <w:rPr>
                <w:rFonts w:hint="eastAsia" w:ascii="Times New Roman" w:hAnsi="宋体" w:eastAsia="宋体"/>
                <w:color w:val="000000"/>
                <w:sz w:val="24"/>
                <w:szCs w:val="24"/>
              </w:rPr>
              <w:t>（2）《建设项目竣工环境保护验收暂行办法》（国环规环评〔2017〕4号）；</w:t>
            </w:r>
          </w:p>
          <w:p>
            <w:pPr>
              <w:spacing w:after="0" w:line="480" w:lineRule="auto"/>
              <w:jc w:val="both"/>
              <w:rPr>
                <w:rFonts w:hint="eastAsia" w:ascii="Times New Roman" w:hAnsi="宋体" w:eastAsia="宋体"/>
                <w:color w:val="000000"/>
                <w:sz w:val="24"/>
                <w:szCs w:val="24"/>
              </w:rPr>
            </w:pPr>
            <w:r>
              <w:rPr>
                <w:rFonts w:hint="eastAsia" w:ascii="Times New Roman" w:hAnsi="宋体" w:eastAsia="宋体"/>
                <w:color w:val="000000"/>
                <w:sz w:val="24"/>
                <w:szCs w:val="24"/>
              </w:rPr>
              <w:t>（3）《建设项目环境影响评价分类管理名录》（2021年版）；</w:t>
            </w:r>
          </w:p>
          <w:p>
            <w:pPr>
              <w:spacing w:after="0" w:line="480" w:lineRule="auto"/>
              <w:jc w:val="both"/>
              <w:rPr>
                <w:rFonts w:hint="eastAsia" w:ascii="Times New Roman" w:hAnsi="宋体" w:eastAsia="宋体"/>
                <w:color w:val="000000"/>
                <w:sz w:val="24"/>
                <w:szCs w:val="24"/>
              </w:rPr>
            </w:pPr>
            <w:r>
              <w:rPr>
                <w:rFonts w:hint="eastAsia" w:ascii="Times New Roman" w:hAnsi="宋体" w:eastAsia="宋体"/>
                <w:color w:val="000000"/>
                <w:sz w:val="24"/>
                <w:szCs w:val="24"/>
              </w:rPr>
              <w:t>（4）《突发环境事件应急预案管理暂行办法》环发[2010]113号；</w:t>
            </w:r>
          </w:p>
          <w:p>
            <w:pPr>
              <w:spacing w:after="0" w:line="480" w:lineRule="auto"/>
              <w:jc w:val="both"/>
              <w:rPr>
                <w:rFonts w:hint="eastAsia" w:ascii="Times New Roman" w:hAnsi="宋体" w:eastAsia="宋体"/>
                <w:color w:val="000000"/>
                <w:sz w:val="24"/>
                <w:szCs w:val="24"/>
              </w:rPr>
            </w:pPr>
            <w:r>
              <w:rPr>
                <w:rFonts w:hint="eastAsia" w:ascii="Times New Roman" w:hAnsi="宋体" w:eastAsia="宋体"/>
                <w:color w:val="000000"/>
                <w:sz w:val="24"/>
                <w:szCs w:val="24"/>
              </w:rPr>
              <w:t>（5）《国务院关于印发水污染防治行动计划的通知》（国发[2015]17号）；</w:t>
            </w:r>
          </w:p>
          <w:p>
            <w:pPr>
              <w:spacing w:after="0" w:line="480" w:lineRule="auto"/>
              <w:jc w:val="both"/>
              <w:rPr>
                <w:rFonts w:hint="eastAsia" w:ascii="Times New Roman" w:hAnsi="宋体" w:eastAsia="宋体"/>
                <w:color w:val="000000"/>
                <w:sz w:val="24"/>
                <w:szCs w:val="24"/>
              </w:rPr>
            </w:pPr>
            <w:r>
              <w:rPr>
                <w:rFonts w:hint="eastAsia" w:ascii="Times New Roman" w:hAnsi="宋体" w:eastAsia="宋体"/>
                <w:color w:val="000000"/>
                <w:sz w:val="24"/>
                <w:szCs w:val="24"/>
              </w:rPr>
              <w:t>（6） 《建设项目竣工环境保护验收技术指南 污染影响类》（生态环境部公告2018年 第9号）。</w:t>
            </w:r>
          </w:p>
          <w:p>
            <w:pPr>
              <w:spacing w:after="0" w:line="480" w:lineRule="auto"/>
              <w:jc w:val="both"/>
              <w:rPr>
                <w:rFonts w:hint="eastAsia" w:ascii="Times New Roman" w:hAnsi="宋体" w:eastAsia="宋体"/>
                <w:color w:val="000000"/>
                <w:sz w:val="24"/>
                <w:szCs w:val="24"/>
              </w:rPr>
            </w:pPr>
            <w:r>
              <w:rPr>
                <w:rFonts w:hint="eastAsia" w:ascii="Times New Roman" w:hAnsi="宋体" w:eastAsia="宋体"/>
                <w:color w:val="000000"/>
                <w:sz w:val="24"/>
                <w:szCs w:val="24"/>
              </w:rPr>
              <w:t>（7）重庆市人民代表大会常务委员会公告[2010]第22号《重庆市环境保护条例》（修正）；</w:t>
            </w:r>
          </w:p>
          <w:p>
            <w:pPr>
              <w:spacing w:after="0" w:line="480" w:lineRule="auto"/>
              <w:jc w:val="both"/>
              <w:rPr>
                <w:rFonts w:hint="eastAsia" w:ascii="Times New Roman" w:hAnsi="宋体" w:eastAsia="宋体"/>
                <w:color w:val="000000"/>
                <w:sz w:val="24"/>
                <w:szCs w:val="24"/>
              </w:rPr>
            </w:pPr>
            <w:r>
              <w:rPr>
                <w:rFonts w:hint="eastAsia" w:ascii="Times New Roman" w:hAnsi="宋体" w:eastAsia="宋体"/>
                <w:color w:val="000000"/>
                <w:sz w:val="24"/>
                <w:szCs w:val="24"/>
              </w:rPr>
              <w:t>（8）重庆市人民政府第270号《重庆市环境噪声污染防治办法》。</w:t>
            </w:r>
          </w:p>
          <w:p>
            <w:pPr>
              <w:spacing w:after="0" w:line="480" w:lineRule="auto"/>
              <w:jc w:val="both"/>
              <w:rPr>
                <w:rFonts w:hint="eastAsia" w:ascii="Times New Roman" w:hAnsi="宋体" w:eastAsia="宋体"/>
                <w:b/>
                <w:color w:val="000000"/>
                <w:sz w:val="24"/>
                <w:szCs w:val="24"/>
              </w:rPr>
            </w:pPr>
            <w:r>
              <w:rPr>
                <w:rFonts w:ascii="Times New Roman" w:hAnsi="宋体" w:eastAsia="宋体"/>
                <w:b/>
                <w:color w:val="000000"/>
                <w:sz w:val="24"/>
                <w:szCs w:val="24"/>
              </w:rPr>
              <w:t>3</w:t>
            </w:r>
            <w:r>
              <w:rPr>
                <w:rFonts w:hint="eastAsia" w:ascii="Times New Roman" w:hAnsi="宋体" w:eastAsia="宋体"/>
                <w:b/>
                <w:color w:val="000000"/>
                <w:sz w:val="24"/>
                <w:szCs w:val="24"/>
              </w:rPr>
              <w:t>、</w:t>
            </w:r>
            <w:r>
              <w:rPr>
                <w:rFonts w:ascii="Times New Roman" w:hAnsi="宋体" w:eastAsia="宋体"/>
                <w:b/>
                <w:color w:val="000000"/>
                <w:sz w:val="24"/>
                <w:szCs w:val="24"/>
              </w:rPr>
              <w:t>建设项目</w:t>
            </w:r>
            <w:r>
              <w:rPr>
                <w:rFonts w:hint="eastAsia" w:ascii="Times New Roman" w:hAnsi="宋体" w:eastAsia="宋体"/>
                <w:b/>
                <w:color w:val="000000"/>
                <w:sz w:val="24"/>
                <w:szCs w:val="24"/>
              </w:rPr>
              <w:t>环境影响报告书（表）及审批部门审批决定</w:t>
            </w:r>
          </w:p>
          <w:p>
            <w:pPr>
              <w:spacing w:after="0" w:line="360" w:lineRule="auto"/>
              <w:ind w:firstLine="480" w:firstLineChars="200"/>
              <w:jc w:val="both"/>
              <w:rPr>
                <w:rFonts w:hint="eastAsia" w:ascii="Times New Roman" w:hAnsi="宋体" w:eastAsia="宋体"/>
                <w:color w:val="000000"/>
                <w:sz w:val="24"/>
                <w:szCs w:val="24"/>
              </w:rPr>
            </w:pPr>
            <w:r>
              <w:rPr>
                <w:rFonts w:hint="eastAsia" w:ascii="Times New Roman" w:hAnsi="宋体" w:eastAsia="宋体"/>
                <w:color w:val="000000"/>
                <w:sz w:val="24"/>
                <w:szCs w:val="24"/>
              </w:rPr>
              <w:t>（1）</w:t>
            </w:r>
            <w:r>
              <w:rPr>
                <w:rFonts w:hint="eastAsia" w:ascii="Times New Roman" w:hAnsi="宋体" w:eastAsia="宋体"/>
                <w:color w:val="000000"/>
                <w:sz w:val="24"/>
                <w:szCs w:val="24"/>
                <w:lang w:eastAsia="zh-CN"/>
              </w:rPr>
              <w:t>成都元页环保科技有限公司</w:t>
            </w:r>
            <w:r>
              <w:rPr>
                <w:rFonts w:hint="eastAsia" w:ascii="Times New Roman" w:hAnsi="宋体" w:eastAsia="宋体"/>
                <w:color w:val="000000"/>
                <w:sz w:val="24"/>
                <w:szCs w:val="24"/>
              </w:rPr>
              <w:t>《</w:t>
            </w:r>
            <w:r>
              <w:rPr>
                <w:rFonts w:hint="eastAsia" w:ascii="Times New Roman" w:hAnsi="宋体" w:eastAsia="宋体"/>
                <w:color w:val="000000"/>
                <w:sz w:val="24"/>
                <w:szCs w:val="24"/>
                <w:lang w:val="en-US" w:eastAsia="zh-CN"/>
              </w:rPr>
              <w:t>重庆乐仁汽车电子有限公司汽车线束总成生产项目环境影响报告表</w:t>
            </w:r>
            <w:r>
              <w:rPr>
                <w:rFonts w:hint="eastAsia" w:ascii="Times New Roman" w:hAnsi="宋体" w:eastAsia="宋体"/>
                <w:color w:val="000000"/>
                <w:sz w:val="24"/>
                <w:szCs w:val="24"/>
              </w:rPr>
              <w:t>》</w:t>
            </w:r>
          </w:p>
          <w:p>
            <w:pPr>
              <w:spacing w:after="0" w:line="360" w:lineRule="auto"/>
              <w:ind w:firstLine="480" w:firstLineChars="200"/>
              <w:jc w:val="left"/>
              <w:rPr>
                <w:rFonts w:hint="eastAsia" w:ascii="Times New Roman" w:hAnsi="宋体" w:eastAsia="宋体"/>
                <w:color w:val="000000"/>
                <w:sz w:val="24"/>
                <w:szCs w:val="24"/>
              </w:rPr>
            </w:pPr>
            <w:r>
              <w:rPr>
                <w:rFonts w:hint="eastAsia" w:ascii="Times New Roman" w:hAnsi="宋体" w:eastAsia="宋体"/>
                <w:color w:val="000000"/>
                <w:sz w:val="24"/>
                <w:szCs w:val="24"/>
              </w:rPr>
              <w:t>（2）重庆市</w:t>
            </w:r>
            <w:r>
              <w:rPr>
                <w:rFonts w:hint="eastAsia" w:ascii="Times New Roman" w:hAnsi="宋体" w:eastAsia="宋体"/>
                <w:color w:val="000000"/>
                <w:sz w:val="24"/>
                <w:szCs w:val="24"/>
                <w:lang w:eastAsia="zh-CN"/>
              </w:rPr>
              <w:t>梁平区生态环境</w:t>
            </w:r>
            <w:r>
              <w:rPr>
                <w:rFonts w:hint="eastAsia" w:ascii="Times New Roman" w:hAnsi="宋体" w:eastAsia="宋体"/>
                <w:color w:val="000000"/>
                <w:sz w:val="24"/>
                <w:szCs w:val="24"/>
              </w:rPr>
              <w:t>局（渝（</w:t>
            </w:r>
            <w:r>
              <w:rPr>
                <w:rFonts w:hint="eastAsia" w:ascii="Times New Roman" w:hAnsi="宋体" w:eastAsia="宋体"/>
                <w:color w:val="000000"/>
                <w:sz w:val="24"/>
                <w:szCs w:val="24"/>
                <w:lang w:eastAsia="zh-CN"/>
              </w:rPr>
              <w:t>梁</w:t>
            </w:r>
            <w:r>
              <w:rPr>
                <w:rFonts w:hint="eastAsia" w:ascii="Times New Roman" w:hAnsi="宋体" w:eastAsia="宋体"/>
                <w:color w:val="000000"/>
                <w:sz w:val="24"/>
                <w:szCs w:val="24"/>
              </w:rPr>
              <w:t>）环准[20</w:t>
            </w:r>
            <w:r>
              <w:rPr>
                <w:rFonts w:hint="eastAsia" w:ascii="Times New Roman" w:hAnsi="宋体" w:eastAsia="宋体"/>
                <w:color w:val="000000"/>
                <w:sz w:val="24"/>
                <w:szCs w:val="24"/>
                <w:lang w:val="en-US" w:eastAsia="zh-CN"/>
              </w:rPr>
              <w:t>21</w:t>
            </w:r>
            <w:r>
              <w:rPr>
                <w:rFonts w:hint="eastAsia" w:ascii="Times New Roman" w:hAnsi="宋体" w:eastAsia="宋体"/>
                <w:color w:val="000000"/>
                <w:sz w:val="24"/>
                <w:szCs w:val="24"/>
              </w:rPr>
              <w:t>]</w:t>
            </w:r>
            <w:r>
              <w:rPr>
                <w:rFonts w:hint="eastAsia" w:ascii="Times New Roman" w:hAnsi="宋体" w:eastAsia="宋体"/>
                <w:color w:val="000000"/>
                <w:sz w:val="24"/>
                <w:szCs w:val="24"/>
                <w:lang w:val="en-US" w:eastAsia="zh-CN"/>
              </w:rPr>
              <w:t>013</w:t>
            </w:r>
            <w:r>
              <w:rPr>
                <w:rFonts w:hint="eastAsia" w:ascii="Times New Roman" w:hAnsi="宋体" w:eastAsia="宋体"/>
                <w:color w:val="000000"/>
                <w:sz w:val="24"/>
                <w:szCs w:val="24"/>
              </w:rPr>
              <w:t>号）《重庆市建设项目环境影响评价文件批准书》（20</w:t>
            </w:r>
            <w:r>
              <w:rPr>
                <w:rFonts w:hint="eastAsia" w:ascii="Times New Roman" w:hAnsi="宋体" w:eastAsia="宋体"/>
                <w:color w:val="000000"/>
                <w:sz w:val="24"/>
                <w:szCs w:val="24"/>
                <w:lang w:val="en-US" w:eastAsia="zh-CN"/>
              </w:rPr>
              <w:t>21</w:t>
            </w:r>
            <w:r>
              <w:rPr>
                <w:rFonts w:hint="eastAsia" w:ascii="Times New Roman" w:hAnsi="宋体" w:eastAsia="宋体"/>
                <w:color w:val="000000"/>
                <w:sz w:val="24"/>
                <w:szCs w:val="24"/>
              </w:rPr>
              <w:t>.</w:t>
            </w:r>
            <w:r>
              <w:rPr>
                <w:rFonts w:hint="eastAsia" w:ascii="Times New Roman" w:hAnsi="宋体" w:eastAsia="宋体"/>
                <w:color w:val="000000"/>
                <w:sz w:val="24"/>
                <w:szCs w:val="24"/>
                <w:lang w:val="en-US" w:eastAsia="zh-CN"/>
              </w:rPr>
              <w:t>7</w:t>
            </w:r>
            <w:r>
              <w:rPr>
                <w:rFonts w:hint="eastAsia" w:ascii="Times New Roman" w:hAnsi="宋体" w:eastAsia="宋体"/>
                <w:color w:val="000000"/>
                <w:sz w:val="24"/>
                <w:szCs w:val="24"/>
              </w:rPr>
              <w:t>.</w:t>
            </w:r>
            <w:r>
              <w:rPr>
                <w:rFonts w:hint="eastAsia" w:ascii="Times New Roman" w:hAnsi="宋体" w:eastAsia="宋体"/>
                <w:color w:val="000000"/>
                <w:sz w:val="24"/>
                <w:szCs w:val="24"/>
                <w:lang w:val="en-US" w:eastAsia="zh-CN"/>
              </w:rPr>
              <w:t>15</w:t>
            </w:r>
            <w:r>
              <w:rPr>
                <w:rFonts w:hint="eastAsia" w:ascii="Times New Roman" w:hAnsi="宋体" w:eastAsia="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8" w:hRule="atLeast"/>
        </w:trPr>
        <w:tc>
          <w:tcPr>
            <w:tcW w:w="990" w:type="dxa"/>
            <w:vMerge w:val="restart"/>
            <w:vAlign w:val="center"/>
          </w:tcPr>
          <w:p>
            <w:pPr>
              <w:spacing w:after="0" w:line="440" w:lineRule="exact"/>
              <w:jc w:val="center"/>
              <w:rPr>
                <w:rFonts w:hint="eastAsia" w:ascii="Times New Roman" w:hAnsi="宋体" w:eastAsia="宋体"/>
                <w:color w:val="000000"/>
                <w:sz w:val="24"/>
                <w:szCs w:val="24"/>
                <w:lang w:val="en-US" w:eastAsia="zh-CN"/>
              </w:rPr>
            </w:pPr>
            <w:r>
              <w:rPr>
                <w:rFonts w:hint="eastAsia" w:ascii="Times New Roman" w:hAnsi="宋体" w:eastAsia="宋体"/>
                <w:color w:val="000000"/>
                <w:sz w:val="24"/>
                <w:szCs w:val="24"/>
                <w:lang w:val="en-US" w:eastAsia="zh-CN"/>
              </w:rPr>
              <w:t xml:space="preserve">验收监测标准 </w:t>
            </w:r>
          </w:p>
          <w:p>
            <w:pPr>
              <w:spacing w:after="0" w:line="440" w:lineRule="exact"/>
              <w:jc w:val="center"/>
              <w:rPr>
                <w:rFonts w:ascii="Times New Roman" w:hAnsi="宋体" w:eastAsia="宋体"/>
                <w:color w:val="000000"/>
                <w:sz w:val="24"/>
                <w:szCs w:val="24"/>
              </w:rPr>
            </w:pPr>
            <w:r>
              <w:rPr>
                <w:rFonts w:hint="eastAsia" w:ascii="Times New Roman" w:hAnsi="宋体" w:eastAsia="宋体"/>
                <w:color w:val="000000"/>
                <w:sz w:val="24"/>
                <w:szCs w:val="24"/>
                <w:lang w:val="en-US" w:eastAsia="zh-CN"/>
              </w:rPr>
              <w:t>标号、级别及限值</w:t>
            </w:r>
          </w:p>
        </w:tc>
        <w:tc>
          <w:tcPr>
            <w:tcW w:w="7532" w:type="dxa"/>
            <w:gridSpan w:val="6"/>
            <w:vAlign w:val="center"/>
          </w:tcPr>
          <w:p>
            <w:pPr>
              <w:spacing w:after="0" w:line="480" w:lineRule="auto"/>
              <w:jc w:val="both"/>
              <w:rPr>
                <w:rFonts w:hint="eastAsia" w:ascii="Times New Roman" w:hAnsi="宋体" w:eastAsia="宋体"/>
                <w:b/>
                <w:color w:val="000000"/>
                <w:sz w:val="24"/>
                <w:szCs w:val="24"/>
              </w:rPr>
            </w:pPr>
            <w:r>
              <w:rPr>
                <w:rFonts w:hint="eastAsia" w:ascii="Times New Roman" w:hAnsi="宋体" w:eastAsia="宋体"/>
                <w:b/>
                <w:color w:val="000000"/>
                <w:sz w:val="24"/>
                <w:szCs w:val="24"/>
              </w:rPr>
              <w:t>1、废水</w:t>
            </w:r>
          </w:p>
          <w:p>
            <w:pPr>
              <w:spacing w:after="0" w:line="360" w:lineRule="auto"/>
              <w:ind w:firstLine="480" w:firstLineChars="200"/>
              <w:jc w:val="both"/>
              <w:rPr>
                <w:rFonts w:hint="eastAsia" w:ascii="Times New Roman" w:hAnsi="宋体" w:eastAsia="宋体"/>
                <w:color w:val="000000"/>
                <w:sz w:val="24"/>
                <w:szCs w:val="24"/>
              </w:rPr>
            </w:pPr>
            <w:r>
              <w:rPr>
                <w:rFonts w:ascii="Times New Roman" w:hAnsi="宋体" w:eastAsia="宋体"/>
                <w:color w:val="000000"/>
                <w:sz w:val="24"/>
                <w:szCs w:val="24"/>
              </w:rPr>
              <w:t>废水执行</w:t>
            </w:r>
            <w:r>
              <w:rPr>
                <w:rFonts w:hint="default"/>
                <w:sz w:val="24"/>
                <w:szCs w:val="24"/>
                <w:lang w:val="en-US" w:eastAsia="zh-CN"/>
              </w:rPr>
              <w:t>《</w:t>
            </w:r>
            <w:r>
              <w:rPr>
                <w:rFonts w:hint="default" w:ascii="Times New Roman" w:hAnsi="宋体" w:eastAsia="宋体"/>
                <w:color w:val="000000"/>
                <w:sz w:val="24"/>
                <w:szCs w:val="24"/>
                <w:lang w:val="en-US" w:eastAsia="zh-CN"/>
              </w:rPr>
              <w:t>污水综合排放标准》（GB8978-1996）三级标准</w:t>
            </w:r>
            <w:r>
              <w:rPr>
                <w:rFonts w:ascii="Times New Roman" w:hAnsi="宋体" w:eastAsia="宋体"/>
                <w:color w:val="000000"/>
                <w:sz w:val="24"/>
                <w:szCs w:val="24"/>
              </w:rPr>
              <w:t>，标准值如下：</w:t>
            </w:r>
            <w:r>
              <w:rPr>
                <w:rFonts w:hint="eastAsia" w:ascii="Times New Roman" w:hAnsi="宋体" w:eastAsia="宋体"/>
                <w:color w:val="000000"/>
                <w:sz w:val="24"/>
                <w:szCs w:val="24"/>
              </w:rPr>
              <w:t xml:space="preserve"> </w:t>
            </w:r>
          </w:p>
          <w:p>
            <w:pPr>
              <w:spacing w:after="0" w:line="320" w:lineRule="exact"/>
              <w:jc w:val="right"/>
              <w:rPr>
                <w:rFonts w:hint="eastAsia" w:ascii="Times New Roman" w:hAnsi="宋体" w:eastAsia="宋体"/>
                <w:color w:val="000000"/>
                <w:sz w:val="24"/>
                <w:szCs w:val="24"/>
              </w:rPr>
            </w:pPr>
            <w:r>
              <w:rPr>
                <w:rFonts w:hint="eastAsia" w:ascii="Times New Roman" w:hAnsi="宋体" w:eastAsia="宋体"/>
                <w:color w:val="000000"/>
                <w:sz w:val="21"/>
                <w:szCs w:val="21"/>
              </w:rPr>
              <w:t>（单位：</w:t>
            </w:r>
            <w:r>
              <w:rPr>
                <w:rFonts w:ascii="Times New Roman" w:hAnsi="Times New Roman" w:eastAsia="宋体"/>
                <w:spacing w:val="-10"/>
                <w:sz w:val="21"/>
                <w:szCs w:val="21"/>
              </w:rPr>
              <w:t>mg/L</w:t>
            </w:r>
            <w:r>
              <w:rPr>
                <w:rFonts w:hint="eastAsia" w:ascii="Times New Roman" w:hAnsi="Times New Roman" w:eastAsia="宋体"/>
                <w:spacing w:val="-10"/>
                <w:sz w:val="21"/>
                <w:szCs w:val="21"/>
              </w:rPr>
              <w:t>）</w:t>
            </w:r>
          </w:p>
          <w:tbl>
            <w:tblPr>
              <w:tblStyle w:val="14"/>
              <w:tblW w:w="730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2"/>
              <w:gridCol w:w="1042"/>
              <w:gridCol w:w="967"/>
              <w:gridCol w:w="965"/>
              <w:gridCol w:w="966"/>
              <w:gridCol w:w="965"/>
              <w:gridCol w:w="13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092" w:type="dxa"/>
                  <w:noWrap w:val="0"/>
                  <w:vAlign w:val="center"/>
                </w:tcPr>
                <w:p>
                  <w:pPr>
                    <w:spacing w:after="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污染物</w:t>
                  </w:r>
                </w:p>
              </w:tc>
              <w:tc>
                <w:tcPr>
                  <w:tcW w:w="1042" w:type="dxa"/>
                  <w:tcBorders>
                    <w:right w:val="single" w:color="auto" w:sz="4" w:space="0"/>
                  </w:tcBorders>
                  <w:noWrap w:val="0"/>
                  <w:vAlign w:val="center"/>
                </w:tcPr>
                <w:p>
                  <w:pPr>
                    <w:spacing w:after="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pH</w:t>
                  </w:r>
                </w:p>
                <w:p>
                  <w:pPr>
                    <w:spacing w:after="0"/>
                    <w:ind w:left="-210" w:leftChars="-100" w:right="-210" w:rightChars="-100"/>
                    <w:jc w:val="center"/>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（无量纲）</w:t>
                  </w:r>
                </w:p>
              </w:tc>
              <w:tc>
                <w:tcPr>
                  <w:tcW w:w="967" w:type="dxa"/>
                  <w:tcBorders>
                    <w:left w:val="single" w:color="auto" w:sz="4" w:space="0"/>
                    <w:right w:val="single" w:color="auto" w:sz="4" w:space="0"/>
                  </w:tcBorders>
                  <w:noWrap w:val="0"/>
                  <w:vAlign w:val="center"/>
                </w:tcPr>
                <w:p>
                  <w:pPr>
                    <w:spacing w:after="0"/>
                    <w:ind w:left="-210" w:leftChars="-100" w:right="-210" w:rightChars="-100"/>
                    <w:jc w:val="center"/>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SS</w:t>
                  </w:r>
                </w:p>
              </w:tc>
              <w:tc>
                <w:tcPr>
                  <w:tcW w:w="965" w:type="dxa"/>
                  <w:tcBorders>
                    <w:left w:val="single" w:color="auto" w:sz="4" w:space="0"/>
                    <w:right w:val="single" w:color="auto" w:sz="4" w:space="0"/>
                  </w:tcBorders>
                  <w:noWrap w:val="0"/>
                  <w:vAlign w:val="center"/>
                </w:tcPr>
                <w:p>
                  <w:pPr>
                    <w:spacing w:after="0"/>
                    <w:ind w:right="-210" w:rightChars="-100"/>
                    <w:jc w:val="center"/>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COD</w:t>
                  </w:r>
                  <w:r>
                    <w:rPr>
                      <w:rFonts w:hint="default" w:ascii="Times New Roman" w:hAnsi="Times New Roman" w:eastAsia="宋体" w:cs="Times New Roman"/>
                      <w:color w:val="000000" w:themeColor="text1"/>
                      <w:spacing w:val="-10"/>
                      <w:sz w:val="21"/>
                      <w:szCs w:val="21"/>
                      <w14:textFill>
                        <w14:solidFill>
                          <w14:schemeClr w14:val="tx1"/>
                        </w14:solidFill>
                      </w14:textFill>
                    </w:rPr>
                    <w:t xml:space="preserve"> </w:t>
                  </w:r>
                </w:p>
              </w:tc>
              <w:tc>
                <w:tcPr>
                  <w:tcW w:w="966" w:type="dxa"/>
                  <w:tcBorders>
                    <w:right w:val="single" w:color="auto" w:sz="4" w:space="0"/>
                  </w:tcBorders>
                  <w:noWrap w:val="0"/>
                  <w:vAlign w:val="center"/>
                </w:tcPr>
                <w:p>
                  <w:pPr>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BOD</w:t>
                  </w:r>
                  <w:r>
                    <w:rPr>
                      <w:rFonts w:hint="default" w:ascii="Times New Roman" w:hAnsi="Times New Roman" w:eastAsia="宋体" w:cs="Times New Roman"/>
                      <w:color w:val="000000" w:themeColor="text1"/>
                      <w:sz w:val="21"/>
                      <w:szCs w:val="21"/>
                      <w:vertAlign w:val="subscript"/>
                      <w:lang w:val="en-US" w:eastAsia="zh-CN"/>
                      <w14:textFill>
                        <w14:solidFill>
                          <w14:schemeClr w14:val="tx1"/>
                        </w14:solidFill>
                      </w14:textFill>
                    </w:rPr>
                    <w:t>5</w:t>
                  </w:r>
                </w:p>
              </w:tc>
              <w:tc>
                <w:tcPr>
                  <w:tcW w:w="965" w:type="dxa"/>
                  <w:tcBorders>
                    <w:left w:val="single" w:color="auto" w:sz="4" w:space="0"/>
                    <w:right w:val="single" w:color="auto" w:sz="4" w:space="0"/>
                  </w:tcBorders>
                  <w:noWrap w:val="0"/>
                  <w:vAlign w:val="center"/>
                </w:tcPr>
                <w:p>
                  <w:pPr>
                    <w:spacing w:after="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氨氮</w:t>
                  </w:r>
                </w:p>
              </w:tc>
              <w:tc>
                <w:tcPr>
                  <w:tcW w:w="1307" w:type="dxa"/>
                  <w:tcBorders>
                    <w:left w:val="single" w:color="auto" w:sz="4" w:space="0"/>
                    <w:right w:val="single" w:color="auto" w:sz="4" w:space="0"/>
                  </w:tcBorders>
                  <w:noWrap w:val="0"/>
                  <w:vAlign w:val="center"/>
                </w:tcPr>
                <w:p>
                  <w:pPr>
                    <w:spacing w:after="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石油类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6" w:hRule="atLeast"/>
                <w:jc w:val="center"/>
              </w:trPr>
              <w:tc>
                <w:tcPr>
                  <w:tcW w:w="1092" w:type="dxa"/>
                  <w:noWrap w:val="0"/>
                  <w:vAlign w:val="center"/>
                </w:tcPr>
                <w:p>
                  <w:pPr>
                    <w:spacing w:after="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标准值</w:t>
                  </w:r>
                </w:p>
              </w:tc>
              <w:tc>
                <w:tcPr>
                  <w:tcW w:w="1042" w:type="dxa"/>
                  <w:tcBorders>
                    <w:right w:val="single" w:color="auto" w:sz="4" w:space="0"/>
                  </w:tcBorders>
                  <w:noWrap w:val="0"/>
                  <w:vAlign w:val="center"/>
                </w:tcPr>
                <w:p>
                  <w:pPr>
                    <w:spacing w:after="0"/>
                    <w:jc w:val="center"/>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6-9</w:t>
                  </w:r>
                </w:p>
              </w:tc>
              <w:tc>
                <w:tcPr>
                  <w:tcW w:w="967" w:type="dxa"/>
                  <w:tcBorders>
                    <w:left w:val="single" w:color="auto" w:sz="4" w:space="0"/>
                    <w:right w:val="single" w:color="auto" w:sz="4" w:space="0"/>
                  </w:tcBorders>
                  <w:noWrap w:val="0"/>
                  <w:vAlign w:val="center"/>
                </w:tcPr>
                <w:p>
                  <w:pPr>
                    <w:spacing w:after="0"/>
                    <w:jc w:val="center"/>
                    <w:rPr>
                      <w:rFonts w:hint="default" w:ascii="Times New Roman" w:hAnsi="Times New Roman" w:eastAsia="宋体" w:cs="Times New Roman"/>
                      <w:snapToGrid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sz w:val="21"/>
                      <w:szCs w:val="21"/>
                      <w:lang w:val="en-US" w:eastAsia="zh-CN"/>
                      <w14:textFill>
                        <w14:solidFill>
                          <w14:schemeClr w14:val="tx1"/>
                        </w14:solidFill>
                      </w14:textFill>
                    </w:rPr>
                    <w:t>400</w:t>
                  </w:r>
                </w:p>
              </w:tc>
              <w:tc>
                <w:tcPr>
                  <w:tcW w:w="965" w:type="dxa"/>
                  <w:tcBorders>
                    <w:left w:val="single" w:color="auto" w:sz="4" w:space="0"/>
                    <w:right w:val="single" w:color="auto" w:sz="4" w:space="0"/>
                  </w:tcBorders>
                  <w:noWrap w:val="0"/>
                  <w:vAlign w:val="center"/>
                </w:tcPr>
                <w:p>
                  <w:pPr>
                    <w:spacing w:after="0"/>
                    <w:jc w:val="center"/>
                    <w:rPr>
                      <w:rFonts w:hint="default" w:ascii="Times New Roman" w:hAnsi="Times New Roman" w:eastAsia="宋体" w:cs="Times New Roman"/>
                      <w:snapToGrid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sz w:val="21"/>
                      <w:szCs w:val="21"/>
                      <w:lang w:val="en-US" w:eastAsia="zh-CN"/>
                      <w14:textFill>
                        <w14:solidFill>
                          <w14:schemeClr w14:val="tx1"/>
                        </w14:solidFill>
                      </w14:textFill>
                    </w:rPr>
                    <w:t>500</w:t>
                  </w:r>
                </w:p>
              </w:tc>
              <w:tc>
                <w:tcPr>
                  <w:tcW w:w="966" w:type="dxa"/>
                  <w:tcBorders>
                    <w:right w:val="single" w:color="auto" w:sz="4" w:space="0"/>
                  </w:tcBorders>
                  <w:noWrap w:val="0"/>
                  <w:vAlign w:val="center"/>
                </w:tcPr>
                <w:p>
                  <w:pPr>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300</w:t>
                  </w:r>
                </w:p>
              </w:tc>
              <w:tc>
                <w:tcPr>
                  <w:tcW w:w="965" w:type="dxa"/>
                  <w:tcBorders>
                    <w:left w:val="single" w:color="auto" w:sz="4" w:space="0"/>
                    <w:right w:val="single" w:color="auto" w:sz="4" w:space="0"/>
                  </w:tcBorders>
                  <w:noWrap w:val="0"/>
                  <w:vAlign w:val="center"/>
                </w:tcPr>
                <w:p>
                  <w:pPr>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1307" w:type="dxa"/>
                  <w:tcBorders>
                    <w:left w:val="single" w:color="auto" w:sz="4" w:space="0"/>
                    <w:right w:val="single" w:color="auto" w:sz="4" w:space="0"/>
                  </w:tcBorders>
                  <w:noWrap w:val="0"/>
                  <w:vAlign w:val="center"/>
                </w:tcPr>
                <w:p>
                  <w:pPr>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w:t>
                  </w:r>
                </w:p>
              </w:tc>
            </w:tr>
          </w:tbl>
          <w:p>
            <w:pPr>
              <w:spacing w:after="0" w:line="360" w:lineRule="auto"/>
              <w:ind w:firstLine="480" w:firstLineChars="200"/>
              <w:jc w:val="left"/>
              <w:rPr>
                <w:rFonts w:hint="eastAsia" w:ascii="Times New Roman"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0" w:hRule="atLeast"/>
        </w:trPr>
        <w:tc>
          <w:tcPr>
            <w:tcW w:w="990" w:type="dxa"/>
            <w:vMerge w:val="continue"/>
            <w:vAlign w:val="center"/>
          </w:tcPr>
          <w:p>
            <w:pPr>
              <w:spacing w:after="0" w:line="440" w:lineRule="exact"/>
              <w:jc w:val="center"/>
              <w:rPr>
                <w:rFonts w:ascii="Times New Roman" w:hAnsi="宋体" w:eastAsia="宋体"/>
                <w:color w:val="000000"/>
                <w:sz w:val="24"/>
                <w:szCs w:val="24"/>
              </w:rPr>
            </w:pPr>
          </w:p>
        </w:tc>
        <w:tc>
          <w:tcPr>
            <w:tcW w:w="7532" w:type="dxa"/>
            <w:gridSpan w:val="6"/>
            <w:vAlign w:val="center"/>
          </w:tcPr>
          <w:p>
            <w:pPr>
              <w:spacing w:after="0" w:line="480" w:lineRule="auto"/>
              <w:jc w:val="both"/>
              <w:rPr>
                <w:rFonts w:hint="eastAsia" w:ascii="Times New Roman" w:hAnsi="宋体" w:eastAsia="宋体"/>
                <w:b/>
                <w:color w:val="000000"/>
                <w:sz w:val="24"/>
                <w:szCs w:val="24"/>
              </w:rPr>
            </w:pPr>
            <w:r>
              <w:rPr>
                <w:rFonts w:hint="eastAsia" w:ascii="Times New Roman" w:hAnsi="宋体" w:eastAsia="宋体"/>
                <w:b/>
                <w:color w:val="000000"/>
                <w:sz w:val="24"/>
                <w:szCs w:val="24"/>
              </w:rPr>
              <w:t>2、噪声</w:t>
            </w:r>
          </w:p>
          <w:p>
            <w:pPr>
              <w:spacing w:after="0" w:line="360" w:lineRule="auto"/>
              <w:ind w:firstLine="480" w:firstLineChars="200"/>
              <w:jc w:val="both"/>
              <w:rPr>
                <w:rFonts w:hint="default" w:ascii="Times New Roman" w:hAnsi="宋体" w:eastAsia="宋体"/>
                <w:color w:val="000000"/>
                <w:sz w:val="24"/>
                <w:szCs w:val="24"/>
              </w:rPr>
            </w:pPr>
            <w:r>
              <w:rPr>
                <w:rFonts w:hint="default" w:ascii="Times New Roman" w:hAnsi="宋体" w:eastAsia="宋体"/>
                <w:color w:val="000000"/>
                <w:sz w:val="24"/>
                <w:szCs w:val="24"/>
              </w:rPr>
              <w:t>噪声执行《工业企业厂界环境噪声排放标准》（GB12348-2008）表1中</w:t>
            </w:r>
            <w:r>
              <w:rPr>
                <w:rFonts w:hint="default" w:ascii="Times New Roman" w:hAnsi="宋体" w:eastAsia="宋体"/>
                <w:color w:val="000000"/>
                <w:sz w:val="24"/>
                <w:szCs w:val="24"/>
                <w:lang w:val="en-US" w:eastAsia="zh-CN"/>
              </w:rPr>
              <w:t>3</w:t>
            </w:r>
            <w:r>
              <w:rPr>
                <w:rFonts w:hint="default" w:ascii="Times New Roman" w:hAnsi="宋体" w:eastAsia="宋体"/>
                <w:color w:val="000000"/>
                <w:sz w:val="24"/>
                <w:szCs w:val="24"/>
              </w:rPr>
              <w:t>类标准，标准值如下：</w:t>
            </w:r>
          </w:p>
          <w:tbl>
            <w:tblPr>
              <w:tblStyle w:val="14"/>
              <w:tblW w:w="73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08"/>
              <w:gridCol w:w="2503"/>
              <w:gridCol w:w="31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608" w:type="dxa"/>
                  <w:vMerge w:val="restart"/>
                  <w:noWrap w:val="0"/>
                  <w:vAlign w:val="center"/>
                </w:tcPr>
                <w:p>
                  <w:pPr>
                    <w:spacing w:after="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类别</w:t>
                  </w:r>
                </w:p>
              </w:tc>
              <w:tc>
                <w:tcPr>
                  <w:tcW w:w="5698" w:type="dxa"/>
                  <w:gridSpan w:val="2"/>
                  <w:tcBorders>
                    <w:bottom w:val="single" w:color="auto" w:sz="4" w:space="0"/>
                  </w:tcBorders>
                  <w:noWrap w:val="0"/>
                  <w:vAlign w:val="center"/>
                </w:tcPr>
                <w:p>
                  <w:pPr>
                    <w:spacing w:after="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标准值（dB）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608" w:type="dxa"/>
                  <w:vMerge w:val="continue"/>
                  <w:noWrap w:val="0"/>
                  <w:vAlign w:val="center"/>
                </w:tcPr>
                <w:p>
                  <w:pPr>
                    <w:spacing w:after="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503" w:type="dxa"/>
                  <w:tcBorders>
                    <w:top w:val="single" w:color="auto" w:sz="4" w:space="0"/>
                  </w:tcBorders>
                  <w:noWrap w:val="0"/>
                  <w:vAlign w:val="center"/>
                </w:tcPr>
                <w:p>
                  <w:pPr>
                    <w:spacing w:after="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昼间</w:t>
                  </w:r>
                </w:p>
              </w:tc>
              <w:tc>
                <w:tcPr>
                  <w:tcW w:w="3195" w:type="dxa"/>
                  <w:tcBorders>
                    <w:top w:val="single" w:color="auto" w:sz="4" w:space="0"/>
                  </w:tcBorders>
                  <w:noWrap w:val="0"/>
                  <w:vAlign w:val="center"/>
                </w:tcPr>
                <w:p>
                  <w:pPr>
                    <w:spacing w:after="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夜间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608" w:type="dxa"/>
                  <w:noWrap w:val="0"/>
                  <w:vAlign w:val="center"/>
                </w:tcPr>
                <w:p>
                  <w:pPr>
                    <w:spacing w:after="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类</w:t>
                  </w:r>
                </w:p>
              </w:tc>
              <w:tc>
                <w:tcPr>
                  <w:tcW w:w="2503" w:type="dxa"/>
                  <w:noWrap w:val="0"/>
                  <w:vAlign w:val="center"/>
                </w:tcPr>
                <w:p>
                  <w:pPr>
                    <w:spacing w:after="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6</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5</w:t>
                  </w:r>
                </w:p>
              </w:tc>
              <w:tc>
                <w:tcPr>
                  <w:tcW w:w="3195" w:type="dxa"/>
                  <w:noWrap w:val="0"/>
                  <w:vAlign w:val="center"/>
                </w:tcPr>
                <w:p>
                  <w:pPr>
                    <w:spacing w:after="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5</w:t>
                  </w:r>
                </w:p>
              </w:tc>
            </w:tr>
          </w:tbl>
          <w:p>
            <w:pPr>
              <w:spacing w:after="0" w:line="440" w:lineRule="exact"/>
              <w:jc w:val="both"/>
              <w:rPr>
                <w:rFonts w:hint="eastAsia"/>
              </w:rPr>
            </w:pPr>
          </w:p>
          <w:p>
            <w:pPr>
              <w:pStyle w:val="17"/>
              <w:rPr>
                <w:rFonts w:hint="eastAsia" w:ascii="Times New Roman" w:hAnsi="宋体" w:eastAsia="宋体"/>
                <w:color w:val="000000"/>
                <w:sz w:val="24"/>
                <w:szCs w:val="24"/>
              </w:rPr>
            </w:pPr>
          </w:p>
          <w:p>
            <w:pPr>
              <w:pStyle w:val="17"/>
              <w:rPr>
                <w:rFonts w:hint="eastAsia" w:ascii="Times New Roman" w:hAnsi="宋体" w:eastAsia="宋体"/>
                <w:color w:val="000000"/>
                <w:sz w:val="24"/>
                <w:szCs w:val="24"/>
              </w:rPr>
            </w:pPr>
          </w:p>
          <w:p>
            <w:pPr>
              <w:pStyle w:val="17"/>
              <w:rPr>
                <w:rFonts w:hint="eastAsia" w:ascii="Times New Roman" w:hAnsi="宋体" w:eastAsia="宋体"/>
                <w:color w:val="000000"/>
                <w:sz w:val="24"/>
                <w:szCs w:val="24"/>
              </w:rPr>
            </w:pPr>
          </w:p>
          <w:p>
            <w:pPr>
              <w:pStyle w:val="17"/>
              <w:rPr>
                <w:rFonts w:hint="eastAsia" w:ascii="Times New Roman" w:hAnsi="宋体" w:eastAsia="宋体"/>
                <w:color w:val="000000"/>
                <w:sz w:val="24"/>
                <w:szCs w:val="24"/>
              </w:rPr>
            </w:pPr>
          </w:p>
          <w:p>
            <w:pPr>
              <w:pStyle w:val="17"/>
              <w:rPr>
                <w:rFonts w:hint="eastAsia" w:ascii="Times New Roman" w:hAnsi="宋体" w:eastAsia="宋体"/>
                <w:color w:val="000000"/>
                <w:sz w:val="24"/>
                <w:szCs w:val="24"/>
              </w:rPr>
            </w:pPr>
          </w:p>
          <w:p>
            <w:pPr>
              <w:pStyle w:val="17"/>
              <w:rPr>
                <w:rFonts w:hint="eastAsia" w:ascii="Times New Roman" w:hAnsi="宋体" w:eastAsia="宋体"/>
                <w:color w:val="000000"/>
                <w:sz w:val="24"/>
                <w:szCs w:val="24"/>
              </w:rPr>
            </w:pPr>
          </w:p>
          <w:p>
            <w:pPr>
              <w:pStyle w:val="17"/>
              <w:rPr>
                <w:rFonts w:hint="eastAsia" w:ascii="Times New Roman" w:hAnsi="宋体" w:eastAsia="宋体"/>
                <w:color w:val="000000"/>
                <w:sz w:val="24"/>
                <w:szCs w:val="24"/>
              </w:rPr>
            </w:pPr>
          </w:p>
          <w:p>
            <w:pPr>
              <w:pStyle w:val="17"/>
              <w:rPr>
                <w:rFonts w:hint="eastAsia" w:ascii="Times New Roman" w:hAnsi="宋体" w:eastAsia="宋体"/>
                <w:color w:val="000000"/>
                <w:sz w:val="24"/>
                <w:szCs w:val="24"/>
              </w:rPr>
            </w:pPr>
          </w:p>
          <w:p>
            <w:pPr>
              <w:pStyle w:val="17"/>
              <w:rPr>
                <w:rFonts w:hint="eastAsia" w:ascii="Times New Roman" w:hAnsi="宋体" w:eastAsia="宋体"/>
                <w:color w:val="000000"/>
                <w:sz w:val="24"/>
                <w:szCs w:val="24"/>
              </w:rPr>
            </w:pPr>
          </w:p>
          <w:p>
            <w:pPr>
              <w:pStyle w:val="17"/>
              <w:rPr>
                <w:rFonts w:hint="eastAsia" w:ascii="Times New Roman" w:hAnsi="宋体" w:eastAsia="宋体"/>
                <w:color w:val="000000"/>
                <w:sz w:val="24"/>
                <w:szCs w:val="24"/>
              </w:rPr>
            </w:pPr>
          </w:p>
          <w:p>
            <w:pPr>
              <w:pStyle w:val="17"/>
              <w:rPr>
                <w:rFonts w:hint="eastAsia" w:ascii="Times New Roman" w:hAnsi="宋体" w:eastAsia="宋体"/>
                <w:color w:val="000000"/>
                <w:sz w:val="24"/>
                <w:szCs w:val="24"/>
              </w:rPr>
            </w:pPr>
          </w:p>
          <w:p>
            <w:pPr>
              <w:pStyle w:val="17"/>
              <w:rPr>
                <w:rFonts w:hint="eastAsia" w:ascii="Times New Roman" w:hAnsi="宋体" w:eastAsia="宋体"/>
                <w:color w:val="000000"/>
                <w:sz w:val="24"/>
                <w:szCs w:val="24"/>
              </w:rPr>
            </w:pPr>
          </w:p>
          <w:p>
            <w:pPr>
              <w:pStyle w:val="17"/>
              <w:rPr>
                <w:rFonts w:hint="eastAsia" w:ascii="Times New Roman" w:hAnsi="宋体" w:eastAsia="宋体"/>
                <w:color w:val="000000"/>
                <w:sz w:val="24"/>
                <w:szCs w:val="24"/>
              </w:rPr>
            </w:pPr>
          </w:p>
          <w:p>
            <w:pPr>
              <w:pStyle w:val="17"/>
              <w:rPr>
                <w:rFonts w:hint="eastAsia" w:ascii="Times New Roman" w:hAnsi="宋体" w:eastAsia="宋体"/>
                <w:color w:val="000000"/>
                <w:sz w:val="24"/>
                <w:szCs w:val="24"/>
              </w:rPr>
            </w:pPr>
          </w:p>
          <w:p>
            <w:pPr>
              <w:pStyle w:val="17"/>
              <w:rPr>
                <w:rFonts w:hint="eastAsia" w:ascii="Times New Roman" w:hAnsi="宋体" w:eastAsia="宋体"/>
                <w:color w:val="000000"/>
                <w:sz w:val="24"/>
                <w:szCs w:val="24"/>
              </w:rPr>
            </w:pPr>
          </w:p>
          <w:p>
            <w:pPr>
              <w:pStyle w:val="17"/>
              <w:rPr>
                <w:rFonts w:hint="eastAsia" w:ascii="Times New Roman" w:hAnsi="宋体" w:eastAsia="宋体"/>
                <w:color w:val="000000"/>
                <w:sz w:val="24"/>
                <w:szCs w:val="24"/>
              </w:rPr>
            </w:pPr>
          </w:p>
          <w:p>
            <w:pPr>
              <w:pStyle w:val="17"/>
              <w:rPr>
                <w:rFonts w:hint="eastAsia" w:ascii="Times New Roman" w:hAnsi="宋体" w:eastAsia="宋体"/>
                <w:color w:val="000000"/>
                <w:sz w:val="24"/>
                <w:szCs w:val="24"/>
              </w:rPr>
            </w:pPr>
          </w:p>
          <w:p>
            <w:pPr>
              <w:pStyle w:val="17"/>
              <w:rPr>
                <w:rFonts w:hint="eastAsia" w:ascii="Times New Roman" w:hAnsi="宋体" w:eastAsia="宋体"/>
                <w:color w:val="000000"/>
                <w:sz w:val="24"/>
                <w:szCs w:val="24"/>
              </w:rPr>
            </w:pPr>
          </w:p>
          <w:p>
            <w:pPr>
              <w:pStyle w:val="17"/>
              <w:rPr>
                <w:rFonts w:hint="eastAsia" w:ascii="Times New Roman" w:hAnsi="宋体" w:eastAsia="宋体"/>
                <w:color w:val="000000"/>
                <w:sz w:val="24"/>
                <w:szCs w:val="24"/>
              </w:rPr>
            </w:pPr>
          </w:p>
          <w:p>
            <w:pPr>
              <w:pStyle w:val="17"/>
              <w:rPr>
                <w:rFonts w:hint="eastAsia" w:ascii="Times New Roman" w:hAnsi="宋体" w:eastAsia="宋体"/>
                <w:color w:val="000000"/>
                <w:sz w:val="24"/>
                <w:szCs w:val="24"/>
              </w:rPr>
            </w:pPr>
          </w:p>
          <w:p>
            <w:pPr>
              <w:pStyle w:val="17"/>
              <w:rPr>
                <w:rFonts w:hint="eastAsia" w:ascii="Times New Roman" w:hAnsi="宋体" w:eastAsia="宋体"/>
                <w:color w:val="000000"/>
                <w:sz w:val="24"/>
                <w:szCs w:val="24"/>
              </w:rPr>
            </w:pPr>
          </w:p>
          <w:p>
            <w:pPr>
              <w:pStyle w:val="17"/>
              <w:rPr>
                <w:rFonts w:hint="eastAsia" w:ascii="Times New Roman" w:hAnsi="宋体" w:eastAsia="宋体"/>
                <w:color w:val="000000"/>
                <w:sz w:val="24"/>
                <w:szCs w:val="24"/>
              </w:rPr>
            </w:pPr>
          </w:p>
        </w:tc>
      </w:tr>
    </w:tbl>
    <w:p>
      <w:pPr>
        <w:rPr>
          <w:rFonts w:hint="default" w:ascii="Times New Roman" w:hAnsi="Times New Roman" w:eastAsia="宋体"/>
          <w:b/>
          <w:color w:val="000000"/>
          <w:sz w:val="28"/>
          <w:szCs w:val="28"/>
          <w:lang w:val="en-US" w:eastAsia="zh-CN"/>
        </w:rPr>
      </w:pPr>
      <w:r>
        <w:rPr>
          <w:rFonts w:ascii="Times New Roman" w:hAnsi="宋体" w:eastAsia="宋体"/>
          <w:b/>
          <w:color w:val="000000"/>
          <w:sz w:val="28"/>
          <w:szCs w:val="28"/>
        </w:rPr>
        <w:t>表</w:t>
      </w:r>
      <w:r>
        <w:rPr>
          <w:rFonts w:hint="eastAsia" w:ascii="Times New Roman" w:hAnsi="Times New Roman" w:eastAsia="宋体"/>
          <w:b/>
          <w:color w:val="000000"/>
          <w:sz w:val="28"/>
          <w:szCs w:val="28"/>
          <w:lang w:eastAsia="zh-CN"/>
        </w:rPr>
        <w:t>二</w:t>
      </w:r>
      <w:r>
        <w:rPr>
          <w:rFonts w:hint="eastAsia" w:ascii="Times New Roman" w:hAnsi="Times New Roman" w:eastAsia="宋体"/>
          <w:b/>
          <w:color w:val="000000"/>
          <w:sz w:val="28"/>
          <w:szCs w:val="28"/>
          <w:lang w:val="en-US" w:eastAsia="zh-CN"/>
        </w:rPr>
        <w:t xml:space="preserve"> </w:t>
      </w:r>
      <w:r>
        <w:rPr>
          <w:rFonts w:hint="eastAsia" w:ascii="Times New Roman" w:hAnsi="宋体" w:eastAsia="宋体"/>
          <w:b/>
          <w:color w:val="000000"/>
          <w:sz w:val="28"/>
          <w:szCs w:val="28"/>
          <w:lang w:val="en-US" w:eastAsia="zh-CN"/>
        </w:rPr>
        <w:t xml:space="preserve"> </w:t>
      </w:r>
      <w:r>
        <w:rPr>
          <w:rFonts w:hint="eastAsia" w:ascii="Times New Roman" w:hAnsi="宋体" w:eastAsia="宋体"/>
          <w:b/>
          <w:color w:val="000000"/>
          <w:sz w:val="28"/>
          <w:szCs w:val="28"/>
        </w:rPr>
        <w:t>工程概况</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0" w:hRule="atLeast"/>
        </w:trPr>
        <w:tc>
          <w:tcPr>
            <w:tcW w:w="8522" w:type="dxa"/>
          </w:tcPr>
          <w:p>
            <w:pPr>
              <w:spacing w:beforeLines="20" w:line="360" w:lineRule="auto"/>
              <w:ind w:firstLine="480" w:firstLineChars="20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本项目位于重庆市梁平工业园，通过租用智能家居孵化园3栋A区1层、2层、5层标准厂房进行建设重庆乐仁汽车电子有限公司汽车线束总成生产项目，项目总建筑面积约为6642.46m</w:t>
            </w:r>
            <w:r>
              <w:rPr>
                <w:rFonts w:hint="default" w:ascii="Times New Roman" w:hAnsi="Times New Roman" w:cs="Times New Roman" w:eastAsiaTheme="minorEastAsia"/>
                <w:kern w:val="2"/>
                <w:sz w:val="24"/>
                <w:szCs w:val="24"/>
                <w:vertAlign w:val="superscript"/>
                <w:lang w:val="en-US" w:eastAsia="zh-CN" w:bidi="ar-SA"/>
              </w:rPr>
              <w:t>2</w:t>
            </w:r>
            <w:r>
              <w:rPr>
                <w:rFonts w:hint="default" w:ascii="Times New Roman" w:hAnsi="Times New Roman" w:cs="Times New Roman" w:eastAsiaTheme="minorEastAsia"/>
                <w:kern w:val="2"/>
                <w:sz w:val="24"/>
                <w:szCs w:val="24"/>
                <w:lang w:val="en-US" w:eastAsia="zh-CN" w:bidi="ar-SA"/>
              </w:rPr>
              <w:t>，建成后可形成年产汽车线束16万套。本项目主要由主体工程、辅助工程、公用工程及环保工程组成。项目厂区内不设食宿。项目实际建设内容与环评主要建设内容对比情况详见表2-1。</w:t>
            </w:r>
          </w:p>
          <w:p>
            <w:pPr>
              <w:spacing w:beforeLines="20" w:line="360" w:lineRule="auto"/>
              <w:ind w:firstLine="422" w:firstLineChars="200"/>
              <w:jc w:val="center"/>
              <w:rPr>
                <w:rFonts w:hAnsi="宋体"/>
                <w:b/>
                <w:sz w:val="24"/>
              </w:rPr>
            </w:pPr>
            <w:r>
              <w:rPr>
                <w:rFonts w:hAnsi="宋体"/>
                <w:b/>
                <w:sz w:val="21"/>
                <w:szCs w:val="21"/>
              </w:rPr>
              <w:t>表2-1  环评主要建设内容与实际建设内容对比一览表</w:t>
            </w:r>
          </w:p>
          <w:tbl>
            <w:tblPr>
              <w:tblStyle w:val="15"/>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
              <w:gridCol w:w="701"/>
              <w:gridCol w:w="496"/>
              <w:gridCol w:w="3477"/>
              <w:gridCol w:w="3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 w:type="pct"/>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类别</w:t>
                  </w:r>
                </w:p>
              </w:tc>
              <w:tc>
                <w:tcPr>
                  <w:tcW w:w="722" w:type="pct"/>
                  <w:gridSpan w:val="2"/>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项目组成</w:t>
                  </w:r>
                </w:p>
              </w:tc>
              <w:tc>
                <w:tcPr>
                  <w:tcW w:w="2097" w:type="pct"/>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环评主要建设内容</w:t>
                  </w:r>
                </w:p>
              </w:tc>
              <w:tc>
                <w:tcPr>
                  <w:tcW w:w="1925" w:type="pct"/>
                  <w:vAlign w:val="center"/>
                </w:tcPr>
                <w:p>
                  <w:pPr>
                    <w:pStyle w:val="18"/>
                    <w:rPr>
                      <w:rFonts w:hint="default" w:ascii="Times New Roman" w:hAnsi="Times New Roman" w:eastAsia="宋体" w:cs="Times New Roman"/>
                      <w:b/>
                      <w:color w:val="000000"/>
                      <w:kern w:val="0"/>
                      <w:sz w:val="21"/>
                      <w:szCs w:val="21"/>
                      <w:vertAlign w:val="baseline"/>
                      <w:lang w:val="en-US" w:eastAsia="zh-CN" w:bidi="ar"/>
                    </w:rPr>
                  </w:pPr>
                  <w:r>
                    <w:rPr>
                      <w:rFonts w:hint="default" w:ascii="Times New Roman" w:hAnsi="Times New Roman" w:eastAsia="宋体" w:cs="Times New Roman"/>
                      <w:sz w:val="21"/>
                      <w:szCs w:val="21"/>
                    </w:rPr>
                    <w:t>实际建设内容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 w:type="pct"/>
                  <w:vMerge w:val="restart"/>
                  <w:vAlign w:val="center"/>
                </w:tcPr>
                <w:p>
                  <w:pPr>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主体工程</w:t>
                  </w:r>
                </w:p>
              </w:tc>
              <w:tc>
                <w:tcPr>
                  <w:tcW w:w="422" w:type="pct"/>
                  <w:vMerge w:val="restart"/>
                  <w:vAlign w:val="center"/>
                </w:tcPr>
                <w:p>
                  <w:pPr>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生产车间</w:t>
                  </w:r>
                </w:p>
              </w:tc>
              <w:tc>
                <w:tcPr>
                  <w:tcW w:w="299" w:type="pct"/>
                  <w:vAlign w:val="center"/>
                </w:tcPr>
                <w:p>
                  <w:pPr>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1F</w:t>
                  </w:r>
                </w:p>
              </w:tc>
              <w:tc>
                <w:tcPr>
                  <w:tcW w:w="2097" w:type="pct"/>
                  <w:vAlign w:val="top"/>
                </w:tcPr>
                <w:p>
                  <w:pPr>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建</w:t>
                  </w:r>
                  <w:r>
                    <w:rPr>
                      <w:rFonts w:hint="default" w:ascii="Times New Roman" w:hAnsi="Times New Roman" w:cs="Times New Roman"/>
                      <w:color w:val="auto"/>
                      <w:kern w:val="0"/>
                      <w:sz w:val="21"/>
                      <w:szCs w:val="21"/>
                      <w:lang w:val="en-US" w:eastAsia="zh-CN"/>
                    </w:rPr>
                    <w:t>筑面积约2014.48m</w:t>
                  </w:r>
                  <w:r>
                    <w:rPr>
                      <w:rFonts w:hint="default" w:ascii="Times New Roman" w:hAnsi="Times New Roman" w:cs="Times New Roman"/>
                      <w:color w:val="auto"/>
                      <w:kern w:val="0"/>
                      <w:sz w:val="21"/>
                      <w:szCs w:val="21"/>
                      <w:vertAlign w:val="superscript"/>
                      <w:lang w:val="en-US" w:eastAsia="zh-CN"/>
                    </w:rPr>
                    <w:t>2</w:t>
                  </w:r>
                  <w:r>
                    <w:rPr>
                      <w:rFonts w:hint="default" w:ascii="Times New Roman" w:hAnsi="Times New Roman" w:cs="Times New Roman"/>
                      <w:color w:val="auto"/>
                      <w:kern w:val="0"/>
                      <w:sz w:val="21"/>
                      <w:szCs w:val="21"/>
                      <w:lang w:val="en-US" w:eastAsia="zh-CN"/>
                    </w:rPr>
                    <w:t>，</w:t>
                  </w:r>
                  <w:r>
                    <w:rPr>
                      <w:rFonts w:hint="eastAsia" w:ascii="Times New Roman" w:hAnsi="Times New Roman" w:cs="Times New Roman"/>
                      <w:color w:val="auto"/>
                      <w:kern w:val="0"/>
                      <w:sz w:val="21"/>
                      <w:szCs w:val="21"/>
                      <w:lang w:val="en-US" w:eastAsia="zh-CN"/>
                    </w:rPr>
                    <w:t>主要布置</w:t>
                  </w:r>
                  <w:r>
                    <w:rPr>
                      <w:rFonts w:hint="default" w:ascii="Times New Roman" w:hAnsi="Times New Roman" w:cs="Times New Roman"/>
                      <w:color w:val="auto"/>
                      <w:kern w:val="0"/>
                      <w:sz w:val="21"/>
                      <w:szCs w:val="21"/>
                      <w:lang w:val="en-US" w:eastAsia="zh-CN"/>
                    </w:rPr>
                    <w:t>全自动端压机</w:t>
                  </w:r>
                  <w:r>
                    <w:rPr>
                      <w:rFonts w:hint="eastAsia" w:ascii="Times New Roman" w:hAnsi="Times New Roman" w:cs="Times New Roman"/>
                      <w:color w:val="auto"/>
                      <w:kern w:val="0"/>
                      <w:sz w:val="21"/>
                      <w:szCs w:val="21"/>
                      <w:lang w:val="en-US" w:eastAsia="zh-CN"/>
                    </w:rPr>
                    <w:t>、</w:t>
                  </w:r>
                  <w:r>
                    <w:rPr>
                      <w:rFonts w:hint="default" w:ascii="Times New Roman" w:hAnsi="Times New Roman" w:cs="Times New Roman"/>
                      <w:color w:val="auto"/>
                      <w:kern w:val="0"/>
                      <w:sz w:val="21"/>
                      <w:szCs w:val="21"/>
                      <w:lang w:val="en-US" w:eastAsia="zh-CN"/>
                    </w:rPr>
                    <w:t>12板履带式流水线</w:t>
                  </w:r>
                  <w:r>
                    <w:rPr>
                      <w:rFonts w:hint="eastAsia" w:ascii="Times New Roman" w:hAnsi="Times New Roman" w:cs="Times New Roman"/>
                      <w:color w:val="auto"/>
                      <w:kern w:val="0"/>
                      <w:sz w:val="21"/>
                      <w:szCs w:val="21"/>
                      <w:lang w:val="en-US" w:eastAsia="zh-CN"/>
                    </w:rPr>
                    <w:t>等设备</w:t>
                  </w:r>
                </w:p>
              </w:tc>
              <w:tc>
                <w:tcPr>
                  <w:tcW w:w="1925" w:type="pct"/>
                  <w:vAlign w:val="center"/>
                </w:tcPr>
                <w:p>
                  <w:pPr>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同环评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 w:type="pct"/>
                  <w:vMerge w:val="continue"/>
                  <w:vAlign w:val="center"/>
                </w:tcPr>
                <w:p>
                  <w:pPr>
                    <w:jc w:val="center"/>
                    <w:rPr>
                      <w:rFonts w:hint="default" w:ascii="Times New Roman" w:hAnsi="Times New Roman" w:cs="Times New Roman"/>
                      <w:color w:val="auto"/>
                      <w:kern w:val="0"/>
                      <w:sz w:val="21"/>
                      <w:szCs w:val="21"/>
                      <w:lang w:val="en-US" w:eastAsia="zh-CN"/>
                    </w:rPr>
                  </w:pPr>
                </w:p>
              </w:tc>
              <w:tc>
                <w:tcPr>
                  <w:tcW w:w="422" w:type="pct"/>
                  <w:vMerge w:val="continue"/>
                  <w:vAlign w:val="center"/>
                </w:tcPr>
                <w:p>
                  <w:pPr>
                    <w:jc w:val="center"/>
                    <w:rPr>
                      <w:rFonts w:hint="default" w:ascii="Times New Roman" w:hAnsi="Times New Roman" w:cs="Times New Roman"/>
                      <w:color w:val="auto"/>
                      <w:kern w:val="0"/>
                      <w:sz w:val="21"/>
                      <w:szCs w:val="21"/>
                      <w:lang w:val="en-US" w:eastAsia="zh-CN"/>
                    </w:rPr>
                  </w:pPr>
                </w:p>
              </w:tc>
              <w:tc>
                <w:tcPr>
                  <w:tcW w:w="299" w:type="pct"/>
                  <w:vAlign w:val="center"/>
                </w:tcPr>
                <w:p>
                  <w:pPr>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2F</w:t>
                  </w:r>
                </w:p>
              </w:tc>
              <w:tc>
                <w:tcPr>
                  <w:tcW w:w="2097" w:type="pct"/>
                  <w:vAlign w:val="top"/>
                </w:tcPr>
                <w:p>
                  <w:pPr>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建</w:t>
                  </w:r>
                  <w:r>
                    <w:rPr>
                      <w:rFonts w:hint="default" w:ascii="Times New Roman" w:hAnsi="Times New Roman" w:cs="Times New Roman"/>
                      <w:color w:val="auto"/>
                      <w:kern w:val="0"/>
                      <w:sz w:val="21"/>
                      <w:szCs w:val="21"/>
                      <w:lang w:val="en-US" w:eastAsia="zh-CN"/>
                    </w:rPr>
                    <w:t>筑面积约2014.4</w:t>
                  </w:r>
                  <w:r>
                    <w:rPr>
                      <w:rFonts w:hint="eastAsia" w:ascii="Times New Roman" w:hAnsi="Times New Roman" w:cs="Times New Roman"/>
                      <w:color w:val="auto"/>
                      <w:kern w:val="0"/>
                      <w:sz w:val="21"/>
                      <w:szCs w:val="21"/>
                      <w:lang w:val="en-US" w:eastAsia="zh-CN"/>
                    </w:rPr>
                    <w:t>9</w:t>
                  </w:r>
                  <w:r>
                    <w:rPr>
                      <w:rFonts w:hint="default" w:ascii="Times New Roman" w:hAnsi="Times New Roman" w:cs="Times New Roman"/>
                      <w:color w:val="auto"/>
                      <w:kern w:val="0"/>
                      <w:sz w:val="21"/>
                      <w:szCs w:val="21"/>
                      <w:lang w:val="en-US" w:eastAsia="zh-CN"/>
                    </w:rPr>
                    <w:t>m</w:t>
                  </w:r>
                  <w:r>
                    <w:rPr>
                      <w:rFonts w:hint="default" w:ascii="Times New Roman" w:hAnsi="Times New Roman" w:cs="Times New Roman"/>
                      <w:color w:val="auto"/>
                      <w:kern w:val="0"/>
                      <w:sz w:val="21"/>
                      <w:szCs w:val="21"/>
                      <w:vertAlign w:val="superscript"/>
                      <w:lang w:val="en-US" w:eastAsia="zh-CN"/>
                    </w:rPr>
                    <w:t>2</w:t>
                  </w:r>
                  <w:r>
                    <w:rPr>
                      <w:rFonts w:hint="default" w:ascii="Times New Roman" w:hAnsi="Times New Roman" w:cs="Times New Roman"/>
                      <w:color w:val="auto"/>
                      <w:kern w:val="0"/>
                      <w:sz w:val="21"/>
                      <w:szCs w:val="21"/>
                      <w:lang w:val="en-US" w:eastAsia="zh-CN"/>
                    </w:rPr>
                    <w:t>，</w:t>
                  </w:r>
                  <w:r>
                    <w:rPr>
                      <w:rFonts w:hint="eastAsia" w:ascii="Times New Roman" w:hAnsi="Times New Roman" w:cs="Times New Roman"/>
                      <w:color w:val="auto"/>
                      <w:kern w:val="0"/>
                      <w:sz w:val="21"/>
                      <w:szCs w:val="21"/>
                      <w:lang w:val="en-US" w:eastAsia="zh-CN"/>
                    </w:rPr>
                    <w:t>主要布置</w:t>
                  </w:r>
                  <w:r>
                    <w:rPr>
                      <w:rFonts w:hint="default" w:ascii="Times New Roman" w:hAnsi="Times New Roman" w:cs="Times New Roman"/>
                      <w:color w:val="auto"/>
                      <w:kern w:val="0"/>
                      <w:sz w:val="21"/>
                      <w:szCs w:val="21"/>
                      <w:lang w:val="en-US" w:eastAsia="zh-CN"/>
                    </w:rPr>
                    <w:t>16板履带式流水线</w:t>
                  </w:r>
                  <w:r>
                    <w:rPr>
                      <w:rFonts w:hint="eastAsia" w:ascii="Times New Roman" w:hAnsi="Times New Roman" w:cs="Times New Roman"/>
                      <w:color w:val="auto"/>
                      <w:kern w:val="0"/>
                      <w:sz w:val="21"/>
                      <w:szCs w:val="21"/>
                      <w:lang w:val="en-US" w:eastAsia="zh-CN"/>
                    </w:rPr>
                    <w:t>、</w:t>
                  </w:r>
                  <w:r>
                    <w:rPr>
                      <w:rFonts w:hint="default" w:ascii="Times New Roman" w:hAnsi="Times New Roman" w:cs="Times New Roman"/>
                      <w:color w:val="auto"/>
                      <w:kern w:val="0"/>
                      <w:sz w:val="21"/>
                      <w:szCs w:val="21"/>
                      <w:lang w:val="en-US" w:eastAsia="zh-CN"/>
                    </w:rPr>
                    <w:t>SUB架</w:t>
                  </w:r>
                  <w:r>
                    <w:rPr>
                      <w:rFonts w:hint="eastAsia" w:ascii="Times New Roman" w:hAnsi="Times New Roman" w:cs="Times New Roman"/>
                      <w:color w:val="auto"/>
                      <w:kern w:val="0"/>
                      <w:sz w:val="21"/>
                      <w:szCs w:val="21"/>
                      <w:lang w:val="en-US" w:eastAsia="zh-CN"/>
                    </w:rPr>
                    <w:t>等设备</w:t>
                  </w:r>
                </w:p>
              </w:tc>
              <w:tc>
                <w:tcPr>
                  <w:tcW w:w="1925" w:type="pct"/>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同环评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 w:type="pct"/>
                  <w:vMerge w:val="restart"/>
                  <w:vAlign w:val="center"/>
                </w:tcPr>
                <w:p>
                  <w:pPr>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辅助工程</w:t>
                  </w:r>
                </w:p>
              </w:tc>
              <w:tc>
                <w:tcPr>
                  <w:tcW w:w="722" w:type="pct"/>
                  <w:gridSpan w:val="2"/>
                  <w:vAlign w:val="center"/>
                </w:tcPr>
                <w:p>
                  <w:pPr>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办公区</w:t>
                  </w:r>
                </w:p>
              </w:tc>
              <w:tc>
                <w:tcPr>
                  <w:tcW w:w="2097" w:type="pct"/>
                  <w:vAlign w:val="top"/>
                </w:tcPr>
                <w:p>
                  <w:pPr>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位于夹层，</w:t>
                  </w:r>
                  <w:r>
                    <w:rPr>
                      <w:rFonts w:hint="default" w:ascii="Times New Roman" w:hAnsi="Times New Roman" w:cs="Times New Roman"/>
                      <w:color w:val="auto"/>
                      <w:kern w:val="0"/>
                      <w:sz w:val="21"/>
                      <w:szCs w:val="21"/>
                      <w:lang w:val="en-US" w:eastAsia="zh-CN"/>
                    </w:rPr>
                    <w:t>建筑面积约419.17m</w:t>
                  </w:r>
                  <w:r>
                    <w:rPr>
                      <w:rFonts w:hint="default" w:ascii="Times New Roman" w:hAnsi="Times New Roman" w:cs="Times New Roman"/>
                      <w:color w:val="auto"/>
                      <w:kern w:val="0"/>
                      <w:sz w:val="21"/>
                      <w:szCs w:val="21"/>
                      <w:vertAlign w:val="superscript"/>
                      <w:lang w:val="en-US" w:eastAsia="zh-CN"/>
                    </w:rPr>
                    <w:t>2</w:t>
                  </w:r>
                  <w:r>
                    <w:rPr>
                      <w:rFonts w:hint="default" w:ascii="Times New Roman" w:hAnsi="Times New Roman" w:cs="Times New Roman"/>
                      <w:color w:val="auto"/>
                      <w:kern w:val="0"/>
                      <w:sz w:val="21"/>
                      <w:szCs w:val="21"/>
                      <w:lang w:val="en-US" w:eastAsia="zh-CN"/>
                    </w:rPr>
                    <w:t>，主要布置办公室、会议室等办公场所</w:t>
                  </w:r>
                </w:p>
              </w:tc>
              <w:tc>
                <w:tcPr>
                  <w:tcW w:w="1925" w:type="pct"/>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同环评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 w:type="pct"/>
                  <w:vMerge w:val="continue"/>
                  <w:vAlign w:val="center"/>
                </w:tcPr>
                <w:p>
                  <w:pPr>
                    <w:jc w:val="center"/>
                    <w:rPr>
                      <w:rFonts w:hint="default" w:ascii="Times New Roman" w:hAnsi="Times New Roman" w:cs="Times New Roman"/>
                      <w:color w:val="auto"/>
                      <w:kern w:val="0"/>
                      <w:sz w:val="21"/>
                      <w:szCs w:val="21"/>
                      <w:lang w:val="en-US" w:eastAsia="zh-CN"/>
                    </w:rPr>
                  </w:pPr>
                </w:p>
              </w:tc>
              <w:tc>
                <w:tcPr>
                  <w:tcW w:w="722" w:type="pct"/>
                  <w:gridSpan w:val="2"/>
                  <w:vAlign w:val="center"/>
                </w:tcPr>
                <w:p>
                  <w:pPr>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实验室</w:t>
                  </w:r>
                </w:p>
              </w:tc>
              <w:tc>
                <w:tcPr>
                  <w:tcW w:w="2097" w:type="pct"/>
                  <w:vAlign w:val="top"/>
                </w:tcPr>
                <w:p>
                  <w:pPr>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位于厂房</w:t>
                  </w:r>
                  <w:r>
                    <w:rPr>
                      <w:rFonts w:hint="eastAsia" w:ascii="Times New Roman" w:hAnsi="Times New Roman" w:cs="Times New Roman"/>
                      <w:color w:val="auto"/>
                      <w:kern w:val="0"/>
                      <w:sz w:val="21"/>
                      <w:szCs w:val="21"/>
                      <w:lang w:val="en-US" w:eastAsia="zh-CN"/>
                    </w:rPr>
                    <w:t>5F</w:t>
                  </w:r>
                  <w:r>
                    <w:rPr>
                      <w:rFonts w:hint="default" w:ascii="Times New Roman" w:hAnsi="Times New Roman" w:cs="Times New Roman"/>
                      <w:color w:val="auto"/>
                      <w:kern w:val="0"/>
                      <w:sz w:val="21"/>
                      <w:szCs w:val="21"/>
                      <w:lang w:val="en-US" w:eastAsia="zh-CN"/>
                    </w:rPr>
                    <w:t>内，建筑面积约</w:t>
                  </w:r>
                  <w:r>
                    <w:rPr>
                      <w:rFonts w:hint="eastAsia" w:ascii="Times New Roman" w:hAnsi="Times New Roman" w:cs="Times New Roman"/>
                      <w:color w:val="auto"/>
                      <w:kern w:val="0"/>
                      <w:sz w:val="21"/>
                      <w:szCs w:val="21"/>
                      <w:lang w:val="en-US" w:eastAsia="zh-CN"/>
                    </w:rPr>
                    <w:t>2</w:t>
                  </w:r>
                  <w:r>
                    <w:rPr>
                      <w:rFonts w:hint="default" w:ascii="Times New Roman" w:hAnsi="Times New Roman" w:cs="Times New Roman"/>
                      <w:color w:val="auto"/>
                      <w:kern w:val="0"/>
                      <w:sz w:val="21"/>
                      <w:szCs w:val="21"/>
                      <w:lang w:val="en-US" w:eastAsia="zh-CN"/>
                    </w:rPr>
                    <w:t>00m</w:t>
                  </w:r>
                  <w:r>
                    <w:rPr>
                      <w:rFonts w:hint="default" w:ascii="Times New Roman" w:hAnsi="Times New Roman" w:cs="Times New Roman"/>
                      <w:color w:val="auto"/>
                      <w:kern w:val="0"/>
                      <w:sz w:val="21"/>
                      <w:szCs w:val="21"/>
                      <w:vertAlign w:val="superscript"/>
                      <w:lang w:val="en-US" w:eastAsia="zh-CN"/>
                    </w:rPr>
                    <w:t>2</w:t>
                  </w:r>
                  <w:r>
                    <w:rPr>
                      <w:rFonts w:hint="default" w:ascii="Times New Roman" w:hAnsi="Times New Roman" w:cs="Times New Roman"/>
                      <w:color w:val="auto"/>
                      <w:kern w:val="0"/>
                      <w:sz w:val="21"/>
                      <w:szCs w:val="21"/>
                      <w:lang w:val="en-US" w:eastAsia="zh-CN"/>
                    </w:rPr>
                    <w:t>，主要是对</w:t>
                  </w:r>
                  <w:r>
                    <w:rPr>
                      <w:rFonts w:hint="eastAsia" w:ascii="Times New Roman" w:hAnsi="Times New Roman" w:cs="Times New Roman"/>
                      <w:color w:val="auto"/>
                      <w:kern w:val="0"/>
                      <w:sz w:val="21"/>
                      <w:szCs w:val="21"/>
                      <w:lang w:val="en-US" w:eastAsia="zh-CN"/>
                    </w:rPr>
                    <w:t>线束</w:t>
                  </w:r>
                  <w:r>
                    <w:rPr>
                      <w:rFonts w:hint="default" w:ascii="Times New Roman" w:hAnsi="Times New Roman" w:cs="Times New Roman"/>
                      <w:color w:val="auto"/>
                      <w:kern w:val="0"/>
                      <w:sz w:val="21"/>
                      <w:szCs w:val="21"/>
                      <w:lang w:val="en-US" w:eastAsia="zh-CN"/>
                    </w:rPr>
                    <w:t>、端子等部件进行性能测试</w:t>
                  </w:r>
                </w:p>
              </w:tc>
              <w:tc>
                <w:tcPr>
                  <w:tcW w:w="1925" w:type="pct"/>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同环评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 w:type="pct"/>
                  <w:vMerge w:val="restart"/>
                  <w:vAlign w:val="center"/>
                </w:tcPr>
                <w:p>
                  <w:pPr>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公用工程</w:t>
                  </w:r>
                </w:p>
              </w:tc>
              <w:tc>
                <w:tcPr>
                  <w:tcW w:w="722" w:type="pct"/>
                  <w:gridSpan w:val="2"/>
                  <w:vAlign w:val="center"/>
                </w:tcPr>
                <w:p>
                  <w:pPr>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给水</w:t>
                  </w:r>
                </w:p>
              </w:tc>
              <w:tc>
                <w:tcPr>
                  <w:tcW w:w="2097" w:type="pct"/>
                  <w:vAlign w:val="top"/>
                </w:tcPr>
                <w:p>
                  <w:pPr>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依托园区供水管网；</w:t>
                  </w:r>
                </w:p>
              </w:tc>
              <w:tc>
                <w:tcPr>
                  <w:tcW w:w="1925" w:type="pct"/>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同环评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 w:type="pct"/>
                  <w:vMerge w:val="continue"/>
                  <w:vAlign w:val="center"/>
                </w:tcPr>
                <w:p>
                  <w:pPr>
                    <w:jc w:val="center"/>
                    <w:rPr>
                      <w:rFonts w:hint="default" w:ascii="Times New Roman" w:hAnsi="Times New Roman" w:cs="Times New Roman"/>
                      <w:color w:val="auto"/>
                      <w:kern w:val="0"/>
                      <w:sz w:val="21"/>
                      <w:szCs w:val="21"/>
                      <w:lang w:val="en-US" w:eastAsia="zh-CN"/>
                    </w:rPr>
                  </w:pPr>
                </w:p>
              </w:tc>
              <w:tc>
                <w:tcPr>
                  <w:tcW w:w="722" w:type="pct"/>
                  <w:gridSpan w:val="2"/>
                  <w:vAlign w:val="center"/>
                </w:tcPr>
                <w:p>
                  <w:pPr>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排水</w:t>
                  </w:r>
                </w:p>
              </w:tc>
              <w:tc>
                <w:tcPr>
                  <w:tcW w:w="2097" w:type="pct"/>
                  <w:vAlign w:val="top"/>
                </w:tcPr>
                <w:p>
                  <w:pPr>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雨污分流制。雨水经雨水管网收集后排入园区水管网；生活污水依托智能家居孵化园已建生化池处理达标后排入园区污水管网进入梁平双桂污水处理厂处理达标后排入小沙河；</w:t>
                  </w:r>
                </w:p>
              </w:tc>
              <w:tc>
                <w:tcPr>
                  <w:tcW w:w="1925" w:type="pct"/>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同环评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 w:type="pct"/>
                  <w:vMerge w:val="continue"/>
                  <w:vAlign w:val="center"/>
                </w:tcPr>
                <w:p>
                  <w:pPr>
                    <w:jc w:val="center"/>
                    <w:rPr>
                      <w:rFonts w:hint="default" w:ascii="Times New Roman" w:hAnsi="Times New Roman" w:cs="Times New Roman"/>
                      <w:color w:val="auto"/>
                      <w:kern w:val="0"/>
                      <w:sz w:val="21"/>
                      <w:szCs w:val="21"/>
                      <w:lang w:val="en-US" w:eastAsia="zh-CN"/>
                    </w:rPr>
                  </w:pPr>
                </w:p>
              </w:tc>
              <w:tc>
                <w:tcPr>
                  <w:tcW w:w="722" w:type="pct"/>
                  <w:gridSpan w:val="2"/>
                  <w:vAlign w:val="center"/>
                </w:tcPr>
                <w:p>
                  <w:pPr>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供电</w:t>
                  </w:r>
                </w:p>
              </w:tc>
              <w:tc>
                <w:tcPr>
                  <w:tcW w:w="2097" w:type="pct"/>
                  <w:vAlign w:val="top"/>
                </w:tcPr>
                <w:p>
                  <w:pPr>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依托园区供电管网；</w:t>
                  </w:r>
                </w:p>
              </w:tc>
              <w:tc>
                <w:tcPr>
                  <w:tcW w:w="1925" w:type="pct"/>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同环评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 w:type="pct"/>
                  <w:vMerge w:val="restart"/>
                  <w:vAlign w:val="center"/>
                </w:tcPr>
                <w:p>
                  <w:pPr>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储运工程</w:t>
                  </w:r>
                </w:p>
              </w:tc>
              <w:tc>
                <w:tcPr>
                  <w:tcW w:w="722" w:type="pct"/>
                  <w:gridSpan w:val="2"/>
                  <w:vAlign w:val="center"/>
                </w:tcPr>
                <w:p>
                  <w:pPr>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原料库房</w:t>
                  </w:r>
                </w:p>
              </w:tc>
              <w:tc>
                <w:tcPr>
                  <w:tcW w:w="2097" w:type="pct"/>
                  <w:vAlign w:val="top"/>
                </w:tcPr>
                <w:p>
                  <w:pPr>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位于厂区5F，建筑面积约</w:t>
                  </w:r>
                  <w:r>
                    <w:rPr>
                      <w:rFonts w:hint="eastAsia" w:ascii="Times New Roman" w:hAnsi="Times New Roman" w:cs="Times New Roman"/>
                      <w:color w:val="auto"/>
                      <w:kern w:val="0"/>
                      <w:sz w:val="21"/>
                      <w:szCs w:val="21"/>
                      <w:lang w:val="en-US" w:eastAsia="zh-CN"/>
                    </w:rPr>
                    <w:t>800m</w:t>
                  </w:r>
                  <w:r>
                    <w:rPr>
                      <w:rFonts w:hint="eastAsia" w:ascii="Times New Roman" w:hAnsi="Times New Roman" w:cs="Times New Roman"/>
                      <w:color w:val="auto"/>
                      <w:kern w:val="0"/>
                      <w:sz w:val="21"/>
                      <w:szCs w:val="21"/>
                      <w:vertAlign w:val="superscript"/>
                      <w:lang w:val="en-US" w:eastAsia="zh-CN"/>
                    </w:rPr>
                    <w:t>2</w:t>
                  </w:r>
                  <w:r>
                    <w:rPr>
                      <w:rFonts w:hint="eastAsia" w:ascii="Times New Roman" w:hAnsi="Times New Roman" w:cs="Times New Roman"/>
                      <w:color w:val="auto"/>
                      <w:kern w:val="0"/>
                      <w:sz w:val="21"/>
                      <w:szCs w:val="21"/>
                      <w:lang w:val="en-US" w:eastAsia="zh-CN"/>
                    </w:rPr>
                    <w:t>，用于存放生产所需原辅材料；</w:t>
                  </w:r>
                </w:p>
              </w:tc>
              <w:tc>
                <w:tcPr>
                  <w:tcW w:w="1925" w:type="pct"/>
                  <w:vAlign w:val="center"/>
                </w:tcPr>
                <w:p>
                  <w:pPr>
                    <w:jc w:val="center"/>
                    <w:rPr>
                      <w:rFonts w:hint="default" w:ascii="Times New Roman" w:hAnsi="Times New Roman" w:cs="Times New Roman"/>
                      <w:color w:val="FF0000"/>
                      <w:sz w:val="21"/>
                      <w:szCs w:val="21"/>
                      <w:lang w:val="en-US" w:eastAsia="zh-CN"/>
                    </w:rPr>
                  </w:pPr>
                  <w:r>
                    <w:rPr>
                      <w:rFonts w:hint="default" w:ascii="Times New Roman" w:hAnsi="Times New Roman" w:cs="Times New Roman"/>
                      <w:color w:val="auto"/>
                      <w:sz w:val="21"/>
                      <w:szCs w:val="21"/>
                      <w:lang w:val="en-US" w:eastAsia="zh-CN"/>
                    </w:rPr>
                    <w:t>同环评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 w:type="pct"/>
                  <w:vMerge w:val="continue"/>
                  <w:vAlign w:val="center"/>
                </w:tcPr>
                <w:p>
                  <w:pPr>
                    <w:jc w:val="center"/>
                    <w:rPr>
                      <w:rFonts w:hint="default" w:ascii="Times New Roman" w:hAnsi="Times New Roman" w:cs="Times New Roman"/>
                      <w:color w:val="auto"/>
                      <w:kern w:val="0"/>
                      <w:sz w:val="21"/>
                      <w:szCs w:val="21"/>
                      <w:lang w:val="en-US" w:eastAsia="zh-CN"/>
                    </w:rPr>
                  </w:pPr>
                </w:p>
              </w:tc>
              <w:tc>
                <w:tcPr>
                  <w:tcW w:w="722" w:type="pct"/>
                  <w:gridSpan w:val="2"/>
                  <w:vAlign w:val="center"/>
                </w:tcPr>
                <w:p>
                  <w:pPr>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成品库房</w:t>
                  </w:r>
                </w:p>
              </w:tc>
              <w:tc>
                <w:tcPr>
                  <w:tcW w:w="2097" w:type="pct"/>
                  <w:vAlign w:val="top"/>
                </w:tcPr>
                <w:p>
                  <w:pPr>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位于厂区5F，建筑面积约</w:t>
                  </w:r>
                  <w:r>
                    <w:rPr>
                      <w:rFonts w:hint="eastAsia" w:ascii="Times New Roman" w:hAnsi="Times New Roman" w:cs="Times New Roman"/>
                      <w:color w:val="auto"/>
                      <w:kern w:val="0"/>
                      <w:sz w:val="21"/>
                      <w:szCs w:val="21"/>
                      <w:lang w:val="en-US" w:eastAsia="zh-CN"/>
                    </w:rPr>
                    <w:t>900m</w:t>
                  </w:r>
                  <w:r>
                    <w:rPr>
                      <w:rFonts w:hint="eastAsia" w:ascii="Times New Roman" w:hAnsi="Times New Roman" w:cs="Times New Roman"/>
                      <w:color w:val="auto"/>
                      <w:kern w:val="0"/>
                      <w:sz w:val="21"/>
                      <w:szCs w:val="21"/>
                      <w:vertAlign w:val="superscript"/>
                      <w:lang w:val="en-US" w:eastAsia="zh-CN"/>
                    </w:rPr>
                    <w:t>2</w:t>
                  </w:r>
                  <w:r>
                    <w:rPr>
                      <w:rFonts w:hint="eastAsia" w:ascii="Times New Roman" w:hAnsi="Times New Roman" w:cs="Times New Roman"/>
                      <w:color w:val="auto"/>
                      <w:kern w:val="0"/>
                      <w:sz w:val="21"/>
                      <w:szCs w:val="21"/>
                      <w:lang w:val="en-US" w:eastAsia="zh-CN"/>
                    </w:rPr>
                    <w:t>，用于存放成品；</w:t>
                  </w:r>
                </w:p>
              </w:tc>
              <w:tc>
                <w:tcPr>
                  <w:tcW w:w="1925" w:type="pct"/>
                  <w:vAlign w:val="center"/>
                </w:tcPr>
                <w:p>
                  <w:pPr>
                    <w:jc w:val="center"/>
                    <w:rPr>
                      <w:rFonts w:hint="default" w:ascii="Times New Roman" w:hAnsi="Times New Roman" w:cs="Times New Roman"/>
                      <w:color w:val="FF0000"/>
                      <w:sz w:val="21"/>
                      <w:szCs w:val="21"/>
                      <w:lang w:val="en-US" w:eastAsia="zh-CN"/>
                    </w:rPr>
                  </w:pPr>
                  <w:r>
                    <w:rPr>
                      <w:rFonts w:hint="default" w:ascii="Times New Roman" w:hAnsi="Times New Roman" w:cs="Times New Roman"/>
                      <w:color w:val="auto"/>
                      <w:sz w:val="21"/>
                      <w:szCs w:val="21"/>
                      <w:lang w:val="en-US" w:eastAsia="zh-CN"/>
                    </w:rPr>
                    <w:t>同环评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 w:type="pct"/>
                  <w:vMerge w:val="restart"/>
                  <w:vAlign w:val="center"/>
                </w:tcPr>
                <w:p>
                  <w:pPr>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环保工程</w:t>
                  </w:r>
                </w:p>
              </w:tc>
              <w:tc>
                <w:tcPr>
                  <w:tcW w:w="722" w:type="pct"/>
                  <w:gridSpan w:val="2"/>
                  <w:vAlign w:val="center"/>
                </w:tcPr>
                <w:p>
                  <w:pPr>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废水</w:t>
                  </w:r>
                </w:p>
              </w:tc>
              <w:tc>
                <w:tcPr>
                  <w:tcW w:w="2097" w:type="pct"/>
                  <w:vAlign w:val="top"/>
                </w:tcPr>
                <w:p>
                  <w:pPr>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生活污水依托智能家居孵化园已建生化池（处理规模230m</w:t>
                  </w:r>
                  <w:r>
                    <w:rPr>
                      <w:rFonts w:hint="eastAsia" w:ascii="Times New Roman" w:hAnsi="Times New Roman" w:cs="Times New Roman"/>
                      <w:color w:val="auto"/>
                      <w:kern w:val="0"/>
                      <w:sz w:val="21"/>
                      <w:szCs w:val="21"/>
                      <w:vertAlign w:val="superscript"/>
                      <w:lang w:val="en-US" w:eastAsia="zh-CN"/>
                    </w:rPr>
                    <w:t>3</w:t>
                  </w:r>
                  <w:r>
                    <w:rPr>
                      <w:rFonts w:hint="eastAsia" w:ascii="Times New Roman" w:hAnsi="Times New Roman" w:cs="Times New Roman"/>
                      <w:color w:val="auto"/>
                      <w:kern w:val="0"/>
                      <w:sz w:val="21"/>
                      <w:szCs w:val="21"/>
                      <w:lang w:val="en-US" w:eastAsia="zh-CN"/>
                    </w:rPr>
                    <w:t>/d）处理达《污水综合排放标准》（GB8978-1996）三级标准</w:t>
                  </w:r>
                  <w:r>
                    <w:rPr>
                      <w:rFonts w:hint="default" w:ascii="Times New Roman" w:hAnsi="Times New Roman" w:cs="Times New Roman"/>
                      <w:color w:val="auto"/>
                      <w:kern w:val="0"/>
                      <w:sz w:val="21"/>
                      <w:szCs w:val="21"/>
                      <w:lang w:val="en-US" w:eastAsia="zh-CN"/>
                    </w:rPr>
                    <w:t>后进入梁平双桂污水处理厂深度处理达《城镇污水处理厂污染物排放标准》（GB18918-2002）一级B标准后排入小沙河</w:t>
                  </w:r>
                </w:p>
              </w:tc>
              <w:tc>
                <w:tcPr>
                  <w:tcW w:w="1925" w:type="pct"/>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同环评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 w:type="pct"/>
                  <w:vMerge w:val="continue"/>
                  <w:vAlign w:val="center"/>
                </w:tcPr>
                <w:p>
                  <w:pPr>
                    <w:jc w:val="center"/>
                    <w:rPr>
                      <w:rFonts w:hint="default" w:ascii="Times New Roman" w:hAnsi="Times New Roman" w:cs="Times New Roman"/>
                      <w:color w:val="auto"/>
                      <w:kern w:val="0"/>
                      <w:sz w:val="21"/>
                      <w:szCs w:val="21"/>
                      <w:lang w:val="en-US" w:eastAsia="zh-CN"/>
                    </w:rPr>
                  </w:pPr>
                </w:p>
              </w:tc>
              <w:tc>
                <w:tcPr>
                  <w:tcW w:w="722" w:type="pct"/>
                  <w:gridSpan w:val="2"/>
                  <w:vAlign w:val="center"/>
                </w:tcPr>
                <w:p>
                  <w:pPr>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固废</w:t>
                  </w:r>
                </w:p>
              </w:tc>
              <w:tc>
                <w:tcPr>
                  <w:tcW w:w="2097" w:type="pct"/>
                  <w:vAlign w:val="top"/>
                </w:tcPr>
                <w:p>
                  <w:pPr>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一般固废：设置一般固废暂存间，位于厂区1F，建筑面积约20m</w:t>
                  </w:r>
                  <w:r>
                    <w:rPr>
                      <w:rFonts w:hint="eastAsia" w:ascii="Times New Roman" w:hAnsi="Times New Roman" w:cs="Times New Roman"/>
                      <w:color w:val="auto"/>
                      <w:kern w:val="0"/>
                      <w:sz w:val="21"/>
                      <w:szCs w:val="21"/>
                      <w:vertAlign w:val="superscript"/>
                      <w:lang w:val="en-US" w:eastAsia="zh-CN"/>
                    </w:rPr>
                    <w:t>2</w:t>
                  </w:r>
                  <w:r>
                    <w:rPr>
                      <w:rFonts w:hint="eastAsia" w:ascii="Times New Roman" w:hAnsi="Times New Roman" w:cs="Times New Roman"/>
                      <w:color w:val="auto"/>
                      <w:kern w:val="0"/>
                      <w:sz w:val="21"/>
                      <w:szCs w:val="21"/>
                      <w:lang w:val="en-US" w:eastAsia="zh-CN"/>
                    </w:rPr>
                    <w:t>，做好“三防措施”；危险废物：设置危险废物暂存间，位于厂区1F，建筑面积约5m</w:t>
                  </w:r>
                  <w:r>
                    <w:rPr>
                      <w:rFonts w:hint="eastAsia" w:ascii="Times New Roman" w:hAnsi="Times New Roman" w:cs="Times New Roman"/>
                      <w:color w:val="auto"/>
                      <w:kern w:val="0"/>
                      <w:sz w:val="21"/>
                      <w:szCs w:val="21"/>
                      <w:vertAlign w:val="superscript"/>
                      <w:lang w:val="en-US" w:eastAsia="zh-CN"/>
                    </w:rPr>
                    <w:t>2</w:t>
                  </w:r>
                  <w:r>
                    <w:rPr>
                      <w:rFonts w:hint="eastAsia" w:ascii="Times New Roman" w:hAnsi="Times New Roman" w:cs="Times New Roman"/>
                      <w:color w:val="auto"/>
                      <w:kern w:val="0"/>
                      <w:sz w:val="21"/>
                      <w:szCs w:val="21"/>
                      <w:lang w:val="en-US" w:eastAsia="zh-CN"/>
                    </w:rPr>
                    <w:t>，做好“四防”措施；</w:t>
                  </w:r>
                </w:p>
              </w:tc>
              <w:tc>
                <w:tcPr>
                  <w:tcW w:w="1925" w:type="pct"/>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一般固废暂存间，位于厂区1F，建筑面积约20m</w:t>
                  </w:r>
                  <w:r>
                    <w:rPr>
                      <w:rFonts w:hint="eastAsia" w:ascii="Times New Roman" w:hAnsi="Times New Roman" w:cs="Times New Roman"/>
                      <w:color w:val="auto"/>
                      <w:sz w:val="21"/>
                      <w:szCs w:val="21"/>
                      <w:vertAlign w:val="superscript"/>
                      <w:lang w:val="en-US" w:eastAsia="zh-CN"/>
                    </w:rPr>
                    <w:t>2</w:t>
                  </w:r>
                  <w:r>
                    <w:rPr>
                      <w:rFonts w:hint="eastAsia" w:ascii="Times New Roman" w:hAnsi="Times New Roman" w:cs="Times New Roman"/>
                      <w:color w:val="auto"/>
                      <w:sz w:val="21"/>
                      <w:szCs w:val="21"/>
                      <w:vertAlign w:val="baseline"/>
                      <w:lang w:val="en-US" w:eastAsia="zh-CN"/>
                    </w:rPr>
                    <w:t>。项目不产生废机油及废油桶。设备不需要机修。损耗之后直接更换即可。</w:t>
                  </w:r>
                </w:p>
              </w:tc>
            </w:tr>
          </w:tbl>
          <w:p>
            <w:pPr>
              <w:spacing w:after="0" w:line="440" w:lineRule="exact"/>
              <w:ind w:firstLine="480" w:firstLineChars="200"/>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xml:space="preserve"> 综上所述，重庆乐仁汽车电子有限公司汽车线束总成生产项目建设内容与环评相比基本一致。环保治理设施已按照环评要求进行建设。</w:t>
            </w:r>
          </w:p>
          <w:p>
            <w:pPr>
              <w:spacing w:after="0" w:line="440" w:lineRule="exact"/>
              <w:ind w:firstLine="480" w:firstLineChars="200"/>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根据关于印发《污染影响类建设项目重大变动清单（试行）》的通知，建设项目的性质、规模、地点、生产工艺和环境保护措施五个因素中的一项或一项以上发生重大变动，且可能导致环境影响显著变化（特别是不利环境影响加重）的，界定为重大变动，属于重大变动的应当重新报批环境影响评价文件，不属于重大变动的纳入竣工环境保护验收管理。</w:t>
            </w:r>
          </w:p>
          <w:p>
            <w:pPr>
              <w:spacing w:after="0" w:line="440" w:lineRule="exact"/>
              <w:ind w:firstLine="480" w:firstLineChars="200"/>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本验收项目的性质、规模、地点、生产工艺和环境保护措施未发生重大变动，因此，本验收项目的变更内容不属于重大变动，可纳入竣工环境保护验收管理。</w:t>
            </w:r>
          </w:p>
          <w:p>
            <w:pPr>
              <w:spacing w:beforeLines="20" w:line="480" w:lineRule="auto"/>
              <w:rPr>
                <w:rFonts w:hint="eastAsia" w:hAnsi="宋体"/>
                <w:b/>
                <w:bCs/>
                <w:sz w:val="24"/>
              </w:rPr>
            </w:pPr>
            <w:r>
              <w:rPr>
                <w:rFonts w:hint="eastAsia" w:hAnsi="宋体"/>
                <w:b/>
                <w:bCs/>
                <w:sz w:val="24"/>
              </w:rPr>
              <w:t>项目总平面布置：</w:t>
            </w:r>
          </w:p>
          <w:p>
            <w:pPr>
              <w:spacing w:after="0" w:line="440" w:lineRule="exact"/>
              <w:ind w:firstLine="480" w:firstLineChars="20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本项目通过租赁智能家居孵化园3栋A区标准厂房进行生产</w:t>
            </w:r>
            <w:r>
              <w:rPr>
                <w:rFonts w:hint="eastAsia" w:ascii="Times New Roman" w:hAnsi="Times New Roman" w:cs="Times New Roman"/>
                <w:kern w:val="2"/>
                <w:sz w:val="24"/>
                <w:szCs w:val="24"/>
                <w:lang w:val="en-US" w:eastAsia="zh-CN" w:bidi="ar-SA"/>
              </w:rPr>
              <w:t>“</w:t>
            </w:r>
            <w:r>
              <w:rPr>
                <w:rFonts w:hint="default" w:ascii="Times New Roman" w:hAnsi="Times New Roman" w:cs="Times New Roman" w:eastAsiaTheme="minorEastAsia"/>
                <w:kern w:val="2"/>
                <w:sz w:val="24"/>
                <w:szCs w:val="24"/>
                <w:lang w:val="en-US" w:eastAsia="zh-CN" w:bidi="ar-SA"/>
              </w:rPr>
              <w:t>重庆乐仁汽车电子有限公司汽车线束总成生产项目</w:t>
            </w:r>
            <w:r>
              <w:rPr>
                <w:rFonts w:hint="eastAsia" w:ascii="Times New Roman" w:hAnsi="Times New Roman" w:cs="Times New Roman"/>
                <w:kern w:val="2"/>
                <w:sz w:val="24"/>
                <w:szCs w:val="24"/>
                <w:lang w:val="en-US" w:eastAsia="zh-CN" w:bidi="ar-SA"/>
              </w:rPr>
              <w:t>”</w:t>
            </w:r>
            <w:r>
              <w:rPr>
                <w:rFonts w:hint="default" w:ascii="Times New Roman" w:hAnsi="Times New Roman" w:cs="Times New Roman" w:eastAsiaTheme="minorEastAsia"/>
                <w:kern w:val="2"/>
                <w:sz w:val="24"/>
                <w:szCs w:val="24"/>
                <w:lang w:val="en-US" w:eastAsia="zh-CN" w:bidi="ar-SA"/>
              </w:rPr>
              <w:t>，建筑面积约6642.46m</w:t>
            </w:r>
            <w:r>
              <w:rPr>
                <w:rFonts w:hint="default" w:ascii="Times New Roman" w:hAnsi="Times New Roman" w:cs="Times New Roman" w:eastAsiaTheme="minorEastAsia"/>
                <w:kern w:val="2"/>
                <w:sz w:val="24"/>
                <w:szCs w:val="24"/>
                <w:vertAlign w:val="superscript"/>
                <w:lang w:val="en-US" w:eastAsia="zh-CN" w:bidi="ar-SA"/>
              </w:rPr>
              <w:t>2</w:t>
            </w:r>
            <w:r>
              <w:rPr>
                <w:rFonts w:hint="default" w:ascii="Times New Roman" w:hAnsi="Times New Roman" w:cs="Times New Roman" w:eastAsiaTheme="minorEastAsia"/>
                <w:kern w:val="2"/>
                <w:sz w:val="24"/>
                <w:szCs w:val="24"/>
                <w:lang w:val="en-US" w:eastAsia="zh-CN" w:bidi="ar-SA"/>
              </w:rPr>
              <w:t>，共计租赁3F（1F、2F、5F）。1F、2F主要为生产厂房，3F主要为原料及成品库房。1F、2F主要布置全自动压端机、大平方剪剥机、电脑裁剪机等生产设备。办公区域位于夹层，建筑面积约419.17m</w:t>
            </w:r>
            <w:r>
              <w:rPr>
                <w:rFonts w:hint="default" w:ascii="Times New Roman" w:hAnsi="Times New Roman" w:cs="Times New Roman" w:eastAsiaTheme="minorEastAsia"/>
                <w:kern w:val="2"/>
                <w:sz w:val="24"/>
                <w:szCs w:val="24"/>
                <w:vertAlign w:val="superscript"/>
                <w:lang w:val="en-US" w:eastAsia="zh-CN" w:bidi="ar-SA"/>
              </w:rPr>
              <w:t>2</w:t>
            </w:r>
            <w:r>
              <w:rPr>
                <w:rFonts w:hint="default" w:ascii="Times New Roman" w:hAnsi="Times New Roman" w:cs="Times New Roman" w:eastAsiaTheme="minorEastAsia"/>
                <w:kern w:val="2"/>
                <w:sz w:val="24"/>
                <w:szCs w:val="24"/>
                <w:lang w:val="en-US" w:eastAsia="zh-CN" w:bidi="ar-SA"/>
              </w:rPr>
              <w:t>，主要布置办公室、会议室等办公区域。</w:t>
            </w:r>
          </w:p>
          <w:p>
            <w:pPr>
              <w:spacing w:after="0" w:line="440" w:lineRule="exact"/>
              <w:ind w:firstLine="480" w:firstLineChars="20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以上布置，各个工序布局、原辅材料存放以及成品存放，充分考虑了物流转移。评价认为，该布置形成一个综合性的整体布局，生产区域、办公区域分工明确，相对独立，互不影响。项目车间平面布置图，详见附图2</w:t>
            </w:r>
            <w:r>
              <w:rPr>
                <w:rFonts w:hint="default" w:ascii="Times New Roman" w:hAnsi="Times New Roman" w:cs="Times New Roman"/>
                <w:kern w:val="2"/>
                <w:sz w:val="24"/>
                <w:szCs w:val="24"/>
                <w:lang w:val="en-US" w:eastAsia="zh-CN" w:bidi="ar-SA"/>
              </w:rPr>
              <w:t>。</w:t>
            </w:r>
          </w:p>
          <w:p>
            <w:pPr>
              <w:spacing w:beforeLines="20" w:line="480" w:lineRule="auto"/>
              <w:rPr>
                <w:b/>
                <w:bCs/>
                <w:sz w:val="24"/>
              </w:rPr>
            </w:pPr>
            <w:r>
              <w:rPr>
                <w:rFonts w:hAnsi="宋体"/>
                <w:b/>
                <w:bCs/>
                <w:sz w:val="24"/>
              </w:rPr>
              <w:t>原辅材料消耗及水平衡：</w:t>
            </w:r>
          </w:p>
          <w:p>
            <w:pPr>
              <w:snapToGrid w:val="0"/>
              <w:spacing w:line="360" w:lineRule="auto"/>
              <w:ind w:firstLine="480" w:firstLineChars="200"/>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主要原辅材料及消耗数量详见表2-2。</w:t>
            </w:r>
          </w:p>
          <w:p>
            <w:pPr>
              <w:spacing w:beforeLines="20" w:line="480" w:lineRule="auto"/>
              <w:ind w:firstLine="422" w:firstLineChars="200"/>
              <w:jc w:val="center"/>
              <w:rPr>
                <w:b/>
                <w:sz w:val="21"/>
                <w:szCs w:val="21"/>
              </w:rPr>
            </w:pPr>
            <w:r>
              <w:rPr>
                <w:rFonts w:hAnsi="宋体"/>
                <w:b/>
                <w:sz w:val="21"/>
                <w:szCs w:val="21"/>
              </w:rPr>
              <w:t>表</w:t>
            </w:r>
            <w:r>
              <w:rPr>
                <w:b/>
                <w:sz w:val="21"/>
                <w:szCs w:val="21"/>
              </w:rPr>
              <w:t xml:space="preserve">2-2  </w:t>
            </w:r>
            <w:r>
              <w:rPr>
                <w:rFonts w:hAnsi="宋体"/>
                <w:b/>
                <w:sz w:val="21"/>
                <w:szCs w:val="21"/>
              </w:rPr>
              <w:t>主要原辅材料</w:t>
            </w:r>
            <w:r>
              <w:rPr>
                <w:rFonts w:hint="eastAsia" w:hAnsi="宋体"/>
                <w:b/>
                <w:sz w:val="21"/>
                <w:szCs w:val="21"/>
                <w:lang w:eastAsia="zh-CN"/>
              </w:rPr>
              <w:t>及</w:t>
            </w:r>
            <w:r>
              <w:rPr>
                <w:rFonts w:hAnsi="宋体"/>
                <w:b/>
                <w:sz w:val="21"/>
                <w:szCs w:val="21"/>
              </w:rPr>
              <w:t>年消耗数量</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845"/>
              <w:gridCol w:w="705"/>
              <w:gridCol w:w="1140"/>
              <w:gridCol w:w="2850"/>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1" w:type="dxa"/>
                  <w:noWrap w:val="0"/>
                  <w:vAlign w:val="center"/>
                </w:tcPr>
                <w:p>
                  <w:pPr>
                    <w:widowControl/>
                    <w:spacing w:line="240" w:lineRule="auto"/>
                    <w:jc w:val="center"/>
                    <w:rPr>
                      <w:rFonts w:hint="default" w:ascii="Times New Roman" w:hAnsi="Times New Roman" w:cs="Times New Roman"/>
                    </w:rPr>
                  </w:pPr>
                  <w:r>
                    <w:rPr>
                      <w:rFonts w:hint="default" w:ascii="Times New Roman" w:hAnsi="Times New Roman" w:cs="Times New Roman"/>
                      <w:color w:val="auto"/>
                      <w:sz w:val="21"/>
                      <w:szCs w:val="21"/>
                      <w:vertAlign w:val="baseline"/>
                      <w:lang w:val="en-US" w:eastAsia="zh-CN"/>
                    </w:rPr>
                    <w:t>序号</w:t>
                  </w:r>
                </w:p>
              </w:tc>
              <w:tc>
                <w:tcPr>
                  <w:tcW w:w="1845" w:type="dxa"/>
                  <w:noWrap w:val="0"/>
                  <w:vAlign w:val="center"/>
                </w:tcPr>
                <w:p>
                  <w:pPr>
                    <w:widowControl/>
                    <w:spacing w:line="240" w:lineRule="auto"/>
                    <w:jc w:val="center"/>
                    <w:rPr>
                      <w:rFonts w:hint="default" w:ascii="Times New Roman" w:hAnsi="Times New Roman" w:cs="Times New Roman"/>
                    </w:rPr>
                  </w:pPr>
                  <w:r>
                    <w:rPr>
                      <w:rFonts w:hint="default" w:ascii="Times New Roman" w:hAnsi="Times New Roman" w:cs="Times New Roman"/>
                      <w:color w:val="auto"/>
                      <w:sz w:val="21"/>
                      <w:szCs w:val="21"/>
                      <w:vertAlign w:val="baseline"/>
                      <w:lang w:val="en-US" w:eastAsia="zh-CN"/>
                    </w:rPr>
                    <w:t>名称</w:t>
                  </w:r>
                </w:p>
              </w:tc>
              <w:tc>
                <w:tcPr>
                  <w:tcW w:w="705" w:type="dxa"/>
                  <w:noWrap w:val="0"/>
                  <w:vAlign w:val="center"/>
                </w:tcPr>
                <w:p>
                  <w:pPr>
                    <w:widowControl/>
                    <w:spacing w:line="240" w:lineRule="auto"/>
                    <w:jc w:val="center"/>
                    <w:rPr>
                      <w:rFonts w:hint="default" w:ascii="Times New Roman" w:hAnsi="Times New Roman" w:cs="Times New Roman"/>
                    </w:rPr>
                  </w:pPr>
                  <w:r>
                    <w:rPr>
                      <w:rFonts w:hint="default" w:ascii="Times New Roman" w:hAnsi="Times New Roman" w:cs="Times New Roman"/>
                      <w:color w:val="auto"/>
                      <w:sz w:val="21"/>
                      <w:szCs w:val="21"/>
                      <w:vertAlign w:val="baseline"/>
                      <w:lang w:val="en-US" w:eastAsia="zh-CN"/>
                    </w:rPr>
                    <w:t>单位</w:t>
                  </w:r>
                </w:p>
              </w:tc>
              <w:tc>
                <w:tcPr>
                  <w:tcW w:w="1140" w:type="dxa"/>
                  <w:noWrap w:val="0"/>
                  <w:vAlign w:val="center"/>
                </w:tcPr>
                <w:p>
                  <w:pPr>
                    <w:widowControl/>
                    <w:spacing w:line="240" w:lineRule="auto"/>
                    <w:jc w:val="center"/>
                    <w:rPr>
                      <w:rFonts w:hint="default" w:ascii="Times New Roman" w:hAnsi="Times New Roman" w:cs="Times New Roman"/>
                    </w:rPr>
                  </w:pPr>
                  <w:r>
                    <w:rPr>
                      <w:rFonts w:hint="default" w:ascii="Times New Roman" w:hAnsi="Times New Roman" w:cs="Times New Roman"/>
                      <w:color w:val="auto"/>
                      <w:sz w:val="21"/>
                      <w:szCs w:val="21"/>
                      <w:vertAlign w:val="baseline"/>
                      <w:lang w:val="en-US" w:eastAsia="zh-CN"/>
                    </w:rPr>
                    <w:t>年用量</w:t>
                  </w:r>
                </w:p>
              </w:tc>
              <w:tc>
                <w:tcPr>
                  <w:tcW w:w="2850" w:type="dxa"/>
                  <w:noWrap w:val="0"/>
                  <w:vAlign w:val="center"/>
                </w:tcPr>
                <w:p>
                  <w:pPr>
                    <w:widowControl/>
                    <w:spacing w:line="240" w:lineRule="auto"/>
                    <w:jc w:val="center"/>
                    <w:rPr>
                      <w:rFonts w:hint="default" w:ascii="Times New Roman" w:hAnsi="Times New Roman" w:cs="Times New Roman"/>
                    </w:rPr>
                  </w:pPr>
                  <w:r>
                    <w:rPr>
                      <w:rFonts w:hint="default" w:ascii="Times New Roman" w:hAnsi="Times New Roman" w:cs="Times New Roman"/>
                      <w:color w:val="auto"/>
                      <w:sz w:val="21"/>
                      <w:szCs w:val="21"/>
                      <w:vertAlign w:val="baseline"/>
                      <w:lang w:val="en-US" w:eastAsia="zh-CN"/>
                    </w:rPr>
                    <w:t>规格</w:t>
                  </w:r>
                </w:p>
              </w:tc>
              <w:tc>
                <w:tcPr>
                  <w:tcW w:w="1245" w:type="dxa"/>
                  <w:noWrap w:val="0"/>
                  <w:vAlign w:val="center"/>
                </w:tcPr>
                <w:p>
                  <w:pPr>
                    <w:snapToGrid w:val="0"/>
                    <w:jc w:val="center"/>
                    <w:rPr>
                      <w:rFonts w:hint="default" w:ascii="Times New Roman" w:hAnsi="Times New Roman" w:cs="Times New Roman"/>
                    </w:rPr>
                  </w:pPr>
                  <w:r>
                    <w:rPr>
                      <w:rFonts w:hint="default" w:ascii="Times New Roman" w:hAnsi="Times New Roman" w:cs="Times New Roman"/>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1" w:type="dxa"/>
                  <w:noWrap w:val="0"/>
                  <w:vAlign w:val="center"/>
                </w:tcPr>
                <w:p>
                  <w:pPr>
                    <w:widowControl/>
                    <w:spacing w:line="240" w:lineRule="auto"/>
                    <w:jc w:val="center"/>
                    <w:rPr>
                      <w:rFonts w:hint="default" w:ascii="Times New Roman" w:hAnsi="Times New Roman" w:cs="Times New Roman"/>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w:t>
                  </w:r>
                </w:p>
              </w:tc>
              <w:tc>
                <w:tcPr>
                  <w:tcW w:w="1845" w:type="dxa"/>
                  <w:noWrap w:val="0"/>
                  <w:vAlign w:val="center"/>
                </w:tcPr>
                <w:p>
                  <w:pPr>
                    <w:spacing w:beforeLines="0" w:afterLines="0"/>
                    <w:jc w:val="center"/>
                    <w:rPr>
                      <w:rFonts w:hint="default" w:ascii="Times New Roman" w:hAnsi="Times New Roman" w:cs="Times New Roman"/>
                    </w:rPr>
                  </w:pPr>
                  <w:r>
                    <w:rPr>
                      <w:rFonts w:hint="default" w:ascii="Times New Roman" w:hAnsi="Times New Roman" w:eastAsia="宋体" w:cs="Times New Roman"/>
                      <w:color w:val="000000" w:themeColor="text1"/>
                      <w:sz w:val="22"/>
                      <w14:textFill>
                        <w14:solidFill>
                          <w14:schemeClr w14:val="tx1"/>
                        </w14:solidFill>
                      </w14:textFill>
                    </w:rPr>
                    <w:t>纯线材</w:t>
                  </w:r>
                </w:p>
              </w:tc>
              <w:tc>
                <w:tcPr>
                  <w:tcW w:w="705" w:type="dxa"/>
                  <w:noWrap w:val="0"/>
                  <w:vAlign w:val="center"/>
                </w:tcPr>
                <w:p>
                  <w:pPr>
                    <w:spacing w:beforeLines="0" w:afterLines="0"/>
                    <w:jc w:val="center"/>
                    <w:rPr>
                      <w:rFonts w:hint="default" w:ascii="Times New Roman" w:hAnsi="Times New Roman" w:cs="Times New Roman"/>
                    </w:rPr>
                  </w:pPr>
                  <w:r>
                    <w:rPr>
                      <w:rFonts w:hint="default" w:ascii="Times New Roman" w:hAnsi="Times New Roman" w:cs="Times New Roman"/>
                      <w:color w:val="000000" w:themeColor="text1"/>
                      <w:kern w:val="2"/>
                      <w:sz w:val="22"/>
                      <w:szCs w:val="24"/>
                      <w:lang w:val="en-US" w:eastAsia="zh-CN" w:bidi="ar-SA"/>
                      <w14:textFill>
                        <w14:solidFill>
                          <w14:schemeClr w14:val="tx1"/>
                        </w14:solidFill>
                      </w14:textFill>
                    </w:rPr>
                    <w:t>m</w:t>
                  </w:r>
                </w:p>
              </w:tc>
              <w:tc>
                <w:tcPr>
                  <w:tcW w:w="1140" w:type="dxa"/>
                  <w:noWrap w:val="0"/>
                  <w:vAlign w:val="center"/>
                </w:tcPr>
                <w:p>
                  <w:pPr>
                    <w:spacing w:beforeLines="0" w:afterLines="0"/>
                    <w:jc w:val="center"/>
                    <w:rPr>
                      <w:rFonts w:hint="default" w:ascii="Times New Roman" w:hAnsi="Times New Roman" w:cs="Times New Roman"/>
                    </w:rPr>
                  </w:pPr>
                  <w:r>
                    <w:rPr>
                      <w:rFonts w:hint="default" w:ascii="Times New Roman" w:hAnsi="Times New Roman" w:eastAsia="宋体" w:cs="Times New Roman"/>
                      <w:color w:val="000000" w:themeColor="text1"/>
                      <w:sz w:val="22"/>
                      <w14:textFill>
                        <w14:solidFill>
                          <w14:schemeClr w14:val="tx1"/>
                        </w14:solidFill>
                      </w14:textFill>
                    </w:rPr>
                    <w:t>2140000</w:t>
                  </w:r>
                </w:p>
              </w:tc>
              <w:tc>
                <w:tcPr>
                  <w:tcW w:w="2850" w:type="dxa"/>
                  <w:noWrap w:val="0"/>
                  <w:vAlign w:val="center"/>
                </w:tcPr>
                <w:p>
                  <w:pPr>
                    <w:widowControl/>
                    <w:spacing w:line="240" w:lineRule="auto"/>
                    <w:jc w:val="center"/>
                    <w:rPr>
                      <w:rFonts w:hint="default" w:ascii="Times New Roman" w:hAnsi="Times New Roman" w:cs="Times New Roman"/>
                    </w:rPr>
                  </w:pPr>
                  <w:r>
                    <w:rPr>
                      <w:rFonts w:hint="default" w:ascii="Times New Roman" w:hAnsi="Times New Roman" w:cs="Times New Roman"/>
                      <w:color w:val="000000" w:themeColor="text1"/>
                      <w:szCs w:val="21"/>
                      <w14:textFill>
                        <w14:solidFill>
                          <w14:schemeClr w14:val="tx1"/>
                        </w14:solidFill>
                      </w14:textFill>
                    </w:rPr>
                    <w:t>低压（60-600V），常用规格有0.3-16.0平方毫米的电线</w:t>
                  </w:r>
                </w:p>
              </w:tc>
              <w:tc>
                <w:tcPr>
                  <w:tcW w:w="1245" w:type="dxa"/>
                  <w:vMerge w:val="restart"/>
                  <w:noWrap w:val="0"/>
                  <w:vAlign w:val="center"/>
                </w:tcPr>
                <w:p>
                  <w:pPr>
                    <w:widowControl/>
                    <w:spacing w:line="240" w:lineRule="auto"/>
                    <w:jc w:val="center"/>
                    <w:rPr>
                      <w:rFonts w:hint="default" w:ascii="Times New Roman" w:hAnsi="Times New Roman" w:cs="Times New Roman"/>
                    </w:rPr>
                  </w:pPr>
                  <w:r>
                    <w:rPr>
                      <w:rFonts w:hint="eastAsia"/>
                      <w:color w:val="auto"/>
                      <w:sz w:val="21"/>
                      <w:szCs w:val="21"/>
                      <w:vertAlign w:val="baseline"/>
                      <w:lang w:val="en-US" w:eastAsia="zh-CN"/>
                    </w:rPr>
                    <w:t>外购成品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1" w:type="dxa"/>
                  <w:noWrap w:val="0"/>
                  <w:vAlign w:val="center"/>
                </w:tcPr>
                <w:p>
                  <w:pPr>
                    <w:widowControl/>
                    <w:spacing w:line="240" w:lineRule="auto"/>
                    <w:jc w:val="center"/>
                    <w:rPr>
                      <w:rFonts w:hint="default" w:ascii="Times New Roman" w:hAnsi="Times New Roman" w:cs="Times New Roman"/>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w:t>
                  </w:r>
                </w:p>
              </w:tc>
              <w:tc>
                <w:tcPr>
                  <w:tcW w:w="1845" w:type="dxa"/>
                  <w:noWrap w:val="0"/>
                  <w:vAlign w:val="center"/>
                </w:tcPr>
                <w:p>
                  <w:pPr>
                    <w:spacing w:beforeLines="0" w:afterLines="0"/>
                    <w:jc w:val="center"/>
                    <w:rPr>
                      <w:rFonts w:hint="default" w:ascii="Times New Roman" w:hAnsi="Times New Roman" w:cs="Times New Roman"/>
                    </w:rPr>
                  </w:pPr>
                  <w:r>
                    <w:rPr>
                      <w:rFonts w:hint="default" w:ascii="Times New Roman" w:hAnsi="Times New Roman" w:eastAsia="宋体" w:cs="Times New Roman"/>
                      <w:color w:val="000000" w:themeColor="text1"/>
                      <w:sz w:val="22"/>
                      <w14:textFill>
                        <w14:solidFill>
                          <w14:schemeClr w14:val="tx1"/>
                        </w14:solidFill>
                      </w14:textFill>
                    </w:rPr>
                    <w:t>绒布胶带</w:t>
                  </w:r>
                </w:p>
              </w:tc>
              <w:tc>
                <w:tcPr>
                  <w:tcW w:w="705" w:type="dxa"/>
                  <w:noWrap w:val="0"/>
                  <w:vAlign w:val="center"/>
                </w:tcPr>
                <w:p>
                  <w:pPr>
                    <w:spacing w:beforeLines="0" w:afterLines="0"/>
                    <w:jc w:val="center"/>
                    <w:rPr>
                      <w:rFonts w:hint="default" w:ascii="Times New Roman" w:hAnsi="Times New Roman" w:cs="Times New Roman"/>
                    </w:rPr>
                  </w:pPr>
                  <w:r>
                    <w:rPr>
                      <w:rFonts w:hint="default" w:ascii="Times New Roman" w:hAnsi="Times New Roman" w:cs="Times New Roman"/>
                      <w:color w:val="000000" w:themeColor="text1"/>
                      <w:kern w:val="2"/>
                      <w:sz w:val="22"/>
                      <w:szCs w:val="24"/>
                      <w:lang w:val="en-US" w:eastAsia="zh-CN" w:bidi="ar-SA"/>
                      <w14:textFill>
                        <w14:solidFill>
                          <w14:schemeClr w14:val="tx1"/>
                        </w14:solidFill>
                      </w14:textFill>
                    </w:rPr>
                    <w:t>m</w:t>
                  </w:r>
                </w:p>
              </w:tc>
              <w:tc>
                <w:tcPr>
                  <w:tcW w:w="1140" w:type="dxa"/>
                  <w:noWrap w:val="0"/>
                  <w:vAlign w:val="center"/>
                </w:tcPr>
                <w:p>
                  <w:pPr>
                    <w:spacing w:beforeLines="0" w:afterLines="0"/>
                    <w:jc w:val="center"/>
                    <w:rPr>
                      <w:rFonts w:hint="default" w:ascii="Times New Roman" w:hAnsi="Times New Roman" w:cs="Times New Roman"/>
                    </w:rPr>
                  </w:pPr>
                  <w:r>
                    <w:rPr>
                      <w:rFonts w:hint="default" w:ascii="Times New Roman" w:hAnsi="Times New Roman" w:eastAsia="宋体" w:cs="Times New Roman"/>
                      <w:color w:val="000000" w:themeColor="text1"/>
                      <w:sz w:val="22"/>
                      <w14:textFill>
                        <w14:solidFill>
                          <w14:schemeClr w14:val="tx1"/>
                        </w14:solidFill>
                      </w14:textFill>
                    </w:rPr>
                    <w:t>34000</w:t>
                  </w:r>
                </w:p>
              </w:tc>
              <w:tc>
                <w:tcPr>
                  <w:tcW w:w="2850" w:type="dxa"/>
                  <w:noWrap w:val="0"/>
                  <w:vAlign w:val="center"/>
                </w:tcPr>
                <w:p>
                  <w:pPr>
                    <w:widowControl/>
                    <w:spacing w:line="240" w:lineRule="auto"/>
                    <w:jc w:val="center"/>
                    <w:rPr>
                      <w:rFonts w:hint="default" w:ascii="Times New Roman" w:hAnsi="Times New Roman" w:cs="Times New Roman"/>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塑料制品</w:t>
                  </w:r>
                </w:p>
              </w:tc>
              <w:tc>
                <w:tcPr>
                  <w:tcW w:w="1245" w:type="dxa"/>
                  <w:vMerge w:val="continue"/>
                  <w:tcBorders/>
                  <w:noWrap w:val="0"/>
                  <w:vAlign w:val="center"/>
                </w:tcPr>
                <w:p>
                  <w:pPr>
                    <w:snapToGrid w:val="0"/>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1" w:type="dxa"/>
                  <w:noWrap w:val="0"/>
                  <w:vAlign w:val="center"/>
                </w:tcPr>
                <w:p>
                  <w:pPr>
                    <w:widowControl/>
                    <w:spacing w:line="240" w:lineRule="auto"/>
                    <w:jc w:val="center"/>
                    <w:rPr>
                      <w:rFonts w:hint="default" w:ascii="Times New Roman" w:hAnsi="Times New Roman" w:cs="Times New Roman"/>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w:t>
                  </w:r>
                </w:p>
              </w:tc>
              <w:tc>
                <w:tcPr>
                  <w:tcW w:w="1845" w:type="dxa"/>
                  <w:noWrap w:val="0"/>
                  <w:vAlign w:val="center"/>
                </w:tcPr>
                <w:p>
                  <w:pPr>
                    <w:spacing w:beforeLines="0" w:afterLines="0"/>
                    <w:jc w:val="center"/>
                    <w:rPr>
                      <w:rFonts w:hint="default" w:ascii="Times New Roman" w:hAnsi="Times New Roman" w:cs="Times New Roman"/>
                    </w:rPr>
                  </w:pPr>
                  <w:r>
                    <w:rPr>
                      <w:rFonts w:hint="default" w:ascii="Times New Roman" w:hAnsi="Times New Roman" w:eastAsia="宋体" w:cs="Times New Roman"/>
                      <w:color w:val="000000" w:themeColor="text1"/>
                      <w:sz w:val="22"/>
                      <w14:textFill>
                        <w14:solidFill>
                          <w14:schemeClr w14:val="tx1"/>
                        </w14:solidFill>
                      </w14:textFill>
                    </w:rPr>
                    <w:t>PVC胶带</w:t>
                  </w:r>
                </w:p>
              </w:tc>
              <w:tc>
                <w:tcPr>
                  <w:tcW w:w="705" w:type="dxa"/>
                  <w:noWrap w:val="0"/>
                  <w:vAlign w:val="center"/>
                </w:tcPr>
                <w:p>
                  <w:pPr>
                    <w:spacing w:beforeLines="0" w:afterLines="0"/>
                    <w:jc w:val="center"/>
                    <w:rPr>
                      <w:rFonts w:hint="default" w:ascii="Times New Roman" w:hAnsi="Times New Roman" w:cs="Times New Roman"/>
                    </w:rPr>
                  </w:pPr>
                  <w:r>
                    <w:rPr>
                      <w:rFonts w:hint="default" w:ascii="Times New Roman" w:hAnsi="Times New Roman" w:cs="Times New Roman"/>
                      <w:color w:val="000000" w:themeColor="text1"/>
                      <w:kern w:val="2"/>
                      <w:sz w:val="22"/>
                      <w:szCs w:val="24"/>
                      <w:lang w:val="en-US" w:eastAsia="zh-CN" w:bidi="ar-SA"/>
                      <w14:textFill>
                        <w14:solidFill>
                          <w14:schemeClr w14:val="tx1"/>
                        </w14:solidFill>
                      </w14:textFill>
                    </w:rPr>
                    <w:t>m</w:t>
                  </w:r>
                </w:p>
              </w:tc>
              <w:tc>
                <w:tcPr>
                  <w:tcW w:w="1140" w:type="dxa"/>
                  <w:noWrap w:val="0"/>
                  <w:vAlign w:val="center"/>
                </w:tcPr>
                <w:p>
                  <w:pPr>
                    <w:spacing w:beforeLines="0" w:afterLines="0"/>
                    <w:jc w:val="center"/>
                    <w:rPr>
                      <w:rFonts w:hint="default" w:ascii="Times New Roman" w:hAnsi="Times New Roman" w:cs="Times New Roman"/>
                    </w:rPr>
                  </w:pPr>
                  <w:r>
                    <w:rPr>
                      <w:rFonts w:hint="default" w:ascii="Times New Roman" w:hAnsi="Times New Roman" w:eastAsia="宋体" w:cs="Times New Roman"/>
                      <w:color w:val="000000" w:themeColor="text1"/>
                      <w:sz w:val="22"/>
                      <w14:textFill>
                        <w14:solidFill>
                          <w14:schemeClr w14:val="tx1"/>
                        </w14:solidFill>
                      </w14:textFill>
                    </w:rPr>
                    <w:t>62000</w:t>
                  </w:r>
                </w:p>
              </w:tc>
              <w:tc>
                <w:tcPr>
                  <w:tcW w:w="2850" w:type="dxa"/>
                  <w:noWrap w:val="0"/>
                  <w:vAlign w:val="center"/>
                </w:tcPr>
                <w:p>
                  <w:pPr>
                    <w:widowControl/>
                    <w:spacing w:line="240" w:lineRule="auto"/>
                    <w:jc w:val="center"/>
                    <w:rPr>
                      <w:rFonts w:hint="default" w:ascii="Times New Roman" w:hAnsi="Times New Roman" w:cs="Times New Roman"/>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塑料制品</w:t>
                  </w:r>
                </w:p>
              </w:tc>
              <w:tc>
                <w:tcPr>
                  <w:tcW w:w="1245" w:type="dxa"/>
                  <w:vMerge w:val="continue"/>
                  <w:tcBorders/>
                  <w:noWrap w:val="0"/>
                  <w:vAlign w:val="center"/>
                </w:tcPr>
                <w:p>
                  <w:pPr>
                    <w:snapToGrid w:val="0"/>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1" w:type="dxa"/>
                  <w:noWrap w:val="0"/>
                  <w:vAlign w:val="center"/>
                </w:tcPr>
                <w:p>
                  <w:pPr>
                    <w:widowControl/>
                    <w:spacing w:line="240" w:lineRule="auto"/>
                    <w:jc w:val="center"/>
                    <w:rPr>
                      <w:rFonts w:hint="default" w:ascii="Times New Roman" w:hAnsi="Times New Roman" w:cs="Times New Roman"/>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4</w:t>
                  </w:r>
                </w:p>
              </w:tc>
              <w:tc>
                <w:tcPr>
                  <w:tcW w:w="1845" w:type="dxa"/>
                  <w:noWrap w:val="0"/>
                  <w:vAlign w:val="center"/>
                </w:tcPr>
                <w:p>
                  <w:pPr>
                    <w:spacing w:beforeLines="0" w:afterLines="0"/>
                    <w:jc w:val="center"/>
                    <w:rPr>
                      <w:rFonts w:hint="default" w:ascii="Times New Roman" w:hAnsi="Times New Roman" w:cs="Times New Roman"/>
                    </w:rPr>
                  </w:pPr>
                  <w:r>
                    <w:rPr>
                      <w:rFonts w:hint="default" w:ascii="Times New Roman" w:hAnsi="Times New Roman" w:eastAsia="宋体" w:cs="Times New Roman"/>
                      <w:color w:val="000000" w:themeColor="text1"/>
                      <w:sz w:val="22"/>
                      <w14:textFill>
                        <w14:solidFill>
                          <w14:schemeClr w14:val="tx1"/>
                        </w14:solidFill>
                      </w14:textFill>
                    </w:rPr>
                    <w:t>端子</w:t>
                  </w:r>
                </w:p>
              </w:tc>
              <w:tc>
                <w:tcPr>
                  <w:tcW w:w="705" w:type="dxa"/>
                  <w:noWrap w:val="0"/>
                  <w:vAlign w:val="center"/>
                </w:tcPr>
                <w:p>
                  <w:pPr>
                    <w:spacing w:beforeLines="0" w:afterLines="0"/>
                    <w:jc w:val="center"/>
                    <w:rPr>
                      <w:rFonts w:hint="default" w:ascii="Times New Roman" w:hAnsi="Times New Roman" w:cs="Times New Roman"/>
                    </w:rPr>
                  </w:pPr>
                  <w:r>
                    <w:rPr>
                      <w:rFonts w:hint="default" w:ascii="Times New Roman" w:hAnsi="Times New Roman" w:cs="Times New Roman"/>
                      <w:color w:val="000000" w:themeColor="text1"/>
                      <w:kern w:val="2"/>
                      <w:sz w:val="22"/>
                      <w:szCs w:val="24"/>
                      <w:lang w:val="en-US" w:eastAsia="zh-CN" w:bidi="ar-SA"/>
                      <w14:textFill>
                        <w14:solidFill>
                          <w14:schemeClr w14:val="tx1"/>
                        </w14:solidFill>
                      </w14:textFill>
                    </w:rPr>
                    <w:t>件</w:t>
                  </w:r>
                </w:p>
              </w:tc>
              <w:tc>
                <w:tcPr>
                  <w:tcW w:w="1140" w:type="dxa"/>
                  <w:noWrap w:val="0"/>
                  <w:vAlign w:val="center"/>
                </w:tcPr>
                <w:p>
                  <w:pPr>
                    <w:spacing w:beforeLines="0" w:afterLines="0"/>
                    <w:jc w:val="center"/>
                    <w:rPr>
                      <w:rFonts w:hint="default" w:ascii="Times New Roman" w:hAnsi="Times New Roman" w:cs="Times New Roman"/>
                    </w:rPr>
                  </w:pPr>
                  <w:r>
                    <w:rPr>
                      <w:rFonts w:hint="default" w:ascii="Times New Roman" w:hAnsi="Times New Roman" w:eastAsia="宋体" w:cs="Times New Roman"/>
                      <w:color w:val="000000" w:themeColor="text1"/>
                      <w:sz w:val="22"/>
                      <w14:textFill>
                        <w14:solidFill>
                          <w14:schemeClr w14:val="tx1"/>
                        </w14:solidFill>
                      </w14:textFill>
                    </w:rPr>
                    <w:t>752000</w:t>
                  </w:r>
                </w:p>
              </w:tc>
              <w:tc>
                <w:tcPr>
                  <w:tcW w:w="2850" w:type="dxa"/>
                  <w:noWrap w:val="0"/>
                  <w:vAlign w:val="center"/>
                </w:tcPr>
                <w:p>
                  <w:pPr>
                    <w:widowControl/>
                    <w:spacing w:line="240" w:lineRule="auto"/>
                    <w:jc w:val="center"/>
                    <w:rPr>
                      <w:rFonts w:hint="default" w:ascii="Times New Roman" w:hAnsi="Times New Roman" w:cs="Times New Roman"/>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铜材</w:t>
                  </w:r>
                </w:p>
              </w:tc>
              <w:tc>
                <w:tcPr>
                  <w:tcW w:w="1245" w:type="dxa"/>
                  <w:vMerge w:val="continue"/>
                  <w:tcBorders/>
                  <w:noWrap w:val="0"/>
                  <w:vAlign w:val="center"/>
                </w:tcPr>
                <w:p>
                  <w:pPr>
                    <w:widowControl/>
                    <w:spacing w:line="240" w:lineRule="auto"/>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1" w:type="dxa"/>
                  <w:noWrap w:val="0"/>
                  <w:vAlign w:val="center"/>
                </w:tcPr>
                <w:p>
                  <w:pPr>
                    <w:widowControl/>
                    <w:spacing w:line="240" w:lineRule="auto"/>
                    <w:jc w:val="center"/>
                    <w:rPr>
                      <w:rFonts w:hint="default" w:ascii="Times New Roman" w:hAnsi="Times New Roman" w:cs="Times New Roman"/>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5</w:t>
                  </w:r>
                </w:p>
              </w:tc>
              <w:tc>
                <w:tcPr>
                  <w:tcW w:w="1845" w:type="dxa"/>
                  <w:noWrap w:val="0"/>
                  <w:vAlign w:val="center"/>
                </w:tcPr>
                <w:p>
                  <w:pPr>
                    <w:spacing w:beforeLines="0" w:afterLines="0"/>
                    <w:jc w:val="center"/>
                    <w:rPr>
                      <w:rFonts w:hint="default" w:ascii="Times New Roman" w:hAnsi="Times New Roman" w:cs="Times New Roman"/>
                    </w:rPr>
                  </w:pPr>
                  <w:r>
                    <w:rPr>
                      <w:rFonts w:hint="default" w:ascii="Times New Roman" w:hAnsi="Times New Roman" w:eastAsia="宋体" w:cs="Times New Roman"/>
                      <w:color w:val="000000" w:themeColor="text1"/>
                      <w:sz w:val="22"/>
                      <w14:textFill>
                        <w14:solidFill>
                          <w14:schemeClr w14:val="tx1"/>
                        </w14:solidFill>
                      </w14:textFill>
                    </w:rPr>
                    <w:t>防水栓</w:t>
                  </w:r>
                </w:p>
              </w:tc>
              <w:tc>
                <w:tcPr>
                  <w:tcW w:w="705" w:type="dxa"/>
                  <w:noWrap w:val="0"/>
                  <w:vAlign w:val="center"/>
                </w:tcPr>
                <w:p>
                  <w:pPr>
                    <w:spacing w:beforeLines="0" w:afterLines="0"/>
                    <w:jc w:val="center"/>
                    <w:rPr>
                      <w:rFonts w:hint="default" w:ascii="Times New Roman" w:hAnsi="Times New Roman" w:cs="Times New Roman"/>
                    </w:rPr>
                  </w:pPr>
                  <w:r>
                    <w:rPr>
                      <w:rFonts w:hint="default" w:ascii="Times New Roman" w:hAnsi="Times New Roman" w:cs="Times New Roman"/>
                      <w:color w:val="000000" w:themeColor="text1"/>
                      <w:kern w:val="2"/>
                      <w:sz w:val="22"/>
                      <w:szCs w:val="24"/>
                      <w:lang w:val="en-US" w:eastAsia="zh-CN" w:bidi="ar-SA"/>
                      <w14:textFill>
                        <w14:solidFill>
                          <w14:schemeClr w14:val="tx1"/>
                        </w14:solidFill>
                      </w14:textFill>
                    </w:rPr>
                    <w:t>件</w:t>
                  </w:r>
                </w:p>
              </w:tc>
              <w:tc>
                <w:tcPr>
                  <w:tcW w:w="1140" w:type="dxa"/>
                  <w:noWrap w:val="0"/>
                  <w:vAlign w:val="center"/>
                </w:tcPr>
                <w:p>
                  <w:pPr>
                    <w:spacing w:beforeLines="0" w:afterLines="0"/>
                    <w:jc w:val="center"/>
                    <w:rPr>
                      <w:rFonts w:hint="default" w:ascii="Times New Roman" w:hAnsi="Times New Roman" w:cs="Times New Roman"/>
                    </w:rPr>
                  </w:pPr>
                  <w:r>
                    <w:rPr>
                      <w:rFonts w:hint="default" w:ascii="Times New Roman" w:hAnsi="Times New Roman" w:eastAsia="宋体" w:cs="Times New Roman"/>
                      <w:color w:val="000000" w:themeColor="text1"/>
                      <w:sz w:val="22"/>
                      <w14:textFill>
                        <w14:solidFill>
                          <w14:schemeClr w14:val="tx1"/>
                        </w14:solidFill>
                      </w14:textFill>
                    </w:rPr>
                    <w:t>188000</w:t>
                  </w:r>
                </w:p>
              </w:tc>
              <w:tc>
                <w:tcPr>
                  <w:tcW w:w="2850" w:type="dxa"/>
                  <w:noWrap w:val="0"/>
                  <w:vAlign w:val="center"/>
                </w:tcPr>
                <w:p>
                  <w:pPr>
                    <w:widowControl/>
                    <w:spacing w:line="240" w:lineRule="auto"/>
                    <w:jc w:val="center"/>
                    <w:rPr>
                      <w:rFonts w:hint="default" w:ascii="Times New Roman" w:hAnsi="Times New Roman" w:cs="Times New Roman"/>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塑料件</w:t>
                  </w:r>
                </w:p>
              </w:tc>
              <w:tc>
                <w:tcPr>
                  <w:tcW w:w="1245" w:type="dxa"/>
                  <w:vMerge w:val="continue"/>
                  <w:tcBorders/>
                  <w:noWrap w:val="0"/>
                  <w:vAlign w:val="center"/>
                </w:tcPr>
                <w:p>
                  <w:pPr>
                    <w:widowControl/>
                    <w:spacing w:line="240" w:lineRule="auto"/>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1" w:type="dxa"/>
                  <w:noWrap w:val="0"/>
                  <w:vAlign w:val="center"/>
                </w:tcPr>
                <w:p>
                  <w:pPr>
                    <w:widowControl/>
                    <w:spacing w:line="240" w:lineRule="auto"/>
                    <w:jc w:val="center"/>
                    <w:rPr>
                      <w:rFonts w:hint="default" w:ascii="Times New Roman" w:hAnsi="Times New Roman" w:cs="Times New Roman"/>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6</w:t>
                  </w:r>
                </w:p>
              </w:tc>
              <w:tc>
                <w:tcPr>
                  <w:tcW w:w="1845" w:type="dxa"/>
                  <w:noWrap w:val="0"/>
                  <w:vAlign w:val="center"/>
                </w:tcPr>
                <w:p>
                  <w:pPr>
                    <w:spacing w:beforeLines="0" w:afterLines="0"/>
                    <w:jc w:val="center"/>
                    <w:rPr>
                      <w:rFonts w:hint="default" w:ascii="Times New Roman" w:hAnsi="Times New Roman" w:cs="Times New Roman"/>
                    </w:rPr>
                  </w:pPr>
                  <w:r>
                    <w:rPr>
                      <w:rFonts w:hint="default" w:ascii="Times New Roman" w:hAnsi="Times New Roman" w:eastAsia="宋体" w:cs="Times New Roman"/>
                      <w:color w:val="000000" w:themeColor="text1"/>
                      <w:sz w:val="22"/>
                      <w14:textFill>
                        <w14:solidFill>
                          <w14:schemeClr w14:val="tx1"/>
                        </w14:solidFill>
                      </w14:textFill>
                    </w:rPr>
                    <w:t>护套</w:t>
                  </w:r>
                </w:p>
              </w:tc>
              <w:tc>
                <w:tcPr>
                  <w:tcW w:w="705" w:type="dxa"/>
                  <w:noWrap w:val="0"/>
                  <w:vAlign w:val="center"/>
                </w:tcPr>
                <w:p>
                  <w:pPr>
                    <w:spacing w:beforeLines="0" w:afterLines="0"/>
                    <w:jc w:val="center"/>
                    <w:rPr>
                      <w:rFonts w:hint="default" w:ascii="Times New Roman" w:hAnsi="Times New Roman" w:cs="Times New Roman"/>
                    </w:rPr>
                  </w:pPr>
                  <w:r>
                    <w:rPr>
                      <w:rFonts w:hint="default" w:ascii="Times New Roman" w:hAnsi="Times New Roman" w:cs="Times New Roman"/>
                      <w:color w:val="000000" w:themeColor="text1"/>
                      <w:kern w:val="2"/>
                      <w:sz w:val="22"/>
                      <w:szCs w:val="24"/>
                      <w:lang w:val="en-US" w:eastAsia="zh-CN" w:bidi="ar-SA"/>
                      <w14:textFill>
                        <w14:solidFill>
                          <w14:schemeClr w14:val="tx1"/>
                        </w14:solidFill>
                      </w14:textFill>
                    </w:rPr>
                    <w:t>件</w:t>
                  </w:r>
                </w:p>
              </w:tc>
              <w:tc>
                <w:tcPr>
                  <w:tcW w:w="1140" w:type="dxa"/>
                  <w:noWrap w:val="0"/>
                  <w:vAlign w:val="center"/>
                </w:tcPr>
                <w:p>
                  <w:pPr>
                    <w:spacing w:beforeLines="0" w:afterLines="0"/>
                    <w:jc w:val="center"/>
                    <w:rPr>
                      <w:rFonts w:hint="default" w:ascii="Times New Roman" w:hAnsi="Times New Roman" w:cs="Times New Roman"/>
                    </w:rPr>
                  </w:pPr>
                  <w:r>
                    <w:rPr>
                      <w:rFonts w:hint="default" w:ascii="Times New Roman" w:hAnsi="Times New Roman" w:eastAsia="宋体" w:cs="Times New Roman"/>
                      <w:color w:val="000000" w:themeColor="text1"/>
                      <w:sz w:val="22"/>
                      <w14:textFill>
                        <w14:solidFill>
                          <w14:schemeClr w14:val="tx1"/>
                        </w14:solidFill>
                      </w14:textFill>
                    </w:rPr>
                    <w:t>488000</w:t>
                  </w:r>
                </w:p>
              </w:tc>
              <w:tc>
                <w:tcPr>
                  <w:tcW w:w="2850" w:type="dxa"/>
                  <w:noWrap w:val="0"/>
                  <w:vAlign w:val="center"/>
                </w:tcPr>
                <w:p>
                  <w:pPr>
                    <w:widowControl/>
                    <w:spacing w:line="240" w:lineRule="auto"/>
                    <w:jc w:val="center"/>
                    <w:rPr>
                      <w:rFonts w:hint="default" w:ascii="Times New Roman" w:hAnsi="Times New Roman" w:cs="Times New Roman"/>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塑料件</w:t>
                  </w:r>
                </w:p>
              </w:tc>
              <w:tc>
                <w:tcPr>
                  <w:tcW w:w="1245" w:type="dxa"/>
                  <w:vMerge w:val="continue"/>
                  <w:tcBorders/>
                  <w:noWrap w:val="0"/>
                  <w:vAlign w:val="center"/>
                </w:tcPr>
                <w:p>
                  <w:pPr>
                    <w:widowControl/>
                    <w:spacing w:line="240" w:lineRule="auto"/>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1" w:type="dxa"/>
                  <w:noWrap w:val="0"/>
                  <w:vAlign w:val="center"/>
                </w:tcPr>
                <w:p>
                  <w:pPr>
                    <w:widowControl/>
                    <w:spacing w:line="240" w:lineRule="auto"/>
                    <w:jc w:val="center"/>
                    <w:rPr>
                      <w:rFonts w:hint="default" w:ascii="Times New Roman" w:hAnsi="Times New Roman" w:cs="Times New Roman"/>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7</w:t>
                  </w:r>
                </w:p>
              </w:tc>
              <w:tc>
                <w:tcPr>
                  <w:tcW w:w="1845" w:type="dxa"/>
                  <w:noWrap w:val="0"/>
                  <w:vAlign w:val="center"/>
                </w:tcPr>
                <w:p>
                  <w:pPr>
                    <w:spacing w:beforeLines="0" w:afterLines="0"/>
                    <w:jc w:val="center"/>
                    <w:rPr>
                      <w:rFonts w:hint="default" w:ascii="Times New Roman" w:hAnsi="Times New Roman" w:cs="Times New Roman"/>
                    </w:rPr>
                  </w:pPr>
                  <w:r>
                    <w:rPr>
                      <w:rFonts w:hint="default" w:ascii="Times New Roman" w:hAnsi="Times New Roman" w:eastAsia="宋体" w:cs="Times New Roman"/>
                      <w:color w:val="000000" w:themeColor="text1"/>
                      <w:sz w:val="20"/>
                      <w14:textFill>
                        <w14:solidFill>
                          <w14:schemeClr w14:val="tx1"/>
                        </w14:solidFill>
                      </w14:textFill>
                    </w:rPr>
                    <w:t>CLIP</w:t>
                  </w:r>
                </w:p>
              </w:tc>
              <w:tc>
                <w:tcPr>
                  <w:tcW w:w="705" w:type="dxa"/>
                  <w:noWrap w:val="0"/>
                  <w:vAlign w:val="center"/>
                </w:tcPr>
                <w:p>
                  <w:pPr>
                    <w:spacing w:beforeLines="0" w:afterLines="0"/>
                    <w:jc w:val="center"/>
                    <w:rPr>
                      <w:rFonts w:hint="default" w:ascii="Times New Roman" w:hAnsi="Times New Roman" w:cs="Times New Roman"/>
                    </w:rPr>
                  </w:pPr>
                  <w:r>
                    <w:rPr>
                      <w:rFonts w:hint="default" w:ascii="Times New Roman" w:hAnsi="Times New Roman" w:cs="Times New Roman"/>
                      <w:color w:val="000000" w:themeColor="text1"/>
                      <w:kern w:val="2"/>
                      <w:sz w:val="22"/>
                      <w:szCs w:val="24"/>
                      <w:lang w:val="en-US" w:eastAsia="zh-CN" w:bidi="ar-SA"/>
                      <w14:textFill>
                        <w14:solidFill>
                          <w14:schemeClr w14:val="tx1"/>
                        </w14:solidFill>
                      </w14:textFill>
                    </w:rPr>
                    <w:t>件</w:t>
                  </w:r>
                </w:p>
              </w:tc>
              <w:tc>
                <w:tcPr>
                  <w:tcW w:w="1140" w:type="dxa"/>
                  <w:noWrap w:val="0"/>
                  <w:vAlign w:val="center"/>
                </w:tcPr>
                <w:p>
                  <w:pPr>
                    <w:spacing w:beforeLines="0" w:afterLines="0"/>
                    <w:jc w:val="center"/>
                    <w:rPr>
                      <w:rFonts w:hint="default" w:ascii="Times New Roman" w:hAnsi="Times New Roman" w:cs="Times New Roman"/>
                    </w:rPr>
                  </w:pPr>
                  <w:r>
                    <w:rPr>
                      <w:rFonts w:hint="default" w:ascii="Times New Roman" w:hAnsi="Times New Roman" w:eastAsia="宋体" w:cs="Times New Roman"/>
                      <w:color w:val="000000" w:themeColor="text1"/>
                      <w:sz w:val="22"/>
                      <w14:textFill>
                        <w14:solidFill>
                          <w14:schemeClr w14:val="tx1"/>
                        </w14:solidFill>
                      </w14:textFill>
                    </w:rPr>
                    <w:t>222000</w:t>
                  </w:r>
                </w:p>
              </w:tc>
              <w:tc>
                <w:tcPr>
                  <w:tcW w:w="2850" w:type="dxa"/>
                  <w:noWrap w:val="0"/>
                  <w:vAlign w:val="center"/>
                </w:tcPr>
                <w:p>
                  <w:pPr>
                    <w:widowControl/>
                    <w:spacing w:line="240" w:lineRule="auto"/>
                    <w:jc w:val="center"/>
                    <w:rPr>
                      <w:rFonts w:hint="default" w:ascii="Times New Roman" w:hAnsi="Times New Roman" w:cs="Times New Roman"/>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塑料件</w:t>
                  </w:r>
                </w:p>
              </w:tc>
              <w:tc>
                <w:tcPr>
                  <w:tcW w:w="1245" w:type="dxa"/>
                  <w:vMerge w:val="continue"/>
                  <w:tcBorders/>
                  <w:noWrap w:val="0"/>
                  <w:vAlign w:val="center"/>
                </w:tcPr>
                <w:p>
                  <w:pPr>
                    <w:widowControl/>
                    <w:spacing w:line="240" w:lineRule="auto"/>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1" w:type="dxa"/>
                  <w:noWrap w:val="0"/>
                  <w:vAlign w:val="center"/>
                </w:tcPr>
                <w:p>
                  <w:pPr>
                    <w:widowControl/>
                    <w:spacing w:line="240" w:lineRule="auto"/>
                    <w:jc w:val="center"/>
                    <w:rPr>
                      <w:rFonts w:hint="default" w:ascii="Times New Roman" w:hAnsi="Times New Roman" w:cs="Times New Roman"/>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8</w:t>
                  </w:r>
                </w:p>
              </w:tc>
              <w:tc>
                <w:tcPr>
                  <w:tcW w:w="1845" w:type="dxa"/>
                  <w:noWrap w:val="0"/>
                  <w:vAlign w:val="center"/>
                </w:tcPr>
                <w:p>
                  <w:pPr>
                    <w:spacing w:beforeLines="0" w:afterLines="0"/>
                    <w:jc w:val="center"/>
                    <w:rPr>
                      <w:rFonts w:hint="default" w:ascii="Times New Roman" w:hAnsi="Times New Roman" w:cs="Times New Roman"/>
                    </w:rPr>
                  </w:pPr>
                  <w:r>
                    <w:rPr>
                      <w:rFonts w:hint="default" w:ascii="Times New Roman" w:hAnsi="Times New Roman" w:eastAsia="宋体" w:cs="Times New Roman"/>
                      <w:color w:val="000000" w:themeColor="text1"/>
                      <w:sz w:val="22"/>
                      <w14:textFill>
                        <w14:solidFill>
                          <w14:schemeClr w14:val="tx1"/>
                        </w14:solidFill>
                      </w14:textFill>
                    </w:rPr>
                    <w:t>波纹管</w:t>
                  </w:r>
                </w:p>
              </w:tc>
              <w:tc>
                <w:tcPr>
                  <w:tcW w:w="705" w:type="dxa"/>
                  <w:noWrap w:val="0"/>
                  <w:vAlign w:val="center"/>
                </w:tcPr>
                <w:p>
                  <w:pPr>
                    <w:spacing w:beforeLines="0" w:afterLines="0"/>
                    <w:jc w:val="center"/>
                    <w:rPr>
                      <w:rFonts w:hint="default" w:ascii="Times New Roman" w:hAnsi="Times New Roman" w:cs="Times New Roman"/>
                    </w:rPr>
                  </w:pPr>
                  <w:r>
                    <w:rPr>
                      <w:rFonts w:hint="default" w:ascii="Times New Roman" w:hAnsi="Times New Roman" w:cs="Times New Roman"/>
                      <w:color w:val="000000" w:themeColor="text1"/>
                      <w:kern w:val="2"/>
                      <w:sz w:val="22"/>
                      <w:szCs w:val="24"/>
                      <w:lang w:val="en-US" w:eastAsia="zh-CN" w:bidi="ar-SA"/>
                      <w14:textFill>
                        <w14:solidFill>
                          <w14:schemeClr w14:val="tx1"/>
                        </w14:solidFill>
                      </w14:textFill>
                    </w:rPr>
                    <w:t>件</w:t>
                  </w:r>
                </w:p>
              </w:tc>
              <w:tc>
                <w:tcPr>
                  <w:tcW w:w="1140" w:type="dxa"/>
                  <w:noWrap w:val="0"/>
                  <w:vAlign w:val="center"/>
                </w:tcPr>
                <w:p>
                  <w:pPr>
                    <w:spacing w:beforeLines="0" w:afterLines="0"/>
                    <w:jc w:val="center"/>
                    <w:rPr>
                      <w:rFonts w:hint="default" w:ascii="Times New Roman" w:hAnsi="Times New Roman" w:cs="Times New Roman"/>
                    </w:rPr>
                  </w:pPr>
                  <w:r>
                    <w:rPr>
                      <w:rFonts w:hint="default" w:ascii="Times New Roman" w:hAnsi="Times New Roman" w:eastAsia="宋体" w:cs="Times New Roman"/>
                      <w:color w:val="000000" w:themeColor="text1"/>
                      <w:sz w:val="22"/>
                      <w14:textFill>
                        <w14:solidFill>
                          <w14:schemeClr w14:val="tx1"/>
                        </w14:solidFill>
                      </w14:textFill>
                    </w:rPr>
                    <w:t>480000</w:t>
                  </w:r>
                </w:p>
              </w:tc>
              <w:tc>
                <w:tcPr>
                  <w:tcW w:w="2850" w:type="dxa"/>
                  <w:noWrap w:val="0"/>
                  <w:vAlign w:val="center"/>
                </w:tcPr>
                <w:p>
                  <w:pPr>
                    <w:widowControl/>
                    <w:spacing w:line="240" w:lineRule="auto"/>
                    <w:jc w:val="center"/>
                    <w:rPr>
                      <w:rFonts w:hint="default" w:ascii="Times New Roman" w:hAnsi="Times New Roman" w:cs="Times New Roman"/>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塑料制品</w:t>
                  </w:r>
                </w:p>
              </w:tc>
              <w:tc>
                <w:tcPr>
                  <w:tcW w:w="1245" w:type="dxa"/>
                  <w:vMerge w:val="continue"/>
                  <w:tcBorders/>
                  <w:noWrap w:val="0"/>
                  <w:vAlign w:val="center"/>
                </w:tcPr>
                <w:p>
                  <w:pPr>
                    <w:widowControl/>
                    <w:spacing w:line="240" w:lineRule="auto"/>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1" w:type="dxa"/>
                  <w:noWrap w:val="0"/>
                  <w:vAlign w:val="center"/>
                </w:tcPr>
                <w:p>
                  <w:pPr>
                    <w:widowControl/>
                    <w:spacing w:line="240" w:lineRule="auto"/>
                    <w:jc w:val="center"/>
                    <w:rPr>
                      <w:rFonts w:hint="default" w:ascii="Times New Roman" w:hAnsi="Times New Roman" w:cs="Times New Roman"/>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9</w:t>
                  </w:r>
                </w:p>
              </w:tc>
              <w:tc>
                <w:tcPr>
                  <w:tcW w:w="1845" w:type="dxa"/>
                  <w:noWrap w:val="0"/>
                  <w:vAlign w:val="center"/>
                </w:tcPr>
                <w:p>
                  <w:pPr>
                    <w:spacing w:beforeLines="0" w:afterLines="0"/>
                    <w:jc w:val="center"/>
                    <w:rPr>
                      <w:rFonts w:hint="default" w:ascii="Times New Roman" w:hAnsi="Times New Roman" w:cs="Times New Roman" w:eastAsiaTheme="minorEastAsia"/>
                      <w:lang w:eastAsia="zh-CN"/>
                    </w:rPr>
                  </w:pPr>
                  <w:r>
                    <w:rPr>
                      <w:rFonts w:hint="default" w:ascii="Times New Roman" w:hAnsi="Times New Roman" w:eastAsia="宋体" w:cs="Times New Roman"/>
                      <w:color w:val="000000" w:themeColor="text1"/>
                      <w:sz w:val="22"/>
                      <w14:textFill>
                        <w14:solidFill>
                          <w14:schemeClr w14:val="tx1"/>
                        </w14:solidFill>
                      </w14:textFill>
                    </w:rPr>
                    <w:t>保險盒</w:t>
                  </w:r>
                </w:p>
              </w:tc>
              <w:tc>
                <w:tcPr>
                  <w:tcW w:w="705" w:type="dxa"/>
                  <w:noWrap w:val="0"/>
                  <w:vAlign w:val="center"/>
                </w:tcPr>
                <w:p>
                  <w:pPr>
                    <w:spacing w:beforeLines="0" w:afterLines="0"/>
                    <w:jc w:val="center"/>
                    <w:rPr>
                      <w:rFonts w:hint="default" w:ascii="Times New Roman" w:hAnsi="Times New Roman" w:cs="Times New Roman"/>
                    </w:rPr>
                  </w:pPr>
                  <w:r>
                    <w:rPr>
                      <w:rFonts w:hint="default" w:ascii="Times New Roman" w:hAnsi="Times New Roman" w:cs="Times New Roman"/>
                      <w:color w:val="000000" w:themeColor="text1"/>
                      <w:kern w:val="2"/>
                      <w:sz w:val="22"/>
                      <w:szCs w:val="24"/>
                      <w:lang w:val="en-US" w:eastAsia="zh-CN" w:bidi="ar-SA"/>
                      <w14:textFill>
                        <w14:solidFill>
                          <w14:schemeClr w14:val="tx1"/>
                        </w14:solidFill>
                      </w14:textFill>
                    </w:rPr>
                    <w:t>件</w:t>
                  </w:r>
                </w:p>
              </w:tc>
              <w:tc>
                <w:tcPr>
                  <w:tcW w:w="1140" w:type="dxa"/>
                  <w:noWrap w:val="0"/>
                  <w:vAlign w:val="center"/>
                </w:tcPr>
                <w:p>
                  <w:pPr>
                    <w:spacing w:beforeLines="0" w:afterLines="0"/>
                    <w:jc w:val="center"/>
                    <w:rPr>
                      <w:rFonts w:hint="default" w:ascii="Times New Roman" w:hAnsi="Times New Roman" w:cs="Times New Roman"/>
                    </w:rPr>
                  </w:pPr>
                  <w:r>
                    <w:rPr>
                      <w:rFonts w:hint="default" w:ascii="Times New Roman" w:hAnsi="Times New Roman" w:eastAsia="宋体" w:cs="Times New Roman"/>
                      <w:color w:val="000000" w:themeColor="text1"/>
                      <w:sz w:val="22"/>
                      <w14:textFill>
                        <w14:solidFill>
                          <w14:schemeClr w14:val="tx1"/>
                        </w14:solidFill>
                      </w14:textFill>
                    </w:rPr>
                    <w:t>30000</w:t>
                  </w:r>
                </w:p>
              </w:tc>
              <w:tc>
                <w:tcPr>
                  <w:tcW w:w="2850" w:type="dxa"/>
                  <w:noWrap w:val="0"/>
                  <w:vAlign w:val="center"/>
                </w:tcPr>
                <w:p>
                  <w:pPr>
                    <w:widowControl/>
                    <w:spacing w:line="240" w:lineRule="auto"/>
                    <w:jc w:val="center"/>
                    <w:rPr>
                      <w:rFonts w:hint="default" w:ascii="Times New Roman" w:hAnsi="Times New Roman" w:cs="Times New Roman"/>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塑料件</w:t>
                  </w:r>
                </w:p>
              </w:tc>
              <w:tc>
                <w:tcPr>
                  <w:tcW w:w="1245" w:type="dxa"/>
                  <w:vMerge w:val="continue"/>
                  <w:tcBorders/>
                  <w:noWrap w:val="0"/>
                  <w:vAlign w:val="center"/>
                </w:tcPr>
                <w:p>
                  <w:pPr>
                    <w:widowControl/>
                    <w:spacing w:line="240" w:lineRule="auto"/>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1" w:type="dxa"/>
                  <w:noWrap w:val="0"/>
                  <w:vAlign w:val="center"/>
                </w:tcPr>
                <w:p>
                  <w:pPr>
                    <w:widowControl/>
                    <w:spacing w:line="240" w:lineRule="auto"/>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000000" w:themeColor="text1"/>
                      <w:sz w:val="21"/>
                      <w:szCs w:val="21"/>
                      <w:vertAlign w:val="baseline"/>
                      <w:lang w:val="en-US" w:eastAsia="zh-CN"/>
                      <w14:textFill>
                        <w14:solidFill>
                          <w14:schemeClr w14:val="tx1"/>
                        </w14:solidFill>
                      </w14:textFill>
                    </w:rPr>
                    <w:t>10</w:t>
                  </w:r>
                </w:p>
              </w:tc>
              <w:tc>
                <w:tcPr>
                  <w:tcW w:w="1845" w:type="dxa"/>
                  <w:noWrap w:val="0"/>
                  <w:vAlign w:val="center"/>
                </w:tcPr>
                <w:p>
                  <w:pPr>
                    <w:spacing w:beforeLines="0" w:afterLines="0"/>
                    <w:jc w:val="center"/>
                    <w:rPr>
                      <w:rFonts w:hint="default" w:ascii="Times New Roman" w:hAnsi="Times New Roman" w:cs="Times New Roman"/>
                      <w:lang w:eastAsia="zh-CN"/>
                    </w:rPr>
                  </w:pPr>
                  <w:r>
                    <w:rPr>
                      <w:rFonts w:hint="default" w:ascii="Times New Roman" w:hAnsi="Times New Roman" w:cs="Times New Roman"/>
                      <w:color w:val="000000" w:themeColor="text1"/>
                      <w:sz w:val="22"/>
                      <w:highlight w:val="none"/>
                      <w:lang w:val="en-US" w:eastAsia="zh-CN"/>
                      <w14:textFill>
                        <w14:solidFill>
                          <w14:schemeClr w14:val="tx1"/>
                        </w14:solidFill>
                      </w14:textFill>
                    </w:rPr>
                    <w:t>润滑油</w:t>
                  </w:r>
                </w:p>
              </w:tc>
              <w:tc>
                <w:tcPr>
                  <w:tcW w:w="705" w:type="dxa"/>
                  <w:noWrap w:val="0"/>
                  <w:vAlign w:val="center"/>
                </w:tcPr>
                <w:p>
                  <w:pPr>
                    <w:spacing w:beforeLines="0" w:afterLines="0"/>
                    <w:jc w:val="center"/>
                    <w:rPr>
                      <w:rFonts w:hint="default" w:ascii="Times New Roman" w:hAnsi="Times New Roman" w:cs="Times New Roman"/>
                      <w:color w:val="auto"/>
                      <w:kern w:val="2"/>
                      <w:sz w:val="22"/>
                      <w:szCs w:val="24"/>
                      <w:lang w:val="en-US" w:eastAsia="zh-CN" w:bidi="ar-SA"/>
                    </w:rPr>
                  </w:pPr>
                  <w:r>
                    <w:rPr>
                      <w:rFonts w:hint="default" w:ascii="Times New Roman" w:hAnsi="Times New Roman" w:cs="Times New Roman"/>
                      <w:color w:val="000000" w:themeColor="text1"/>
                      <w:kern w:val="2"/>
                      <w:sz w:val="22"/>
                      <w:szCs w:val="24"/>
                      <w:highlight w:val="none"/>
                      <w:lang w:val="en-US" w:eastAsia="zh-CN" w:bidi="ar-SA"/>
                      <w14:textFill>
                        <w14:solidFill>
                          <w14:schemeClr w14:val="tx1"/>
                        </w14:solidFill>
                      </w14:textFill>
                    </w:rPr>
                    <w:t>t</w:t>
                  </w:r>
                </w:p>
              </w:tc>
              <w:tc>
                <w:tcPr>
                  <w:tcW w:w="1140" w:type="dxa"/>
                  <w:noWrap w:val="0"/>
                  <w:vAlign w:val="center"/>
                </w:tcPr>
                <w:p>
                  <w:pPr>
                    <w:spacing w:beforeLines="0" w:afterLines="0"/>
                    <w:jc w:val="center"/>
                    <w:rPr>
                      <w:rFonts w:hint="default" w:ascii="Times New Roman" w:hAnsi="Times New Roman" w:eastAsia="宋体" w:cs="Times New Roman"/>
                      <w:color w:val="auto"/>
                      <w:sz w:val="22"/>
                    </w:rPr>
                  </w:pPr>
                  <w:r>
                    <w:rPr>
                      <w:rFonts w:hint="default" w:ascii="Times New Roman" w:hAnsi="Times New Roman" w:cs="Times New Roman"/>
                      <w:color w:val="000000" w:themeColor="text1"/>
                      <w:sz w:val="22"/>
                      <w:highlight w:val="none"/>
                      <w:lang w:val="en-US" w:eastAsia="zh-CN"/>
                      <w14:textFill>
                        <w14:solidFill>
                          <w14:schemeClr w14:val="tx1"/>
                        </w14:solidFill>
                      </w14:textFill>
                    </w:rPr>
                    <w:t>0.1</w:t>
                  </w:r>
                </w:p>
              </w:tc>
              <w:tc>
                <w:tcPr>
                  <w:tcW w:w="2850" w:type="dxa"/>
                  <w:noWrap w:val="0"/>
                  <w:vAlign w:val="center"/>
                </w:tcPr>
                <w:p>
                  <w:pPr>
                    <w:widowControl/>
                    <w:spacing w:line="240" w:lineRule="auto"/>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25kg/桶</w:t>
                  </w:r>
                </w:p>
              </w:tc>
              <w:tc>
                <w:tcPr>
                  <w:tcW w:w="1245" w:type="dxa"/>
                  <w:vMerge w:val="continue"/>
                  <w:tcBorders/>
                  <w:noWrap w:val="0"/>
                  <w:vAlign w:val="center"/>
                </w:tcPr>
                <w:p>
                  <w:pPr>
                    <w:widowControl/>
                    <w:spacing w:line="240" w:lineRule="auto"/>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1" w:type="dxa"/>
                  <w:noWrap w:val="0"/>
                  <w:vAlign w:val="center"/>
                </w:tcPr>
                <w:p>
                  <w:pPr>
                    <w:widowControl/>
                    <w:spacing w:line="240" w:lineRule="auto"/>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000000" w:themeColor="text1"/>
                      <w:sz w:val="21"/>
                      <w:szCs w:val="21"/>
                      <w:vertAlign w:val="baseline"/>
                      <w:lang w:val="en-US" w:eastAsia="zh-CN"/>
                      <w14:textFill>
                        <w14:solidFill>
                          <w14:schemeClr w14:val="tx1"/>
                        </w14:solidFill>
                      </w14:textFill>
                    </w:rPr>
                    <w:t>11</w:t>
                  </w:r>
                </w:p>
              </w:tc>
              <w:tc>
                <w:tcPr>
                  <w:tcW w:w="1845" w:type="dxa"/>
                  <w:noWrap w:val="0"/>
                  <w:vAlign w:val="center"/>
                </w:tcPr>
                <w:p>
                  <w:pPr>
                    <w:spacing w:beforeLines="0" w:afterLines="0"/>
                    <w:jc w:val="center"/>
                    <w:rPr>
                      <w:rFonts w:hint="default" w:ascii="Times New Roman" w:hAnsi="Times New Roman" w:cs="Times New Roman"/>
                      <w:lang w:eastAsia="zh-CN"/>
                    </w:rPr>
                  </w:pPr>
                  <w:r>
                    <w:rPr>
                      <w:rFonts w:hint="default" w:ascii="Times New Roman" w:hAnsi="Times New Roman" w:cs="Times New Roman"/>
                      <w:color w:val="000000" w:themeColor="text1"/>
                      <w:sz w:val="22"/>
                      <w:highlight w:val="none"/>
                      <w:lang w:val="en-US" w:eastAsia="zh-CN"/>
                      <w14:textFill>
                        <w14:solidFill>
                          <w14:schemeClr w14:val="tx1"/>
                        </w14:solidFill>
                      </w14:textFill>
                    </w:rPr>
                    <w:t>棉纱手套</w:t>
                  </w:r>
                </w:p>
              </w:tc>
              <w:tc>
                <w:tcPr>
                  <w:tcW w:w="705" w:type="dxa"/>
                  <w:noWrap w:val="0"/>
                  <w:vAlign w:val="center"/>
                </w:tcPr>
                <w:p>
                  <w:pPr>
                    <w:spacing w:beforeLines="0" w:afterLines="0"/>
                    <w:jc w:val="center"/>
                    <w:rPr>
                      <w:rFonts w:hint="default" w:ascii="Times New Roman" w:hAnsi="Times New Roman" w:cs="Times New Roman"/>
                      <w:color w:val="auto"/>
                      <w:kern w:val="2"/>
                      <w:sz w:val="22"/>
                      <w:szCs w:val="24"/>
                      <w:lang w:val="en-US" w:eastAsia="zh-CN" w:bidi="ar-SA"/>
                    </w:rPr>
                  </w:pPr>
                  <w:r>
                    <w:rPr>
                      <w:rFonts w:hint="default" w:ascii="Times New Roman" w:hAnsi="Times New Roman" w:cs="Times New Roman"/>
                      <w:color w:val="000000" w:themeColor="text1"/>
                      <w:kern w:val="2"/>
                      <w:sz w:val="22"/>
                      <w:szCs w:val="24"/>
                      <w:highlight w:val="none"/>
                      <w:lang w:val="en-US" w:eastAsia="zh-CN" w:bidi="ar-SA"/>
                      <w14:textFill>
                        <w14:solidFill>
                          <w14:schemeClr w14:val="tx1"/>
                        </w14:solidFill>
                      </w14:textFill>
                    </w:rPr>
                    <w:t>t</w:t>
                  </w:r>
                </w:p>
              </w:tc>
              <w:tc>
                <w:tcPr>
                  <w:tcW w:w="1140" w:type="dxa"/>
                  <w:noWrap w:val="0"/>
                  <w:vAlign w:val="center"/>
                </w:tcPr>
                <w:p>
                  <w:pPr>
                    <w:spacing w:beforeLines="0" w:afterLines="0"/>
                    <w:jc w:val="center"/>
                    <w:rPr>
                      <w:rFonts w:hint="default" w:ascii="Times New Roman" w:hAnsi="Times New Roman" w:eastAsia="宋体" w:cs="Times New Roman"/>
                      <w:color w:val="auto"/>
                      <w:sz w:val="22"/>
                    </w:rPr>
                  </w:pPr>
                  <w:r>
                    <w:rPr>
                      <w:rFonts w:hint="default" w:ascii="Times New Roman" w:hAnsi="Times New Roman" w:cs="Times New Roman"/>
                      <w:color w:val="000000" w:themeColor="text1"/>
                      <w:sz w:val="22"/>
                      <w:highlight w:val="none"/>
                      <w:lang w:val="en-US" w:eastAsia="zh-CN"/>
                      <w14:textFill>
                        <w14:solidFill>
                          <w14:schemeClr w14:val="tx1"/>
                        </w14:solidFill>
                      </w14:textFill>
                    </w:rPr>
                    <w:t>0.001</w:t>
                  </w:r>
                </w:p>
              </w:tc>
              <w:tc>
                <w:tcPr>
                  <w:tcW w:w="2850" w:type="dxa"/>
                  <w:noWrap w:val="0"/>
                  <w:vAlign w:val="center"/>
                </w:tcPr>
                <w:p>
                  <w:pPr>
                    <w:widowControl/>
                    <w:spacing w:line="240" w:lineRule="auto"/>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w:t>
                  </w:r>
                </w:p>
              </w:tc>
              <w:tc>
                <w:tcPr>
                  <w:tcW w:w="1245" w:type="dxa"/>
                  <w:vMerge w:val="continue"/>
                  <w:tcBorders/>
                  <w:noWrap w:val="0"/>
                  <w:vAlign w:val="center"/>
                </w:tcPr>
                <w:p>
                  <w:pPr>
                    <w:widowControl/>
                    <w:spacing w:line="240" w:lineRule="auto"/>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1" w:type="dxa"/>
                  <w:noWrap w:val="0"/>
                  <w:vAlign w:val="center"/>
                </w:tcPr>
                <w:p>
                  <w:pPr>
                    <w:widowControl/>
                    <w:spacing w:line="240" w:lineRule="auto"/>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000000" w:themeColor="text1"/>
                      <w:sz w:val="21"/>
                      <w:szCs w:val="21"/>
                      <w:vertAlign w:val="baseline"/>
                      <w:lang w:val="en-US" w:eastAsia="zh-CN"/>
                      <w14:textFill>
                        <w14:solidFill>
                          <w14:schemeClr w14:val="tx1"/>
                        </w14:solidFill>
                      </w14:textFill>
                    </w:rPr>
                    <w:t>12</w:t>
                  </w:r>
                </w:p>
              </w:tc>
              <w:tc>
                <w:tcPr>
                  <w:tcW w:w="1845" w:type="dxa"/>
                  <w:noWrap w:val="0"/>
                  <w:vAlign w:val="center"/>
                </w:tcPr>
                <w:p>
                  <w:pPr>
                    <w:spacing w:beforeLines="0" w:afterLines="0"/>
                    <w:jc w:val="center"/>
                    <w:rPr>
                      <w:rFonts w:hint="default" w:ascii="Times New Roman" w:hAnsi="Times New Roman" w:cs="Times New Roman"/>
                      <w:lang w:eastAsia="zh-CN"/>
                    </w:rPr>
                  </w:pPr>
                  <w:r>
                    <w:rPr>
                      <w:rFonts w:hint="default" w:ascii="Times New Roman" w:hAnsi="Times New Roman" w:cs="Times New Roman"/>
                      <w:color w:val="000000" w:themeColor="text1"/>
                      <w:sz w:val="22"/>
                      <w:highlight w:val="none"/>
                      <w:lang w:val="en-US" w:eastAsia="zh-CN"/>
                      <w14:textFill>
                        <w14:solidFill>
                          <w14:schemeClr w14:val="tx1"/>
                        </w14:solidFill>
                      </w14:textFill>
                    </w:rPr>
                    <w:t>PET热缩管</w:t>
                  </w:r>
                </w:p>
              </w:tc>
              <w:tc>
                <w:tcPr>
                  <w:tcW w:w="705" w:type="dxa"/>
                  <w:noWrap w:val="0"/>
                  <w:vAlign w:val="center"/>
                </w:tcPr>
                <w:p>
                  <w:pPr>
                    <w:spacing w:beforeLines="0" w:afterLines="0"/>
                    <w:jc w:val="center"/>
                    <w:rPr>
                      <w:rFonts w:hint="default" w:ascii="Times New Roman" w:hAnsi="Times New Roman" w:cs="Times New Roman"/>
                      <w:color w:val="auto"/>
                      <w:kern w:val="2"/>
                      <w:sz w:val="22"/>
                      <w:szCs w:val="24"/>
                      <w:lang w:val="en-US" w:eastAsia="zh-CN" w:bidi="ar-SA"/>
                    </w:rPr>
                  </w:pPr>
                  <w:r>
                    <w:rPr>
                      <w:rFonts w:hint="default" w:ascii="Times New Roman" w:hAnsi="Times New Roman" w:cs="Times New Roman"/>
                      <w:color w:val="000000" w:themeColor="text1"/>
                      <w:kern w:val="2"/>
                      <w:sz w:val="22"/>
                      <w:szCs w:val="24"/>
                      <w:highlight w:val="none"/>
                      <w:lang w:val="en-US" w:eastAsia="zh-CN" w:bidi="ar-SA"/>
                      <w14:textFill>
                        <w14:solidFill>
                          <w14:schemeClr w14:val="tx1"/>
                        </w14:solidFill>
                      </w14:textFill>
                    </w:rPr>
                    <w:t>m</w:t>
                  </w:r>
                </w:p>
              </w:tc>
              <w:tc>
                <w:tcPr>
                  <w:tcW w:w="1140" w:type="dxa"/>
                  <w:noWrap w:val="0"/>
                  <w:vAlign w:val="center"/>
                </w:tcPr>
                <w:p>
                  <w:pPr>
                    <w:spacing w:beforeLines="0" w:afterLines="0"/>
                    <w:jc w:val="center"/>
                    <w:rPr>
                      <w:rFonts w:hint="default" w:ascii="Times New Roman" w:hAnsi="Times New Roman" w:eastAsia="宋体" w:cs="Times New Roman"/>
                      <w:color w:val="auto"/>
                      <w:sz w:val="22"/>
                    </w:rPr>
                  </w:pPr>
                  <w:r>
                    <w:rPr>
                      <w:rFonts w:hint="default" w:ascii="Times New Roman" w:hAnsi="Times New Roman" w:cs="Times New Roman"/>
                      <w:color w:val="000000" w:themeColor="text1"/>
                      <w:sz w:val="22"/>
                      <w:highlight w:val="none"/>
                      <w:lang w:val="en-US" w:eastAsia="zh-CN"/>
                      <w14:textFill>
                        <w14:solidFill>
                          <w14:schemeClr w14:val="tx1"/>
                        </w14:solidFill>
                      </w14:textFill>
                    </w:rPr>
                    <w:t>339200</w:t>
                  </w:r>
                </w:p>
              </w:tc>
              <w:tc>
                <w:tcPr>
                  <w:tcW w:w="2850" w:type="dxa"/>
                  <w:noWrap w:val="0"/>
                  <w:vAlign w:val="center"/>
                </w:tcPr>
                <w:p>
                  <w:pPr>
                    <w:widowControl/>
                    <w:spacing w:line="240" w:lineRule="auto"/>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约23.86g/m，</w:t>
                  </w:r>
                </w:p>
              </w:tc>
              <w:tc>
                <w:tcPr>
                  <w:tcW w:w="1245" w:type="dxa"/>
                  <w:vMerge w:val="continue"/>
                  <w:tcBorders/>
                  <w:noWrap w:val="0"/>
                  <w:vAlign w:val="center"/>
                </w:tcPr>
                <w:p>
                  <w:pPr>
                    <w:widowControl/>
                    <w:spacing w:line="240" w:lineRule="auto"/>
                    <w:jc w:val="center"/>
                    <w:rPr>
                      <w:rFonts w:hint="default" w:ascii="Times New Roman" w:hAnsi="Times New Roman" w:cs="Times New Roman"/>
                    </w:rPr>
                  </w:pPr>
                </w:p>
              </w:tc>
            </w:tr>
          </w:tbl>
          <w:p>
            <w:pPr>
              <w:spacing w:line="480" w:lineRule="exact"/>
              <w:ind w:firstLine="480" w:firstLineChars="200"/>
              <w:rPr>
                <w:rFonts w:hint="eastAsia" w:hAnsi="宋体"/>
                <w:b/>
                <w:sz w:val="21"/>
                <w:szCs w:val="21"/>
                <w:lang w:val="en-US" w:eastAsia="zh-CN"/>
              </w:rPr>
            </w:pPr>
            <w:r>
              <w:rPr>
                <w:rFonts w:hint="eastAsia" w:ascii="Times New Roman" w:hAnsi="Times New Roman" w:cs="Times New Roman"/>
                <w:color w:val="000000"/>
                <w:sz w:val="24"/>
                <w:szCs w:val="24"/>
                <w:lang w:val="en-US" w:eastAsia="zh-CN"/>
              </w:rPr>
              <w:t>项目主要生产设备见表2-3。</w:t>
            </w:r>
          </w:p>
          <w:p>
            <w:pPr>
              <w:spacing w:beforeLines="20" w:line="480" w:lineRule="auto"/>
              <w:ind w:firstLine="422" w:firstLineChars="200"/>
              <w:jc w:val="center"/>
              <w:rPr>
                <w:rFonts w:hAnsi="宋体"/>
                <w:b/>
                <w:sz w:val="21"/>
                <w:szCs w:val="21"/>
                <w:lang w:val="en-US" w:eastAsia="zh-CN"/>
              </w:rPr>
            </w:pPr>
            <w:r>
              <w:rPr>
                <w:rFonts w:hint="eastAsia" w:hAnsi="宋体"/>
                <w:b/>
                <w:sz w:val="21"/>
                <w:szCs w:val="21"/>
                <w:lang w:val="en-US" w:eastAsia="zh-CN"/>
              </w:rPr>
              <w:t>表2-3</w:t>
            </w:r>
            <w:r>
              <w:rPr>
                <w:rFonts w:hAnsi="宋体"/>
                <w:b/>
                <w:sz w:val="21"/>
                <w:szCs w:val="21"/>
                <w:lang w:val="en-US" w:eastAsia="zh-CN"/>
              </w:rPr>
              <w:t xml:space="preserve"> </w:t>
            </w:r>
            <w:r>
              <w:rPr>
                <w:rFonts w:hint="eastAsia" w:hAnsi="宋体"/>
                <w:b/>
                <w:sz w:val="21"/>
                <w:szCs w:val="21"/>
                <w:lang w:val="en-US" w:eastAsia="zh-CN"/>
              </w:rPr>
              <w:t xml:space="preserve"> </w:t>
            </w:r>
            <w:r>
              <w:rPr>
                <w:rFonts w:hAnsi="宋体"/>
                <w:b/>
                <w:sz w:val="21"/>
                <w:szCs w:val="21"/>
                <w:lang w:val="en-US" w:eastAsia="zh-CN"/>
              </w:rPr>
              <w:t>生产设备一览表</w:t>
            </w:r>
          </w:p>
          <w:tbl>
            <w:tblPr>
              <w:tblStyle w:val="14"/>
              <w:tblW w:w="8296" w:type="dxa"/>
              <w:jc w:val="center"/>
              <w:tblLayout w:type="fixed"/>
              <w:tblCellMar>
                <w:top w:w="0" w:type="dxa"/>
                <w:left w:w="0" w:type="dxa"/>
                <w:bottom w:w="0" w:type="dxa"/>
                <w:right w:w="0" w:type="dxa"/>
              </w:tblCellMar>
            </w:tblPr>
            <w:tblGrid>
              <w:gridCol w:w="486"/>
              <w:gridCol w:w="2485"/>
              <w:gridCol w:w="2205"/>
              <w:gridCol w:w="1275"/>
              <w:gridCol w:w="1845"/>
            </w:tblGrid>
            <w:tr>
              <w:tblPrEx>
                <w:tblCellMar>
                  <w:top w:w="0" w:type="dxa"/>
                  <w:left w:w="0" w:type="dxa"/>
                  <w:bottom w:w="0" w:type="dxa"/>
                  <w:right w:w="0" w:type="dxa"/>
                </w:tblCellMar>
              </w:tblPrEx>
              <w:trPr>
                <w:trHeight w:val="454" w:hRule="atLeast"/>
                <w:jc w:val="center"/>
              </w:trPr>
              <w:tc>
                <w:tcPr>
                  <w:tcW w:w="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9"/>
                    <w:spacing w:line="240" w:lineRule="auto"/>
                    <w:jc w:val="center"/>
                    <w:rPr>
                      <w:rFonts w:hint="default" w:ascii="Times New Roman" w:hAnsi="Times New Roman" w:cs="Times New Roman"/>
                      <w:color w:val="000000"/>
                      <w:sz w:val="21"/>
                      <w:szCs w:val="21"/>
                    </w:rPr>
                  </w:pPr>
                  <w:r>
                    <w:rPr>
                      <w:rFonts w:hint="default" w:ascii="Times New Roman" w:hAnsi="Times New Roman" w:eastAsia="宋体" w:cs="Times New Roman"/>
                      <w:color w:val="auto"/>
                      <w:sz w:val="21"/>
                      <w:szCs w:val="21"/>
                      <w:vertAlign w:val="baseline"/>
                      <w:lang w:val="en-US" w:eastAsia="zh-CN"/>
                    </w:rPr>
                    <w:t>序号</w:t>
                  </w:r>
                </w:p>
              </w:tc>
              <w:tc>
                <w:tcPr>
                  <w:tcW w:w="2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9"/>
                    <w:spacing w:line="240" w:lineRule="auto"/>
                    <w:jc w:val="center"/>
                    <w:rPr>
                      <w:rFonts w:hint="default" w:ascii="Times New Roman" w:hAnsi="Times New Roman" w:cs="Times New Roman"/>
                      <w:color w:val="000000"/>
                      <w:sz w:val="21"/>
                      <w:szCs w:val="21"/>
                    </w:rPr>
                  </w:pPr>
                  <w:r>
                    <w:rPr>
                      <w:rFonts w:hint="default" w:ascii="Times New Roman" w:hAnsi="Times New Roman" w:eastAsia="宋体" w:cs="Times New Roman"/>
                      <w:color w:val="auto"/>
                      <w:sz w:val="21"/>
                      <w:szCs w:val="21"/>
                      <w:vertAlign w:val="baseline"/>
                      <w:lang w:val="en-US" w:eastAsia="zh-CN"/>
                    </w:rPr>
                    <w:t>名称</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9"/>
                    <w:spacing w:line="240" w:lineRule="auto"/>
                    <w:jc w:val="center"/>
                    <w:rPr>
                      <w:rFonts w:hint="default" w:ascii="Times New Roman" w:hAnsi="Times New Roman" w:cs="Times New Roman"/>
                      <w:color w:val="000000"/>
                      <w:sz w:val="21"/>
                      <w:szCs w:val="21"/>
                    </w:rPr>
                  </w:pPr>
                  <w:r>
                    <w:rPr>
                      <w:rFonts w:hint="default" w:ascii="Times New Roman" w:hAnsi="Times New Roman" w:eastAsia="宋体" w:cs="Times New Roman"/>
                      <w:color w:val="auto"/>
                      <w:sz w:val="21"/>
                      <w:szCs w:val="21"/>
                      <w:vertAlign w:val="baseline"/>
                      <w:lang w:val="en-US" w:eastAsia="zh-CN"/>
                    </w:rPr>
                    <w:t>规格、型号</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9"/>
                    <w:spacing w:line="240" w:lineRule="auto"/>
                    <w:jc w:val="center"/>
                    <w:rPr>
                      <w:rFonts w:hint="default" w:ascii="Times New Roman" w:hAnsi="Times New Roman" w:cs="Times New Roman"/>
                      <w:color w:val="000000"/>
                      <w:sz w:val="21"/>
                      <w:szCs w:val="21"/>
                    </w:rPr>
                  </w:pPr>
                  <w:r>
                    <w:rPr>
                      <w:rFonts w:hint="default" w:ascii="Times New Roman" w:hAnsi="Times New Roman" w:eastAsia="宋体" w:cs="Times New Roman"/>
                      <w:color w:val="auto"/>
                      <w:sz w:val="21"/>
                      <w:szCs w:val="21"/>
                      <w:vertAlign w:val="baseline"/>
                      <w:lang w:val="en-US" w:eastAsia="zh-CN"/>
                    </w:rPr>
                    <w:t>数量</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eastAsiaTheme="minorEastAsia"/>
                      <w:color w:val="000000"/>
                      <w:kern w:val="0"/>
                      <w:sz w:val="21"/>
                      <w:szCs w:val="21"/>
                      <w:lang w:eastAsia="zh-CN" w:bidi="ar"/>
                    </w:rPr>
                  </w:pPr>
                  <w:r>
                    <w:rPr>
                      <w:rFonts w:hint="default" w:ascii="Times New Roman" w:hAnsi="Times New Roman" w:cs="Times New Roman"/>
                      <w:color w:val="000000"/>
                      <w:kern w:val="0"/>
                      <w:sz w:val="21"/>
                      <w:szCs w:val="21"/>
                      <w:lang w:eastAsia="zh-CN" w:bidi="ar"/>
                    </w:rPr>
                    <w:t>备注</w:t>
                  </w:r>
                </w:p>
              </w:tc>
            </w:tr>
            <w:tr>
              <w:tblPrEx>
                <w:tblCellMar>
                  <w:top w:w="0" w:type="dxa"/>
                  <w:left w:w="0" w:type="dxa"/>
                  <w:bottom w:w="0" w:type="dxa"/>
                  <w:right w:w="0" w:type="dxa"/>
                </w:tblCellMar>
              </w:tblPrEx>
              <w:trPr>
                <w:trHeight w:val="454" w:hRule="atLeast"/>
                <w:jc w:val="center"/>
              </w:trPr>
              <w:tc>
                <w:tcPr>
                  <w:tcW w:w="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9"/>
                    <w:spacing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w:t>
                  </w:r>
                </w:p>
              </w:tc>
              <w:tc>
                <w:tcPr>
                  <w:tcW w:w="2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spacing w:beforeLines="0" w:afterLines="0"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14:textFill>
                        <w14:solidFill>
                          <w14:schemeClr w14:val="tx1"/>
                        </w14:solidFill>
                      </w14:textFill>
                    </w:rPr>
                    <w:t>全自动端压机</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9"/>
                    <w:spacing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4m，海昌HBQ-802</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9"/>
                    <w:spacing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Lines="0" w:afterLines="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与环评一致</w:t>
                  </w:r>
                </w:p>
              </w:tc>
            </w:tr>
            <w:tr>
              <w:tblPrEx>
                <w:tblCellMar>
                  <w:top w:w="0" w:type="dxa"/>
                  <w:left w:w="0" w:type="dxa"/>
                  <w:bottom w:w="0" w:type="dxa"/>
                  <w:right w:w="0" w:type="dxa"/>
                </w:tblCellMar>
              </w:tblPrEx>
              <w:trPr>
                <w:trHeight w:val="454" w:hRule="atLeast"/>
                <w:jc w:val="center"/>
              </w:trPr>
              <w:tc>
                <w:tcPr>
                  <w:tcW w:w="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9"/>
                    <w:spacing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w:t>
                  </w:r>
                </w:p>
              </w:tc>
              <w:tc>
                <w:tcPr>
                  <w:tcW w:w="2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spacing w:beforeLines="0" w:afterLines="0"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14:textFill>
                        <w14:solidFill>
                          <w14:schemeClr w14:val="tx1"/>
                        </w14:solidFill>
                      </w14:textFill>
                    </w:rPr>
                    <w:t>全自动端压机</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9"/>
                    <w:spacing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4m，</w:t>
                  </w:r>
                  <w:r>
                    <w:rPr>
                      <w:rFonts w:hint="default" w:ascii="Times New Roman" w:hAnsi="Times New Roman" w:eastAsia="宋体" w:cs="Times New Roman"/>
                      <w:color w:val="000000" w:themeColor="text1"/>
                      <w:sz w:val="21"/>
                      <w:szCs w:val="21"/>
                      <w14:textFill>
                        <w14:solidFill>
                          <w14:schemeClr w14:val="tx1"/>
                        </w14:solidFill>
                      </w14:textFill>
                    </w:rPr>
                    <w:t>最大线径6.0</w:t>
                  </w:r>
                  <w:r>
                    <w:rPr>
                      <w:rFonts w:hint="default" w:ascii="Times New Roman" w:hAnsi="Times New Roman" w:eastAsia="宋体" w:cs="Times New Roman"/>
                      <w:color w:val="000000" w:themeColor="text1"/>
                      <w:sz w:val="21"/>
                      <w:szCs w:val="21"/>
                      <w:lang w:eastAsia="zh-CN"/>
                      <w14:textFill>
                        <w14:solidFill>
                          <w14:schemeClr w14:val="tx1"/>
                        </w14:solidFill>
                      </w14:textFill>
                    </w:rPr>
                    <w:t>，海昌HBQ-80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4</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9"/>
                    <w:spacing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Lines="0" w:afterLines="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与环评一致</w:t>
                  </w:r>
                </w:p>
              </w:tc>
            </w:tr>
            <w:tr>
              <w:tblPrEx>
                <w:tblCellMar>
                  <w:top w:w="0" w:type="dxa"/>
                  <w:left w:w="0" w:type="dxa"/>
                  <w:bottom w:w="0" w:type="dxa"/>
                  <w:right w:w="0" w:type="dxa"/>
                </w:tblCellMar>
              </w:tblPrEx>
              <w:trPr>
                <w:trHeight w:val="454" w:hRule="atLeast"/>
                <w:jc w:val="center"/>
              </w:trPr>
              <w:tc>
                <w:tcPr>
                  <w:tcW w:w="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9"/>
                    <w:spacing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w:t>
                  </w:r>
                </w:p>
              </w:tc>
              <w:tc>
                <w:tcPr>
                  <w:tcW w:w="2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spacing w:beforeLines="0" w:afterLines="0"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14:textFill>
                        <w14:solidFill>
                          <w14:schemeClr w14:val="tx1"/>
                        </w14:solidFill>
                      </w14:textFill>
                    </w:rPr>
                    <w:t>全自动端压机</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9"/>
                    <w:spacing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海昌HBQ-802</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9"/>
                    <w:spacing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Lines="0" w:afterLines="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与环评一致</w:t>
                  </w:r>
                </w:p>
              </w:tc>
            </w:tr>
            <w:tr>
              <w:tblPrEx>
                <w:tblCellMar>
                  <w:top w:w="0" w:type="dxa"/>
                  <w:left w:w="0" w:type="dxa"/>
                  <w:bottom w:w="0" w:type="dxa"/>
                  <w:right w:w="0" w:type="dxa"/>
                </w:tblCellMar>
              </w:tblPrEx>
              <w:trPr>
                <w:trHeight w:val="454" w:hRule="atLeast"/>
                <w:jc w:val="center"/>
              </w:trPr>
              <w:tc>
                <w:tcPr>
                  <w:tcW w:w="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9"/>
                    <w:spacing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4</w:t>
                  </w:r>
                </w:p>
              </w:tc>
              <w:tc>
                <w:tcPr>
                  <w:tcW w:w="2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spacing w:beforeLines="0" w:afterLines="0"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14:textFill>
                        <w14:solidFill>
                          <w14:schemeClr w14:val="tx1"/>
                        </w14:solidFill>
                      </w14:textFill>
                    </w:rPr>
                    <w:t>气动压接模座</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9"/>
                    <w:spacing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14:textFill>
                        <w14:solidFill>
                          <w14:schemeClr w14:val="tx1"/>
                        </w14:solidFill>
                      </w14:textFill>
                    </w:rPr>
                    <w:t>（横向/纵向）</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9"/>
                    <w:spacing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180</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Lines="0" w:afterLines="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与环评一致</w:t>
                  </w:r>
                </w:p>
              </w:tc>
            </w:tr>
            <w:tr>
              <w:tblPrEx>
                <w:tblCellMar>
                  <w:top w:w="0" w:type="dxa"/>
                  <w:left w:w="0" w:type="dxa"/>
                  <w:bottom w:w="0" w:type="dxa"/>
                  <w:right w:w="0" w:type="dxa"/>
                </w:tblCellMar>
              </w:tblPrEx>
              <w:trPr>
                <w:trHeight w:val="454" w:hRule="atLeast"/>
                <w:jc w:val="center"/>
              </w:trPr>
              <w:tc>
                <w:tcPr>
                  <w:tcW w:w="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9"/>
                    <w:spacing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5</w:t>
                  </w:r>
                </w:p>
              </w:tc>
              <w:tc>
                <w:tcPr>
                  <w:tcW w:w="2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spacing w:beforeLines="0" w:afterLines="0"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14:textFill>
                        <w14:solidFill>
                          <w14:schemeClr w14:val="tx1"/>
                        </w14:solidFill>
                      </w14:textFill>
                    </w:rPr>
                    <w:t>防水栓工作站</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9"/>
                    <w:spacing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海昌ASM400</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spacing w:beforeLines="0" w:afterLines="0"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14:textFill>
                        <w14:solidFill>
                          <w14:schemeClr w14:val="tx1"/>
                        </w14:solidFill>
                      </w14:textFill>
                    </w:rPr>
                    <w:t>4</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Lines="0" w:afterLines="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与环评一致</w:t>
                  </w:r>
                </w:p>
              </w:tc>
            </w:tr>
            <w:tr>
              <w:tblPrEx>
                <w:tblCellMar>
                  <w:top w:w="0" w:type="dxa"/>
                  <w:left w:w="0" w:type="dxa"/>
                  <w:bottom w:w="0" w:type="dxa"/>
                  <w:right w:w="0" w:type="dxa"/>
                </w:tblCellMar>
              </w:tblPrEx>
              <w:trPr>
                <w:trHeight w:val="454" w:hRule="atLeast"/>
                <w:jc w:val="center"/>
              </w:trPr>
              <w:tc>
                <w:tcPr>
                  <w:tcW w:w="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9"/>
                    <w:spacing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6</w:t>
                  </w:r>
                </w:p>
              </w:tc>
              <w:tc>
                <w:tcPr>
                  <w:tcW w:w="2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spacing w:beforeLines="0" w:afterLines="0"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14:textFill>
                        <w14:solidFill>
                          <w14:schemeClr w14:val="tx1"/>
                        </w14:solidFill>
                      </w14:textFill>
                    </w:rPr>
                    <w:t>防水栓轨道</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9"/>
                    <w:spacing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海昌</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spacing w:beforeLines="0" w:afterLines="0"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14:textFill>
                        <w14:solidFill>
                          <w14:schemeClr w14:val="tx1"/>
                        </w14:solidFill>
                      </w14:textFill>
                    </w:rPr>
                    <w:t>4</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Lines="0" w:afterLines="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与环评一致</w:t>
                  </w:r>
                </w:p>
              </w:tc>
            </w:tr>
            <w:tr>
              <w:tblPrEx>
                <w:tblCellMar>
                  <w:top w:w="0" w:type="dxa"/>
                  <w:left w:w="0" w:type="dxa"/>
                  <w:bottom w:w="0" w:type="dxa"/>
                  <w:right w:w="0" w:type="dxa"/>
                </w:tblCellMar>
              </w:tblPrEx>
              <w:trPr>
                <w:trHeight w:val="454" w:hRule="atLeast"/>
                <w:jc w:val="center"/>
              </w:trPr>
              <w:tc>
                <w:tcPr>
                  <w:tcW w:w="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9"/>
                    <w:spacing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7</w:t>
                  </w:r>
                </w:p>
              </w:tc>
              <w:tc>
                <w:tcPr>
                  <w:tcW w:w="2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spacing w:beforeLines="0" w:afterLines="0"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14:textFill>
                        <w14:solidFill>
                          <w14:schemeClr w14:val="tx1"/>
                        </w14:solidFill>
                      </w14:textFill>
                    </w:rPr>
                    <w:t>大平方剪剥机</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9"/>
                    <w:spacing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海昌HBQ-045A</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spacing w:beforeLines="0" w:afterLines="0"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Lines="0" w:afterLines="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与环评一致</w:t>
                  </w:r>
                </w:p>
              </w:tc>
            </w:tr>
            <w:tr>
              <w:tblPrEx>
                <w:tblCellMar>
                  <w:top w:w="0" w:type="dxa"/>
                  <w:left w:w="0" w:type="dxa"/>
                  <w:bottom w:w="0" w:type="dxa"/>
                  <w:right w:w="0" w:type="dxa"/>
                </w:tblCellMar>
              </w:tblPrEx>
              <w:trPr>
                <w:trHeight w:val="454" w:hRule="atLeast"/>
                <w:jc w:val="center"/>
              </w:trPr>
              <w:tc>
                <w:tcPr>
                  <w:tcW w:w="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9"/>
                    <w:spacing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8</w:t>
                  </w:r>
                </w:p>
              </w:tc>
              <w:tc>
                <w:tcPr>
                  <w:tcW w:w="2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spacing w:beforeLines="0" w:afterLines="0"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14:textFill>
                        <w14:solidFill>
                          <w14:schemeClr w14:val="tx1"/>
                        </w14:solidFill>
                      </w14:textFill>
                    </w:rPr>
                    <w:t>电脑裁线机</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9"/>
                    <w:spacing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14:textFill>
                        <w14:solidFill>
                          <w14:schemeClr w14:val="tx1"/>
                        </w14:solidFill>
                      </w14:textFill>
                    </w:rPr>
                    <w:t>1-10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瑞扬RY-372</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spacing w:beforeLines="0" w:afterLines="0"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Lines="0" w:afterLines="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与环评一致</w:t>
                  </w:r>
                </w:p>
              </w:tc>
            </w:tr>
            <w:tr>
              <w:tblPrEx>
                <w:tblCellMar>
                  <w:top w:w="0" w:type="dxa"/>
                  <w:left w:w="0" w:type="dxa"/>
                  <w:bottom w:w="0" w:type="dxa"/>
                  <w:right w:w="0" w:type="dxa"/>
                </w:tblCellMar>
              </w:tblPrEx>
              <w:trPr>
                <w:trHeight w:val="454" w:hRule="atLeast"/>
                <w:jc w:val="center"/>
              </w:trPr>
              <w:tc>
                <w:tcPr>
                  <w:tcW w:w="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9"/>
                    <w:spacing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9</w:t>
                  </w:r>
                </w:p>
              </w:tc>
              <w:tc>
                <w:tcPr>
                  <w:tcW w:w="2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spacing w:beforeLines="0" w:afterLines="0"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14:textFill>
                        <w14:solidFill>
                          <w14:schemeClr w14:val="tx1"/>
                        </w14:solidFill>
                      </w14:textFill>
                    </w:rPr>
                    <w:t>电脑裁线机桌</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9"/>
                    <w:spacing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自制，</w:t>
                  </w:r>
                  <w:r>
                    <w:rPr>
                      <w:rFonts w:hint="default" w:ascii="Times New Roman" w:hAnsi="Times New Roman" w:eastAsia="宋体" w:cs="Times New Roman"/>
                      <w:color w:val="000000" w:themeColor="text1"/>
                      <w:sz w:val="21"/>
                      <w:szCs w:val="21"/>
                      <w14:textFill>
                        <w14:solidFill>
                          <w14:schemeClr w14:val="tx1"/>
                        </w14:solidFill>
                      </w14:textFill>
                    </w:rPr>
                    <w:t>2000*800mm</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spacing w:beforeLines="0" w:afterLines="0"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Lines="0" w:afterLines="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与环评一致</w:t>
                  </w:r>
                </w:p>
              </w:tc>
            </w:tr>
            <w:tr>
              <w:tblPrEx>
                <w:tblCellMar>
                  <w:top w:w="0" w:type="dxa"/>
                  <w:left w:w="0" w:type="dxa"/>
                  <w:bottom w:w="0" w:type="dxa"/>
                  <w:right w:w="0" w:type="dxa"/>
                </w:tblCellMar>
              </w:tblPrEx>
              <w:trPr>
                <w:trHeight w:val="454" w:hRule="atLeast"/>
                <w:jc w:val="center"/>
              </w:trPr>
              <w:tc>
                <w:tcPr>
                  <w:tcW w:w="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9"/>
                    <w:spacing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10</w:t>
                  </w:r>
                </w:p>
              </w:tc>
              <w:tc>
                <w:tcPr>
                  <w:tcW w:w="2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spacing w:beforeLines="0" w:afterLines="0"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14:textFill>
                        <w14:solidFill>
                          <w14:schemeClr w14:val="tx1"/>
                        </w14:solidFill>
                      </w14:textFill>
                    </w:rPr>
                    <w:t>气动剥皮机桌</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spacing w:beforeLines="0" w:afterLines="0"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14:textFill>
                        <w14:solidFill>
                          <w14:schemeClr w14:val="tx1"/>
                        </w14:solidFill>
                      </w14:textFill>
                    </w:rPr>
                    <w:t>自制</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spacing w:beforeLines="0" w:afterLines="0"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Lines="0" w:afterLines="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与环评一致</w:t>
                  </w:r>
                </w:p>
              </w:tc>
            </w:tr>
            <w:tr>
              <w:tblPrEx>
                <w:tblCellMar>
                  <w:top w:w="0" w:type="dxa"/>
                  <w:left w:w="0" w:type="dxa"/>
                  <w:bottom w:w="0" w:type="dxa"/>
                  <w:right w:w="0" w:type="dxa"/>
                </w:tblCellMar>
              </w:tblPrEx>
              <w:trPr>
                <w:trHeight w:val="454" w:hRule="atLeast"/>
                <w:jc w:val="center"/>
              </w:trPr>
              <w:tc>
                <w:tcPr>
                  <w:tcW w:w="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9"/>
                    <w:spacing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11</w:t>
                  </w:r>
                </w:p>
              </w:tc>
              <w:tc>
                <w:tcPr>
                  <w:tcW w:w="2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spacing w:beforeLines="0" w:afterLines="0"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14:textFill>
                        <w14:solidFill>
                          <w14:schemeClr w14:val="tx1"/>
                        </w14:solidFill>
                      </w14:textFill>
                    </w:rPr>
                    <w:t>芯线剥皮机桌</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spacing w:beforeLines="0" w:afterLines="0"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14:textFill>
                        <w14:solidFill>
                          <w14:schemeClr w14:val="tx1"/>
                        </w14:solidFill>
                      </w14:textFill>
                    </w:rPr>
                    <w:t>自制</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spacing w:beforeLines="0" w:afterLines="0"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Lines="0" w:afterLines="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与环评一致</w:t>
                  </w:r>
                </w:p>
              </w:tc>
            </w:tr>
            <w:tr>
              <w:tblPrEx>
                <w:tblCellMar>
                  <w:top w:w="0" w:type="dxa"/>
                  <w:left w:w="0" w:type="dxa"/>
                  <w:bottom w:w="0" w:type="dxa"/>
                  <w:right w:w="0" w:type="dxa"/>
                </w:tblCellMar>
              </w:tblPrEx>
              <w:trPr>
                <w:trHeight w:val="454" w:hRule="atLeast"/>
                <w:jc w:val="center"/>
              </w:trPr>
              <w:tc>
                <w:tcPr>
                  <w:tcW w:w="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9"/>
                    <w:spacing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12</w:t>
                  </w:r>
                </w:p>
              </w:tc>
              <w:tc>
                <w:tcPr>
                  <w:tcW w:w="2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spacing w:beforeLines="0" w:afterLines="0"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14:textFill>
                        <w14:solidFill>
                          <w14:schemeClr w14:val="tx1"/>
                        </w14:solidFill>
                      </w14:textFill>
                    </w:rPr>
                    <w:t>端子机桌</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spacing w:beforeLines="0" w:afterLines="0"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14:textFill>
                        <w14:solidFill>
                          <w14:schemeClr w14:val="tx1"/>
                        </w14:solidFill>
                      </w14:textFill>
                    </w:rPr>
                    <w:t>自制</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spacing w:beforeLines="0" w:afterLines="0"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14:textFill>
                        <w14:solidFill>
                          <w14:schemeClr w14:val="tx1"/>
                        </w14:solidFill>
                      </w14:textFill>
                    </w:rPr>
                    <w:t>13</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Lines="0" w:afterLines="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与环评一致</w:t>
                  </w:r>
                </w:p>
              </w:tc>
            </w:tr>
            <w:tr>
              <w:tblPrEx>
                <w:tblCellMar>
                  <w:top w:w="0" w:type="dxa"/>
                  <w:left w:w="0" w:type="dxa"/>
                  <w:bottom w:w="0" w:type="dxa"/>
                  <w:right w:w="0" w:type="dxa"/>
                </w:tblCellMar>
              </w:tblPrEx>
              <w:trPr>
                <w:trHeight w:val="454" w:hRule="atLeast"/>
                <w:jc w:val="center"/>
              </w:trPr>
              <w:tc>
                <w:tcPr>
                  <w:tcW w:w="4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Style w:val="29"/>
                    <w:spacing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13</w:t>
                  </w:r>
                </w:p>
              </w:tc>
              <w:tc>
                <w:tcPr>
                  <w:tcW w:w="24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spacing w:beforeLines="0" w:afterLines="0"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14:textFill>
                        <w14:solidFill>
                          <w14:schemeClr w14:val="tx1"/>
                        </w14:solidFill>
                      </w14:textFill>
                    </w:rPr>
                    <w:t>芯线剥皮机</w:t>
                  </w:r>
                </w:p>
              </w:tc>
              <w:tc>
                <w:tcPr>
                  <w:tcW w:w="22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spacing w:beforeLines="0" w:afterLines="0"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14:textFill>
                        <w14:solidFill>
                          <w14:schemeClr w14:val="tx1"/>
                        </w14:solidFill>
                      </w14:textFill>
                    </w:rPr>
                    <w:t>奥洋3F</w:t>
                  </w:r>
                </w:p>
              </w:tc>
              <w:tc>
                <w:tcPr>
                  <w:tcW w:w="12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spacing w:beforeLines="0" w:afterLines="0"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8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beforeLines="0" w:afterLines="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与环评一致</w:t>
                  </w:r>
                </w:p>
              </w:tc>
            </w:tr>
            <w:tr>
              <w:tblPrEx>
                <w:tblCellMar>
                  <w:top w:w="0" w:type="dxa"/>
                  <w:left w:w="0" w:type="dxa"/>
                  <w:bottom w:w="0" w:type="dxa"/>
                  <w:right w:w="0" w:type="dxa"/>
                </w:tblCellMar>
              </w:tblPrEx>
              <w:trPr>
                <w:trHeight w:val="454" w:hRule="atLeast"/>
                <w:jc w:val="center"/>
              </w:trPr>
              <w:tc>
                <w:tcPr>
                  <w:tcW w:w="4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Style w:val="29"/>
                    <w:spacing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14</w:t>
                  </w:r>
                </w:p>
              </w:tc>
              <w:tc>
                <w:tcPr>
                  <w:tcW w:w="24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spacing w:beforeLines="0" w:afterLines="0"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14:textFill>
                        <w14:solidFill>
                          <w14:schemeClr w14:val="tx1"/>
                        </w14:solidFill>
                      </w14:textFill>
                    </w:rPr>
                    <w:t>气动式剥皮机</w:t>
                  </w:r>
                </w:p>
              </w:tc>
              <w:tc>
                <w:tcPr>
                  <w:tcW w:w="22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spacing w:beforeLines="0" w:afterLines="0"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14:textFill>
                        <w14:solidFill>
                          <w14:schemeClr w14:val="tx1"/>
                        </w14:solidFill>
                      </w14:textFill>
                    </w:rPr>
                    <w:t>奥洋315</w:t>
                  </w:r>
                </w:p>
              </w:tc>
              <w:tc>
                <w:tcPr>
                  <w:tcW w:w="12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spacing w:beforeLines="0" w:afterLines="0"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8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beforeLines="0" w:afterLines="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与环评一致</w:t>
                  </w:r>
                </w:p>
              </w:tc>
            </w:tr>
            <w:tr>
              <w:tblPrEx>
                <w:tblCellMar>
                  <w:top w:w="0" w:type="dxa"/>
                  <w:left w:w="0" w:type="dxa"/>
                  <w:bottom w:w="0" w:type="dxa"/>
                  <w:right w:w="0" w:type="dxa"/>
                </w:tblCellMar>
              </w:tblPrEx>
              <w:trPr>
                <w:trHeight w:val="454" w:hRule="atLeast"/>
                <w:jc w:val="center"/>
              </w:trPr>
              <w:tc>
                <w:tcPr>
                  <w:tcW w:w="4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pStyle w:val="29"/>
                    <w:spacing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15</w:t>
                  </w:r>
                </w:p>
              </w:tc>
              <w:tc>
                <w:tcPr>
                  <w:tcW w:w="24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spacing w:beforeLines="0" w:afterLines="0"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14:textFill>
                        <w14:solidFill>
                          <w14:schemeClr w14:val="tx1"/>
                        </w14:solidFill>
                      </w14:textFill>
                    </w:rPr>
                    <w:t>端子压接机</w:t>
                  </w:r>
                </w:p>
              </w:tc>
              <w:tc>
                <w:tcPr>
                  <w:tcW w:w="22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spacing w:beforeLines="0" w:afterLines="0"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14:textFill>
                        <w14:solidFill>
                          <w14:schemeClr w14:val="tx1"/>
                        </w14:solidFill>
                      </w14:textFill>
                    </w:rPr>
                    <w:t>海昌HBQ-2040EB</w:t>
                  </w:r>
                </w:p>
              </w:tc>
              <w:tc>
                <w:tcPr>
                  <w:tcW w:w="12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spacing w:beforeLines="0" w:afterLines="0"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14:textFill>
                        <w14:solidFill>
                          <w14:schemeClr w14:val="tx1"/>
                        </w14:solidFill>
                      </w14:textFill>
                    </w:rPr>
                    <w:t>6</w:t>
                  </w:r>
                </w:p>
              </w:tc>
              <w:tc>
                <w:tcPr>
                  <w:tcW w:w="18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beforeLines="0" w:afterLines="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与环评一致</w:t>
                  </w:r>
                </w:p>
              </w:tc>
            </w:tr>
            <w:tr>
              <w:tblPrEx>
                <w:tblCellMar>
                  <w:top w:w="0" w:type="dxa"/>
                  <w:left w:w="0" w:type="dxa"/>
                  <w:bottom w:w="0" w:type="dxa"/>
                  <w:right w:w="0" w:type="dxa"/>
                </w:tblCellMar>
              </w:tblPrEx>
              <w:trPr>
                <w:trHeight w:val="454" w:hRule="atLeast"/>
                <w:jc w:val="center"/>
              </w:trPr>
              <w:tc>
                <w:tcPr>
                  <w:tcW w:w="4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pStyle w:val="29"/>
                    <w:spacing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16</w:t>
                  </w:r>
                </w:p>
              </w:tc>
              <w:tc>
                <w:tcPr>
                  <w:tcW w:w="24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spacing w:beforeLines="0" w:afterLines="0"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14:textFill>
                        <w14:solidFill>
                          <w14:schemeClr w14:val="tx1"/>
                        </w14:solidFill>
                      </w14:textFill>
                    </w:rPr>
                    <w:t>端子压接机</w:t>
                  </w:r>
                </w:p>
              </w:tc>
              <w:tc>
                <w:tcPr>
                  <w:tcW w:w="22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spacing w:beforeLines="0" w:afterLines="0"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14:textFill>
                        <w14:solidFill>
                          <w14:schemeClr w14:val="tx1"/>
                        </w14:solidFill>
                      </w14:textFill>
                    </w:rPr>
                    <w:t>海昌HBQ-X4040</w:t>
                  </w:r>
                </w:p>
              </w:tc>
              <w:tc>
                <w:tcPr>
                  <w:tcW w:w="12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spacing w:beforeLines="0" w:afterLines="0"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14:textFill>
                        <w14:solidFill>
                          <w14:schemeClr w14:val="tx1"/>
                        </w14:solidFill>
                      </w14:textFill>
                    </w:rPr>
                    <w:t>4</w:t>
                  </w:r>
                </w:p>
              </w:tc>
              <w:tc>
                <w:tcPr>
                  <w:tcW w:w="18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beforeLines="0" w:afterLines="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与环评一致</w:t>
                  </w:r>
                </w:p>
              </w:tc>
            </w:tr>
            <w:tr>
              <w:tblPrEx>
                <w:tblCellMar>
                  <w:top w:w="0" w:type="dxa"/>
                  <w:left w:w="0" w:type="dxa"/>
                  <w:bottom w:w="0" w:type="dxa"/>
                  <w:right w:w="0" w:type="dxa"/>
                </w:tblCellMar>
              </w:tblPrEx>
              <w:trPr>
                <w:trHeight w:val="454" w:hRule="atLeast"/>
                <w:jc w:val="center"/>
              </w:trPr>
              <w:tc>
                <w:tcPr>
                  <w:tcW w:w="4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pStyle w:val="29"/>
                    <w:spacing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17</w:t>
                  </w:r>
                </w:p>
              </w:tc>
              <w:tc>
                <w:tcPr>
                  <w:tcW w:w="24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spacing w:beforeLines="0" w:afterLines="0"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14:textFill>
                        <w14:solidFill>
                          <w14:schemeClr w14:val="tx1"/>
                        </w14:solidFill>
                      </w14:textFill>
                    </w:rPr>
                    <w:t>端子压接机</w:t>
                  </w:r>
                </w:p>
              </w:tc>
              <w:tc>
                <w:tcPr>
                  <w:tcW w:w="22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spacing w:beforeLines="0" w:afterLines="0"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14:textFill>
                        <w14:solidFill>
                          <w14:schemeClr w14:val="tx1"/>
                        </w14:solidFill>
                      </w14:textFill>
                    </w:rPr>
                    <w:t>海昌HBQ-8040E</w:t>
                  </w:r>
                </w:p>
              </w:tc>
              <w:tc>
                <w:tcPr>
                  <w:tcW w:w="12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spacing w:beforeLines="0" w:afterLines="0" w:line="240" w:lineRule="auto"/>
                    <w:jc w:val="center"/>
                    <w:rPr>
                      <w:rFonts w:hint="default" w:ascii="Times New Roman" w:hAnsi="Times New Roman" w:eastAsia="宋体" w:cs="Times New Roman"/>
                      <w:color w:val="auto"/>
                      <w:sz w:val="22"/>
                    </w:rPr>
                  </w:pPr>
                  <w:r>
                    <w:rPr>
                      <w:rFonts w:hint="default" w:ascii="Times New Roman" w:hAnsi="Times New Roman" w:eastAsia="宋体" w:cs="Times New Roman"/>
                      <w:color w:val="000000" w:themeColor="text1"/>
                      <w:sz w:val="21"/>
                      <w:szCs w:val="21"/>
                      <w14:textFill>
                        <w14:solidFill>
                          <w14:schemeClr w14:val="tx1"/>
                        </w14:solidFill>
                      </w14:textFill>
                    </w:rPr>
                    <w:t>2</w:t>
                  </w:r>
                </w:p>
              </w:tc>
              <w:tc>
                <w:tcPr>
                  <w:tcW w:w="18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beforeLines="0" w:afterLines="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与环评一致</w:t>
                  </w:r>
                </w:p>
              </w:tc>
            </w:tr>
            <w:tr>
              <w:tblPrEx>
                <w:tblCellMar>
                  <w:top w:w="0" w:type="dxa"/>
                  <w:left w:w="0" w:type="dxa"/>
                  <w:bottom w:w="0" w:type="dxa"/>
                  <w:right w:w="0" w:type="dxa"/>
                </w:tblCellMar>
              </w:tblPrEx>
              <w:trPr>
                <w:trHeight w:val="454" w:hRule="atLeast"/>
                <w:jc w:val="center"/>
              </w:trPr>
              <w:tc>
                <w:tcPr>
                  <w:tcW w:w="4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18</w:t>
                  </w:r>
                </w:p>
              </w:tc>
              <w:tc>
                <w:tcPr>
                  <w:tcW w:w="24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大端子机</w:t>
                  </w:r>
                </w:p>
              </w:tc>
              <w:tc>
                <w:tcPr>
                  <w:tcW w:w="22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海昌HBQ-P20</w:t>
                  </w:r>
                </w:p>
              </w:tc>
              <w:tc>
                <w:tcPr>
                  <w:tcW w:w="12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w:t>
                  </w:r>
                </w:p>
              </w:tc>
              <w:tc>
                <w:tcPr>
                  <w:tcW w:w="18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与环评一致</w:t>
                  </w:r>
                </w:p>
              </w:tc>
            </w:tr>
            <w:tr>
              <w:tblPrEx>
                <w:tblCellMar>
                  <w:top w:w="0" w:type="dxa"/>
                  <w:left w:w="0" w:type="dxa"/>
                  <w:bottom w:w="0" w:type="dxa"/>
                  <w:right w:w="0" w:type="dxa"/>
                </w:tblCellMar>
              </w:tblPrEx>
              <w:trPr>
                <w:trHeight w:val="454" w:hRule="atLeast"/>
                <w:jc w:val="center"/>
              </w:trPr>
              <w:tc>
                <w:tcPr>
                  <w:tcW w:w="4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19</w:t>
                  </w:r>
                </w:p>
              </w:tc>
              <w:tc>
                <w:tcPr>
                  <w:tcW w:w="24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四爪双头绞线机</w:t>
                  </w:r>
                </w:p>
              </w:tc>
              <w:tc>
                <w:tcPr>
                  <w:tcW w:w="22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海昌HBQ-360、金日JR-A1001-3，10m</w:t>
                  </w:r>
                </w:p>
              </w:tc>
              <w:tc>
                <w:tcPr>
                  <w:tcW w:w="12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w:t>
                  </w:r>
                </w:p>
              </w:tc>
              <w:tc>
                <w:tcPr>
                  <w:tcW w:w="18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与环评一致</w:t>
                  </w:r>
                </w:p>
              </w:tc>
            </w:tr>
            <w:tr>
              <w:tblPrEx>
                <w:tblCellMar>
                  <w:top w:w="0" w:type="dxa"/>
                  <w:left w:w="0" w:type="dxa"/>
                  <w:bottom w:w="0" w:type="dxa"/>
                  <w:right w:w="0" w:type="dxa"/>
                </w:tblCellMar>
              </w:tblPrEx>
              <w:trPr>
                <w:trHeight w:val="454" w:hRule="atLeast"/>
                <w:jc w:val="center"/>
              </w:trPr>
              <w:tc>
                <w:tcPr>
                  <w:tcW w:w="4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20</w:t>
                  </w:r>
                </w:p>
              </w:tc>
              <w:tc>
                <w:tcPr>
                  <w:tcW w:w="24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接合烤套管机</w:t>
                  </w:r>
                </w:p>
              </w:tc>
              <w:tc>
                <w:tcPr>
                  <w:tcW w:w="22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海昌HBQ-371</w:t>
                  </w:r>
                </w:p>
              </w:tc>
              <w:tc>
                <w:tcPr>
                  <w:tcW w:w="12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w:t>
                  </w:r>
                </w:p>
              </w:tc>
              <w:tc>
                <w:tcPr>
                  <w:tcW w:w="18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与环评一致</w:t>
                  </w:r>
                </w:p>
              </w:tc>
            </w:tr>
            <w:tr>
              <w:tblPrEx>
                <w:tblCellMar>
                  <w:top w:w="0" w:type="dxa"/>
                  <w:left w:w="0" w:type="dxa"/>
                  <w:bottom w:w="0" w:type="dxa"/>
                  <w:right w:w="0" w:type="dxa"/>
                </w:tblCellMar>
              </w:tblPrEx>
              <w:trPr>
                <w:trHeight w:val="454" w:hRule="atLeast"/>
                <w:jc w:val="center"/>
              </w:trPr>
              <w:tc>
                <w:tcPr>
                  <w:tcW w:w="4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21</w:t>
                  </w:r>
                </w:p>
              </w:tc>
              <w:tc>
                <w:tcPr>
                  <w:tcW w:w="24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胶带捆扎机</w:t>
                  </w:r>
                </w:p>
              </w:tc>
              <w:tc>
                <w:tcPr>
                  <w:tcW w:w="22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金日JR-A1016-2</w:t>
                  </w:r>
                </w:p>
              </w:tc>
              <w:tc>
                <w:tcPr>
                  <w:tcW w:w="12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w:t>
                  </w:r>
                </w:p>
              </w:tc>
              <w:tc>
                <w:tcPr>
                  <w:tcW w:w="18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与环评一致</w:t>
                  </w:r>
                </w:p>
              </w:tc>
            </w:tr>
            <w:tr>
              <w:tblPrEx>
                <w:tblCellMar>
                  <w:top w:w="0" w:type="dxa"/>
                  <w:left w:w="0" w:type="dxa"/>
                  <w:bottom w:w="0" w:type="dxa"/>
                  <w:right w:w="0" w:type="dxa"/>
                </w:tblCellMar>
              </w:tblPrEx>
              <w:trPr>
                <w:trHeight w:val="454" w:hRule="atLeast"/>
                <w:jc w:val="center"/>
              </w:trPr>
              <w:tc>
                <w:tcPr>
                  <w:tcW w:w="4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22</w:t>
                  </w:r>
                </w:p>
              </w:tc>
              <w:tc>
                <w:tcPr>
                  <w:tcW w:w="24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回拉流转车</w:t>
                  </w:r>
                </w:p>
              </w:tc>
              <w:tc>
                <w:tcPr>
                  <w:tcW w:w="22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自制</w:t>
                  </w:r>
                </w:p>
              </w:tc>
              <w:tc>
                <w:tcPr>
                  <w:tcW w:w="12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40</w:t>
                  </w:r>
                </w:p>
              </w:tc>
              <w:tc>
                <w:tcPr>
                  <w:tcW w:w="18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与环评一致</w:t>
                  </w:r>
                </w:p>
              </w:tc>
            </w:tr>
            <w:tr>
              <w:tblPrEx>
                <w:tblCellMar>
                  <w:top w:w="0" w:type="dxa"/>
                  <w:left w:w="0" w:type="dxa"/>
                  <w:bottom w:w="0" w:type="dxa"/>
                  <w:right w:w="0" w:type="dxa"/>
                </w:tblCellMar>
              </w:tblPrEx>
              <w:trPr>
                <w:trHeight w:val="454" w:hRule="atLeast"/>
                <w:jc w:val="center"/>
              </w:trPr>
              <w:tc>
                <w:tcPr>
                  <w:tcW w:w="4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23</w:t>
                  </w:r>
                </w:p>
              </w:tc>
              <w:tc>
                <w:tcPr>
                  <w:tcW w:w="24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端子储存架</w:t>
                  </w:r>
                </w:p>
              </w:tc>
              <w:tc>
                <w:tcPr>
                  <w:tcW w:w="22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自制</w:t>
                  </w:r>
                </w:p>
              </w:tc>
              <w:tc>
                <w:tcPr>
                  <w:tcW w:w="12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w:t>
                  </w:r>
                </w:p>
              </w:tc>
              <w:tc>
                <w:tcPr>
                  <w:tcW w:w="18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与环评一致</w:t>
                  </w:r>
                </w:p>
              </w:tc>
            </w:tr>
            <w:tr>
              <w:tblPrEx>
                <w:tblCellMar>
                  <w:top w:w="0" w:type="dxa"/>
                  <w:left w:w="0" w:type="dxa"/>
                  <w:bottom w:w="0" w:type="dxa"/>
                  <w:right w:w="0" w:type="dxa"/>
                </w:tblCellMar>
              </w:tblPrEx>
              <w:trPr>
                <w:trHeight w:val="454" w:hRule="atLeast"/>
                <w:jc w:val="center"/>
              </w:trPr>
              <w:tc>
                <w:tcPr>
                  <w:tcW w:w="4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24</w:t>
                  </w:r>
                </w:p>
              </w:tc>
              <w:tc>
                <w:tcPr>
                  <w:tcW w:w="24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模座存储架</w:t>
                  </w:r>
                </w:p>
              </w:tc>
              <w:tc>
                <w:tcPr>
                  <w:tcW w:w="22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自制</w:t>
                  </w:r>
                </w:p>
              </w:tc>
              <w:tc>
                <w:tcPr>
                  <w:tcW w:w="12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w:t>
                  </w:r>
                </w:p>
              </w:tc>
              <w:tc>
                <w:tcPr>
                  <w:tcW w:w="18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与环评一致</w:t>
                  </w:r>
                </w:p>
              </w:tc>
            </w:tr>
            <w:tr>
              <w:tblPrEx>
                <w:tblCellMar>
                  <w:top w:w="0" w:type="dxa"/>
                  <w:left w:w="0" w:type="dxa"/>
                  <w:bottom w:w="0" w:type="dxa"/>
                  <w:right w:w="0" w:type="dxa"/>
                </w:tblCellMar>
              </w:tblPrEx>
              <w:trPr>
                <w:trHeight w:val="454" w:hRule="atLeast"/>
                <w:jc w:val="center"/>
              </w:trPr>
              <w:tc>
                <w:tcPr>
                  <w:tcW w:w="4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25</w:t>
                  </w:r>
                </w:p>
              </w:tc>
              <w:tc>
                <w:tcPr>
                  <w:tcW w:w="24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放线铁马架</w:t>
                  </w:r>
                </w:p>
              </w:tc>
              <w:tc>
                <w:tcPr>
                  <w:tcW w:w="22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江苏顺诺</w:t>
                  </w:r>
                </w:p>
              </w:tc>
              <w:tc>
                <w:tcPr>
                  <w:tcW w:w="12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20</w:t>
                  </w:r>
                </w:p>
              </w:tc>
              <w:tc>
                <w:tcPr>
                  <w:tcW w:w="18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与环评一致</w:t>
                  </w:r>
                </w:p>
              </w:tc>
            </w:tr>
            <w:tr>
              <w:tblPrEx>
                <w:tblCellMar>
                  <w:top w:w="0" w:type="dxa"/>
                  <w:left w:w="0" w:type="dxa"/>
                  <w:bottom w:w="0" w:type="dxa"/>
                  <w:right w:w="0" w:type="dxa"/>
                </w:tblCellMar>
              </w:tblPrEx>
              <w:trPr>
                <w:trHeight w:val="454" w:hRule="atLeast"/>
                <w:jc w:val="center"/>
              </w:trPr>
              <w:tc>
                <w:tcPr>
                  <w:tcW w:w="4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26</w:t>
                  </w:r>
                </w:p>
              </w:tc>
              <w:tc>
                <w:tcPr>
                  <w:tcW w:w="24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SUB架</w:t>
                  </w:r>
                </w:p>
              </w:tc>
              <w:tc>
                <w:tcPr>
                  <w:tcW w:w="22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自制</w:t>
                  </w:r>
                </w:p>
              </w:tc>
              <w:tc>
                <w:tcPr>
                  <w:tcW w:w="12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20</w:t>
                  </w:r>
                </w:p>
              </w:tc>
              <w:tc>
                <w:tcPr>
                  <w:tcW w:w="18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与环评一致</w:t>
                  </w:r>
                </w:p>
              </w:tc>
            </w:tr>
            <w:tr>
              <w:tblPrEx>
                <w:tblCellMar>
                  <w:top w:w="0" w:type="dxa"/>
                  <w:left w:w="0" w:type="dxa"/>
                  <w:bottom w:w="0" w:type="dxa"/>
                  <w:right w:w="0" w:type="dxa"/>
                </w:tblCellMar>
              </w:tblPrEx>
              <w:trPr>
                <w:trHeight w:val="454" w:hRule="atLeast"/>
                <w:jc w:val="center"/>
              </w:trPr>
              <w:tc>
                <w:tcPr>
                  <w:tcW w:w="4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27</w:t>
                  </w:r>
                </w:p>
              </w:tc>
              <w:tc>
                <w:tcPr>
                  <w:tcW w:w="24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接合理线架</w:t>
                  </w:r>
                </w:p>
              </w:tc>
              <w:tc>
                <w:tcPr>
                  <w:tcW w:w="22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自制</w:t>
                  </w:r>
                </w:p>
              </w:tc>
              <w:tc>
                <w:tcPr>
                  <w:tcW w:w="12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6</w:t>
                  </w:r>
                </w:p>
              </w:tc>
              <w:tc>
                <w:tcPr>
                  <w:tcW w:w="18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与环评一致</w:t>
                  </w:r>
                </w:p>
              </w:tc>
            </w:tr>
            <w:tr>
              <w:tblPrEx>
                <w:tblCellMar>
                  <w:top w:w="0" w:type="dxa"/>
                  <w:left w:w="0" w:type="dxa"/>
                  <w:bottom w:w="0" w:type="dxa"/>
                  <w:right w:w="0" w:type="dxa"/>
                </w:tblCellMar>
              </w:tblPrEx>
              <w:trPr>
                <w:trHeight w:val="454" w:hRule="atLeast"/>
                <w:jc w:val="center"/>
              </w:trPr>
              <w:tc>
                <w:tcPr>
                  <w:tcW w:w="4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28</w:t>
                  </w:r>
                </w:p>
              </w:tc>
              <w:tc>
                <w:tcPr>
                  <w:tcW w:w="24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流程车</w:t>
                  </w:r>
                </w:p>
              </w:tc>
              <w:tc>
                <w:tcPr>
                  <w:tcW w:w="22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自制</w:t>
                  </w:r>
                </w:p>
              </w:tc>
              <w:tc>
                <w:tcPr>
                  <w:tcW w:w="12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30</w:t>
                  </w:r>
                </w:p>
              </w:tc>
              <w:tc>
                <w:tcPr>
                  <w:tcW w:w="18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与环评一致</w:t>
                  </w:r>
                </w:p>
              </w:tc>
            </w:tr>
            <w:tr>
              <w:tblPrEx>
                <w:tblCellMar>
                  <w:top w:w="0" w:type="dxa"/>
                  <w:left w:w="0" w:type="dxa"/>
                  <w:bottom w:w="0" w:type="dxa"/>
                  <w:right w:w="0" w:type="dxa"/>
                </w:tblCellMar>
              </w:tblPrEx>
              <w:trPr>
                <w:trHeight w:val="454" w:hRule="atLeast"/>
                <w:jc w:val="center"/>
              </w:trPr>
              <w:tc>
                <w:tcPr>
                  <w:tcW w:w="4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29</w:t>
                  </w:r>
                </w:p>
              </w:tc>
              <w:tc>
                <w:tcPr>
                  <w:tcW w:w="24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人工支</w:t>
                  </w:r>
                </w:p>
              </w:tc>
              <w:tc>
                <w:tcPr>
                  <w:tcW w:w="22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江苏顺诺</w:t>
                  </w:r>
                </w:p>
              </w:tc>
              <w:tc>
                <w:tcPr>
                  <w:tcW w:w="12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100</w:t>
                  </w:r>
                </w:p>
              </w:tc>
              <w:tc>
                <w:tcPr>
                  <w:tcW w:w="18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与环评一致</w:t>
                  </w:r>
                </w:p>
              </w:tc>
            </w:tr>
            <w:tr>
              <w:tblPrEx>
                <w:tblCellMar>
                  <w:top w:w="0" w:type="dxa"/>
                  <w:left w:w="0" w:type="dxa"/>
                  <w:bottom w:w="0" w:type="dxa"/>
                  <w:right w:w="0" w:type="dxa"/>
                </w:tblCellMar>
              </w:tblPrEx>
              <w:trPr>
                <w:trHeight w:val="454" w:hRule="atLeast"/>
                <w:jc w:val="center"/>
              </w:trPr>
              <w:tc>
                <w:tcPr>
                  <w:tcW w:w="4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30</w:t>
                  </w:r>
                </w:p>
              </w:tc>
              <w:tc>
                <w:tcPr>
                  <w:tcW w:w="24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16板履带式流水线</w:t>
                  </w:r>
                </w:p>
              </w:tc>
              <w:tc>
                <w:tcPr>
                  <w:tcW w:w="22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海昌3.6米</w:t>
                  </w:r>
                </w:p>
              </w:tc>
              <w:tc>
                <w:tcPr>
                  <w:tcW w:w="12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w:t>
                  </w:r>
                </w:p>
              </w:tc>
              <w:tc>
                <w:tcPr>
                  <w:tcW w:w="18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与环评一致</w:t>
                  </w:r>
                </w:p>
              </w:tc>
            </w:tr>
            <w:tr>
              <w:tblPrEx>
                <w:tblCellMar>
                  <w:top w:w="0" w:type="dxa"/>
                  <w:left w:w="0" w:type="dxa"/>
                  <w:bottom w:w="0" w:type="dxa"/>
                  <w:right w:w="0" w:type="dxa"/>
                </w:tblCellMar>
              </w:tblPrEx>
              <w:trPr>
                <w:trHeight w:val="454" w:hRule="atLeast"/>
                <w:jc w:val="center"/>
              </w:trPr>
              <w:tc>
                <w:tcPr>
                  <w:tcW w:w="4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31</w:t>
                  </w:r>
                </w:p>
              </w:tc>
              <w:tc>
                <w:tcPr>
                  <w:tcW w:w="24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12板履带式流水线</w:t>
                  </w:r>
                </w:p>
              </w:tc>
              <w:tc>
                <w:tcPr>
                  <w:tcW w:w="22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海昌小车4.9米</w:t>
                  </w:r>
                </w:p>
              </w:tc>
              <w:tc>
                <w:tcPr>
                  <w:tcW w:w="12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w:t>
                  </w:r>
                </w:p>
              </w:tc>
              <w:tc>
                <w:tcPr>
                  <w:tcW w:w="18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与环评一致</w:t>
                  </w:r>
                </w:p>
              </w:tc>
            </w:tr>
            <w:tr>
              <w:tblPrEx>
                <w:tblCellMar>
                  <w:top w:w="0" w:type="dxa"/>
                  <w:left w:w="0" w:type="dxa"/>
                  <w:bottom w:w="0" w:type="dxa"/>
                  <w:right w:w="0" w:type="dxa"/>
                </w:tblCellMar>
              </w:tblPrEx>
              <w:trPr>
                <w:trHeight w:val="454" w:hRule="atLeast"/>
                <w:jc w:val="center"/>
              </w:trPr>
              <w:tc>
                <w:tcPr>
                  <w:tcW w:w="4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32</w:t>
                  </w:r>
                </w:p>
              </w:tc>
              <w:tc>
                <w:tcPr>
                  <w:tcW w:w="24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扎带枪</w:t>
                  </w:r>
                </w:p>
              </w:tc>
              <w:tc>
                <w:tcPr>
                  <w:tcW w:w="22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三堡</w:t>
                  </w:r>
                </w:p>
              </w:tc>
              <w:tc>
                <w:tcPr>
                  <w:tcW w:w="12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20</w:t>
                  </w:r>
                </w:p>
              </w:tc>
              <w:tc>
                <w:tcPr>
                  <w:tcW w:w="18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与环评一致</w:t>
                  </w:r>
                </w:p>
              </w:tc>
            </w:tr>
            <w:tr>
              <w:tblPrEx>
                <w:tblCellMar>
                  <w:top w:w="0" w:type="dxa"/>
                  <w:left w:w="0" w:type="dxa"/>
                  <w:bottom w:w="0" w:type="dxa"/>
                  <w:right w:w="0" w:type="dxa"/>
                </w:tblCellMar>
              </w:tblPrEx>
              <w:trPr>
                <w:trHeight w:val="486" w:hRule="atLeast"/>
                <w:jc w:val="center"/>
              </w:trPr>
              <w:tc>
                <w:tcPr>
                  <w:tcW w:w="4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33</w:t>
                  </w:r>
                </w:p>
              </w:tc>
              <w:tc>
                <w:tcPr>
                  <w:tcW w:w="24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扩索环机</w:t>
                  </w:r>
                </w:p>
              </w:tc>
              <w:tc>
                <w:tcPr>
                  <w:tcW w:w="22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江苏顺诺</w:t>
                  </w:r>
                </w:p>
              </w:tc>
              <w:tc>
                <w:tcPr>
                  <w:tcW w:w="12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w:t>
                  </w:r>
                </w:p>
              </w:tc>
              <w:tc>
                <w:tcPr>
                  <w:tcW w:w="18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与环评一致</w:t>
                  </w:r>
                </w:p>
              </w:tc>
            </w:tr>
            <w:tr>
              <w:tblPrEx>
                <w:tblCellMar>
                  <w:top w:w="0" w:type="dxa"/>
                  <w:left w:w="0" w:type="dxa"/>
                  <w:bottom w:w="0" w:type="dxa"/>
                  <w:right w:w="0" w:type="dxa"/>
                </w:tblCellMar>
              </w:tblPrEx>
              <w:trPr>
                <w:trHeight w:val="454" w:hRule="atLeast"/>
                <w:jc w:val="center"/>
              </w:trPr>
              <w:tc>
                <w:tcPr>
                  <w:tcW w:w="4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34</w:t>
                  </w:r>
                </w:p>
              </w:tc>
              <w:tc>
                <w:tcPr>
                  <w:tcW w:w="24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导通台</w:t>
                  </w:r>
                </w:p>
              </w:tc>
              <w:tc>
                <w:tcPr>
                  <w:tcW w:w="22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苏州欧虹</w:t>
                  </w:r>
                </w:p>
              </w:tc>
              <w:tc>
                <w:tcPr>
                  <w:tcW w:w="12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6</w:t>
                  </w:r>
                </w:p>
              </w:tc>
              <w:tc>
                <w:tcPr>
                  <w:tcW w:w="18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与环评一致</w:t>
                  </w:r>
                </w:p>
              </w:tc>
            </w:tr>
            <w:tr>
              <w:tblPrEx>
                <w:tblCellMar>
                  <w:top w:w="0" w:type="dxa"/>
                  <w:left w:w="0" w:type="dxa"/>
                  <w:bottom w:w="0" w:type="dxa"/>
                  <w:right w:w="0" w:type="dxa"/>
                </w:tblCellMar>
              </w:tblPrEx>
              <w:trPr>
                <w:trHeight w:val="454" w:hRule="atLeast"/>
                <w:jc w:val="center"/>
              </w:trPr>
              <w:tc>
                <w:tcPr>
                  <w:tcW w:w="4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35</w:t>
                  </w:r>
                </w:p>
              </w:tc>
              <w:tc>
                <w:tcPr>
                  <w:tcW w:w="24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挂线架</w:t>
                  </w:r>
                </w:p>
              </w:tc>
              <w:tc>
                <w:tcPr>
                  <w:tcW w:w="22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自制</w:t>
                  </w:r>
                </w:p>
              </w:tc>
              <w:tc>
                <w:tcPr>
                  <w:tcW w:w="12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24</w:t>
                  </w:r>
                </w:p>
              </w:tc>
              <w:tc>
                <w:tcPr>
                  <w:tcW w:w="18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与环评一致</w:t>
                  </w:r>
                </w:p>
              </w:tc>
            </w:tr>
            <w:tr>
              <w:tblPrEx>
                <w:tblCellMar>
                  <w:top w:w="0" w:type="dxa"/>
                  <w:left w:w="0" w:type="dxa"/>
                  <w:bottom w:w="0" w:type="dxa"/>
                  <w:right w:w="0" w:type="dxa"/>
                </w:tblCellMar>
              </w:tblPrEx>
              <w:trPr>
                <w:trHeight w:val="454" w:hRule="atLeast"/>
                <w:jc w:val="center"/>
              </w:trPr>
              <w:tc>
                <w:tcPr>
                  <w:tcW w:w="4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36</w:t>
                  </w:r>
                </w:p>
              </w:tc>
              <w:tc>
                <w:tcPr>
                  <w:tcW w:w="24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外检桌</w:t>
                  </w:r>
                </w:p>
              </w:tc>
              <w:tc>
                <w:tcPr>
                  <w:tcW w:w="22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自制</w:t>
                  </w:r>
                </w:p>
              </w:tc>
              <w:tc>
                <w:tcPr>
                  <w:tcW w:w="12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8</w:t>
                  </w:r>
                </w:p>
              </w:tc>
              <w:tc>
                <w:tcPr>
                  <w:tcW w:w="18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与环评一致</w:t>
                  </w:r>
                </w:p>
              </w:tc>
            </w:tr>
            <w:tr>
              <w:tblPrEx>
                <w:tblCellMar>
                  <w:top w:w="0" w:type="dxa"/>
                  <w:left w:w="0" w:type="dxa"/>
                  <w:bottom w:w="0" w:type="dxa"/>
                  <w:right w:w="0" w:type="dxa"/>
                </w:tblCellMar>
              </w:tblPrEx>
              <w:trPr>
                <w:trHeight w:val="454" w:hRule="atLeast"/>
                <w:jc w:val="center"/>
              </w:trPr>
              <w:tc>
                <w:tcPr>
                  <w:tcW w:w="4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37</w:t>
                  </w:r>
                </w:p>
              </w:tc>
              <w:tc>
                <w:tcPr>
                  <w:tcW w:w="24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小卡号工装板</w:t>
                  </w:r>
                </w:p>
              </w:tc>
              <w:tc>
                <w:tcPr>
                  <w:tcW w:w="22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自制</w:t>
                  </w:r>
                </w:p>
              </w:tc>
              <w:tc>
                <w:tcPr>
                  <w:tcW w:w="12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30</w:t>
                  </w:r>
                </w:p>
              </w:tc>
              <w:tc>
                <w:tcPr>
                  <w:tcW w:w="18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与环评一致</w:t>
                  </w:r>
                </w:p>
              </w:tc>
            </w:tr>
            <w:tr>
              <w:tblPrEx>
                <w:tblCellMar>
                  <w:top w:w="0" w:type="dxa"/>
                  <w:left w:w="0" w:type="dxa"/>
                  <w:bottom w:w="0" w:type="dxa"/>
                  <w:right w:w="0" w:type="dxa"/>
                </w:tblCellMar>
              </w:tblPrEx>
              <w:trPr>
                <w:trHeight w:val="454" w:hRule="atLeast"/>
                <w:jc w:val="center"/>
              </w:trPr>
              <w:tc>
                <w:tcPr>
                  <w:tcW w:w="4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38</w:t>
                  </w:r>
                </w:p>
              </w:tc>
              <w:tc>
                <w:tcPr>
                  <w:tcW w:w="24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大卡号工装板</w:t>
                  </w:r>
                </w:p>
              </w:tc>
              <w:tc>
                <w:tcPr>
                  <w:tcW w:w="22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自制</w:t>
                  </w:r>
                </w:p>
              </w:tc>
              <w:tc>
                <w:tcPr>
                  <w:tcW w:w="12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56</w:t>
                  </w:r>
                </w:p>
              </w:tc>
              <w:tc>
                <w:tcPr>
                  <w:tcW w:w="18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与环评一致</w:t>
                  </w:r>
                </w:p>
              </w:tc>
            </w:tr>
            <w:tr>
              <w:tblPrEx>
                <w:tblCellMar>
                  <w:top w:w="0" w:type="dxa"/>
                  <w:left w:w="0" w:type="dxa"/>
                  <w:bottom w:w="0" w:type="dxa"/>
                  <w:right w:w="0" w:type="dxa"/>
                </w:tblCellMar>
              </w:tblPrEx>
              <w:trPr>
                <w:trHeight w:val="454" w:hRule="atLeast"/>
                <w:jc w:val="center"/>
              </w:trPr>
              <w:tc>
                <w:tcPr>
                  <w:tcW w:w="4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39</w:t>
                  </w:r>
                </w:p>
              </w:tc>
              <w:tc>
                <w:tcPr>
                  <w:tcW w:w="24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螺杆式空压机</w:t>
                  </w:r>
                </w:p>
              </w:tc>
              <w:tc>
                <w:tcPr>
                  <w:tcW w:w="22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无油螺杆空压机</w:t>
                  </w:r>
                </w:p>
              </w:tc>
              <w:tc>
                <w:tcPr>
                  <w:tcW w:w="12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top"/>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w:t>
                  </w:r>
                </w:p>
              </w:tc>
              <w:tc>
                <w:tcPr>
                  <w:tcW w:w="18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与环评一致</w:t>
                  </w:r>
                </w:p>
              </w:tc>
            </w:tr>
          </w:tbl>
          <w:p>
            <w:pPr>
              <w:spacing w:line="480" w:lineRule="exact"/>
              <w:ind w:firstLine="482" w:firstLineChars="200"/>
              <w:rPr>
                <w:rFonts w:hint="eastAsia"/>
                <w:b/>
                <w:bCs w:val="0"/>
                <w:color w:val="auto"/>
                <w:sz w:val="24"/>
                <w:highlight w:val="none"/>
                <w:lang w:val="en-US" w:eastAsia="zh-CN"/>
              </w:rPr>
            </w:pPr>
            <w:r>
              <w:rPr>
                <w:rFonts w:hint="eastAsia"/>
                <w:b/>
                <w:bCs w:val="0"/>
                <w:color w:val="auto"/>
                <w:sz w:val="24"/>
                <w:highlight w:val="none"/>
                <w:lang w:val="en-US" w:eastAsia="zh-CN"/>
              </w:rPr>
              <w:t>项目水平衡分析</w:t>
            </w:r>
          </w:p>
          <w:p>
            <w:pPr>
              <w:pStyle w:val="17"/>
              <w:rPr>
                <w:rFonts w:hint="default"/>
                <w:color w:val="auto"/>
                <w:highlight w:val="none"/>
                <w:lang w:val="en-US" w:eastAsia="zh-CN"/>
              </w:rPr>
            </w:pPr>
            <w:r>
              <w:rPr>
                <w:rFonts w:hint="eastAsia"/>
                <w:color w:val="auto"/>
                <w:highlight w:val="none"/>
                <w:lang w:val="en-US" w:eastAsia="zh-CN"/>
              </w:rPr>
              <w:t>项目运营期内，用、排水情况详见下表。</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color w:val="auto"/>
                <w:sz w:val="24"/>
                <w:szCs w:val="22"/>
                <w:highlight w:val="none"/>
                <w:lang w:val="en-US" w:eastAsia="zh-CN"/>
              </w:rPr>
            </w:pPr>
            <w:r>
              <w:rPr>
                <w:rFonts w:hint="default" w:ascii="Times New Roman" w:hAnsi="Times New Roman" w:cs="Times New Roman"/>
                <w:b/>
                <w:bCs/>
                <w:color w:val="auto"/>
                <w:sz w:val="24"/>
                <w:szCs w:val="22"/>
                <w:highlight w:val="none"/>
                <w:lang w:val="en-US" w:eastAsia="zh-CN"/>
              </w:rPr>
              <w:t>表2-3 项目用、排水情况一览表</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118"/>
              <w:gridCol w:w="795"/>
              <w:gridCol w:w="796"/>
              <w:gridCol w:w="795"/>
              <w:gridCol w:w="796"/>
              <w:gridCol w:w="3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 w:type="pct"/>
                  <w:vMerge w:val="restart"/>
                  <w:vAlign w:val="center"/>
                </w:tcPr>
                <w:p>
                  <w:pPr>
                    <w:widowControl/>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序号</w:t>
                  </w:r>
                </w:p>
              </w:tc>
              <w:tc>
                <w:tcPr>
                  <w:tcW w:w="674" w:type="pct"/>
                  <w:vMerge w:val="restart"/>
                  <w:vAlign w:val="center"/>
                </w:tcPr>
                <w:p>
                  <w:pPr>
                    <w:widowControl/>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用水项</w:t>
                  </w:r>
                </w:p>
              </w:tc>
              <w:tc>
                <w:tcPr>
                  <w:tcW w:w="959" w:type="pct"/>
                  <w:gridSpan w:val="2"/>
                  <w:vAlign w:val="center"/>
                </w:tcPr>
                <w:p>
                  <w:pPr>
                    <w:widowControl/>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用水量</w:t>
                  </w:r>
                </w:p>
              </w:tc>
              <w:tc>
                <w:tcPr>
                  <w:tcW w:w="959" w:type="pct"/>
                  <w:gridSpan w:val="2"/>
                  <w:vAlign w:val="center"/>
                </w:tcPr>
                <w:p>
                  <w:pPr>
                    <w:widowControl/>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排水量</w:t>
                  </w:r>
                </w:p>
              </w:tc>
              <w:tc>
                <w:tcPr>
                  <w:tcW w:w="2150" w:type="pct"/>
                  <w:vMerge w:val="restart"/>
                  <w:vAlign w:val="center"/>
                </w:tcPr>
                <w:p>
                  <w:pPr>
                    <w:widowControl/>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 w:type="pct"/>
                  <w:vMerge w:val="continue"/>
                  <w:vAlign w:val="center"/>
                </w:tcPr>
                <w:p>
                  <w:pPr>
                    <w:widowControl/>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674" w:type="pct"/>
                  <w:vMerge w:val="continue"/>
                  <w:vAlign w:val="center"/>
                </w:tcPr>
                <w:p>
                  <w:pPr>
                    <w:widowControl/>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479" w:type="pct"/>
                  <w:vAlign w:val="center"/>
                </w:tcPr>
                <w:p>
                  <w:pPr>
                    <w:widowControl/>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cs="Times New Roman"/>
                      <w:color w:val="auto"/>
                      <w:sz w:val="21"/>
                      <w:szCs w:val="21"/>
                      <w:highlight w:val="none"/>
                      <w:vertAlign w:val="baseline"/>
                      <w:lang w:val="en-US" w:eastAsia="zh-CN"/>
                    </w:rPr>
                    <w:t>/d</w:t>
                  </w:r>
                </w:p>
              </w:tc>
              <w:tc>
                <w:tcPr>
                  <w:tcW w:w="479" w:type="pct"/>
                  <w:vAlign w:val="center"/>
                </w:tcPr>
                <w:p>
                  <w:pPr>
                    <w:widowControl/>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cs="Times New Roman"/>
                      <w:color w:val="auto"/>
                      <w:sz w:val="21"/>
                      <w:szCs w:val="21"/>
                      <w:highlight w:val="none"/>
                      <w:vertAlign w:val="baseline"/>
                      <w:lang w:val="en-US" w:eastAsia="zh-CN"/>
                    </w:rPr>
                    <w:t>/a</w:t>
                  </w:r>
                </w:p>
              </w:tc>
              <w:tc>
                <w:tcPr>
                  <w:tcW w:w="479" w:type="pct"/>
                  <w:vAlign w:val="center"/>
                </w:tcPr>
                <w:p>
                  <w:pPr>
                    <w:widowControl/>
                    <w:spacing w:line="240" w:lineRule="auto"/>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cs="Times New Roman"/>
                      <w:color w:val="auto"/>
                      <w:sz w:val="21"/>
                      <w:szCs w:val="21"/>
                      <w:highlight w:val="none"/>
                      <w:vertAlign w:val="baseline"/>
                      <w:lang w:val="en-US" w:eastAsia="zh-CN"/>
                    </w:rPr>
                    <w:t>/d</w:t>
                  </w:r>
                </w:p>
              </w:tc>
              <w:tc>
                <w:tcPr>
                  <w:tcW w:w="480" w:type="pct"/>
                  <w:vAlign w:val="center"/>
                </w:tcPr>
                <w:p>
                  <w:pPr>
                    <w:widowControl/>
                    <w:spacing w:line="240" w:lineRule="auto"/>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cs="Times New Roman"/>
                      <w:color w:val="auto"/>
                      <w:sz w:val="21"/>
                      <w:szCs w:val="21"/>
                      <w:highlight w:val="none"/>
                      <w:vertAlign w:val="baseline"/>
                      <w:lang w:val="en-US" w:eastAsia="zh-CN"/>
                    </w:rPr>
                    <w:t>/a</w:t>
                  </w:r>
                </w:p>
              </w:tc>
              <w:tc>
                <w:tcPr>
                  <w:tcW w:w="2150" w:type="pct"/>
                  <w:vMerge w:val="continue"/>
                  <w:vAlign w:val="center"/>
                </w:tcPr>
                <w:p>
                  <w:pPr>
                    <w:widowControl/>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 w:type="pct"/>
                  <w:vAlign w:val="center"/>
                </w:tcPr>
                <w:p>
                  <w:pPr>
                    <w:widowControl/>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w:t>
                  </w:r>
                </w:p>
              </w:tc>
              <w:tc>
                <w:tcPr>
                  <w:tcW w:w="674" w:type="pct"/>
                  <w:vAlign w:val="center"/>
                </w:tcPr>
                <w:p>
                  <w:pPr>
                    <w:widowControl/>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生活用水</w:t>
                  </w:r>
                </w:p>
              </w:tc>
              <w:tc>
                <w:tcPr>
                  <w:tcW w:w="479" w:type="pct"/>
                  <w:vAlign w:val="center"/>
                </w:tcPr>
                <w:p>
                  <w:pPr>
                    <w:widowControl/>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15</w:t>
                  </w:r>
                </w:p>
              </w:tc>
              <w:tc>
                <w:tcPr>
                  <w:tcW w:w="479" w:type="pct"/>
                  <w:vAlign w:val="center"/>
                </w:tcPr>
                <w:p>
                  <w:pPr>
                    <w:widowControl/>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4500</w:t>
                  </w:r>
                </w:p>
              </w:tc>
              <w:tc>
                <w:tcPr>
                  <w:tcW w:w="479" w:type="pct"/>
                  <w:vAlign w:val="center"/>
                </w:tcPr>
                <w:p>
                  <w:pPr>
                    <w:widowControl/>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13.5</w:t>
                  </w:r>
                </w:p>
              </w:tc>
              <w:tc>
                <w:tcPr>
                  <w:tcW w:w="480" w:type="pct"/>
                  <w:vAlign w:val="center"/>
                </w:tcPr>
                <w:p>
                  <w:pPr>
                    <w:widowControl/>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4050</w:t>
                  </w:r>
                </w:p>
              </w:tc>
              <w:tc>
                <w:tcPr>
                  <w:tcW w:w="2150" w:type="pct"/>
                  <w:vAlign w:val="center"/>
                </w:tcPr>
                <w:p>
                  <w:pPr>
                    <w:widowControl/>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lang w:val="en-US" w:eastAsia="zh-CN"/>
                    </w:rPr>
                    <w:t>废水经智能家居孵化园已建生化池收集处理达梁平双桂污水处理厂进水水质标准后排入园区污水管网</w:t>
                  </w:r>
                </w:p>
              </w:tc>
            </w:tr>
          </w:tbl>
          <w:p>
            <w:pPr>
              <w:spacing w:line="360" w:lineRule="auto"/>
              <w:ind w:firstLine="420" w:firstLineChars="200"/>
              <w:rPr>
                <w:rFonts w:hint="eastAsia"/>
                <w:color w:val="000000"/>
                <w:sz w:val="26"/>
                <w:szCs w:val="26"/>
                <w:lang w:val="en-US" w:eastAsia="zh-CN"/>
              </w:rPr>
            </w:pPr>
            <w:r>
              <w:rPr>
                <w:rFonts w:hint="eastAsia"/>
                <w:color w:val="auto"/>
                <w:highlight w:val="none"/>
                <w:lang w:val="en-US" w:eastAsia="zh-CN"/>
              </w:rPr>
              <w:t>项目水平衡图，详见下图</w:t>
            </w:r>
            <w:r>
              <w:rPr>
                <w:rFonts w:hint="eastAsia"/>
                <w:color w:val="000000"/>
                <w:sz w:val="26"/>
                <w:szCs w:val="26"/>
                <w:lang w:val="en-US" w:eastAsia="zh-CN"/>
              </w:rPr>
              <w:t>2-1。</w:t>
            </w:r>
          </w:p>
          <w:p>
            <w:pPr>
              <w:pStyle w:val="27"/>
              <w:snapToGrid w:val="0"/>
            </w:pPr>
            <w:r>
              <w:drawing>
                <wp:inline distT="0" distB="0" distL="114300" distR="114300">
                  <wp:extent cx="3981450" cy="120015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3981450" cy="1200150"/>
                          </a:xfrm>
                          <a:prstGeom prst="rect">
                            <a:avLst/>
                          </a:prstGeom>
                          <a:noFill/>
                          <a:ln>
                            <a:noFill/>
                          </a:ln>
                        </pic:spPr>
                      </pic:pic>
                    </a:graphicData>
                  </a:graphic>
                </wp:inline>
              </w:drawing>
            </w:r>
          </w:p>
          <w:p>
            <w:pPr>
              <w:pStyle w:val="27"/>
              <w:snapToGrid w:val="0"/>
              <w:rPr>
                <w:rFonts w:hint="eastAsia"/>
                <w:sz w:val="26"/>
                <w:szCs w:val="26"/>
                <w:lang w:val="en-US" w:eastAsia="zh-CN"/>
              </w:rPr>
            </w:pPr>
            <w:r>
              <w:rPr>
                <w:rFonts w:hint="default" w:ascii="Times New Roman" w:hAnsi="Times New Roman" w:cs="Times New Roman"/>
                <w:b/>
                <w:sz w:val="21"/>
                <w:szCs w:val="21"/>
                <w:lang w:val="en-US" w:eastAsia="zh-CN"/>
              </w:rPr>
              <w:t>图2-1 项目水平衡图（</w:t>
            </w:r>
            <w:r>
              <w:rPr>
                <w:rFonts w:hint="default" w:ascii="Times New Roman" w:hAnsi="Times New Roman" w:cs="Times New Roman"/>
                <w:kern w:val="0"/>
                <w:sz w:val="21"/>
                <w:szCs w:val="21"/>
                <w:lang w:val="en-US" w:eastAsia="zh-CN"/>
              </w:rPr>
              <w:t>m³/d</w:t>
            </w:r>
            <w:r>
              <w:rPr>
                <w:rFonts w:hint="default" w:ascii="Times New Roman" w:hAnsi="Times New Roman" w:cs="Times New Roman"/>
                <w:b/>
                <w:sz w:val="21"/>
                <w:szCs w:val="21"/>
                <w:lang w:val="en-US" w:eastAsia="zh-CN"/>
              </w:rPr>
              <w:t>）</w:t>
            </w:r>
          </w:p>
          <w:p>
            <w:pPr>
              <w:spacing w:line="480" w:lineRule="auto"/>
              <w:rPr>
                <w:sz w:val="24"/>
                <w:szCs w:val="24"/>
              </w:rPr>
            </w:pPr>
            <w:r>
              <w:rPr>
                <w:rFonts w:hint="eastAsia"/>
                <w:b/>
                <w:bCs/>
                <w:sz w:val="24"/>
                <w:szCs w:val="24"/>
              </w:rPr>
              <w:t>主要工艺流程及产物环节</w:t>
            </w:r>
            <w:r>
              <w:rPr>
                <w:rFonts w:hint="eastAsia"/>
                <w:sz w:val="24"/>
                <w:szCs w:val="24"/>
              </w:rPr>
              <w:t>（附处理工艺流程图，标出产污节点）</w:t>
            </w:r>
          </w:p>
          <w:p>
            <w:pPr>
              <w:adjustRightInd w:val="0"/>
              <w:snapToGrid w:val="0"/>
              <w:spacing w:line="360" w:lineRule="auto"/>
              <w:ind w:firstLine="482" w:firstLineChars="200"/>
              <w:rPr>
                <w:rFonts w:hint="eastAsia"/>
                <w:bCs/>
                <w:color w:val="000000"/>
                <w:sz w:val="24"/>
                <w:lang w:val="en-US" w:eastAsia="zh-CN"/>
              </w:rPr>
            </w:pPr>
            <w:r>
              <w:rPr>
                <w:rFonts w:hint="eastAsia"/>
                <w:b/>
                <w:bCs w:val="0"/>
                <w:color w:val="000000"/>
                <w:sz w:val="24"/>
                <w:lang w:val="en-US" w:eastAsia="zh-CN"/>
              </w:rPr>
              <w:t>汽车线束介绍</w:t>
            </w:r>
            <w:r>
              <w:rPr>
                <w:rFonts w:hint="eastAsia"/>
                <w:bCs/>
                <w:color w:val="000000"/>
                <w:sz w:val="24"/>
                <w:lang w:val="en-US" w:eastAsia="zh-CN"/>
              </w:rPr>
              <w:t>：是指实现汽车所有功能配置的电路系统的组合，因为是将一根根电线捆绑成束，故称线束。从功能上分类的话，分为运载驱动执行元件电力和电力线和传递传感器输入指令的信号线两种。电力线是运送大电流的粗电线，而信号线是不运载电力的细电线；从使用场所来分类的话，可以分为汽车发动机线束、仪表板线束、车身线束、车门线束和前围线束等。从形状大小可分为主线束和小线束，主线束又有多条分支线束，线束与线束之间以及线束与电气元件之间一般采用塑料插件连接。主线束和小线束分类详见下图：</w:t>
            </w:r>
          </w:p>
          <w:p>
            <w:pPr>
              <w:pStyle w:val="17"/>
              <w:spacing w:line="480" w:lineRule="exact"/>
              <w:ind w:firstLine="480"/>
              <w:rPr>
                <w:rFonts w:hint="eastAsia"/>
                <w:bCs/>
                <w:color w:val="000000"/>
                <w:sz w:val="26"/>
                <w:szCs w:val="26"/>
                <w:lang w:val="en-US" w:eastAsia="zh-CN"/>
              </w:rPr>
            </w:pPr>
            <w:r>
              <w:rPr>
                <w:color w:val="000000"/>
                <w:lang w:val="en-US" w:eastAsia="zh-CN"/>
              </w:rPr>
              <w:drawing>
                <wp:anchor distT="0" distB="0" distL="114300" distR="114300" simplePos="0" relativeHeight="251667456" behindDoc="0" locked="0" layoutInCell="1" allowOverlap="1">
                  <wp:simplePos x="0" y="0"/>
                  <wp:positionH relativeFrom="column">
                    <wp:posOffset>1972945</wp:posOffset>
                  </wp:positionH>
                  <wp:positionV relativeFrom="paragraph">
                    <wp:posOffset>11430</wp:posOffset>
                  </wp:positionV>
                  <wp:extent cx="3239135" cy="2169160"/>
                  <wp:effectExtent l="0" t="0" r="18415" b="2540"/>
                  <wp:wrapNone/>
                  <wp:docPr id="29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图片 2"/>
                          <pic:cNvPicPr>
                            <a:picLocks noChangeAspect="1"/>
                          </pic:cNvPicPr>
                        </pic:nvPicPr>
                        <pic:blipFill>
                          <a:blip r:embed="rId8"/>
                          <a:srcRect l="11377" t="8955" r="7745"/>
                          <a:stretch>
                            <a:fillRect/>
                          </a:stretch>
                        </pic:blipFill>
                        <pic:spPr>
                          <a:xfrm>
                            <a:off x="0" y="0"/>
                            <a:ext cx="3239135" cy="2169160"/>
                          </a:xfrm>
                          <a:prstGeom prst="rect">
                            <a:avLst/>
                          </a:prstGeom>
                          <a:noFill/>
                          <a:ln>
                            <a:noFill/>
                          </a:ln>
                        </pic:spPr>
                      </pic:pic>
                    </a:graphicData>
                  </a:graphic>
                </wp:anchor>
              </w:drawing>
            </w:r>
            <w:r>
              <w:rPr>
                <w:color w:val="000000"/>
                <w:lang w:val="en-US" w:eastAsia="zh-CN"/>
              </w:rPr>
              <w:drawing>
                <wp:anchor distT="0" distB="0" distL="114300" distR="114300" simplePos="0" relativeHeight="251668480" behindDoc="0" locked="0" layoutInCell="1" allowOverlap="1">
                  <wp:simplePos x="0" y="0"/>
                  <wp:positionH relativeFrom="column">
                    <wp:posOffset>-47625</wp:posOffset>
                  </wp:positionH>
                  <wp:positionV relativeFrom="paragraph">
                    <wp:posOffset>86995</wp:posOffset>
                  </wp:positionV>
                  <wp:extent cx="1958340" cy="2061845"/>
                  <wp:effectExtent l="0" t="0" r="3810" b="14605"/>
                  <wp:wrapNone/>
                  <wp:docPr id="29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图片 3"/>
                          <pic:cNvPicPr>
                            <a:picLocks noChangeAspect="1"/>
                          </pic:cNvPicPr>
                        </pic:nvPicPr>
                        <pic:blipFill>
                          <a:blip r:embed="rId9"/>
                          <a:stretch>
                            <a:fillRect/>
                          </a:stretch>
                        </pic:blipFill>
                        <pic:spPr>
                          <a:xfrm>
                            <a:off x="0" y="0"/>
                            <a:ext cx="1958340" cy="2061845"/>
                          </a:xfrm>
                          <a:prstGeom prst="rect">
                            <a:avLst/>
                          </a:prstGeom>
                          <a:noFill/>
                          <a:ln>
                            <a:noFill/>
                          </a:ln>
                        </pic:spPr>
                      </pic:pic>
                    </a:graphicData>
                  </a:graphic>
                </wp:anchor>
              </w:drawing>
            </w:r>
          </w:p>
          <w:p>
            <w:pPr>
              <w:pStyle w:val="17"/>
              <w:spacing w:line="480" w:lineRule="exact"/>
              <w:ind w:firstLine="520"/>
              <w:rPr>
                <w:rFonts w:hint="eastAsia"/>
                <w:bCs/>
                <w:color w:val="000000"/>
                <w:sz w:val="26"/>
                <w:szCs w:val="26"/>
                <w:lang w:val="en-US" w:eastAsia="zh-CN"/>
              </w:rPr>
            </w:pPr>
          </w:p>
          <w:p>
            <w:pPr>
              <w:pStyle w:val="17"/>
              <w:spacing w:line="480" w:lineRule="exact"/>
              <w:ind w:firstLine="520"/>
              <w:rPr>
                <w:rFonts w:hint="eastAsia"/>
                <w:bCs/>
                <w:color w:val="000000"/>
                <w:sz w:val="26"/>
                <w:szCs w:val="26"/>
                <w:lang w:val="en-US" w:eastAsia="zh-CN"/>
              </w:rPr>
            </w:pPr>
          </w:p>
          <w:p>
            <w:pPr>
              <w:pStyle w:val="17"/>
              <w:spacing w:line="480" w:lineRule="exact"/>
              <w:ind w:firstLine="520"/>
              <w:rPr>
                <w:rFonts w:hint="eastAsia"/>
                <w:bCs/>
                <w:color w:val="000000"/>
                <w:sz w:val="26"/>
                <w:szCs w:val="26"/>
                <w:lang w:val="en-US" w:eastAsia="zh-CN"/>
              </w:rPr>
            </w:pPr>
          </w:p>
          <w:p>
            <w:pPr>
              <w:pStyle w:val="17"/>
              <w:spacing w:line="480" w:lineRule="exact"/>
              <w:ind w:firstLine="520"/>
              <w:rPr>
                <w:rFonts w:hint="eastAsia"/>
                <w:bCs/>
                <w:color w:val="000000"/>
                <w:sz w:val="26"/>
                <w:szCs w:val="26"/>
                <w:lang w:val="en-US" w:eastAsia="zh-CN"/>
              </w:rPr>
            </w:pPr>
          </w:p>
          <w:p>
            <w:pPr>
              <w:pStyle w:val="17"/>
              <w:spacing w:line="480" w:lineRule="exact"/>
              <w:ind w:firstLine="520"/>
              <w:rPr>
                <w:rFonts w:hint="eastAsia"/>
                <w:bCs/>
                <w:color w:val="000000"/>
                <w:sz w:val="26"/>
                <w:szCs w:val="26"/>
                <w:lang w:val="en-US" w:eastAsia="zh-CN"/>
              </w:rPr>
            </w:pPr>
          </w:p>
          <w:p>
            <w:pPr>
              <w:pStyle w:val="17"/>
              <w:spacing w:line="480" w:lineRule="exact"/>
              <w:ind w:firstLine="520"/>
              <w:rPr>
                <w:rFonts w:hint="eastAsia"/>
                <w:bCs/>
                <w:color w:val="000000"/>
                <w:sz w:val="26"/>
                <w:szCs w:val="26"/>
                <w:lang w:val="en-US" w:eastAsia="zh-CN"/>
              </w:rPr>
            </w:pPr>
          </w:p>
          <w:p>
            <w:pPr>
              <w:pStyle w:val="17"/>
              <w:spacing w:line="480" w:lineRule="exact"/>
              <w:ind w:firstLine="520"/>
              <w:rPr>
                <w:rFonts w:hint="eastAsia"/>
                <w:bCs/>
                <w:sz w:val="26"/>
                <w:szCs w:val="26"/>
                <w:lang w:val="en-US" w:eastAsia="zh-CN"/>
              </w:rPr>
            </w:pPr>
          </w:p>
          <w:p>
            <w:pPr>
              <w:pStyle w:val="27"/>
              <w:snapToGrid w:val="0"/>
              <w:rPr>
                <w:rFonts w:hint="eastAsia"/>
                <w:lang w:val="en-US" w:eastAsia="zh-CN"/>
              </w:rPr>
            </w:pPr>
            <w:r>
              <w:rPr>
                <w:rFonts w:hint="eastAsia" w:ascii="Times New Roman" w:hAnsi="Times New Roman" w:cs="Times New Roman"/>
                <w:b/>
                <w:sz w:val="21"/>
                <w:szCs w:val="21"/>
                <w:lang w:val="en-US" w:eastAsia="zh-CN"/>
              </w:rPr>
              <w:t>图2-2  汽车线束分类及图片展示</w:t>
            </w:r>
          </w:p>
          <w:p>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default" w:hAnsi="宋体"/>
                <w:sz w:val="24"/>
                <w:lang w:val="en-US" w:eastAsia="zh-CN"/>
              </w:rPr>
            </w:pPr>
            <w:r>
              <w:rPr>
                <w:rFonts w:hint="eastAsia"/>
                <w:bCs/>
                <w:color w:val="000000"/>
                <w:sz w:val="24"/>
                <w:lang w:val="en-US" w:eastAsia="zh-CN"/>
              </w:rPr>
              <w:t>外购电线进行下料，再安装外购的金属端子，然后根据产品需要穿护套或者防水塞，然后进行压接端子。最后，进入组装工序。电线之间用连接器连接，无焊接工序。项目在组装环节设有单板和12板环形生产线，单板生产线为一个工装板，单面的，组装小线束，12板环形生产线是指由12个工装板成流水线布置，每个工装板是双面的，并且可以翻转，主要组装大线束（主线束）。两种生产线流程基本一致，不分别介绍。汽车线束生产工艺及产污环节示意图见下图</w:t>
            </w:r>
            <w:r>
              <w:rPr>
                <w:rFonts w:hint="eastAsia"/>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7" w:hRule="atLeast"/>
        </w:trPr>
        <w:tc>
          <w:tcPr>
            <w:tcW w:w="8522" w:type="dxa"/>
          </w:tcPr>
          <w:p>
            <w:pPr>
              <w:pStyle w:val="12"/>
              <w:ind w:left="0" w:leftChars="0" w:firstLine="0" w:firstLineChars="0"/>
            </w:pPr>
            <w:r>
              <w:drawing>
                <wp:inline distT="0" distB="0" distL="114300" distR="114300">
                  <wp:extent cx="5272405" cy="3061970"/>
                  <wp:effectExtent l="0" t="0" r="4445" b="508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0"/>
                          <a:stretch>
                            <a:fillRect/>
                          </a:stretch>
                        </pic:blipFill>
                        <pic:spPr>
                          <a:xfrm>
                            <a:off x="0" y="0"/>
                            <a:ext cx="5272405" cy="3061970"/>
                          </a:xfrm>
                          <a:prstGeom prst="rect">
                            <a:avLst/>
                          </a:prstGeom>
                          <a:noFill/>
                          <a:ln>
                            <a:noFill/>
                          </a:ln>
                        </pic:spPr>
                      </pic:pic>
                    </a:graphicData>
                  </a:graphic>
                </wp:inline>
              </w:drawing>
            </w:r>
          </w:p>
          <w:p>
            <w:pPr>
              <w:pStyle w:val="27"/>
              <w:snapToGrid w:val="0"/>
              <w:rPr>
                <w:b/>
                <w:sz w:val="24"/>
                <w:lang w:val="en-US" w:eastAsia="zh-CN"/>
              </w:rPr>
            </w:pPr>
            <w:r>
              <w:rPr>
                <w:b/>
                <w:sz w:val="21"/>
                <w:szCs w:val="21"/>
                <w:lang w:val="en-US" w:eastAsia="zh-CN"/>
              </w:rPr>
              <w:t>图</w:t>
            </w:r>
            <w:r>
              <w:rPr>
                <w:rFonts w:hint="eastAsia"/>
                <w:b/>
                <w:sz w:val="21"/>
                <w:szCs w:val="21"/>
                <w:lang w:val="en-US" w:eastAsia="zh-CN"/>
              </w:rPr>
              <w:t>2-3 汽车线束</w:t>
            </w:r>
            <w:r>
              <w:rPr>
                <w:b/>
                <w:sz w:val="21"/>
                <w:szCs w:val="21"/>
                <w:lang w:val="en-US" w:eastAsia="zh-CN"/>
              </w:rPr>
              <w:t>生产工艺流程及排污及排污节点图</w:t>
            </w:r>
          </w:p>
          <w:p>
            <w:pPr>
              <w:pStyle w:val="27"/>
              <w:snapToGrid w:val="0"/>
              <w:rPr>
                <w:b/>
                <w:sz w:val="24"/>
                <w:lang w:val="en-US" w:eastAsia="zh-CN"/>
              </w:rPr>
            </w:pPr>
          </w:p>
          <w:p>
            <w:pPr>
              <w:pStyle w:val="7"/>
              <w:spacing w:line="480" w:lineRule="auto"/>
              <w:ind w:firstLine="527"/>
              <w:rPr>
                <w:rFonts w:hint="eastAsia" w:ascii="Times New Roman" w:hAnsi="Times New Roman"/>
                <w:b/>
                <w:bCs/>
                <w:sz w:val="24"/>
                <w:szCs w:val="24"/>
              </w:rPr>
            </w:pPr>
            <w:r>
              <w:rPr>
                <w:rFonts w:hint="eastAsia" w:ascii="Times New Roman" w:hAnsi="Times New Roman"/>
                <w:b/>
                <w:bCs/>
                <w:sz w:val="24"/>
                <w:szCs w:val="24"/>
              </w:rPr>
              <w:t>工艺流程简介：</w:t>
            </w:r>
          </w:p>
          <w:p>
            <w:pPr>
              <w:pStyle w:val="7"/>
              <w:spacing w:line="360" w:lineRule="auto"/>
              <w:ind w:firstLine="527"/>
              <w:rPr>
                <w:rFonts w:hint="eastAsia" w:ascii="Times New Roman" w:hAnsi="Times New Roman"/>
                <w:b/>
                <w:bCs/>
                <w:sz w:val="24"/>
                <w:szCs w:val="24"/>
              </w:rPr>
            </w:pPr>
            <w:r>
              <w:rPr>
                <w:rFonts w:hint="eastAsia" w:ascii="Times New Roman" w:hAnsi="Times New Roman"/>
                <w:b/>
                <w:bCs/>
                <w:sz w:val="24"/>
                <w:szCs w:val="24"/>
              </w:rPr>
              <w:t>原料：</w:t>
            </w:r>
            <w:r>
              <w:rPr>
                <w:rFonts w:hint="eastAsia" w:ascii="Times New Roman" w:hAnsi="Times New Roman"/>
                <w:sz w:val="24"/>
                <w:szCs w:val="24"/>
              </w:rPr>
              <w:t>对外购各种原料检查。</w:t>
            </w:r>
          </w:p>
          <w:p>
            <w:pPr>
              <w:pStyle w:val="7"/>
              <w:spacing w:line="360" w:lineRule="auto"/>
              <w:ind w:firstLine="527"/>
              <w:rPr>
                <w:rFonts w:hint="eastAsia" w:ascii="Times New Roman" w:hAnsi="Times New Roman"/>
                <w:b/>
                <w:bCs/>
                <w:sz w:val="24"/>
                <w:szCs w:val="24"/>
              </w:rPr>
            </w:pPr>
            <w:r>
              <w:rPr>
                <w:rFonts w:hint="eastAsia" w:ascii="Times New Roman" w:hAnsi="Times New Roman"/>
                <w:b/>
                <w:bCs/>
                <w:sz w:val="24"/>
                <w:szCs w:val="24"/>
              </w:rPr>
              <w:t>裁线剥皮：</w:t>
            </w:r>
            <w:r>
              <w:rPr>
                <w:rFonts w:hint="eastAsia" w:ascii="Times New Roman" w:hAnsi="Times New Roman"/>
                <w:sz w:val="24"/>
                <w:szCs w:val="24"/>
              </w:rPr>
              <w:t>将购买的成品电线用裁线机按所需长度剪切，然后利用电线剥皮机将所切电线外包裹的塑料层与金属芯剥离，有一段剥离和两端均需剥离。另外裁剪部还对PVC管、波纹管等按照所需进行截断。此过程产生废边角料和噪声。</w:t>
            </w:r>
          </w:p>
          <w:p>
            <w:pPr>
              <w:pStyle w:val="7"/>
              <w:spacing w:line="360" w:lineRule="auto"/>
              <w:ind w:firstLine="527"/>
              <w:rPr>
                <w:rFonts w:hint="eastAsia" w:ascii="Times New Roman" w:hAnsi="Times New Roman"/>
                <w:b/>
                <w:bCs/>
                <w:sz w:val="24"/>
                <w:szCs w:val="24"/>
              </w:rPr>
            </w:pPr>
            <w:r>
              <w:rPr>
                <w:rFonts w:hint="eastAsia" w:ascii="Times New Roman" w:hAnsi="Times New Roman"/>
                <w:b/>
                <w:bCs/>
                <w:sz w:val="24"/>
                <w:szCs w:val="24"/>
              </w:rPr>
              <w:t>压接：</w:t>
            </w:r>
            <w:r>
              <w:rPr>
                <w:rFonts w:hint="eastAsia" w:ascii="Times New Roman" w:hAnsi="Times New Roman"/>
                <w:sz w:val="24"/>
                <w:szCs w:val="24"/>
              </w:rPr>
              <w:t>将剥离出来的金属芯通过端子机与外购端子压接到一起，然后用PVC胶带在压接端子处缠绕3~4圈，部分电线在压接前进行套管，装雨塞，然后再压接端子。本项目采用冷压接方式，此过程产生废端子。</w:t>
            </w:r>
          </w:p>
          <w:p>
            <w:pPr>
              <w:pStyle w:val="7"/>
              <w:spacing w:line="360" w:lineRule="auto"/>
              <w:ind w:firstLine="527"/>
              <w:rPr>
                <w:rFonts w:hint="eastAsia" w:ascii="Times New Roman" w:hAnsi="Times New Roman"/>
                <w:sz w:val="24"/>
                <w:szCs w:val="24"/>
              </w:rPr>
            </w:pPr>
            <w:r>
              <w:rPr>
                <w:rFonts w:hint="eastAsia" w:ascii="Times New Roman" w:hAnsi="Times New Roman"/>
                <w:b/>
                <w:bCs/>
                <w:sz w:val="24"/>
                <w:szCs w:val="24"/>
              </w:rPr>
              <w:t>连接：</w:t>
            </w:r>
            <w:r>
              <w:rPr>
                <w:rFonts w:hint="eastAsia" w:ascii="Times New Roman" w:hAnsi="Times New Roman"/>
                <w:sz w:val="24"/>
                <w:szCs w:val="24"/>
              </w:rPr>
              <w:t>将3根（主线和支线）以内电线打连接，主线中间脱皮，连接支线，中间缠胶带或套热缩管。此过程产生废边角料和噪声。</w:t>
            </w:r>
          </w:p>
          <w:p>
            <w:pPr>
              <w:pStyle w:val="7"/>
              <w:spacing w:line="360" w:lineRule="auto"/>
              <w:ind w:firstLine="527"/>
              <w:rPr>
                <w:rFonts w:hint="eastAsia" w:ascii="Times New Roman" w:hAnsi="Times New Roman"/>
                <w:color w:val="000000"/>
                <w:sz w:val="24"/>
                <w:szCs w:val="24"/>
              </w:rPr>
            </w:pPr>
            <w:r>
              <w:rPr>
                <w:rFonts w:hint="eastAsia" w:ascii="Times New Roman" w:hAnsi="Times New Roman"/>
                <w:b/>
                <w:bCs/>
                <w:color w:val="000000"/>
                <w:sz w:val="24"/>
                <w:szCs w:val="24"/>
              </w:rPr>
              <w:t>热缩：</w:t>
            </w:r>
            <w:r>
              <w:rPr>
                <w:rFonts w:hint="eastAsia" w:ascii="Times New Roman" w:hAnsi="Times New Roman"/>
                <w:color w:val="000000"/>
                <w:sz w:val="24"/>
                <w:szCs w:val="24"/>
              </w:rPr>
              <w:t>根据客户需要，对套有热缩管的电线，通过热风机吹热缩管</w:t>
            </w:r>
            <w:r>
              <w:rPr>
                <w:rFonts w:hint="eastAsia" w:ascii="Times New Roman" w:hAnsi="Times New Roman"/>
                <w:color w:val="000000"/>
                <w:sz w:val="24"/>
                <w:szCs w:val="24"/>
                <w:lang w:eastAsia="zh-CN"/>
              </w:rPr>
              <w:t>，温度达到</w:t>
            </w:r>
            <w:r>
              <w:rPr>
                <w:rFonts w:hint="eastAsia" w:ascii="Times New Roman" w:hAnsi="Times New Roman"/>
                <w:color w:val="000000"/>
                <w:sz w:val="24"/>
                <w:szCs w:val="24"/>
                <w:lang w:val="en-US" w:eastAsia="zh-CN"/>
              </w:rPr>
              <w:t>80度左右</w:t>
            </w:r>
            <w:r>
              <w:rPr>
                <w:rFonts w:hint="eastAsia" w:ascii="Times New Roman" w:hAnsi="Times New Roman"/>
                <w:color w:val="000000"/>
                <w:sz w:val="24"/>
                <w:szCs w:val="24"/>
              </w:rPr>
              <w:t>，</w:t>
            </w:r>
            <w:r>
              <w:rPr>
                <w:rFonts w:hint="eastAsia" w:ascii="Times New Roman" w:hAnsi="Times New Roman"/>
                <w:color w:val="000000"/>
                <w:sz w:val="24"/>
                <w:szCs w:val="24"/>
                <w:lang w:eastAsia="zh-CN"/>
              </w:rPr>
              <w:t>再冷却达到</w:t>
            </w:r>
            <w:r>
              <w:rPr>
                <w:rFonts w:hint="eastAsia" w:ascii="Times New Roman" w:hAnsi="Times New Roman"/>
                <w:color w:val="000000"/>
                <w:sz w:val="24"/>
                <w:szCs w:val="24"/>
              </w:rPr>
              <w:t>紧缩，起到绝缘的作用。</w:t>
            </w:r>
          </w:p>
          <w:p>
            <w:pPr>
              <w:pStyle w:val="7"/>
              <w:spacing w:line="360" w:lineRule="auto"/>
              <w:ind w:firstLine="527"/>
              <w:rPr>
                <w:rFonts w:hint="eastAsia" w:ascii="Times New Roman" w:hAnsi="Times New Roman"/>
                <w:color w:val="000000"/>
                <w:sz w:val="24"/>
                <w:szCs w:val="24"/>
              </w:rPr>
            </w:pPr>
            <w:r>
              <w:rPr>
                <w:rFonts w:hint="eastAsia" w:ascii="Times New Roman" w:hAnsi="Times New Roman"/>
                <w:b/>
                <w:bCs/>
                <w:color w:val="000000"/>
                <w:sz w:val="24"/>
                <w:szCs w:val="24"/>
              </w:rPr>
              <w:t>绞线：</w:t>
            </w:r>
            <w:r>
              <w:rPr>
                <w:rFonts w:hint="eastAsia" w:ascii="Times New Roman" w:hAnsi="Times New Roman"/>
                <w:color w:val="000000"/>
                <w:sz w:val="24"/>
                <w:szCs w:val="24"/>
              </w:rPr>
              <w:t>将压接好的导线按工位架上的位置分成小股分线，有的将两根电线利用绞线机进行交叉绞线，再将分线束的端子插入对应的护套中。此过程产生设备噪声。</w:t>
            </w:r>
          </w:p>
          <w:p>
            <w:pPr>
              <w:pStyle w:val="7"/>
              <w:spacing w:line="360" w:lineRule="auto"/>
              <w:ind w:firstLine="527"/>
              <w:rPr>
                <w:rFonts w:hint="eastAsia" w:ascii="Times New Roman" w:hAnsi="Times New Roman"/>
                <w:color w:val="000000"/>
                <w:sz w:val="24"/>
                <w:szCs w:val="24"/>
              </w:rPr>
            </w:pPr>
            <w:r>
              <w:rPr>
                <w:rFonts w:hint="eastAsia" w:ascii="Times New Roman" w:hAnsi="Times New Roman"/>
                <w:b/>
                <w:bCs/>
                <w:color w:val="000000"/>
                <w:sz w:val="24"/>
                <w:szCs w:val="24"/>
              </w:rPr>
              <w:t>预装：</w:t>
            </w:r>
            <w:r>
              <w:rPr>
                <w:rFonts w:hint="eastAsia" w:ascii="Times New Roman" w:hAnsi="Times New Roman"/>
                <w:color w:val="000000"/>
                <w:sz w:val="24"/>
                <w:szCs w:val="24"/>
              </w:rPr>
              <w:t>在预装工位上进行手穿防水塞、波纹管、护套、连接器等，然后进行打捆挂在周转箱上，转入下一步工序。</w:t>
            </w:r>
          </w:p>
          <w:p>
            <w:pPr>
              <w:pStyle w:val="7"/>
              <w:spacing w:line="360" w:lineRule="auto"/>
              <w:ind w:firstLine="527"/>
              <w:rPr>
                <w:rFonts w:hint="eastAsia" w:ascii="Times New Roman" w:hAnsi="Times New Roman"/>
                <w:b/>
                <w:bCs/>
                <w:color w:val="000000"/>
                <w:sz w:val="24"/>
                <w:szCs w:val="24"/>
              </w:rPr>
            </w:pPr>
            <w:r>
              <w:rPr>
                <w:rFonts w:hint="eastAsia" w:ascii="Times New Roman" w:hAnsi="Times New Roman"/>
                <w:b/>
                <w:bCs/>
                <w:color w:val="000000"/>
                <w:sz w:val="24"/>
                <w:szCs w:val="24"/>
              </w:rPr>
              <w:t>组装：</w:t>
            </w:r>
            <w:r>
              <w:rPr>
                <w:rFonts w:hint="eastAsia" w:ascii="Times New Roman" w:hAnsi="Times New Roman"/>
                <w:color w:val="000000"/>
                <w:sz w:val="24"/>
                <w:szCs w:val="24"/>
              </w:rPr>
              <w:t>按工艺要求，将分线束逐一在工艺板上进行铺设，铺设完成后将未穿插护套的端子插入对应的护套内；然后按照工艺要求用PVC胶带、绒布胶带、布基胶带对各支线或干线进行缠绕包扎，安装PVC管；将包扎好的线束按要求安装保险片、继电器等附件；下线后在扎带板上安装扎带。</w:t>
            </w:r>
          </w:p>
          <w:p>
            <w:pPr>
              <w:pStyle w:val="7"/>
              <w:spacing w:line="360" w:lineRule="auto"/>
              <w:ind w:firstLine="527"/>
              <w:rPr>
                <w:rFonts w:hint="eastAsia" w:ascii="Times New Roman" w:hAnsi="Times New Roman"/>
                <w:b/>
                <w:bCs/>
                <w:color w:val="000000"/>
                <w:sz w:val="24"/>
                <w:szCs w:val="24"/>
              </w:rPr>
            </w:pPr>
            <w:r>
              <w:rPr>
                <w:rFonts w:hint="eastAsia" w:ascii="Times New Roman" w:hAnsi="Times New Roman"/>
                <w:b/>
                <w:bCs/>
                <w:color w:val="000000"/>
                <w:sz w:val="24"/>
                <w:szCs w:val="24"/>
              </w:rPr>
              <w:t>测试：</w:t>
            </w:r>
            <w:r>
              <w:rPr>
                <w:rFonts w:hint="eastAsia" w:ascii="Times New Roman" w:hAnsi="Times New Roman"/>
                <w:color w:val="000000"/>
                <w:sz w:val="24"/>
                <w:szCs w:val="24"/>
              </w:rPr>
              <w:t>将组装好的线束在导通台上进行导通测试，产生的不合格产品重新拆解组装。</w:t>
            </w:r>
          </w:p>
          <w:p>
            <w:pPr>
              <w:pStyle w:val="7"/>
              <w:spacing w:line="360" w:lineRule="auto"/>
              <w:ind w:firstLine="527"/>
              <w:rPr>
                <w:rFonts w:hint="eastAsia" w:ascii="Times New Roman" w:hAnsi="Times New Roman"/>
                <w:color w:val="000000"/>
                <w:sz w:val="24"/>
                <w:szCs w:val="24"/>
              </w:rPr>
            </w:pPr>
            <w:r>
              <w:rPr>
                <w:rFonts w:hint="eastAsia" w:ascii="Times New Roman" w:hAnsi="Times New Roman"/>
                <w:b/>
                <w:bCs/>
                <w:color w:val="000000"/>
                <w:sz w:val="24"/>
                <w:szCs w:val="24"/>
              </w:rPr>
              <w:t>总检包装：</w:t>
            </w:r>
            <w:r>
              <w:rPr>
                <w:rFonts w:hint="eastAsia" w:ascii="Times New Roman" w:hAnsi="Times New Roman"/>
                <w:color w:val="000000"/>
                <w:sz w:val="24"/>
                <w:szCs w:val="24"/>
              </w:rPr>
              <w:t>测试合格的产品进行总检、包装入库。</w:t>
            </w:r>
          </w:p>
          <w:p>
            <w:pPr>
              <w:pStyle w:val="17"/>
              <w:ind w:left="0" w:leftChars="0" w:firstLine="0" w:firstLineChars="0"/>
              <w:rPr>
                <w:rFonts w:hint="default" w:hAnsi="宋体"/>
                <w:sz w:val="24"/>
                <w:lang w:val="en-US" w:eastAsia="zh-CN"/>
              </w:rPr>
            </w:pPr>
          </w:p>
        </w:tc>
      </w:tr>
    </w:tbl>
    <w:p>
      <w:pPr>
        <w:jc w:val="left"/>
        <w:rPr>
          <w:rFonts w:hint="default" w:ascii="宋体" w:hAnsi="宋体" w:eastAsia="宋体" w:cs="宋体"/>
          <w:b/>
          <w:color w:val="000000"/>
          <w:kern w:val="0"/>
          <w:sz w:val="28"/>
          <w:szCs w:val="28"/>
          <w:lang w:val="en-US" w:eastAsia="zh-CN" w:bidi="ar"/>
        </w:rPr>
      </w:pPr>
    </w:p>
    <w:p>
      <w:pPr>
        <w:spacing w:line="480" w:lineRule="auto"/>
        <w:jc w:val="left"/>
        <w:rPr>
          <w:rFonts w:hint="eastAsia" w:ascii="宋体" w:hAnsi="宋体" w:eastAsia="宋体" w:cs="宋体"/>
          <w:b/>
          <w:color w:val="000000"/>
          <w:kern w:val="0"/>
          <w:sz w:val="28"/>
          <w:szCs w:val="28"/>
          <w:lang w:val="en-US" w:eastAsia="zh-CN" w:bidi="ar"/>
        </w:rPr>
      </w:pPr>
      <w:r>
        <w:rPr>
          <w:rFonts w:hint="eastAsia" w:ascii="宋体" w:hAnsi="宋体" w:eastAsia="宋体" w:cs="宋体"/>
          <w:b/>
          <w:color w:val="000000"/>
          <w:kern w:val="0"/>
          <w:sz w:val="28"/>
          <w:szCs w:val="28"/>
          <w:lang w:val="en-US" w:eastAsia="zh-CN" w:bidi="ar"/>
        </w:rPr>
        <w:t>表三</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7"/>
              <w:spacing w:line="480" w:lineRule="auto"/>
              <w:ind w:left="0" w:leftChars="0" w:firstLine="0" w:firstLineChars="0"/>
              <w:rPr>
                <w:rFonts w:hAnsi="宋体"/>
                <w:b/>
                <w:bCs/>
                <w:sz w:val="24"/>
              </w:rPr>
            </w:pPr>
            <w:r>
              <w:rPr>
                <w:rFonts w:hAnsi="宋体"/>
                <w:b/>
                <w:bCs/>
                <w:sz w:val="24"/>
              </w:rPr>
              <w:t>主要污染物治理及处置设施</w:t>
            </w:r>
          </w:p>
          <w:p>
            <w:pPr>
              <w:pStyle w:val="17"/>
              <w:numPr>
                <w:ilvl w:val="0"/>
                <w:numId w:val="1"/>
              </w:numPr>
              <w:spacing w:line="480" w:lineRule="auto"/>
              <w:ind w:left="240" w:leftChars="0" w:firstLine="0" w:firstLineChars="0"/>
              <w:rPr>
                <w:rFonts w:hint="eastAsia" w:hAnsi="宋体"/>
                <w:b/>
                <w:bCs/>
                <w:sz w:val="24"/>
                <w:lang w:val="en-US" w:eastAsia="zh-CN"/>
              </w:rPr>
            </w:pPr>
            <w:r>
              <w:rPr>
                <w:rFonts w:hint="eastAsia" w:hAnsi="宋体"/>
                <w:b/>
                <w:bCs/>
                <w:sz w:val="24"/>
                <w:lang w:val="en-US" w:eastAsia="zh-CN"/>
              </w:rPr>
              <w:t>废水</w:t>
            </w:r>
          </w:p>
          <w:p>
            <w:pPr>
              <w:pStyle w:val="27"/>
              <w:snapToGrid w:val="0"/>
              <w:spacing w:line="360" w:lineRule="auto"/>
              <w:ind w:firstLine="480" w:firstLineChars="200"/>
              <w:jc w:val="both"/>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营运期废水主要为生活污水。 生活污水主要来自于</w:t>
            </w:r>
            <w:r>
              <w:rPr>
                <w:sz w:val="26"/>
                <w:szCs w:val="26"/>
                <w:lang w:val="en-US" w:eastAsia="zh-CN"/>
              </w:rPr>
              <w:t>主</w:t>
            </w:r>
            <w:r>
              <w:rPr>
                <w:rFonts w:hint="default" w:ascii="Times New Roman" w:hAnsi="Times New Roman" w:eastAsia="宋体" w:cs="Times New Roman"/>
                <w:sz w:val="24"/>
                <w:szCs w:val="24"/>
                <w:lang w:val="en-US" w:eastAsia="zh-CN"/>
              </w:rPr>
              <w:t>要为员工</w:t>
            </w:r>
            <w:r>
              <w:rPr>
                <w:rFonts w:hint="eastAsia" w:ascii="Times New Roman" w:hAnsi="Times New Roman" w:eastAsia="宋体" w:cs="Times New Roman"/>
                <w:sz w:val="24"/>
                <w:szCs w:val="24"/>
                <w:lang w:val="en-US" w:eastAsia="zh-CN"/>
              </w:rPr>
              <w:t>洗手等</w:t>
            </w:r>
            <w:r>
              <w:rPr>
                <w:rFonts w:hint="default" w:ascii="Times New Roman" w:hAnsi="Times New Roman" w:eastAsia="宋体" w:cs="Times New Roman"/>
                <w:sz w:val="24"/>
                <w:szCs w:val="24"/>
                <w:lang w:val="en-IE" w:eastAsia="zh-CN"/>
              </w:rPr>
              <w:t>生活污水。</w:t>
            </w:r>
            <w:r>
              <w:rPr>
                <w:rFonts w:hint="eastAsia" w:ascii="Times New Roman" w:hAnsi="Times New Roman" w:eastAsia="宋体" w:cs="Times New Roman"/>
                <w:sz w:val="24"/>
                <w:szCs w:val="24"/>
                <w:lang w:val="en-US" w:eastAsia="zh-CN"/>
              </w:rPr>
              <w:t>生活污水排入标准厂房现有生化池预处理达《污水综合排放标准》（GB8978-1996）三级标准后再由</w:t>
            </w:r>
            <w:r>
              <w:rPr>
                <w:rFonts w:hint="eastAsia" w:hAnsi="宋体"/>
                <w:color w:val="000000"/>
                <w:sz w:val="24"/>
                <w:lang w:val="en-US" w:eastAsia="zh-CN"/>
              </w:rPr>
              <w:t>园区污水管网进入梁平双桂污水处理厂深度处理达</w:t>
            </w:r>
            <w:r>
              <w:rPr>
                <w:color w:val="000000"/>
                <w:sz w:val="24"/>
              </w:rPr>
              <w:t>《城镇污水处理厂污染物排</w:t>
            </w:r>
            <w:r>
              <w:rPr>
                <w:rFonts w:hint="eastAsia" w:ascii="Times New Roman" w:hAnsi="Times New Roman" w:eastAsia="宋体" w:cs="Times New Roman"/>
                <w:sz w:val="24"/>
                <w:szCs w:val="24"/>
                <w:lang w:val="en-US" w:eastAsia="zh-CN"/>
              </w:rPr>
              <w:t>放标准》（GB18918-2002）一</w:t>
            </w:r>
            <w:r>
              <w:rPr>
                <w:color w:val="000000"/>
                <w:sz w:val="24"/>
              </w:rPr>
              <w:t>级</w:t>
            </w:r>
            <w:r>
              <w:rPr>
                <w:rFonts w:hint="eastAsia"/>
                <w:color w:val="000000"/>
                <w:sz w:val="24"/>
                <w:lang w:val="en-US" w:eastAsia="zh-CN"/>
              </w:rPr>
              <w:t>B</w:t>
            </w:r>
            <w:r>
              <w:rPr>
                <w:color w:val="000000"/>
                <w:sz w:val="24"/>
              </w:rPr>
              <w:t>标准后排入</w:t>
            </w:r>
            <w:r>
              <w:rPr>
                <w:rFonts w:hint="eastAsia"/>
                <w:color w:val="000000"/>
                <w:sz w:val="24"/>
                <w:lang w:val="en-US" w:eastAsia="zh-CN"/>
              </w:rPr>
              <w:t>小沙河</w:t>
            </w:r>
            <w:r>
              <w:rPr>
                <w:color w:val="000000"/>
                <w:sz w:val="24"/>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hAnsi="宋体"/>
                <w:b w:val="0"/>
                <w:bCs w:val="0"/>
                <w:sz w:val="24"/>
                <w:lang w:val="en-US" w:eastAsia="zh-CN"/>
              </w:rPr>
            </w:pPr>
            <w:r>
              <w:rPr>
                <w:rFonts w:hint="default" w:ascii="Times New Roman" w:hAnsi="Times New Roman" w:eastAsia="宋体" w:cs="Times New Roman"/>
                <w:sz w:val="24"/>
                <w:szCs w:val="24"/>
                <w:lang w:val="en-US" w:eastAsia="zh-CN"/>
              </w:rPr>
              <w:t>本项目废水处理工艺如下图</w:t>
            </w: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val="en-US" w:eastAsia="zh-CN"/>
              </w:rPr>
              <w:t>：</w:t>
            </w:r>
          </w:p>
          <w:p>
            <w:pPr>
              <w:pStyle w:val="27"/>
              <w:snapToGrid w:val="0"/>
              <w:spacing w:line="480" w:lineRule="exact"/>
              <w:jc w:val="both"/>
              <w:rPr>
                <w:rFonts w:hint="default"/>
                <w:sz w:val="26"/>
                <w:szCs w:val="26"/>
                <w:lang w:val="en-IE" w:eastAsia="zh-CN"/>
              </w:rPr>
            </w:pPr>
            <w:r>
              <w:rPr>
                <w:sz w:val="26"/>
              </w:rPr>
              <mc:AlternateContent>
                <mc:Choice Requires="wps">
                  <w:drawing>
                    <wp:anchor distT="0" distB="0" distL="114300" distR="114300" simplePos="0" relativeHeight="251664384" behindDoc="0" locked="0" layoutInCell="1" allowOverlap="1">
                      <wp:simplePos x="0" y="0"/>
                      <wp:positionH relativeFrom="column">
                        <wp:posOffset>2538095</wp:posOffset>
                      </wp:positionH>
                      <wp:positionV relativeFrom="paragraph">
                        <wp:posOffset>257810</wp:posOffset>
                      </wp:positionV>
                      <wp:extent cx="1399540" cy="333375"/>
                      <wp:effectExtent l="4445" t="4445" r="5715" b="5080"/>
                      <wp:wrapNone/>
                      <wp:docPr id="20" name="文本框 20"/>
                      <wp:cNvGraphicFramePr/>
                      <a:graphic xmlns:a="http://schemas.openxmlformats.org/drawingml/2006/main">
                        <a:graphicData uri="http://schemas.microsoft.com/office/word/2010/wordprocessingShape">
                          <wps:wsp>
                            <wps:cNvSpPr txBox="1"/>
                            <wps:spPr>
                              <a:xfrm>
                                <a:off x="3956685" y="2564130"/>
                                <a:ext cx="1399540" cy="333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sz w:val="21"/>
                                      <w:szCs w:val="21"/>
                                      <w:lang w:val="en-US" w:eastAsia="zh-CN"/>
                                    </w:rPr>
                                  </w:pPr>
                                  <w:r>
                                    <w:rPr>
                                      <w:rFonts w:hint="eastAsia" w:hAnsi="宋体"/>
                                      <w:color w:val="000000"/>
                                      <w:sz w:val="21"/>
                                      <w:szCs w:val="21"/>
                                      <w:lang w:val="en-US" w:eastAsia="zh-CN"/>
                                    </w:rPr>
                                    <w:t>梁平双桂污水处理厂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9.85pt;margin-top:20.3pt;height:26.25pt;width:110.2pt;z-index:251664384;mso-width-relative:page;mso-height-relative:page;" fillcolor="#FFFFFF [3201]" filled="t" stroked="t" coordsize="21600,21600" o:gfxdata="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6sJdN1gAAAAkBAAAPAAAAAAAAAAEAIAAAACIAAABkcnMvZG93bnJldi54bWxQSwECFAAUAAAA&#10;CACHTuJA5P3vNWICAADFBAAADgAAAAAAAAABACAAAAAlAQAAZHJzL2Uyb0RvYy54bWxQSwUGAAAA&#10;AAYABgBZAQAA+QUAAAAA&#10;">
                      <v:fill on="t" focussize="0,0"/>
                      <v:stroke weight="0.5pt" color="#000000 [3204]" joinstyle="round"/>
                      <v:imagedata o:title=""/>
                      <o:lock v:ext="edit" aspectratio="f"/>
                      <v:textbox>
                        <w:txbxContent>
                          <w:p>
                            <w:pPr>
                              <w:rPr>
                                <w:rFonts w:hint="eastAsia"/>
                                <w:sz w:val="21"/>
                                <w:szCs w:val="21"/>
                                <w:lang w:val="en-US" w:eastAsia="zh-CN"/>
                              </w:rPr>
                            </w:pPr>
                            <w:r>
                              <w:rPr>
                                <w:rFonts w:hint="eastAsia" w:hAnsi="宋体"/>
                                <w:color w:val="000000"/>
                                <w:sz w:val="21"/>
                                <w:szCs w:val="21"/>
                                <w:lang w:val="en-US" w:eastAsia="zh-CN"/>
                              </w:rPr>
                              <w:t>梁平双桂污水处理厂</w:t>
                            </w:r>
                          </w:p>
                        </w:txbxContent>
                      </v:textbox>
                    </v:shape>
                  </w:pict>
                </mc:Fallback>
              </mc:AlternateContent>
            </w:r>
            <w:r>
              <w:rPr>
                <w:sz w:val="26"/>
              </w:rPr>
              <mc:AlternateContent>
                <mc:Choice Requires="wps">
                  <w:drawing>
                    <wp:anchor distT="0" distB="0" distL="114300" distR="114300" simplePos="0" relativeHeight="251662336" behindDoc="0" locked="0" layoutInCell="1" allowOverlap="1">
                      <wp:simplePos x="0" y="0"/>
                      <wp:positionH relativeFrom="column">
                        <wp:posOffset>1290320</wp:posOffset>
                      </wp:positionH>
                      <wp:positionV relativeFrom="paragraph">
                        <wp:posOffset>271780</wp:posOffset>
                      </wp:positionV>
                      <wp:extent cx="751840" cy="304800"/>
                      <wp:effectExtent l="4445" t="4445" r="5715" b="14605"/>
                      <wp:wrapNone/>
                      <wp:docPr id="18" name="文本框 18"/>
                      <wp:cNvGraphicFramePr/>
                      <a:graphic xmlns:a="http://schemas.openxmlformats.org/drawingml/2006/main">
                        <a:graphicData uri="http://schemas.microsoft.com/office/word/2010/wordprocessingShape">
                          <wps:wsp>
                            <wps:cNvSpPr txBox="1"/>
                            <wps:spPr>
                              <a:xfrm>
                                <a:off x="2604135" y="2745105"/>
                                <a:ext cx="751840"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lang w:eastAsia="zh-CN"/>
                                    </w:rPr>
                                  </w:pPr>
                                  <w:r>
                                    <w:rPr>
                                      <w:rFonts w:hint="eastAsia"/>
                                      <w:lang w:eastAsia="zh-CN"/>
                                    </w:rPr>
                                    <w:t>生化池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1.6pt;margin-top:21.4pt;height:24pt;width:59.2pt;z-index:251662336;mso-width-relative:page;mso-height-relative:page;" fillcolor="#FFFFFF [3201]" filled="t" stroked="t" coordsize="21600,21600" o:gfxdata="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tEIh3VAAAACQEAAA8AAAAAAAAAAQAgAAAAIgAAAGRycy9kb3ducmV2LnhtbFBLAQIUABQA&#10;AAAIAIdO4kDDp/siZQIAAMQEAAAOAAAAAAAAAAEAIAAAACQBAABkcnMvZTJvRG9jLnhtbFBLBQYA&#10;AAAABgAGAFkBAAD7BQAAAAA=&#10;">
                      <v:fill on="t" focussize="0,0"/>
                      <v:stroke weight="0.5pt" color="#000000 [3204]" joinstyle="round"/>
                      <v:imagedata o:title=""/>
                      <o:lock v:ext="edit" aspectratio="f"/>
                      <v:textbox>
                        <w:txbxContent>
                          <w:p>
                            <w:pPr>
                              <w:jc w:val="center"/>
                              <w:rPr>
                                <w:rFonts w:hint="eastAsia" w:eastAsiaTheme="minorEastAsia"/>
                                <w:lang w:eastAsia="zh-CN"/>
                              </w:rPr>
                            </w:pPr>
                            <w:r>
                              <w:rPr>
                                <w:rFonts w:hint="eastAsia"/>
                                <w:lang w:eastAsia="zh-CN"/>
                              </w:rPr>
                              <w:t>生化池</w:t>
                            </w:r>
                          </w:p>
                        </w:txbxContent>
                      </v:textbox>
                    </v:shape>
                  </w:pict>
                </mc:Fallback>
              </mc:AlternateContent>
            </w:r>
            <w:r>
              <w:rPr>
                <w:sz w:val="26"/>
              </w:rPr>
              <mc:AlternateContent>
                <mc:Choice Requires="wps">
                  <w:drawing>
                    <wp:anchor distT="0" distB="0" distL="114300" distR="114300" simplePos="0" relativeHeight="251666432" behindDoc="0" locked="0" layoutInCell="1" allowOverlap="1">
                      <wp:simplePos x="0" y="0"/>
                      <wp:positionH relativeFrom="column">
                        <wp:posOffset>4347210</wp:posOffset>
                      </wp:positionH>
                      <wp:positionV relativeFrom="paragraph">
                        <wp:posOffset>276860</wp:posOffset>
                      </wp:positionV>
                      <wp:extent cx="885190" cy="381000"/>
                      <wp:effectExtent l="0" t="0" r="0" b="0"/>
                      <wp:wrapNone/>
                      <wp:docPr id="22" name="文本框 22"/>
                      <wp:cNvGraphicFramePr/>
                      <a:graphic xmlns:a="http://schemas.openxmlformats.org/drawingml/2006/main">
                        <a:graphicData uri="http://schemas.microsoft.com/office/word/2010/wordprocessingShape">
                          <wps:wsp>
                            <wps:cNvSpPr txBox="1"/>
                            <wps:spPr>
                              <a:xfrm>
                                <a:off x="5490210" y="2754630"/>
                                <a:ext cx="885190" cy="381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r>
                                    <w:rPr>
                                      <w:rFonts w:hint="eastAsia"/>
                                      <w:color w:val="000000"/>
                                      <w:sz w:val="24"/>
                                      <w:lang w:val="en-US" w:eastAsia="zh-CN"/>
                                    </w:rPr>
                                    <w:t>小沙河</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2.3pt;margin-top:21.8pt;height:30pt;width:69.7pt;z-index:251666432;mso-width-relative:page;mso-height-relative:page;" filled="f" stroked="f" coordsize="21600,21600" o:gfxdata="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EFr4Y3aAAAACgEAAA8AAAAAAAAA&#10;AQAgAAAAIgAAAGRycy9kb3ducmV2LnhtbFBLAQIUABQAAAAIAIdO4kA5c0lqSAIAAHMEAAAOAAAA&#10;AAAAAAEAIAAAACkBAABkcnMvZTJvRG9jLnhtbFBLBQYAAAAABgAGAFkBAADjBQAAAAA=&#10;">
                      <v:fill on="f" focussize="0,0"/>
                      <v:stroke on="f" weight="0.5pt"/>
                      <v:imagedata o:title=""/>
                      <o:lock v:ext="edit" aspectratio="f"/>
                      <v:textbox>
                        <w:txbxContent>
                          <w:p>
                            <w:pPr>
                              <w:rPr>
                                <w:rFonts w:hint="default"/>
                                <w:lang w:val="en-US" w:eastAsia="zh-CN"/>
                              </w:rPr>
                            </w:pPr>
                            <w:r>
                              <w:rPr>
                                <w:rFonts w:hint="eastAsia"/>
                                <w:color w:val="000000"/>
                                <w:sz w:val="24"/>
                                <w:lang w:val="en-US" w:eastAsia="zh-CN"/>
                              </w:rPr>
                              <w:t>小沙河</w:t>
                            </w:r>
                          </w:p>
                        </w:txbxContent>
                      </v:textbox>
                    </v:shape>
                  </w:pict>
                </mc:Fallback>
              </mc:AlternateContent>
            </w:r>
            <w:r>
              <w:rPr>
                <w:sz w:val="26"/>
              </w:rPr>
              <mc:AlternateContent>
                <mc:Choice Requires="wps">
                  <w:drawing>
                    <wp:anchor distT="0" distB="0" distL="114300" distR="114300" simplePos="0" relativeHeight="251660288" behindDoc="0" locked="0" layoutInCell="1" allowOverlap="1">
                      <wp:simplePos x="0" y="0"/>
                      <wp:positionH relativeFrom="column">
                        <wp:posOffset>165735</wp:posOffset>
                      </wp:positionH>
                      <wp:positionV relativeFrom="paragraph">
                        <wp:posOffset>276860</wp:posOffset>
                      </wp:positionV>
                      <wp:extent cx="895350" cy="324485"/>
                      <wp:effectExtent l="0" t="0" r="0" b="0"/>
                      <wp:wrapNone/>
                      <wp:docPr id="16" name="文本框 16"/>
                      <wp:cNvGraphicFramePr/>
                      <a:graphic xmlns:a="http://schemas.openxmlformats.org/drawingml/2006/main">
                        <a:graphicData uri="http://schemas.microsoft.com/office/word/2010/wordprocessingShape">
                          <wps:wsp>
                            <wps:cNvSpPr txBox="1"/>
                            <wps:spPr>
                              <a:xfrm>
                                <a:off x="1308735" y="2716530"/>
                                <a:ext cx="895350" cy="3244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lang w:eastAsia="zh-CN"/>
                                    </w:rPr>
                                  </w:pPr>
                                  <w:r>
                                    <w:rPr>
                                      <w:rFonts w:hint="eastAsia"/>
                                      <w:lang w:eastAsia="zh-CN"/>
                                    </w:rPr>
                                    <w:t>生活废水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05pt;margin-top:21.8pt;height:25.55pt;width:70.5pt;z-index:251660288;mso-width-relative:page;mso-height-relative:page;" filled="f" stroked="f" coordsize="21600,21600" o:gfxdata="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VG5qvaAAAACAEAAA8AAAAAAAAAAQAg&#10;AAAAIgAAAGRycy9kb3ducmV2LnhtbFBLAQIUABQAAAAIAIdO4kD/q8hRRQIAAHMEAAAOAAAAAAAA&#10;AAEAIAAAACkBAABkcnMvZTJvRG9jLnhtbFBLBQYAAAAABgAGAFkBAADgBQAAAAA=&#10;">
                      <v:fill on="f" focussize="0,0"/>
                      <v:stroke on="f" weight="0.5pt"/>
                      <v:imagedata o:title=""/>
                      <o:lock v:ext="edit" aspectratio="f"/>
                      <v:textbox>
                        <w:txbxContent>
                          <w:p>
                            <w:pPr>
                              <w:jc w:val="center"/>
                              <w:rPr>
                                <w:rFonts w:hint="eastAsia" w:eastAsiaTheme="minorEastAsia"/>
                                <w:lang w:eastAsia="zh-CN"/>
                              </w:rPr>
                            </w:pPr>
                            <w:r>
                              <w:rPr>
                                <w:rFonts w:hint="eastAsia"/>
                                <w:lang w:eastAsia="zh-CN"/>
                              </w:rPr>
                              <w:t>生活废水</w:t>
                            </w:r>
                          </w:p>
                        </w:txbxContent>
                      </v:textbox>
                    </v:shape>
                  </w:pict>
                </mc:Fallback>
              </mc:AlternateContent>
            </w:r>
          </w:p>
          <w:p>
            <w:pPr>
              <w:pStyle w:val="27"/>
              <w:snapToGrid w:val="0"/>
              <w:spacing w:line="480" w:lineRule="exact"/>
              <w:jc w:val="both"/>
              <w:rPr>
                <w:rFonts w:hint="default" w:hAnsiTheme="minorEastAsia" w:eastAsiaTheme="minorEastAsia"/>
                <w:b/>
                <w:color w:val="000000"/>
                <w:sz w:val="21"/>
                <w:szCs w:val="21"/>
                <w:lang w:val="en-US" w:eastAsia="zh-CN"/>
              </w:rPr>
            </w:pPr>
            <w:r>
              <w:rPr>
                <w:sz w:val="26"/>
              </w:rPr>
              <mc:AlternateContent>
                <mc:Choice Requires="wps">
                  <w:drawing>
                    <wp:anchor distT="0" distB="0" distL="114300" distR="114300" simplePos="0" relativeHeight="251663360" behindDoc="0" locked="0" layoutInCell="1" allowOverlap="1">
                      <wp:simplePos x="0" y="0"/>
                      <wp:positionH relativeFrom="column">
                        <wp:posOffset>2080260</wp:posOffset>
                      </wp:positionH>
                      <wp:positionV relativeFrom="paragraph">
                        <wp:posOffset>128905</wp:posOffset>
                      </wp:positionV>
                      <wp:extent cx="381000" cy="635"/>
                      <wp:effectExtent l="0" t="48895" r="0" b="64770"/>
                      <wp:wrapNone/>
                      <wp:docPr id="19" name="直接箭头连接符 19"/>
                      <wp:cNvGraphicFramePr/>
                      <a:graphic xmlns:a="http://schemas.openxmlformats.org/drawingml/2006/main">
                        <a:graphicData uri="http://schemas.microsoft.com/office/word/2010/wordprocessingShape">
                          <wps:wsp>
                            <wps:cNvCnPr/>
                            <wps:spPr>
                              <a:xfrm flipV="1">
                                <a:off x="0" y="0"/>
                                <a:ext cx="381000" cy="63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163.8pt;margin-top:10.15pt;height:0.05pt;width:30pt;z-index:251663360;mso-width-relative:page;mso-height-relative:page;" filled="f" stroked="t" coordsize="21600,21600" o:gfxdata="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RqxBd1wAAAAkBAAAPAAAAAAAA&#10;AAEAIAAAACIAAABkcnMvZG93bnJldi54bWxQSwECFAAUAAAACACHTuJAIsVJqhMCAAD9AwAADgAA&#10;AAAAAAABACAAAAAmAQAAZHJzL2Uyb0RvYy54bWxQSwUGAAAAAAYABgBZAQAAqwUAAAAA&#10;">
                      <v:fill on="f" focussize="0,0"/>
                      <v:stroke weight="0.5pt" color="#000000 [3200]" miterlimit="8" joinstyle="miter" endarrow="open"/>
                      <v:imagedata o:title=""/>
                      <o:lock v:ext="edit" aspectratio="f"/>
                    </v:shape>
                  </w:pict>
                </mc:Fallback>
              </mc:AlternateContent>
            </w:r>
            <w:r>
              <w:rPr>
                <w:sz w:val="26"/>
              </w:rPr>
              <mc:AlternateContent>
                <mc:Choice Requires="wps">
                  <w:drawing>
                    <wp:anchor distT="0" distB="0" distL="114300" distR="114300" simplePos="0" relativeHeight="251661312" behindDoc="0" locked="0" layoutInCell="1" allowOverlap="1">
                      <wp:simplePos x="0" y="0"/>
                      <wp:positionH relativeFrom="column">
                        <wp:posOffset>899160</wp:posOffset>
                      </wp:positionH>
                      <wp:positionV relativeFrom="paragraph">
                        <wp:posOffset>119380</wp:posOffset>
                      </wp:positionV>
                      <wp:extent cx="381000" cy="635"/>
                      <wp:effectExtent l="0" t="48895" r="0" b="64770"/>
                      <wp:wrapNone/>
                      <wp:docPr id="17" name="直接箭头连接符 17"/>
                      <wp:cNvGraphicFramePr/>
                      <a:graphic xmlns:a="http://schemas.openxmlformats.org/drawingml/2006/main">
                        <a:graphicData uri="http://schemas.microsoft.com/office/word/2010/wordprocessingShape">
                          <wps:wsp>
                            <wps:cNvCnPr/>
                            <wps:spPr>
                              <a:xfrm flipV="1">
                                <a:off x="2204085" y="2878455"/>
                                <a:ext cx="381000" cy="63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70.8pt;margin-top:9.4pt;height:0.05pt;width:30pt;z-index:251661312;mso-width-relative:page;mso-height-relative:page;" filled="f" stroked="t" coordsize="21600,21600" o:gfxdata="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ZlFDo1AAA&#10;AAkBAAAPAAAAAAAAAAEAIAAAACIAAABkcnMvZG93bnJldi54bWxQSwECFAAUAAAACACHTuJAqH93&#10;aiICAAAJBAAADgAAAAAAAAABACAAAAAjAQAAZHJzL2Uyb0RvYy54bWxQSwUGAAAAAAYABgBZAQAA&#10;twUAAAAA&#10;">
                      <v:fill on="f" focussize="0,0"/>
                      <v:stroke weight="0.5pt" color="#000000 [3200]" miterlimit="8" joinstyle="miter" endarrow="open"/>
                      <v:imagedata o:title=""/>
                      <o:lock v:ext="edit" aspectratio="f"/>
                    </v:shape>
                  </w:pict>
                </mc:Fallback>
              </mc:AlternateContent>
            </w:r>
            <w:r>
              <w:rPr>
                <w:sz w:val="26"/>
              </w:rPr>
              <mc:AlternateContent>
                <mc:Choice Requires="wps">
                  <w:drawing>
                    <wp:anchor distT="0" distB="0" distL="114300" distR="114300" simplePos="0" relativeHeight="251665408" behindDoc="0" locked="0" layoutInCell="1" allowOverlap="1">
                      <wp:simplePos x="0" y="0"/>
                      <wp:positionH relativeFrom="column">
                        <wp:posOffset>3975735</wp:posOffset>
                      </wp:positionH>
                      <wp:positionV relativeFrom="paragraph">
                        <wp:posOffset>147955</wp:posOffset>
                      </wp:positionV>
                      <wp:extent cx="381000" cy="635"/>
                      <wp:effectExtent l="0" t="48895" r="0" b="64770"/>
                      <wp:wrapNone/>
                      <wp:docPr id="21" name="直接箭头连接符 21"/>
                      <wp:cNvGraphicFramePr/>
                      <a:graphic xmlns:a="http://schemas.openxmlformats.org/drawingml/2006/main">
                        <a:graphicData uri="http://schemas.microsoft.com/office/word/2010/wordprocessingShape">
                          <wps:wsp>
                            <wps:cNvCnPr/>
                            <wps:spPr>
                              <a:xfrm flipV="1">
                                <a:off x="0" y="0"/>
                                <a:ext cx="381000" cy="63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313.05pt;margin-top:11.65pt;height:0.05pt;width:30pt;z-index:251665408;mso-width-relative:page;mso-height-relative:page;" filled="f" stroked="t" coordsize="21600,21600" o:gfxdata="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arPnU1wAAAAkBAAAPAAAAAAAA&#10;AAEAIAAAACIAAABkcnMvZG93bnJldi54bWxQSwECFAAUAAAACACHTuJA7/3GcBMCAAD9AwAADgAA&#10;AAAAAAABACAAAAAmAQAAZHJzL2Uyb0RvYy54bWxQSwUGAAAAAAYABgBZAQAAqwUAAAAA&#10;">
                      <v:fill on="f" focussize="0,0"/>
                      <v:stroke weight="0.5pt" color="#000000 [3200]" miterlimit="8" joinstyle="miter" endarrow="open"/>
                      <v:imagedata o:title=""/>
                      <o:lock v:ext="edit" aspectratio="f"/>
                    </v:shape>
                  </w:pict>
                </mc:Fallback>
              </mc:AlternateContent>
            </w:r>
          </w:p>
          <w:p>
            <w:pPr>
              <w:pStyle w:val="27"/>
              <w:snapToGrid w:val="0"/>
              <w:spacing w:line="480" w:lineRule="exact"/>
              <w:ind w:firstLine="525"/>
              <w:jc w:val="center"/>
              <w:rPr>
                <w:rFonts w:hint="eastAsia" w:hAnsiTheme="minorEastAsia" w:eastAsiaTheme="minorEastAsia"/>
                <w:b/>
                <w:color w:val="000000"/>
                <w:sz w:val="21"/>
                <w:szCs w:val="21"/>
                <w:lang w:val="en-US" w:eastAsia="zh-CN"/>
              </w:rPr>
            </w:pPr>
            <w:r>
              <w:rPr>
                <w:rFonts w:hint="default" w:hAnsiTheme="minorEastAsia" w:eastAsiaTheme="minorEastAsia"/>
                <w:b/>
                <w:color w:val="000000"/>
                <w:sz w:val="21"/>
                <w:szCs w:val="21"/>
                <w:lang w:val="en-US" w:eastAsia="zh-CN"/>
              </w:rPr>
              <w:t>图</w:t>
            </w:r>
            <w:r>
              <w:rPr>
                <w:rFonts w:hint="eastAsia" w:hAnsiTheme="minorEastAsia" w:eastAsiaTheme="minorEastAsia"/>
                <w:b/>
                <w:color w:val="000000"/>
                <w:sz w:val="21"/>
                <w:szCs w:val="21"/>
                <w:lang w:val="en-US" w:eastAsia="zh-CN"/>
              </w:rPr>
              <w:t>3</w:t>
            </w:r>
            <w:r>
              <w:rPr>
                <w:rFonts w:hint="default" w:hAnsiTheme="minorEastAsia" w:eastAsiaTheme="minorEastAsia"/>
                <w:b/>
                <w:color w:val="000000"/>
                <w:sz w:val="21"/>
                <w:szCs w:val="21"/>
                <w:lang w:val="en-US" w:eastAsia="zh-CN"/>
              </w:rPr>
              <w:t>-</w:t>
            </w:r>
            <w:r>
              <w:rPr>
                <w:rFonts w:hint="eastAsia" w:hAnsiTheme="minorEastAsia" w:eastAsiaTheme="minorEastAsia"/>
                <w:b/>
                <w:color w:val="000000"/>
                <w:sz w:val="21"/>
                <w:szCs w:val="21"/>
                <w:lang w:val="en-US" w:eastAsia="zh-CN"/>
              </w:rPr>
              <w:t>1</w:t>
            </w:r>
            <w:r>
              <w:rPr>
                <w:rFonts w:hint="eastAsia" w:hAnsiTheme="minorEastAsia"/>
                <w:b/>
                <w:color w:val="000000"/>
                <w:sz w:val="21"/>
                <w:szCs w:val="21"/>
                <w:lang w:val="en-US" w:eastAsia="zh-CN"/>
              </w:rPr>
              <w:t xml:space="preserve">  </w:t>
            </w:r>
            <w:r>
              <w:rPr>
                <w:rFonts w:hAnsiTheme="minorEastAsia" w:eastAsiaTheme="minorEastAsia"/>
                <w:b/>
                <w:color w:val="000000"/>
                <w:sz w:val="21"/>
                <w:szCs w:val="21"/>
              </w:rPr>
              <w:t>废水治理工艺流程图</w:t>
            </w:r>
          </w:p>
          <w:p>
            <w:pPr>
              <w:pStyle w:val="17"/>
              <w:numPr>
                <w:ilvl w:val="0"/>
                <w:numId w:val="1"/>
              </w:numPr>
              <w:spacing w:line="480" w:lineRule="auto"/>
              <w:ind w:left="240" w:leftChars="0" w:firstLine="0" w:firstLineChars="0"/>
              <w:rPr>
                <w:rFonts w:hint="eastAsia" w:hAnsi="宋体" w:cs="宋体"/>
                <w:b/>
                <w:bCs/>
                <w:sz w:val="24"/>
                <w:lang w:val="en-US" w:eastAsia="zh-CN"/>
              </w:rPr>
            </w:pPr>
            <w:r>
              <w:rPr>
                <w:rFonts w:hint="eastAsia" w:hAnsi="宋体" w:cs="宋体"/>
                <w:b/>
                <w:bCs/>
                <w:sz w:val="24"/>
                <w:lang w:val="en-US" w:eastAsia="zh-CN"/>
              </w:rPr>
              <w:t>噪声</w:t>
            </w:r>
          </w:p>
          <w:p>
            <w:pPr>
              <w:pStyle w:val="27"/>
              <w:snapToGrid w:val="0"/>
              <w:spacing w:line="360" w:lineRule="auto"/>
              <w:ind w:firstLine="480" w:firstLineChars="200"/>
              <w:jc w:val="both"/>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本项目营运期噪声主要来自电脑裁线机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大平方剪剥机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气动式剥皮机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螺式空压机等机械设备工作时产生的噪声，其噪声级约为</w:t>
            </w:r>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lang w:val="en-US" w:eastAsia="zh-CN"/>
              </w:rPr>
              <w:t>5dB(A)。采取基础减震、厂房隔声等降噪措施</w:t>
            </w:r>
            <w:r>
              <w:rPr>
                <w:rFonts w:hint="eastAsia" w:ascii="Times New Roman" w:hAnsi="Times New Roman" w:eastAsia="宋体" w:cs="Times New Roman"/>
                <w:sz w:val="24"/>
                <w:szCs w:val="24"/>
                <w:lang w:val="en-US" w:eastAsia="zh-CN"/>
              </w:rPr>
              <w:t>。</w:t>
            </w:r>
          </w:p>
          <w:p>
            <w:pPr>
              <w:pStyle w:val="17"/>
              <w:numPr>
                <w:ilvl w:val="0"/>
                <w:numId w:val="1"/>
              </w:numPr>
              <w:spacing w:line="480" w:lineRule="auto"/>
              <w:ind w:left="240" w:leftChars="0" w:firstLine="0" w:firstLineChars="0"/>
              <w:rPr>
                <w:rFonts w:hint="eastAsia" w:hAnsi="宋体" w:cs="宋体"/>
                <w:b/>
                <w:bCs/>
                <w:sz w:val="24"/>
                <w:lang w:val="en-US" w:eastAsia="zh-CN"/>
              </w:rPr>
            </w:pPr>
            <w:r>
              <w:rPr>
                <w:rFonts w:hint="eastAsia" w:hAnsi="宋体" w:cs="宋体"/>
                <w:b/>
                <w:bCs/>
                <w:sz w:val="24"/>
                <w:lang w:val="en-US" w:eastAsia="zh-CN"/>
              </w:rPr>
              <w:t>固体废物</w:t>
            </w:r>
          </w:p>
          <w:p>
            <w:pPr>
              <w:keepNext w:val="0"/>
              <w:keepLines w:val="0"/>
              <w:pageBreakBefore w:val="0"/>
              <w:widowControl w:val="0"/>
              <w:kinsoku/>
              <w:wordWrap/>
              <w:overflowPunct/>
              <w:topLinePunct w:val="0"/>
              <w:autoSpaceDE/>
              <w:autoSpaceDN/>
              <w:bidi w:val="0"/>
              <w:adjustRightInd/>
              <w:snapToGrid w:val="0"/>
              <w:spacing w:line="360" w:lineRule="auto"/>
              <w:ind w:firstLine="57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项目营运期产生的固体废弃物主要有废边角料（废电线剥离的塑料壳以及裁剪时产生电线头、塑料小节）、废端子、废包装物、</w:t>
            </w:r>
            <w:r>
              <w:rPr>
                <w:rFonts w:hint="eastAsia" w:ascii="Times New Roman" w:hAnsi="Times New Roman" w:eastAsia="宋体" w:cs="Times New Roman"/>
                <w:color w:val="000000"/>
                <w:sz w:val="24"/>
                <w:szCs w:val="24"/>
                <w:lang w:eastAsia="zh-CN"/>
              </w:rPr>
              <w:t>更换下来的机器零部件以及生活垃圾</w:t>
            </w:r>
            <w:r>
              <w:rPr>
                <w:rFonts w:hint="default" w:ascii="Times New Roman" w:hAnsi="Times New Roman" w:eastAsia="宋体" w:cs="Times New Roman"/>
                <w:color w:val="000000"/>
                <w:sz w:val="24"/>
                <w:szCs w:val="24"/>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480" w:leftChars="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eastAsia="zh-CN"/>
              </w:rPr>
              <w:t>（</w:t>
            </w:r>
            <w:r>
              <w:rPr>
                <w:rFonts w:hint="default" w:ascii="Times New Roman" w:hAnsi="Times New Roman" w:eastAsia="宋体" w:cs="Times New Roman"/>
                <w:color w:val="000000"/>
                <w:kern w:val="0"/>
                <w:sz w:val="24"/>
                <w:szCs w:val="24"/>
                <w:lang w:val="en-US" w:eastAsia="zh-CN"/>
              </w:rPr>
              <w:t>1</w:t>
            </w:r>
            <w:r>
              <w:rPr>
                <w:rFonts w:hint="default" w:ascii="Times New Roman" w:hAnsi="Times New Roman" w:eastAsia="宋体" w:cs="Times New Roman"/>
                <w:color w:val="000000"/>
                <w:kern w:val="0"/>
                <w:sz w:val="24"/>
                <w:szCs w:val="24"/>
                <w:lang w:eastAsia="zh-CN"/>
              </w:rPr>
              <w:t>）</w:t>
            </w:r>
            <w:r>
              <w:rPr>
                <w:rFonts w:hint="default" w:ascii="Times New Roman" w:hAnsi="Times New Roman" w:eastAsia="宋体" w:cs="Times New Roman"/>
                <w:color w:val="000000"/>
                <w:kern w:val="0"/>
                <w:sz w:val="24"/>
                <w:szCs w:val="24"/>
              </w:rPr>
              <w:t>一般固废</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边角料：来源于电线、PVC管、波纹管等剪裁时产生的边角料，主要为塑料材质，约5.0t/a。</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废端子、塑料件</w:t>
            </w:r>
            <w:r>
              <w:rPr>
                <w:rFonts w:hint="eastAsia" w:ascii="Times New Roman" w:hAnsi="Times New Roman" w:eastAsia="宋体" w:cs="Times New Roman"/>
                <w:color w:val="000000"/>
                <w:sz w:val="24"/>
                <w:szCs w:val="24"/>
                <w:lang w:eastAsia="zh-CN"/>
              </w:rPr>
              <w:t>、报废零部件</w:t>
            </w:r>
            <w:r>
              <w:rPr>
                <w:rFonts w:hint="default" w:ascii="Times New Roman" w:hAnsi="Times New Roman" w:eastAsia="宋体" w:cs="Times New Roman"/>
                <w:color w:val="000000"/>
                <w:sz w:val="24"/>
                <w:szCs w:val="24"/>
              </w:rPr>
              <w:t>等：在压接端子过程由于压接不好会产生废弃端子，端子主要为铜材料，操作过程不当或原料件不规格，产生废连接件、卡扣等，主要为塑料件。共约1.0t/a。</w:t>
            </w:r>
          </w:p>
          <w:p>
            <w:pPr>
              <w:pStyle w:val="17"/>
              <w:keepNext w:val="0"/>
              <w:keepLines w:val="0"/>
              <w:pageBreakBefore w:val="0"/>
              <w:widowControl w:val="0"/>
              <w:kinsoku/>
              <w:wordWrap/>
              <w:overflowPunct/>
              <w:topLinePunct w:val="0"/>
              <w:autoSpaceDE/>
              <w:autoSpaceDN/>
              <w:bidi w:val="0"/>
              <w:adjustRightInd/>
              <w:spacing w:line="360" w:lineRule="auto"/>
              <w:ind w:firstLine="520"/>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废包装物：主要为原料包装物，一般为塑料膜和纸箱，产生量约约2.0t/a。</w:t>
            </w:r>
          </w:p>
          <w:p>
            <w:pPr>
              <w:pStyle w:val="17"/>
              <w:keepNext w:val="0"/>
              <w:keepLines w:val="0"/>
              <w:pageBreakBefore w:val="0"/>
              <w:widowControl w:val="0"/>
              <w:kinsoku/>
              <w:wordWrap/>
              <w:overflowPunct/>
              <w:topLinePunct w:val="0"/>
              <w:autoSpaceDE/>
              <w:autoSpaceDN/>
              <w:bidi w:val="0"/>
              <w:adjustRightInd/>
              <w:spacing w:line="360" w:lineRule="auto"/>
              <w:ind w:firstLine="480"/>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以上边角料、废端子、废包装物</w:t>
            </w:r>
            <w:r>
              <w:rPr>
                <w:rFonts w:hint="eastAsia" w:ascii="Times New Roman" w:hAnsi="Times New Roman" w:eastAsia="宋体" w:cs="Times New Roman"/>
                <w:color w:val="000000"/>
                <w:sz w:val="24"/>
                <w:szCs w:val="24"/>
                <w:lang w:val="en-US" w:eastAsia="zh-CN"/>
              </w:rPr>
              <w:t>、报废零部件</w:t>
            </w:r>
            <w:r>
              <w:rPr>
                <w:rFonts w:hint="default" w:ascii="Times New Roman" w:hAnsi="Times New Roman" w:eastAsia="宋体" w:cs="Times New Roman"/>
                <w:color w:val="000000"/>
                <w:sz w:val="24"/>
                <w:szCs w:val="24"/>
                <w:lang w:val="en-US" w:eastAsia="zh-CN"/>
              </w:rPr>
              <w:t>均由废品回收单位回收。</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color w:val="000000"/>
                <w:sz w:val="24"/>
                <w:szCs w:val="24"/>
              </w:rPr>
              <w:t>生活垃圾：生活垃圾产生量按0.5kg/d·人计，则生活垃圾产生量约22.5t/a，由城市环卫部门统一清运。</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kern w:val="24"/>
                <w:sz w:val="24"/>
                <w:szCs w:val="24"/>
              </w:rPr>
            </w:pPr>
            <w:r>
              <w:rPr>
                <w:rFonts w:hint="default" w:ascii="Times New Roman" w:hAnsi="Times New Roman" w:eastAsia="宋体" w:cs="Times New Roman"/>
                <w:kern w:val="24"/>
                <w:sz w:val="24"/>
                <w:szCs w:val="24"/>
              </w:rPr>
              <w:t>各种固体废物年产生量和处置措施见表</w:t>
            </w:r>
            <w:r>
              <w:rPr>
                <w:rFonts w:hint="eastAsia" w:ascii="Times New Roman" w:hAnsi="Times New Roman" w:eastAsia="宋体" w:cs="Times New Roman"/>
                <w:kern w:val="24"/>
                <w:sz w:val="24"/>
                <w:szCs w:val="24"/>
                <w:lang w:val="en-US" w:eastAsia="zh-CN"/>
              </w:rPr>
              <w:t>3-2</w:t>
            </w:r>
            <w:r>
              <w:rPr>
                <w:rFonts w:hint="default" w:ascii="Times New Roman" w:hAnsi="Times New Roman" w:eastAsia="宋体" w:cs="Times New Roman"/>
                <w:kern w:val="24"/>
                <w:sz w:val="24"/>
                <w:szCs w:val="24"/>
              </w:rPr>
              <w:t>、表</w:t>
            </w:r>
            <w:r>
              <w:rPr>
                <w:rFonts w:hint="eastAsia" w:ascii="Times New Roman" w:hAnsi="Times New Roman" w:eastAsia="宋体" w:cs="Times New Roman"/>
                <w:kern w:val="24"/>
                <w:sz w:val="24"/>
                <w:szCs w:val="24"/>
                <w:lang w:val="en-US" w:eastAsia="zh-CN"/>
              </w:rPr>
              <w:t>3-3</w:t>
            </w:r>
            <w:r>
              <w:rPr>
                <w:rFonts w:hint="default" w:ascii="Times New Roman" w:hAnsi="Times New Roman" w:eastAsia="宋体" w:cs="Times New Roman"/>
                <w:kern w:val="24"/>
                <w:sz w:val="24"/>
                <w:szCs w:val="24"/>
              </w:rPr>
              <w:t>。</w:t>
            </w:r>
          </w:p>
          <w:p>
            <w:pPr>
              <w:pStyle w:val="17"/>
              <w:spacing w:line="480" w:lineRule="auto"/>
              <w:ind w:left="0" w:leftChars="0" w:firstLine="0" w:firstLineChars="0"/>
              <w:jc w:val="center"/>
              <w:rPr>
                <w:rFonts w:hint="eastAsia" w:hAnsi="宋体" w:asciiTheme="minorHAnsi" w:eastAsiaTheme="minorEastAsia" w:cstheme="minorBidi"/>
                <w:b/>
                <w:bCs w:val="0"/>
                <w:kern w:val="2"/>
                <w:sz w:val="21"/>
                <w:szCs w:val="21"/>
                <w:lang w:val="en-US" w:eastAsia="zh-CN" w:bidi="ar-SA"/>
              </w:rPr>
            </w:pPr>
            <w:r>
              <w:rPr>
                <w:rFonts w:hint="eastAsia" w:hAnsi="宋体" w:asciiTheme="minorHAnsi" w:eastAsiaTheme="minorEastAsia" w:cstheme="minorBidi"/>
                <w:b/>
                <w:bCs w:val="0"/>
                <w:kern w:val="2"/>
                <w:sz w:val="21"/>
                <w:szCs w:val="21"/>
                <w:lang w:val="en-US" w:eastAsia="zh-CN" w:bidi="ar-SA"/>
              </w:rPr>
              <w:t>表3-2  固体废物产生及排放去向</w:t>
            </w:r>
          </w:p>
          <w:tbl>
            <w:tblPr>
              <w:tblStyle w:val="1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252"/>
              <w:gridCol w:w="2471"/>
              <w:gridCol w:w="1336"/>
              <w:gridCol w:w="2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序号</w:t>
                  </w:r>
                </w:p>
              </w:tc>
              <w:tc>
                <w:tcPr>
                  <w:tcW w:w="1252"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污染物特性</w:t>
                  </w:r>
                </w:p>
              </w:tc>
              <w:tc>
                <w:tcPr>
                  <w:tcW w:w="2471"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主要物质</w:t>
                  </w:r>
                </w:p>
              </w:tc>
              <w:tc>
                <w:tcPr>
                  <w:tcW w:w="1336"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产生量（t/a）</w:t>
                  </w:r>
                </w:p>
              </w:tc>
              <w:tc>
                <w:tcPr>
                  <w:tcW w:w="2566"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252"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生活垃圾</w:t>
                  </w:r>
                </w:p>
              </w:tc>
              <w:tc>
                <w:tcPr>
                  <w:tcW w:w="2471"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员工生活垃圾</w:t>
                  </w:r>
                </w:p>
              </w:tc>
              <w:tc>
                <w:tcPr>
                  <w:tcW w:w="1336" w:type="dxa"/>
                  <w:noWrap w:val="0"/>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45</w:t>
                  </w:r>
                </w:p>
              </w:tc>
              <w:tc>
                <w:tcPr>
                  <w:tcW w:w="2566" w:type="dxa"/>
                  <w:noWrap w:val="0"/>
                  <w:vAlign w:val="center"/>
                </w:tcPr>
                <w:p>
                  <w:pPr>
                    <w:jc w:val="center"/>
                    <w:rPr>
                      <w:rFonts w:hint="default" w:ascii="Times New Roman" w:hAnsi="Times New Roman" w:cs="Times New Roman"/>
                      <w:szCs w:val="21"/>
                    </w:rPr>
                  </w:pPr>
                  <w:r>
                    <w:rPr>
                      <w:rFonts w:hint="default" w:ascii="Times New Roman" w:hAnsi="Times New Roman" w:cs="Times New Roman"/>
                      <w:kern w:val="24"/>
                      <w:szCs w:val="21"/>
                    </w:rPr>
                    <w:t>采用垃圾桶收集后，交由环卫部门进行清运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252" w:type="dxa"/>
                  <w:vMerge w:val="restart"/>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一般固废</w:t>
                  </w:r>
                </w:p>
              </w:tc>
              <w:tc>
                <w:tcPr>
                  <w:tcW w:w="2471"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边角料（塑料制品）</w:t>
                  </w:r>
                </w:p>
              </w:tc>
              <w:tc>
                <w:tcPr>
                  <w:tcW w:w="1336"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5.0</w:t>
                  </w:r>
                </w:p>
              </w:tc>
              <w:tc>
                <w:tcPr>
                  <w:tcW w:w="2566" w:type="dxa"/>
                  <w:vMerge w:val="restart"/>
                  <w:noWrap w:val="0"/>
                  <w:vAlign w:val="center"/>
                </w:tcPr>
                <w:p>
                  <w:pPr>
                    <w:jc w:val="center"/>
                    <w:rPr>
                      <w:rFonts w:hint="default" w:ascii="Times New Roman" w:hAnsi="Times New Roman" w:cs="Times New Roman"/>
                      <w:kern w:val="24"/>
                      <w:szCs w:val="21"/>
                    </w:rPr>
                  </w:pPr>
                  <w:r>
                    <w:rPr>
                      <w:rFonts w:hint="eastAsia" w:ascii="Times New Roman" w:cs="Times New Roman"/>
                      <w:sz w:val="21"/>
                      <w:szCs w:val="21"/>
                      <w:vertAlign w:val="baseline"/>
                      <w:lang w:val="en-US" w:eastAsia="zh-CN"/>
                    </w:rPr>
                    <w:t>收集后暂存于一般固废暂存间，定期交由废旧物资回收单位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252" w:type="dxa"/>
                  <w:vMerge w:val="continue"/>
                  <w:noWrap w:val="0"/>
                  <w:vAlign w:val="center"/>
                </w:tcPr>
                <w:p>
                  <w:pPr>
                    <w:jc w:val="center"/>
                    <w:rPr>
                      <w:rFonts w:hint="default" w:ascii="Times New Roman" w:hAnsi="Times New Roman" w:cs="Times New Roman"/>
                      <w:szCs w:val="21"/>
                    </w:rPr>
                  </w:pPr>
                </w:p>
              </w:tc>
              <w:tc>
                <w:tcPr>
                  <w:tcW w:w="2471"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废端子（铜）、</w:t>
                  </w:r>
                  <w:r>
                    <w:rPr>
                      <w:rFonts w:hint="eastAsia" w:ascii="Times New Roman" w:hAnsi="Times New Roman" w:cs="Times New Roman"/>
                      <w:szCs w:val="21"/>
                      <w:lang w:eastAsia="zh-CN"/>
                    </w:rPr>
                    <w:t>报废零部件、</w:t>
                  </w:r>
                  <w:r>
                    <w:rPr>
                      <w:rFonts w:hint="default" w:ascii="Times New Roman" w:hAnsi="Times New Roman" w:cs="Times New Roman"/>
                      <w:szCs w:val="21"/>
                    </w:rPr>
                    <w:t>废塑料件</w:t>
                  </w:r>
                </w:p>
              </w:tc>
              <w:tc>
                <w:tcPr>
                  <w:tcW w:w="1336"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1.0</w:t>
                  </w:r>
                </w:p>
              </w:tc>
              <w:tc>
                <w:tcPr>
                  <w:tcW w:w="2566" w:type="dxa"/>
                  <w:vMerge w:val="continue"/>
                  <w:noWrap w:val="0"/>
                  <w:vAlign w:val="center"/>
                </w:tcPr>
                <w:p>
                  <w:pPr>
                    <w:jc w:val="center"/>
                    <w:rPr>
                      <w:rFonts w:hint="default" w:ascii="Times New Roman" w:hAnsi="Times New Roman" w:cs="Times New Roman"/>
                      <w:kern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252" w:type="dxa"/>
                  <w:vMerge w:val="continue"/>
                  <w:noWrap w:val="0"/>
                  <w:vAlign w:val="center"/>
                </w:tcPr>
                <w:p>
                  <w:pPr>
                    <w:jc w:val="center"/>
                    <w:rPr>
                      <w:rFonts w:hint="default" w:ascii="Times New Roman" w:hAnsi="Times New Roman" w:cs="Times New Roman"/>
                      <w:szCs w:val="21"/>
                    </w:rPr>
                  </w:pPr>
                </w:p>
              </w:tc>
              <w:tc>
                <w:tcPr>
                  <w:tcW w:w="2471"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废包装箱/袋（塑料、纸箱）</w:t>
                  </w:r>
                </w:p>
              </w:tc>
              <w:tc>
                <w:tcPr>
                  <w:tcW w:w="1336"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2.0</w:t>
                  </w:r>
                </w:p>
              </w:tc>
              <w:tc>
                <w:tcPr>
                  <w:tcW w:w="2566" w:type="dxa"/>
                  <w:vMerge w:val="continue"/>
                  <w:noWrap w:val="0"/>
                  <w:vAlign w:val="center"/>
                </w:tcPr>
                <w:p>
                  <w:pPr>
                    <w:jc w:val="center"/>
                    <w:rPr>
                      <w:rFonts w:hint="default" w:ascii="Times New Roman" w:hAnsi="Times New Roman" w:cs="Times New Roman"/>
                      <w:kern w:val="24"/>
                      <w:szCs w:val="21"/>
                    </w:rPr>
                  </w:pPr>
                </w:p>
              </w:tc>
            </w:tr>
          </w:tbl>
          <w:p>
            <w:pPr>
              <w:pStyle w:val="17"/>
              <w:keepNext w:val="0"/>
              <w:keepLines w:val="0"/>
              <w:pageBreakBefore w:val="0"/>
              <w:widowControl w:val="0"/>
              <w:kinsoku/>
              <w:wordWrap/>
              <w:overflowPunct/>
              <w:topLinePunct w:val="0"/>
              <w:autoSpaceDE/>
              <w:autoSpaceDN/>
              <w:bidi w:val="0"/>
              <w:adjustRightInd/>
              <w:spacing w:line="360" w:lineRule="auto"/>
              <w:ind w:firstLine="520"/>
              <w:textAlignment w:val="auto"/>
              <w:rPr>
                <w:rFonts w:hint="eastAsia" w:ascii="Times New Roman" w:hAnsi="Times New Roman" w:eastAsia="宋体" w:cs="Times New Roman"/>
                <w:sz w:val="24"/>
                <w:szCs w:val="24"/>
                <w:lang w:val="en-IE" w:eastAsia="zh-CN"/>
              </w:rPr>
            </w:pPr>
            <w:r>
              <w:rPr>
                <w:rFonts w:hint="eastAsia" w:ascii="Times New Roman" w:hAnsi="Times New Roman" w:eastAsia="宋体" w:cs="Times New Roman"/>
                <w:sz w:val="24"/>
                <w:szCs w:val="24"/>
                <w:lang w:val="en-IE" w:eastAsia="zh-CN"/>
              </w:rPr>
              <w:t>采取上述措施后，该项目产生的固体废物均得到了妥善的处置，不会造成二次污染。</w:t>
            </w:r>
          </w:p>
          <w:p>
            <w:pPr>
              <w:pStyle w:val="17"/>
              <w:numPr>
                <w:ilvl w:val="0"/>
                <w:numId w:val="1"/>
              </w:numPr>
              <w:spacing w:line="480" w:lineRule="auto"/>
              <w:ind w:left="240" w:leftChars="0" w:firstLine="0" w:firstLineChars="0"/>
              <w:rPr>
                <w:rFonts w:hint="eastAsia" w:hAnsi="宋体" w:cs="宋体"/>
                <w:b/>
                <w:bCs/>
                <w:sz w:val="24"/>
                <w:lang w:val="en-US" w:eastAsia="zh-CN"/>
              </w:rPr>
            </w:pPr>
            <w:r>
              <w:rPr>
                <w:rFonts w:hint="eastAsia" w:hAnsi="宋体" w:cs="宋体"/>
                <w:b/>
                <w:bCs/>
                <w:sz w:val="24"/>
                <w:lang w:val="en-US" w:eastAsia="zh-CN"/>
              </w:rPr>
              <w:t>环境风险防范措施</w:t>
            </w:r>
          </w:p>
          <w:p>
            <w:pPr>
              <w:pStyle w:val="4"/>
              <w:spacing w:before="0" w:after="0" w:line="360" w:lineRule="auto"/>
              <w:ind w:firstLine="470" w:firstLineChars="196"/>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lang w:eastAsia="zh-CN"/>
              </w:rPr>
              <w:t>（</w:t>
            </w:r>
            <w:r>
              <w:rPr>
                <w:rFonts w:hint="default" w:ascii="Times New Roman" w:hAnsi="Times New Roman" w:eastAsia="宋体" w:cs="Times New Roman"/>
                <w:b w:val="0"/>
                <w:bCs w:val="0"/>
                <w:color w:val="000000"/>
                <w:kern w:val="0"/>
                <w:sz w:val="24"/>
                <w:szCs w:val="24"/>
                <w:lang w:val="en-US" w:eastAsia="zh-CN"/>
              </w:rPr>
              <w:t>1</w:t>
            </w:r>
            <w:r>
              <w:rPr>
                <w:rFonts w:hint="default" w:ascii="Times New Roman" w:hAnsi="Times New Roman" w:eastAsia="宋体" w:cs="Times New Roman"/>
                <w:b w:val="0"/>
                <w:bCs w:val="0"/>
                <w:color w:val="000000"/>
                <w:kern w:val="0"/>
                <w:sz w:val="24"/>
                <w:szCs w:val="24"/>
                <w:lang w:eastAsia="zh-CN"/>
              </w:rPr>
              <w:t>）</w:t>
            </w:r>
            <w:r>
              <w:rPr>
                <w:rFonts w:hint="default" w:ascii="Times New Roman" w:hAnsi="Times New Roman" w:eastAsia="宋体" w:cs="Times New Roman"/>
                <w:b w:val="0"/>
                <w:bCs w:val="0"/>
                <w:color w:val="000000"/>
                <w:kern w:val="0"/>
                <w:sz w:val="24"/>
                <w:szCs w:val="24"/>
              </w:rPr>
              <w:t>根据相关规范要求配置足量灭火器、防护用品等，若发生火灾，消防水和灭火器可满足需求。</w:t>
            </w:r>
          </w:p>
          <w:p>
            <w:pPr>
              <w:pStyle w:val="17"/>
              <w:adjustRightInd w:val="0"/>
              <w:snapToGrid w:val="0"/>
              <w:spacing w:line="360" w:lineRule="auto"/>
              <w:ind w:firstLine="480"/>
              <w:rPr>
                <w:rFonts w:hint="default"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（2）</w:t>
            </w:r>
            <w:r>
              <w:rPr>
                <w:rFonts w:hint="default" w:ascii="Times New Roman" w:hAnsi="Times New Roman" w:eastAsia="宋体" w:cs="Times New Roman"/>
                <w:color w:val="000000"/>
                <w:kern w:val="0"/>
                <w:sz w:val="24"/>
                <w:szCs w:val="24"/>
                <w:lang w:val="en-US" w:eastAsia="zh-CN"/>
              </w:rPr>
              <w:t>建立安全生产岗位责任制，制定安全生产规章制度、安全操作规程。工作现场严禁吸烟、进食、饮水；严格岗位操作规程，加强操作人员的岗位培训和职业素质教育。提高安全意识，实施规范核查。实行操作人员持证上岗制度，确保安全生产。建立预警机制，定期组织相关人员进行事故防范演习，提高事故应变能力，一旦发生事故时，能及时采取正确措施，将事故造成的损失降低到最低程度。</w:t>
            </w:r>
          </w:p>
          <w:p>
            <w:pPr>
              <w:pStyle w:val="17"/>
              <w:numPr>
                <w:ilvl w:val="0"/>
                <w:numId w:val="0"/>
              </w:numPr>
              <w:ind w:left="240" w:leftChars="0"/>
              <w:rPr>
                <w:rFonts w:hint="default" w:hAnsi="宋体"/>
                <w:b w:val="0"/>
                <w:bCs w:val="0"/>
                <w:sz w:val="24"/>
                <w:lang w:val="en-US" w:eastAsia="zh-CN"/>
              </w:rPr>
            </w:pPr>
          </w:p>
          <w:p>
            <w:pPr>
              <w:pStyle w:val="17"/>
              <w:numPr>
                <w:ilvl w:val="0"/>
                <w:numId w:val="0"/>
              </w:numPr>
              <w:rPr>
                <w:rFonts w:hint="default" w:hAnsi="宋体"/>
                <w:b w:val="0"/>
                <w:bCs w:val="0"/>
                <w:sz w:val="24"/>
                <w:lang w:val="en-US" w:eastAsia="zh-CN"/>
              </w:rPr>
            </w:pPr>
          </w:p>
          <w:p>
            <w:pPr>
              <w:pStyle w:val="17"/>
              <w:numPr>
                <w:ilvl w:val="0"/>
                <w:numId w:val="0"/>
              </w:numPr>
              <w:rPr>
                <w:rFonts w:hint="default" w:hAnsi="宋体"/>
                <w:b w:val="0"/>
                <w:bCs w:val="0"/>
                <w:sz w:val="24"/>
                <w:lang w:val="en-US" w:eastAsia="zh-CN"/>
              </w:rPr>
            </w:pPr>
          </w:p>
          <w:p>
            <w:pPr>
              <w:pStyle w:val="17"/>
              <w:numPr>
                <w:ilvl w:val="0"/>
                <w:numId w:val="0"/>
              </w:numPr>
              <w:ind w:left="240" w:leftChars="0"/>
              <w:rPr>
                <w:rFonts w:hint="default" w:hAnsi="宋体"/>
                <w:b w:val="0"/>
                <w:bCs w:val="0"/>
                <w:sz w:val="24"/>
                <w:lang w:val="en-US" w:eastAsia="zh-CN"/>
              </w:rPr>
            </w:pPr>
          </w:p>
          <w:p>
            <w:pPr>
              <w:pStyle w:val="17"/>
              <w:numPr>
                <w:ilvl w:val="0"/>
                <w:numId w:val="0"/>
              </w:numPr>
              <w:ind w:left="240" w:leftChars="0"/>
              <w:rPr>
                <w:rFonts w:hint="default" w:hAnsi="宋体"/>
                <w:b w:val="0"/>
                <w:bCs w:val="0"/>
                <w:sz w:val="24"/>
                <w:lang w:val="en-US" w:eastAsia="zh-CN"/>
              </w:rPr>
            </w:pPr>
          </w:p>
          <w:p>
            <w:pPr>
              <w:pStyle w:val="17"/>
              <w:numPr>
                <w:ilvl w:val="0"/>
                <w:numId w:val="0"/>
              </w:numPr>
              <w:ind w:left="240" w:leftChars="0"/>
              <w:rPr>
                <w:rFonts w:hint="default" w:hAnsi="宋体"/>
                <w:b w:val="0"/>
                <w:bCs w:val="0"/>
                <w:sz w:val="24"/>
                <w:lang w:val="en-US" w:eastAsia="zh-CN"/>
              </w:rPr>
            </w:pPr>
          </w:p>
          <w:p>
            <w:pPr>
              <w:pStyle w:val="17"/>
              <w:numPr>
                <w:ilvl w:val="0"/>
                <w:numId w:val="0"/>
              </w:numPr>
              <w:ind w:left="240" w:leftChars="0"/>
              <w:rPr>
                <w:rFonts w:hint="default" w:hAnsi="宋体"/>
                <w:b w:val="0"/>
                <w:bCs w:val="0"/>
                <w:sz w:val="24"/>
                <w:lang w:val="en-US" w:eastAsia="zh-CN"/>
              </w:rPr>
            </w:pPr>
          </w:p>
        </w:tc>
      </w:tr>
    </w:tbl>
    <w:p>
      <w:pPr>
        <w:spacing w:line="480" w:lineRule="auto"/>
        <w:jc w:val="left"/>
        <w:rPr>
          <w:rFonts w:hint="eastAsia" w:ascii="宋体" w:hAnsi="宋体" w:eastAsia="宋体" w:cs="宋体"/>
          <w:b/>
          <w:color w:val="000000"/>
          <w:kern w:val="0"/>
          <w:sz w:val="28"/>
          <w:szCs w:val="28"/>
          <w:lang w:val="en-US" w:eastAsia="zh-CN" w:bidi="ar"/>
        </w:rPr>
      </w:pPr>
      <w:r>
        <w:rPr>
          <w:rFonts w:hint="eastAsia" w:ascii="宋体" w:hAnsi="宋体" w:eastAsia="宋体" w:cs="宋体"/>
          <w:b/>
          <w:color w:val="000000"/>
          <w:kern w:val="0"/>
          <w:sz w:val="28"/>
          <w:szCs w:val="28"/>
          <w:lang w:val="en-US" w:eastAsia="zh-CN" w:bidi="ar"/>
        </w:rPr>
        <w:t>表四</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5" w:hRule="atLeast"/>
        </w:trPr>
        <w:tc>
          <w:tcPr>
            <w:tcW w:w="8522" w:type="dxa"/>
          </w:tcPr>
          <w:p>
            <w:pPr>
              <w:spacing w:line="480" w:lineRule="auto"/>
              <w:rPr>
                <w:rFonts w:ascii="宋体" w:hAnsi="宋体"/>
                <w:b/>
                <w:bCs/>
                <w:sz w:val="24"/>
              </w:rPr>
            </w:pPr>
            <w:r>
              <w:rPr>
                <w:rFonts w:hint="eastAsia" w:ascii="宋体" w:hAnsi="宋体"/>
                <w:b/>
                <w:bCs/>
                <w:sz w:val="24"/>
              </w:rPr>
              <w:t>建设项目环境影响报告表主要结论及审批部门审批决定：</w:t>
            </w:r>
          </w:p>
          <w:p>
            <w:pPr>
              <w:widowControl/>
              <w:adjustRightInd w:val="0"/>
              <w:snapToGrid w:val="0"/>
              <w:spacing w:after="0" w:line="360" w:lineRule="auto"/>
              <w:jc w:val="both"/>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4.1  环境影响报告表主要结论</w:t>
            </w:r>
          </w:p>
          <w:p>
            <w:pPr>
              <w:widowControl/>
              <w:adjustRightInd w:val="0"/>
              <w:snapToGrid w:val="0"/>
              <w:spacing w:after="0" w:line="360" w:lineRule="auto"/>
              <w:jc w:val="both"/>
              <w:rPr>
                <w:rFonts w:hint="default" w:ascii="Times New Roman" w:hAnsi="Times New Roman" w:eastAsia="宋体" w:cs="Times New Roman"/>
                <w:b/>
                <w:kern w:val="0"/>
                <w:sz w:val="24"/>
                <w:szCs w:val="24"/>
              </w:rPr>
            </w:pPr>
            <w:r>
              <w:rPr>
                <w:rFonts w:ascii="Times New Roman" w:hAnsi="Times New Roman" w:eastAsia="宋体" w:cs="Times New Roman"/>
                <w:b/>
                <w:kern w:val="0"/>
                <w:sz w:val="24"/>
                <w:szCs w:val="24"/>
              </w:rPr>
              <w:t>4.1.1项目概况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eastAsia="宋体"/>
                <w:bCs/>
                <w:color w:val="auto"/>
                <w:sz w:val="24"/>
                <w:highlight w:val="none"/>
                <w:lang w:val="en-US" w:eastAsia="zh-CN"/>
              </w:rPr>
            </w:pPr>
            <w:r>
              <w:rPr>
                <w:rFonts w:hint="default" w:ascii="Times New Roman" w:hAnsi="Times New Roman" w:cs="Times New Roman"/>
                <w:bCs/>
                <w:color w:val="auto"/>
                <w:sz w:val="24"/>
              </w:rPr>
              <w:t>本</w:t>
            </w:r>
            <w:r>
              <w:rPr>
                <w:rFonts w:hint="default" w:ascii="Times New Roman" w:hAnsi="Times New Roman" w:cs="Times New Roman"/>
                <w:bCs/>
                <w:color w:val="auto"/>
                <w:sz w:val="24"/>
                <w:lang w:val="en-US" w:eastAsia="zh-CN"/>
              </w:rPr>
              <w:t>项目位于重庆市梁平工业园，通过租用智能家居孵化园3栋A区1层、2层、5层标准厂房进行建设重庆乐仁汽车电子有限公司汽车线束总成生产项目，项目总建筑面积约为6642.46m</w:t>
            </w:r>
            <w:r>
              <w:rPr>
                <w:rFonts w:hint="default" w:ascii="Times New Roman" w:hAnsi="Times New Roman" w:cs="Times New Roman"/>
                <w:bCs/>
                <w:color w:val="auto"/>
                <w:sz w:val="24"/>
                <w:vertAlign w:val="superscript"/>
                <w:lang w:val="en-US" w:eastAsia="zh-CN"/>
              </w:rPr>
              <w:t>2</w:t>
            </w:r>
            <w:r>
              <w:rPr>
                <w:rFonts w:hint="default" w:ascii="Times New Roman" w:hAnsi="Times New Roman" w:cs="Times New Roman"/>
                <w:bCs/>
                <w:color w:val="auto"/>
                <w:sz w:val="24"/>
                <w:lang w:val="en-US" w:eastAsia="zh-CN"/>
              </w:rPr>
              <w:t>，</w:t>
            </w:r>
            <w:r>
              <w:rPr>
                <w:rFonts w:hint="default" w:ascii="Times New Roman" w:hAnsi="Times New Roman" w:cs="Times New Roman"/>
                <w:bCs/>
                <w:color w:val="auto"/>
                <w:sz w:val="24"/>
                <w:highlight w:val="none"/>
                <w:lang w:val="en-US" w:eastAsia="zh-CN"/>
              </w:rPr>
              <w:t>建成后可形成年产汽车线束16万套。</w:t>
            </w:r>
            <w:r>
              <w:rPr>
                <w:rFonts w:hint="default" w:ascii="Times New Roman" w:hAnsi="Times New Roman" w:cs="Times New Roman"/>
                <w:bCs/>
                <w:color w:val="auto"/>
                <w:sz w:val="24"/>
                <w:highlight w:val="none"/>
              </w:rPr>
              <w:t>项目投资</w:t>
            </w:r>
            <w:r>
              <w:rPr>
                <w:rFonts w:hint="default" w:ascii="Times New Roman" w:hAnsi="Times New Roman" w:cs="Times New Roman"/>
                <w:bCs/>
                <w:color w:val="auto"/>
                <w:sz w:val="24"/>
                <w:highlight w:val="none"/>
                <w:lang w:val="en-US" w:eastAsia="zh-CN"/>
              </w:rPr>
              <w:t>8000</w:t>
            </w:r>
            <w:r>
              <w:rPr>
                <w:rFonts w:hint="default" w:ascii="Times New Roman" w:hAnsi="Times New Roman" w:cs="Times New Roman"/>
                <w:bCs/>
                <w:color w:val="auto"/>
                <w:sz w:val="24"/>
                <w:highlight w:val="none"/>
              </w:rPr>
              <w:t>万元</w:t>
            </w:r>
            <w:r>
              <w:rPr>
                <w:rFonts w:hint="default" w:ascii="Times New Roman" w:hAnsi="Times New Roman" w:cs="Times New Roman"/>
                <w:bCs/>
                <w:color w:val="auto"/>
                <w:sz w:val="24"/>
                <w:highlight w:val="none"/>
                <w:lang w:eastAsia="zh-CN"/>
              </w:rPr>
              <w:t>，</w:t>
            </w:r>
            <w:r>
              <w:rPr>
                <w:rFonts w:hint="default" w:ascii="Times New Roman" w:hAnsi="Times New Roman" w:cs="Times New Roman"/>
                <w:bCs/>
                <w:color w:val="auto"/>
                <w:sz w:val="24"/>
                <w:highlight w:val="none"/>
                <w:lang w:val="en-US" w:eastAsia="zh-CN"/>
              </w:rPr>
              <w:t>其中环保投资5万元，占总投资0.0625%。项目劳动定员300人，一班制，每班</w:t>
            </w:r>
            <w:r>
              <w:rPr>
                <w:rFonts w:hint="default" w:ascii="Times New Roman" w:hAnsi="Times New Roman" w:cs="Times New Roman"/>
                <w:bCs/>
                <w:color w:val="auto"/>
                <w:sz w:val="24"/>
                <w:highlight w:val="none"/>
              </w:rPr>
              <w:t>工作8</w:t>
            </w:r>
            <w:r>
              <w:rPr>
                <w:rFonts w:hint="default" w:ascii="Times New Roman" w:hAnsi="Times New Roman" w:cs="Times New Roman"/>
                <w:bCs/>
                <w:color w:val="auto"/>
                <w:sz w:val="24"/>
                <w:highlight w:val="none"/>
                <w:lang w:val="en-US" w:eastAsia="zh-CN"/>
              </w:rPr>
              <w:t>h，年生产</w:t>
            </w:r>
            <w:r>
              <w:rPr>
                <w:rFonts w:hint="default" w:ascii="Times New Roman" w:hAnsi="Times New Roman" w:cs="Times New Roman"/>
                <w:bCs/>
                <w:color w:val="auto"/>
                <w:sz w:val="24"/>
                <w:highlight w:val="none"/>
              </w:rPr>
              <w:t>300</w:t>
            </w:r>
            <w:r>
              <w:rPr>
                <w:rFonts w:hint="default" w:ascii="Times New Roman" w:hAnsi="Times New Roman" w:cs="Times New Roman"/>
                <w:bCs/>
                <w:color w:val="auto"/>
                <w:sz w:val="24"/>
                <w:highlight w:val="none"/>
                <w:lang w:val="en-US" w:eastAsia="zh-CN"/>
              </w:rPr>
              <w:t>d</w:t>
            </w:r>
            <w:r>
              <w:rPr>
                <w:rFonts w:hint="default" w:ascii="Times New Roman" w:hAnsi="Times New Roman" w:cs="Times New Roman"/>
                <w:bCs/>
                <w:color w:val="auto"/>
                <w:sz w:val="24"/>
                <w:highlight w:val="none"/>
                <w:lang w:eastAsia="zh-CN"/>
              </w:rPr>
              <w:t>；</w:t>
            </w:r>
            <w:r>
              <w:rPr>
                <w:rFonts w:hint="default" w:ascii="Times New Roman" w:hAnsi="Times New Roman" w:cs="Times New Roman"/>
                <w:bCs/>
                <w:color w:val="auto"/>
                <w:sz w:val="24"/>
                <w:highlight w:val="none"/>
                <w:lang w:val="en-US" w:eastAsia="zh-CN"/>
              </w:rPr>
              <w:t>厂区内不设食宿。</w:t>
            </w:r>
          </w:p>
          <w:p>
            <w:pPr>
              <w:spacing w:after="0" w:line="360" w:lineRule="auto"/>
              <w:jc w:val="both"/>
              <w:rPr>
                <w:rFonts w:ascii="Times New Roman" w:hAnsi="Times New Roman" w:eastAsia="宋体"/>
                <w:b/>
                <w:sz w:val="24"/>
                <w:szCs w:val="24"/>
              </w:rPr>
            </w:pPr>
            <w:r>
              <w:rPr>
                <w:rFonts w:ascii="Times New Roman" w:hAnsi="Times New Roman" w:eastAsia="宋体"/>
                <w:b/>
                <w:sz w:val="24"/>
                <w:szCs w:val="24"/>
              </w:rPr>
              <w:t>4.1.2项目与相关政策、规划的符合性</w:t>
            </w:r>
          </w:p>
          <w:p>
            <w:pPr>
              <w:adjustRightInd w:val="0"/>
              <w:snapToGrid w:val="0"/>
              <w:spacing w:line="360" w:lineRule="auto"/>
              <w:ind w:firstLine="360" w:firstLineChars="15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产业政策符合性分析</w:t>
            </w:r>
          </w:p>
          <w:p>
            <w:pPr>
              <w:adjustRightInd w:val="0"/>
              <w:snapToGrid w:val="0"/>
              <w:spacing w:line="360" w:lineRule="auto"/>
              <w:ind w:firstLine="360" w:firstLineChars="150"/>
              <w:rPr>
                <w:rFonts w:hint="eastAsia" w:ascii="Times New Roman" w:hAnsi="Times New Roman" w:eastAsia="宋体" w:cs="Times New Roman"/>
                <w:sz w:val="24"/>
                <w:szCs w:val="24"/>
              </w:rPr>
            </w:pPr>
            <w:r>
              <w:rPr>
                <w:rFonts w:hint="default" w:ascii="Times New Roman" w:hAnsi="Times New Roman" w:eastAsia="宋体" w:cs="Times New Roman"/>
                <w:sz w:val="24"/>
                <w:szCs w:val="24"/>
              </w:rPr>
              <w:t>项目</w:t>
            </w:r>
            <w:r>
              <w:rPr>
                <w:rFonts w:hint="eastAsia" w:ascii="Times New Roman" w:hAnsi="Times New Roman" w:eastAsia="宋体" w:cs="Times New Roman"/>
                <w:sz w:val="24"/>
                <w:szCs w:val="24"/>
              </w:rPr>
              <w:t>为</w:t>
            </w:r>
            <w:r>
              <w:rPr>
                <w:rFonts w:hint="eastAsia" w:ascii="Times New Roman" w:hAnsi="Times New Roman" w:eastAsia="宋体" w:cs="Times New Roman"/>
                <w:sz w:val="24"/>
                <w:szCs w:val="24"/>
                <w:lang w:val="en-US" w:eastAsia="zh-CN"/>
              </w:rPr>
              <w:t>汽车零部件及配件制造</w:t>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rPr>
              <w:t>对照《产业结构调整指导目录</w:t>
            </w:r>
            <w:r>
              <w:rPr>
                <w:rFonts w:hint="default" w:ascii="Times New Roman" w:hAnsi="Times New Roman" w:eastAsia="宋体" w:cs="Times New Roman"/>
                <w:sz w:val="24"/>
                <w:szCs w:val="24"/>
              </w:rPr>
              <w:t>(2019</w:t>
            </w:r>
            <w:r>
              <w:rPr>
                <w:rFonts w:hint="eastAsia" w:ascii="Times New Roman" w:hAnsi="Times New Roman" w:eastAsia="宋体" w:cs="Times New Roman"/>
                <w:sz w:val="24"/>
                <w:szCs w:val="24"/>
              </w:rPr>
              <w:t>年本</w:t>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rPr>
              <w:t>》，不属于限制类和淘汰类，属于鼓励类，符合国家产业政策。梁平区发展和改革委员会已对</w:t>
            </w:r>
            <w:r>
              <w:rPr>
                <w:rFonts w:hint="eastAsia" w:ascii="Times New Roman" w:hAnsi="Times New Roman" w:eastAsia="宋体" w:cs="Times New Roman"/>
                <w:sz w:val="24"/>
                <w:szCs w:val="24"/>
                <w:lang w:val="en-US" w:eastAsia="zh-CN"/>
              </w:rPr>
              <w:t>本</w:t>
            </w:r>
            <w:r>
              <w:rPr>
                <w:rFonts w:hint="eastAsia" w:ascii="Times New Roman" w:hAnsi="Times New Roman" w:eastAsia="宋体" w:cs="Times New Roman"/>
                <w:sz w:val="24"/>
                <w:szCs w:val="24"/>
              </w:rPr>
              <w:t>项目的建设进行备案，备案证编号：</w:t>
            </w:r>
            <w:r>
              <w:rPr>
                <w:rFonts w:hint="eastAsia" w:ascii="Times New Roman" w:hAnsi="Times New Roman" w:eastAsia="宋体" w:cs="Times New Roman"/>
                <w:sz w:val="24"/>
                <w:szCs w:val="24"/>
                <w:lang w:val="en-US" w:eastAsia="zh-CN"/>
              </w:rPr>
              <w:t>2105-500155-04-01-668332</w:t>
            </w:r>
            <w:r>
              <w:rPr>
                <w:rFonts w:hint="eastAsia" w:ascii="Times New Roman" w:hAnsi="Times New Roman" w:eastAsia="宋体" w:cs="Times New Roman"/>
                <w:sz w:val="24"/>
                <w:szCs w:val="24"/>
              </w:rPr>
              <w:t>。</w:t>
            </w:r>
          </w:p>
          <w:p>
            <w:pPr>
              <w:adjustRightInd w:val="0"/>
              <w:snapToGrid w:val="0"/>
              <w:spacing w:line="360" w:lineRule="auto"/>
              <w:ind w:firstLine="360" w:firstLineChars="15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综上所述，项目符合国家现行产业政策及相关要求。</w:t>
            </w:r>
          </w:p>
          <w:p>
            <w:pPr>
              <w:adjustRightInd w:val="0"/>
              <w:snapToGrid w:val="0"/>
              <w:spacing w:line="360" w:lineRule="auto"/>
              <w:ind w:firstLine="360" w:firstLineChars="150"/>
              <w:rPr>
                <w:rFonts w:hint="default"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lang w:eastAsia="zh-CN"/>
              </w:rPr>
              <w:t>与《重庆市发展和改革委员会关于印发重庆市产业投资准入工作手册的通知》（渝发改投[2018]541号）符合性分析</w:t>
            </w:r>
          </w:p>
          <w:p>
            <w:pPr>
              <w:autoSpaceDE w:val="0"/>
              <w:autoSpaceDN w:val="0"/>
              <w:adjustRightInd w:val="0"/>
              <w:snapToGrid w:val="0"/>
              <w:spacing w:line="360" w:lineRule="auto"/>
              <w:ind w:firstLine="480" w:firstLineChars="200"/>
              <w:rPr>
                <w:color w:val="000000"/>
                <w:sz w:val="24"/>
              </w:rPr>
            </w:pPr>
            <w:r>
              <w:rPr>
                <w:color w:val="000000"/>
                <w:sz w:val="24"/>
              </w:rPr>
              <w:t>与《重庆市发展和改革委员会重庆市产业投资准入工作手册》（渝发改投[2018]541号）的符合性进行对比分析见</w:t>
            </w:r>
            <w:r>
              <w:rPr>
                <w:rFonts w:hint="eastAsia"/>
                <w:color w:val="000000"/>
                <w:sz w:val="24"/>
                <w:lang w:val="en-US" w:eastAsia="zh-CN"/>
              </w:rPr>
              <w:t>下</w:t>
            </w:r>
            <w:r>
              <w:rPr>
                <w:color w:val="000000"/>
                <w:sz w:val="24"/>
              </w:rPr>
              <w:t>表。</w:t>
            </w:r>
          </w:p>
          <w:p>
            <w:pPr>
              <w:widowControl/>
              <w:spacing w:line="360" w:lineRule="auto"/>
              <w:ind w:firstLine="482" w:firstLineChars="200"/>
              <w:jc w:val="center"/>
              <w:rPr>
                <w:rFonts w:hint="eastAsia" w:ascii="Times New Roman" w:hAnsi="Times New Roman" w:cs="Times New Roman"/>
                <w:b/>
                <w:sz w:val="24"/>
              </w:rPr>
            </w:pPr>
            <w:r>
              <w:rPr>
                <w:rFonts w:hint="eastAsia" w:ascii="Times New Roman" w:hAnsi="Times New Roman" w:cs="Times New Roman"/>
                <w:b/>
                <w:sz w:val="24"/>
              </w:rPr>
              <w:t>表</w:t>
            </w:r>
            <w:r>
              <w:rPr>
                <w:rFonts w:hint="eastAsia" w:ascii="Times New Roman" w:hAnsi="Times New Roman" w:cs="Times New Roman"/>
                <w:b/>
                <w:sz w:val="24"/>
                <w:lang w:val="en-US" w:eastAsia="zh-CN"/>
              </w:rPr>
              <w:t>1-3 与</w:t>
            </w:r>
            <w:r>
              <w:rPr>
                <w:rFonts w:hint="default" w:ascii="Times New Roman" w:hAnsi="Times New Roman" w:cs="Times New Roman"/>
                <w:b/>
                <w:sz w:val="24"/>
              </w:rPr>
              <w:t>《重庆市产业投资准入工作手册》符合性分析</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93"/>
              <w:gridCol w:w="3957"/>
              <w:gridCol w:w="2775"/>
              <w:gridCol w:w="106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297" w:type="pct"/>
                  <w:tcBorders>
                    <w:top w:val="single" w:color="auto" w:sz="4" w:space="0"/>
                    <w:left w:val="single" w:color="auto" w:sz="4"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序号</w:t>
                  </w:r>
                </w:p>
              </w:tc>
              <w:tc>
                <w:tcPr>
                  <w:tcW w:w="2386" w:type="pct"/>
                  <w:tcBorders>
                    <w:top w:val="single" w:color="auto" w:sz="4"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《重庆市产业投资准入工作手册》</w:t>
                  </w:r>
                  <w:r>
                    <w:rPr>
                      <w:rFonts w:hint="eastAsia" w:eastAsia="宋体"/>
                      <w:bCs/>
                      <w:color w:val="000000"/>
                      <w:szCs w:val="21"/>
                    </w:rPr>
                    <w:t>“</w:t>
                  </w:r>
                  <w:r>
                    <w:rPr>
                      <w:rFonts w:eastAsia="宋体"/>
                      <w:bCs/>
                      <w:color w:val="000000"/>
                      <w:szCs w:val="21"/>
                    </w:rPr>
                    <w:t>不予准入类</w:t>
                  </w:r>
                  <w:r>
                    <w:rPr>
                      <w:rFonts w:hint="eastAsia" w:eastAsia="宋体"/>
                      <w:bCs/>
                      <w:color w:val="000000"/>
                      <w:szCs w:val="21"/>
                    </w:rPr>
                    <w:t>”</w:t>
                  </w:r>
                  <w:r>
                    <w:rPr>
                      <w:rFonts w:eastAsia="宋体"/>
                      <w:bCs/>
                      <w:color w:val="000000"/>
                      <w:szCs w:val="21"/>
                    </w:rPr>
                    <w:t>规定</w:t>
                  </w:r>
                </w:p>
              </w:tc>
              <w:tc>
                <w:tcPr>
                  <w:tcW w:w="1673" w:type="pct"/>
                  <w:tcBorders>
                    <w:top w:val="single" w:color="auto" w:sz="4"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hint="eastAsia" w:eastAsia="宋体"/>
                      <w:bCs/>
                      <w:color w:val="000000"/>
                      <w:szCs w:val="21"/>
                    </w:rPr>
                    <w:t>拟建</w:t>
                  </w:r>
                  <w:r>
                    <w:rPr>
                      <w:rFonts w:eastAsia="宋体"/>
                      <w:bCs/>
                      <w:color w:val="000000"/>
                      <w:szCs w:val="21"/>
                    </w:rPr>
                    <w:t>项目对比分析</w:t>
                  </w:r>
                </w:p>
              </w:tc>
              <w:tc>
                <w:tcPr>
                  <w:tcW w:w="643" w:type="pct"/>
                  <w:tcBorders>
                    <w:top w:val="single" w:color="auto" w:sz="4" w:space="0"/>
                    <w:left w:val="single" w:color="auto" w:sz="6" w:space="0"/>
                    <w:bottom w:val="single" w:color="auto" w:sz="6" w:space="0"/>
                    <w:right w:val="single" w:color="auto" w:sz="4" w:space="0"/>
                  </w:tcBorders>
                  <w:noWrap w:val="0"/>
                  <w:vAlign w:val="center"/>
                </w:tcPr>
                <w:p>
                  <w:pPr>
                    <w:jc w:val="center"/>
                    <w:rPr>
                      <w:rFonts w:eastAsia="宋体"/>
                      <w:bCs/>
                      <w:color w:val="000000"/>
                      <w:szCs w:val="21"/>
                    </w:rPr>
                  </w:pPr>
                  <w:r>
                    <w:rPr>
                      <w:rFonts w:eastAsia="宋体"/>
                      <w:bCs/>
                      <w:color w:val="000000"/>
                      <w:szCs w:val="21"/>
                    </w:rPr>
                    <w:t>分析结果</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5000" w:type="pct"/>
                  <w:gridSpan w:val="4"/>
                  <w:tcBorders>
                    <w:top w:val="single" w:color="auto" w:sz="6" w:space="0"/>
                    <w:left w:val="single" w:color="auto" w:sz="4" w:space="0"/>
                    <w:bottom w:val="single" w:color="auto" w:sz="6" w:space="0"/>
                    <w:right w:val="single" w:color="auto" w:sz="4" w:space="0"/>
                  </w:tcBorders>
                  <w:noWrap w:val="0"/>
                  <w:vAlign w:val="center"/>
                </w:tcPr>
                <w:p>
                  <w:pPr>
                    <w:spacing w:line="240" w:lineRule="auto"/>
                    <w:jc w:val="center"/>
                    <w:rPr>
                      <w:rFonts w:eastAsia="宋体"/>
                      <w:bCs/>
                      <w:color w:val="000000"/>
                      <w:szCs w:val="21"/>
                    </w:rPr>
                  </w:pPr>
                  <w:r>
                    <w:rPr>
                      <w:rFonts w:eastAsia="宋体"/>
                      <w:bCs/>
                      <w:color w:val="000000"/>
                      <w:szCs w:val="21"/>
                    </w:rPr>
                    <w:t>（一）全市范围内不予准入的产业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297" w:type="pct"/>
                  <w:tcBorders>
                    <w:top w:val="single" w:color="auto" w:sz="6" w:space="0"/>
                    <w:left w:val="single" w:color="auto" w:sz="4"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1</w:t>
                  </w:r>
                </w:p>
              </w:tc>
              <w:tc>
                <w:tcPr>
                  <w:tcW w:w="2386"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国家产业结构调整指导目录中的淘汰类项目。</w:t>
                  </w:r>
                </w:p>
              </w:tc>
              <w:tc>
                <w:tcPr>
                  <w:tcW w:w="1673"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hint="eastAsia" w:eastAsia="宋体"/>
                      <w:bCs/>
                      <w:color w:val="000000"/>
                      <w:szCs w:val="21"/>
                    </w:rPr>
                    <w:t>不属于，本项目属于</w:t>
                  </w:r>
                  <w:r>
                    <w:rPr>
                      <w:rFonts w:hint="eastAsia"/>
                      <w:bCs/>
                      <w:color w:val="000000"/>
                      <w:szCs w:val="21"/>
                      <w:lang w:val="en-US" w:eastAsia="zh-CN"/>
                    </w:rPr>
                    <w:t>允许</w:t>
                  </w:r>
                  <w:r>
                    <w:rPr>
                      <w:rFonts w:hint="eastAsia" w:eastAsia="宋体"/>
                      <w:bCs/>
                      <w:color w:val="000000"/>
                      <w:szCs w:val="21"/>
                    </w:rPr>
                    <w:t>类项目</w:t>
                  </w:r>
                </w:p>
              </w:tc>
              <w:tc>
                <w:tcPr>
                  <w:tcW w:w="643" w:type="pct"/>
                  <w:vMerge w:val="restart"/>
                  <w:tcBorders>
                    <w:top w:val="single" w:color="auto" w:sz="6" w:space="0"/>
                    <w:left w:val="single" w:color="auto" w:sz="6" w:space="0"/>
                    <w:bottom w:val="single" w:color="auto" w:sz="6" w:space="0"/>
                    <w:right w:val="single" w:color="auto" w:sz="4" w:space="0"/>
                  </w:tcBorders>
                  <w:noWrap w:val="0"/>
                  <w:vAlign w:val="center"/>
                </w:tcPr>
                <w:p>
                  <w:pPr>
                    <w:jc w:val="center"/>
                    <w:rPr>
                      <w:rFonts w:eastAsia="宋体"/>
                      <w:bCs/>
                      <w:color w:val="000000"/>
                      <w:szCs w:val="21"/>
                    </w:rPr>
                  </w:pPr>
                  <w:r>
                    <w:rPr>
                      <w:rFonts w:eastAsia="宋体"/>
                      <w:bCs/>
                      <w:color w:val="000000"/>
                      <w:szCs w:val="21"/>
                    </w:rPr>
                    <w:t>不属于《重庆市产业投资准入工作手册》全市范围内不予准入的项目。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3" w:hRule="atLeast"/>
                <w:jc w:val="center"/>
              </w:trPr>
              <w:tc>
                <w:tcPr>
                  <w:tcW w:w="297" w:type="pct"/>
                  <w:tcBorders>
                    <w:top w:val="single" w:color="auto" w:sz="6" w:space="0"/>
                    <w:left w:val="single" w:color="auto" w:sz="4"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2</w:t>
                  </w:r>
                </w:p>
              </w:tc>
              <w:tc>
                <w:tcPr>
                  <w:tcW w:w="2386"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烟花爆竹生产。</w:t>
                  </w:r>
                </w:p>
              </w:tc>
              <w:tc>
                <w:tcPr>
                  <w:tcW w:w="1673"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不属于</w:t>
                  </w:r>
                </w:p>
              </w:tc>
              <w:tc>
                <w:tcPr>
                  <w:tcW w:w="643" w:type="pct"/>
                  <w:vMerge w:val="continue"/>
                  <w:tcBorders>
                    <w:top w:val="single" w:color="auto" w:sz="6" w:space="0"/>
                    <w:left w:val="single" w:color="auto" w:sz="6" w:space="0"/>
                    <w:bottom w:val="single" w:color="auto" w:sz="6" w:space="0"/>
                    <w:right w:val="single" w:color="auto" w:sz="4" w:space="0"/>
                  </w:tcBorders>
                  <w:noWrap w:val="0"/>
                  <w:vAlign w:val="center"/>
                </w:tcPr>
                <w:p>
                  <w:pPr>
                    <w:jc w:val="center"/>
                    <w:rPr>
                      <w:rFonts w:eastAsia="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297" w:type="pct"/>
                  <w:tcBorders>
                    <w:top w:val="single" w:color="auto" w:sz="6" w:space="0"/>
                    <w:left w:val="single" w:color="auto" w:sz="4"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3</w:t>
                  </w:r>
                </w:p>
              </w:tc>
              <w:tc>
                <w:tcPr>
                  <w:tcW w:w="2386"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400KA以下电解铝生产线。</w:t>
                  </w:r>
                </w:p>
              </w:tc>
              <w:tc>
                <w:tcPr>
                  <w:tcW w:w="1673"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不属于</w:t>
                  </w:r>
                </w:p>
              </w:tc>
              <w:tc>
                <w:tcPr>
                  <w:tcW w:w="643" w:type="pct"/>
                  <w:vMerge w:val="continue"/>
                  <w:tcBorders>
                    <w:top w:val="single" w:color="auto" w:sz="6" w:space="0"/>
                    <w:left w:val="single" w:color="auto" w:sz="6" w:space="0"/>
                    <w:bottom w:val="single" w:color="auto" w:sz="6" w:space="0"/>
                    <w:right w:val="single" w:color="auto" w:sz="4" w:space="0"/>
                  </w:tcBorders>
                  <w:noWrap w:val="0"/>
                  <w:vAlign w:val="center"/>
                </w:tcPr>
                <w:p>
                  <w:pPr>
                    <w:jc w:val="center"/>
                    <w:rPr>
                      <w:rFonts w:eastAsia="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9" w:hRule="atLeast"/>
                <w:jc w:val="center"/>
              </w:trPr>
              <w:tc>
                <w:tcPr>
                  <w:tcW w:w="297" w:type="pct"/>
                  <w:tcBorders>
                    <w:top w:val="single" w:color="auto" w:sz="6" w:space="0"/>
                    <w:left w:val="single" w:color="auto" w:sz="4"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4</w:t>
                  </w:r>
                </w:p>
              </w:tc>
              <w:tc>
                <w:tcPr>
                  <w:tcW w:w="2386"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单机10万千瓦以下和设计寿命期满的单机20万千瓦以下常规燃煤火电机。</w:t>
                  </w:r>
                </w:p>
              </w:tc>
              <w:tc>
                <w:tcPr>
                  <w:tcW w:w="1673"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不属于</w:t>
                  </w:r>
                </w:p>
              </w:tc>
              <w:tc>
                <w:tcPr>
                  <w:tcW w:w="643" w:type="pct"/>
                  <w:vMerge w:val="continue"/>
                  <w:tcBorders>
                    <w:top w:val="single" w:color="auto" w:sz="6" w:space="0"/>
                    <w:left w:val="single" w:color="auto" w:sz="6" w:space="0"/>
                    <w:bottom w:val="single" w:color="auto" w:sz="6" w:space="0"/>
                    <w:right w:val="single" w:color="auto" w:sz="4" w:space="0"/>
                  </w:tcBorders>
                  <w:noWrap w:val="0"/>
                  <w:vAlign w:val="center"/>
                </w:tcPr>
                <w:p>
                  <w:pPr>
                    <w:jc w:val="center"/>
                    <w:rPr>
                      <w:rFonts w:eastAsia="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9" w:hRule="atLeast"/>
                <w:jc w:val="center"/>
              </w:trPr>
              <w:tc>
                <w:tcPr>
                  <w:tcW w:w="297" w:type="pct"/>
                  <w:tcBorders>
                    <w:top w:val="single" w:color="auto" w:sz="6" w:space="0"/>
                    <w:left w:val="single" w:color="auto" w:sz="4"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5</w:t>
                  </w:r>
                </w:p>
              </w:tc>
              <w:tc>
                <w:tcPr>
                  <w:tcW w:w="2386"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天然林商业性采伐。</w:t>
                  </w:r>
                </w:p>
              </w:tc>
              <w:tc>
                <w:tcPr>
                  <w:tcW w:w="1673"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不属于</w:t>
                  </w:r>
                </w:p>
              </w:tc>
              <w:tc>
                <w:tcPr>
                  <w:tcW w:w="643" w:type="pct"/>
                  <w:vMerge w:val="continue"/>
                  <w:tcBorders>
                    <w:top w:val="single" w:color="auto" w:sz="6" w:space="0"/>
                    <w:left w:val="single" w:color="auto" w:sz="6" w:space="0"/>
                    <w:bottom w:val="single" w:color="auto" w:sz="6" w:space="0"/>
                    <w:right w:val="single" w:color="auto" w:sz="4" w:space="0"/>
                  </w:tcBorders>
                  <w:noWrap w:val="0"/>
                  <w:vAlign w:val="center"/>
                </w:tcPr>
                <w:p>
                  <w:pPr>
                    <w:jc w:val="center"/>
                    <w:rPr>
                      <w:rFonts w:eastAsia="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30" w:hRule="atLeast"/>
                <w:jc w:val="center"/>
              </w:trPr>
              <w:tc>
                <w:tcPr>
                  <w:tcW w:w="297" w:type="pct"/>
                  <w:tcBorders>
                    <w:top w:val="single" w:color="auto" w:sz="6" w:space="0"/>
                    <w:left w:val="single" w:color="auto" w:sz="4"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6</w:t>
                  </w:r>
                </w:p>
              </w:tc>
              <w:tc>
                <w:tcPr>
                  <w:tcW w:w="2386"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资源环境绩效水平超过《重庆市工业项目环境准入规定》（渝办发〔2012〕142号）限值以及不符合生态建设和环境保护规划区域布局规定的工业项目。在环境容量超载的区域（流域）增加污染物排放的项目。</w:t>
                  </w:r>
                </w:p>
              </w:tc>
              <w:tc>
                <w:tcPr>
                  <w:tcW w:w="1673"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eastAsia" w:eastAsia="宋体"/>
                      <w:bCs/>
                      <w:color w:val="000000"/>
                      <w:szCs w:val="21"/>
                    </w:rPr>
                  </w:pPr>
                  <w:r>
                    <w:rPr>
                      <w:rFonts w:hint="eastAsia" w:eastAsia="宋体"/>
                      <w:bCs/>
                      <w:color w:val="000000"/>
                      <w:szCs w:val="21"/>
                    </w:rPr>
                    <w:t>不属于</w:t>
                  </w:r>
                </w:p>
              </w:tc>
              <w:tc>
                <w:tcPr>
                  <w:tcW w:w="643" w:type="pct"/>
                  <w:vMerge w:val="continue"/>
                  <w:tcBorders>
                    <w:top w:val="single" w:color="auto" w:sz="6" w:space="0"/>
                    <w:left w:val="single" w:color="auto" w:sz="6" w:space="0"/>
                    <w:bottom w:val="single" w:color="auto" w:sz="6" w:space="0"/>
                    <w:right w:val="single" w:color="auto" w:sz="4" w:space="0"/>
                  </w:tcBorders>
                  <w:noWrap w:val="0"/>
                  <w:vAlign w:val="center"/>
                </w:tcPr>
                <w:p>
                  <w:pPr>
                    <w:jc w:val="center"/>
                    <w:rPr>
                      <w:rFonts w:eastAsia="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56" w:hRule="atLeast"/>
                <w:jc w:val="center"/>
              </w:trPr>
              <w:tc>
                <w:tcPr>
                  <w:tcW w:w="297" w:type="pct"/>
                  <w:tcBorders>
                    <w:top w:val="single" w:color="auto" w:sz="6" w:space="0"/>
                    <w:left w:val="single" w:color="auto" w:sz="4"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7</w:t>
                  </w:r>
                </w:p>
              </w:tc>
              <w:tc>
                <w:tcPr>
                  <w:tcW w:w="2386"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不符合《重庆市人民政府办公厅关于印发重庆市供给侧结构性改革去产能专项方案的通知》（渝府办发〔2016〕128号）要求的环保、能耗、工艺与装备标准的煤炭、钢铁、水泥、电解铝、平板玻璃和船舶制造等项目。</w:t>
                  </w:r>
                </w:p>
              </w:tc>
              <w:tc>
                <w:tcPr>
                  <w:tcW w:w="1673"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不属于</w:t>
                  </w:r>
                </w:p>
              </w:tc>
              <w:tc>
                <w:tcPr>
                  <w:tcW w:w="643" w:type="pct"/>
                  <w:vMerge w:val="continue"/>
                  <w:tcBorders>
                    <w:top w:val="single" w:color="auto" w:sz="6" w:space="0"/>
                    <w:left w:val="single" w:color="auto" w:sz="6" w:space="0"/>
                    <w:bottom w:val="single" w:color="auto" w:sz="6" w:space="0"/>
                    <w:right w:val="single" w:color="auto" w:sz="4" w:space="0"/>
                  </w:tcBorders>
                  <w:noWrap w:val="0"/>
                  <w:vAlign w:val="center"/>
                </w:tcPr>
                <w:p>
                  <w:pPr>
                    <w:jc w:val="center"/>
                    <w:rPr>
                      <w:rFonts w:eastAsia="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5000" w:type="pct"/>
                  <w:gridSpan w:val="4"/>
                  <w:tcBorders>
                    <w:top w:val="single" w:color="auto" w:sz="6" w:space="0"/>
                    <w:left w:val="single" w:color="auto" w:sz="4" w:space="0"/>
                    <w:bottom w:val="single" w:color="auto" w:sz="6" w:space="0"/>
                    <w:right w:val="single" w:color="auto" w:sz="4" w:space="0"/>
                  </w:tcBorders>
                  <w:noWrap w:val="0"/>
                  <w:vAlign w:val="center"/>
                </w:tcPr>
                <w:p>
                  <w:pPr>
                    <w:spacing w:line="240" w:lineRule="auto"/>
                    <w:jc w:val="center"/>
                    <w:rPr>
                      <w:rFonts w:eastAsia="宋体"/>
                      <w:bCs/>
                      <w:color w:val="000000"/>
                      <w:szCs w:val="21"/>
                    </w:rPr>
                  </w:pPr>
                  <w:r>
                    <w:rPr>
                      <w:rFonts w:eastAsia="宋体"/>
                      <w:bCs/>
                      <w:color w:val="000000"/>
                      <w:szCs w:val="21"/>
                    </w:rPr>
                    <w:t>（二）重点区域范围内不予准入的产业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297" w:type="pct"/>
                  <w:tcBorders>
                    <w:top w:val="single" w:color="auto" w:sz="6" w:space="0"/>
                    <w:left w:val="single" w:color="auto" w:sz="4"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1</w:t>
                  </w:r>
                </w:p>
              </w:tc>
              <w:tc>
                <w:tcPr>
                  <w:tcW w:w="2386"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四山保护区域内的工业项目。</w:t>
                  </w:r>
                </w:p>
              </w:tc>
              <w:tc>
                <w:tcPr>
                  <w:tcW w:w="1673"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eastAsia" w:eastAsia="宋体"/>
                      <w:bCs/>
                      <w:color w:val="000000"/>
                      <w:szCs w:val="21"/>
                    </w:rPr>
                  </w:pPr>
                  <w:r>
                    <w:rPr>
                      <w:rFonts w:hint="eastAsia" w:eastAsia="宋体"/>
                      <w:bCs/>
                      <w:color w:val="000000"/>
                      <w:szCs w:val="21"/>
                    </w:rPr>
                    <w:t>不属于</w:t>
                  </w:r>
                </w:p>
              </w:tc>
              <w:tc>
                <w:tcPr>
                  <w:tcW w:w="643" w:type="pct"/>
                  <w:vMerge w:val="restart"/>
                  <w:tcBorders>
                    <w:top w:val="single" w:color="auto" w:sz="6" w:space="0"/>
                    <w:left w:val="single" w:color="auto" w:sz="6" w:space="0"/>
                    <w:bottom w:val="single" w:color="auto" w:sz="6" w:space="0"/>
                    <w:right w:val="single" w:color="auto" w:sz="4" w:space="0"/>
                  </w:tcBorders>
                  <w:noWrap w:val="0"/>
                  <w:vAlign w:val="center"/>
                </w:tcPr>
                <w:p>
                  <w:pPr>
                    <w:jc w:val="center"/>
                    <w:rPr>
                      <w:rFonts w:eastAsia="宋体"/>
                      <w:bCs/>
                      <w:color w:val="000000"/>
                      <w:szCs w:val="21"/>
                    </w:rPr>
                  </w:pPr>
                  <w:r>
                    <w:rPr>
                      <w:rFonts w:eastAsia="宋体"/>
                      <w:bCs/>
                      <w:color w:val="000000"/>
                      <w:szCs w:val="21"/>
                    </w:rPr>
                    <w:t>项目不属于重点区域范围内不予准入的项目。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72" w:hRule="atLeast"/>
                <w:jc w:val="center"/>
              </w:trPr>
              <w:tc>
                <w:tcPr>
                  <w:tcW w:w="297" w:type="pct"/>
                  <w:tcBorders>
                    <w:top w:val="single" w:color="auto" w:sz="6" w:space="0"/>
                    <w:left w:val="single" w:color="auto" w:sz="4"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2</w:t>
                  </w:r>
                </w:p>
              </w:tc>
              <w:tc>
                <w:tcPr>
                  <w:tcW w:w="2386"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长江鱼嘴以上江段及其一级支流汇入口上游20公里、嘉陵江及其一级支流汇入口上游20公里、集中式饮用水水源取水口上游20公里范围内的沿岸地区（江河50年一遇洪水位向陆域一侧1公里范围内）的重金属（铬、镉、汞、砷、铅等五类重金属，下同）、剧毒物质和持久性有机污染物的工业项目。</w:t>
                  </w:r>
                </w:p>
              </w:tc>
              <w:tc>
                <w:tcPr>
                  <w:tcW w:w="1673"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eastAsia" w:eastAsia="宋体"/>
                      <w:bCs/>
                      <w:color w:val="000000"/>
                      <w:szCs w:val="21"/>
                    </w:rPr>
                  </w:pPr>
                  <w:r>
                    <w:rPr>
                      <w:rFonts w:eastAsia="宋体"/>
                      <w:bCs/>
                      <w:color w:val="000000"/>
                      <w:szCs w:val="21"/>
                    </w:rPr>
                    <w:t>项目</w:t>
                  </w:r>
                  <w:r>
                    <w:rPr>
                      <w:rFonts w:hint="eastAsia" w:eastAsia="宋体"/>
                      <w:bCs/>
                      <w:color w:val="000000"/>
                      <w:szCs w:val="21"/>
                    </w:rPr>
                    <w:t>不排放重金属</w:t>
                  </w:r>
                </w:p>
              </w:tc>
              <w:tc>
                <w:tcPr>
                  <w:tcW w:w="643" w:type="pct"/>
                  <w:vMerge w:val="continue"/>
                  <w:tcBorders>
                    <w:top w:val="single" w:color="auto" w:sz="6" w:space="0"/>
                    <w:left w:val="single" w:color="auto" w:sz="6" w:space="0"/>
                    <w:bottom w:val="single" w:color="auto" w:sz="6" w:space="0"/>
                    <w:right w:val="single" w:color="auto" w:sz="4" w:space="0"/>
                  </w:tcBorders>
                  <w:noWrap w:val="0"/>
                  <w:vAlign w:val="center"/>
                </w:tcPr>
                <w:p>
                  <w:pPr>
                    <w:jc w:val="center"/>
                    <w:rPr>
                      <w:rFonts w:eastAsia="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9" w:hRule="atLeast"/>
                <w:jc w:val="center"/>
              </w:trPr>
              <w:tc>
                <w:tcPr>
                  <w:tcW w:w="297" w:type="pct"/>
                  <w:tcBorders>
                    <w:top w:val="single" w:color="auto" w:sz="6" w:space="0"/>
                    <w:left w:val="single" w:color="auto" w:sz="4"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3</w:t>
                  </w:r>
                </w:p>
              </w:tc>
              <w:tc>
                <w:tcPr>
                  <w:tcW w:w="2386"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未进入国家和市政府批准的化工园区或化工集中区的化工项目。</w:t>
                  </w:r>
                </w:p>
              </w:tc>
              <w:tc>
                <w:tcPr>
                  <w:tcW w:w="1673"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项目不属于化工项目。</w:t>
                  </w:r>
                </w:p>
              </w:tc>
              <w:tc>
                <w:tcPr>
                  <w:tcW w:w="643" w:type="pct"/>
                  <w:vMerge w:val="continue"/>
                  <w:tcBorders>
                    <w:top w:val="single" w:color="auto" w:sz="6" w:space="0"/>
                    <w:left w:val="single" w:color="auto" w:sz="6" w:space="0"/>
                    <w:bottom w:val="single" w:color="auto" w:sz="6" w:space="0"/>
                    <w:right w:val="single" w:color="auto" w:sz="4" w:space="0"/>
                  </w:tcBorders>
                  <w:noWrap w:val="0"/>
                  <w:vAlign w:val="center"/>
                </w:tcPr>
                <w:p>
                  <w:pPr>
                    <w:jc w:val="center"/>
                    <w:rPr>
                      <w:rFonts w:eastAsia="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4" w:hRule="atLeast"/>
                <w:jc w:val="center"/>
              </w:trPr>
              <w:tc>
                <w:tcPr>
                  <w:tcW w:w="297" w:type="pct"/>
                  <w:tcBorders>
                    <w:top w:val="single" w:color="auto" w:sz="6" w:space="0"/>
                    <w:left w:val="single" w:color="auto" w:sz="4"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4</w:t>
                  </w:r>
                </w:p>
              </w:tc>
              <w:tc>
                <w:tcPr>
                  <w:tcW w:w="2386"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大气污染防治重点控制区域内，燃煤火电、化工、水泥、采（碎）石场、烧结砖瓦窑以及燃煤锅炉等项目。</w:t>
                  </w:r>
                </w:p>
              </w:tc>
              <w:tc>
                <w:tcPr>
                  <w:tcW w:w="1673"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不属于</w:t>
                  </w:r>
                </w:p>
              </w:tc>
              <w:tc>
                <w:tcPr>
                  <w:tcW w:w="643" w:type="pct"/>
                  <w:vMerge w:val="continue"/>
                  <w:tcBorders>
                    <w:top w:val="single" w:color="auto" w:sz="6" w:space="0"/>
                    <w:left w:val="single" w:color="auto" w:sz="6" w:space="0"/>
                    <w:bottom w:val="single" w:color="auto" w:sz="6" w:space="0"/>
                    <w:right w:val="single" w:color="auto" w:sz="4" w:space="0"/>
                  </w:tcBorders>
                  <w:noWrap w:val="0"/>
                  <w:vAlign w:val="center"/>
                </w:tcPr>
                <w:p>
                  <w:pPr>
                    <w:jc w:val="center"/>
                    <w:rPr>
                      <w:rFonts w:eastAsia="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04" w:hRule="atLeast"/>
                <w:jc w:val="center"/>
              </w:trPr>
              <w:tc>
                <w:tcPr>
                  <w:tcW w:w="297" w:type="pct"/>
                  <w:tcBorders>
                    <w:top w:val="single" w:color="auto" w:sz="6" w:space="0"/>
                    <w:left w:val="single" w:color="auto" w:sz="4"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5</w:t>
                  </w:r>
                </w:p>
              </w:tc>
              <w:tc>
                <w:tcPr>
                  <w:tcW w:w="2386"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主城区以外的各区县城区及其主导上风向5公里范围内，燃煤电厂、水泥、冶炼等大气污染严重的项目。</w:t>
                  </w:r>
                </w:p>
              </w:tc>
              <w:tc>
                <w:tcPr>
                  <w:tcW w:w="1673"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不属于</w:t>
                  </w:r>
                </w:p>
              </w:tc>
              <w:tc>
                <w:tcPr>
                  <w:tcW w:w="643" w:type="pct"/>
                  <w:vMerge w:val="continue"/>
                  <w:tcBorders>
                    <w:top w:val="single" w:color="auto" w:sz="6" w:space="0"/>
                    <w:left w:val="single" w:color="auto" w:sz="6" w:space="0"/>
                    <w:bottom w:val="single" w:color="auto" w:sz="6" w:space="0"/>
                    <w:right w:val="single" w:color="auto" w:sz="4" w:space="0"/>
                  </w:tcBorders>
                  <w:noWrap w:val="0"/>
                  <w:vAlign w:val="center"/>
                </w:tcPr>
                <w:p>
                  <w:pPr>
                    <w:jc w:val="center"/>
                    <w:rPr>
                      <w:rFonts w:eastAsia="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297" w:type="pct"/>
                  <w:tcBorders>
                    <w:top w:val="single" w:color="auto" w:sz="6" w:space="0"/>
                    <w:left w:val="single" w:color="auto" w:sz="4"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6</w:t>
                  </w:r>
                </w:p>
              </w:tc>
              <w:tc>
                <w:tcPr>
                  <w:tcW w:w="2386"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二十五度以上陡坡地开垦种植农作物。</w:t>
                  </w:r>
                </w:p>
              </w:tc>
              <w:tc>
                <w:tcPr>
                  <w:tcW w:w="1673"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不属于</w:t>
                  </w:r>
                </w:p>
              </w:tc>
              <w:tc>
                <w:tcPr>
                  <w:tcW w:w="643" w:type="pct"/>
                  <w:vMerge w:val="continue"/>
                  <w:tcBorders>
                    <w:top w:val="single" w:color="auto" w:sz="6" w:space="0"/>
                    <w:left w:val="single" w:color="auto" w:sz="6" w:space="0"/>
                    <w:bottom w:val="single" w:color="auto" w:sz="6" w:space="0"/>
                    <w:right w:val="single" w:color="auto" w:sz="4" w:space="0"/>
                  </w:tcBorders>
                  <w:noWrap w:val="0"/>
                  <w:vAlign w:val="center"/>
                </w:tcPr>
                <w:p>
                  <w:pPr>
                    <w:jc w:val="center"/>
                    <w:rPr>
                      <w:rFonts w:eastAsia="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72" w:hRule="atLeast"/>
                <w:jc w:val="center"/>
              </w:trPr>
              <w:tc>
                <w:tcPr>
                  <w:tcW w:w="297" w:type="pct"/>
                  <w:tcBorders>
                    <w:top w:val="single" w:color="auto" w:sz="6" w:space="0"/>
                    <w:left w:val="single" w:color="auto" w:sz="4"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7</w:t>
                  </w:r>
                </w:p>
              </w:tc>
              <w:tc>
                <w:tcPr>
                  <w:tcW w:w="2386"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饮用水水源保护区、自然保护区、自然文化遗产地、湿地公园、森林公园、风景名胜区、地质公园等区域进行工业化城镇化开发。其中，饮用水水源保护区包括一级保护区和二级保护区；自然保护区包括县级及以上自然保护区的核心区、缓冲区、实验区；自然文化遗产地、湿地公园、森林公园、风景名胜区、地质公园包括规划范围以内全部区域。</w:t>
                  </w:r>
                </w:p>
              </w:tc>
              <w:tc>
                <w:tcPr>
                  <w:tcW w:w="1673"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项目不在该范围内。</w:t>
                  </w:r>
                </w:p>
              </w:tc>
              <w:tc>
                <w:tcPr>
                  <w:tcW w:w="643" w:type="pct"/>
                  <w:vMerge w:val="continue"/>
                  <w:tcBorders>
                    <w:top w:val="single" w:color="auto" w:sz="6" w:space="0"/>
                    <w:left w:val="single" w:color="auto" w:sz="6" w:space="0"/>
                    <w:bottom w:val="single" w:color="auto" w:sz="6" w:space="0"/>
                    <w:right w:val="single" w:color="auto" w:sz="4" w:space="0"/>
                  </w:tcBorders>
                  <w:noWrap w:val="0"/>
                  <w:vAlign w:val="center"/>
                </w:tcPr>
                <w:p>
                  <w:pPr>
                    <w:jc w:val="center"/>
                    <w:rPr>
                      <w:rFonts w:eastAsia="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97" w:type="pct"/>
                  <w:tcBorders>
                    <w:top w:val="single" w:color="auto" w:sz="6" w:space="0"/>
                    <w:left w:val="single" w:color="auto" w:sz="4"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8</w:t>
                  </w:r>
                </w:p>
              </w:tc>
              <w:tc>
                <w:tcPr>
                  <w:tcW w:w="2386"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生态红线控制区、生态环境敏感区、人口聚集区涉重金属排放项目。</w:t>
                  </w:r>
                </w:p>
              </w:tc>
              <w:tc>
                <w:tcPr>
                  <w:tcW w:w="1673"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项目不涉及生态红线控制区、生态环境敏感区、人口聚集区</w:t>
                  </w:r>
                </w:p>
              </w:tc>
              <w:tc>
                <w:tcPr>
                  <w:tcW w:w="643" w:type="pct"/>
                  <w:vMerge w:val="continue"/>
                  <w:tcBorders>
                    <w:top w:val="single" w:color="auto" w:sz="6" w:space="0"/>
                    <w:left w:val="single" w:color="auto" w:sz="6" w:space="0"/>
                    <w:bottom w:val="single" w:color="auto" w:sz="6" w:space="0"/>
                    <w:right w:val="single" w:color="auto" w:sz="4" w:space="0"/>
                  </w:tcBorders>
                  <w:noWrap w:val="0"/>
                  <w:vAlign w:val="center"/>
                </w:tcPr>
                <w:p>
                  <w:pPr>
                    <w:jc w:val="center"/>
                    <w:rPr>
                      <w:rFonts w:eastAsia="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9" w:hRule="atLeast"/>
                <w:jc w:val="center"/>
              </w:trPr>
              <w:tc>
                <w:tcPr>
                  <w:tcW w:w="297" w:type="pct"/>
                  <w:tcBorders>
                    <w:top w:val="single" w:color="auto" w:sz="6" w:space="0"/>
                    <w:left w:val="single" w:color="auto" w:sz="4"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9</w:t>
                  </w:r>
                </w:p>
              </w:tc>
              <w:tc>
                <w:tcPr>
                  <w:tcW w:w="2386"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长江干流及主要支流岸线1公里范围内重化工项目（除在建项目外）。</w:t>
                  </w:r>
                </w:p>
              </w:tc>
              <w:tc>
                <w:tcPr>
                  <w:tcW w:w="1673"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项目不属于化工项目</w:t>
                  </w:r>
                </w:p>
              </w:tc>
              <w:tc>
                <w:tcPr>
                  <w:tcW w:w="643" w:type="pct"/>
                  <w:vMerge w:val="continue"/>
                  <w:tcBorders>
                    <w:top w:val="single" w:color="auto" w:sz="6" w:space="0"/>
                    <w:left w:val="single" w:color="auto" w:sz="6" w:space="0"/>
                    <w:bottom w:val="single" w:color="auto" w:sz="6" w:space="0"/>
                    <w:right w:val="single" w:color="auto" w:sz="4" w:space="0"/>
                  </w:tcBorders>
                  <w:noWrap w:val="0"/>
                  <w:vAlign w:val="center"/>
                </w:tcPr>
                <w:p>
                  <w:pPr>
                    <w:jc w:val="center"/>
                    <w:rPr>
                      <w:rFonts w:eastAsia="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4" w:hRule="atLeast"/>
                <w:jc w:val="center"/>
              </w:trPr>
              <w:tc>
                <w:tcPr>
                  <w:tcW w:w="297" w:type="pct"/>
                  <w:tcBorders>
                    <w:top w:val="single" w:color="auto" w:sz="6" w:space="0"/>
                    <w:left w:val="single" w:color="auto" w:sz="4"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10</w:t>
                  </w:r>
                </w:p>
              </w:tc>
              <w:tc>
                <w:tcPr>
                  <w:tcW w:w="2386"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修改为长江干流及主要支流（指乌江、嘉陵江、大宁河、阿蓬江、涪江、渠江）175米库岸沿线至第一山脊线范围内采矿。</w:t>
                  </w:r>
                </w:p>
              </w:tc>
              <w:tc>
                <w:tcPr>
                  <w:tcW w:w="1673" w:type="pct"/>
                  <w:vMerge w:val="restar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项目不在该范围内。</w:t>
                  </w:r>
                </w:p>
              </w:tc>
              <w:tc>
                <w:tcPr>
                  <w:tcW w:w="643" w:type="pct"/>
                  <w:vMerge w:val="continue"/>
                  <w:tcBorders>
                    <w:top w:val="single" w:color="auto" w:sz="6" w:space="0"/>
                    <w:left w:val="single" w:color="auto" w:sz="6" w:space="0"/>
                    <w:bottom w:val="single" w:color="auto" w:sz="6" w:space="0"/>
                    <w:right w:val="single" w:color="auto" w:sz="4" w:space="0"/>
                  </w:tcBorders>
                  <w:noWrap w:val="0"/>
                  <w:vAlign w:val="center"/>
                </w:tcPr>
                <w:p>
                  <w:pPr>
                    <w:jc w:val="center"/>
                    <w:rPr>
                      <w:rFonts w:eastAsia="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297" w:type="pct"/>
                  <w:tcBorders>
                    <w:top w:val="single" w:color="auto" w:sz="6" w:space="0"/>
                    <w:left w:val="single" w:color="auto" w:sz="4"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11</w:t>
                  </w:r>
                </w:p>
              </w:tc>
              <w:tc>
                <w:tcPr>
                  <w:tcW w:w="2386"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外环绕城高速公路以内长江、嘉陵江水域采砂。</w:t>
                  </w:r>
                </w:p>
              </w:tc>
              <w:tc>
                <w:tcPr>
                  <w:tcW w:w="1673"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p>
              </w:tc>
              <w:tc>
                <w:tcPr>
                  <w:tcW w:w="643" w:type="pct"/>
                  <w:vMerge w:val="continue"/>
                  <w:tcBorders>
                    <w:top w:val="single" w:color="auto" w:sz="6" w:space="0"/>
                    <w:left w:val="single" w:color="auto" w:sz="6" w:space="0"/>
                    <w:bottom w:val="single" w:color="auto" w:sz="6" w:space="0"/>
                    <w:right w:val="single" w:color="auto" w:sz="4" w:space="0"/>
                  </w:tcBorders>
                  <w:noWrap w:val="0"/>
                  <w:vAlign w:val="center"/>
                </w:tcPr>
                <w:p>
                  <w:pPr>
                    <w:jc w:val="center"/>
                    <w:rPr>
                      <w:rFonts w:eastAsia="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9" w:hRule="atLeast"/>
                <w:jc w:val="center"/>
              </w:trPr>
              <w:tc>
                <w:tcPr>
                  <w:tcW w:w="297" w:type="pct"/>
                  <w:tcBorders>
                    <w:top w:val="single" w:color="auto" w:sz="6" w:space="0"/>
                    <w:left w:val="single" w:color="auto" w:sz="4"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12</w:t>
                  </w:r>
                </w:p>
              </w:tc>
              <w:tc>
                <w:tcPr>
                  <w:tcW w:w="2386"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主城区不符合</w:t>
                  </w:r>
                  <w:r>
                    <w:rPr>
                      <w:rFonts w:hint="eastAsia" w:eastAsia="宋体"/>
                      <w:bCs/>
                      <w:color w:val="000000"/>
                      <w:szCs w:val="21"/>
                    </w:rPr>
                    <w:t>“</w:t>
                  </w:r>
                  <w:r>
                    <w:rPr>
                      <w:rFonts w:eastAsia="宋体"/>
                      <w:bCs/>
                      <w:color w:val="000000"/>
                      <w:szCs w:val="21"/>
                    </w:rPr>
                    <w:t>两江四岸</w:t>
                  </w:r>
                  <w:r>
                    <w:rPr>
                      <w:rFonts w:hint="eastAsia" w:eastAsia="宋体"/>
                      <w:bCs/>
                      <w:color w:val="000000"/>
                      <w:szCs w:val="21"/>
                    </w:rPr>
                    <w:t>”</w:t>
                  </w:r>
                  <w:r>
                    <w:rPr>
                      <w:rFonts w:eastAsia="宋体"/>
                      <w:bCs/>
                      <w:color w:val="000000"/>
                      <w:szCs w:val="21"/>
                    </w:rPr>
                    <w:t>规划设计景观要求的项目以及造纸、印染、危险废物处置项目。</w:t>
                  </w:r>
                </w:p>
              </w:tc>
              <w:tc>
                <w:tcPr>
                  <w:tcW w:w="1673"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p>
              </w:tc>
              <w:tc>
                <w:tcPr>
                  <w:tcW w:w="643" w:type="pct"/>
                  <w:vMerge w:val="continue"/>
                  <w:tcBorders>
                    <w:top w:val="single" w:color="auto" w:sz="6" w:space="0"/>
                    <w:left w:val="single" w:color="auto" w:sz="6" w:space="0"/>
                    <w:bottom w:val="single" w:color="auto" w:sz="6" w:space="0"/>
                    <w:right w:val="single" w:color="auto" w:sz="4" w:space="0"/>
                  </w:tcBorders>
                  <w:noWrap w:val="0"/>
                  <w:vAlign w:val="center"/>
                </w:tcPr>
                <w:p>
                  <w:pPr>
                    <w:jc w:val="center"/>
                    <w:rPr>
                      <w:rFonts w:eastAsia="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4" w:hRule="atLeast"/>
                <w:jc w:val="center"/>
              </w:trPr>
              <w:tc>
                <w:tcPr>
                  <w:tcW w:w="297" w:type="pct"/>
                  <w:tcBorders>
                    <w:top w:val="single" w:color="auto" w:sz="6" w:space="0"/>
                    <w:left w:val="single" w:color="auto" w:sz="4"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13</w:t>
                  </w:r>
                </w:p>
              </w:tc>
              <w:tc>
                <w:tcPr>
                  <w:tcW w:w="2386"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主城区内环以内工业项目；内环以外燃煤电厂（含热电）、重化工以及使用煤和重油为燃料的工业项目。</w:t>
                  </w:r>
                </w:p>
              </w:tc>
              <w:tc>
                <w:tcPr>
                  <w:tcW w:w="1673"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p>
              </w:tc>
              <w:tc>
                <w:tcPr>
                  <w:tcW w:w="643" w:type="pct"/>
                  <w:vMerge w:val="continue"/>
                  <w:tcBorders>
                    <w:top w:val="single" w:color="auto" w:sz="6" w:space="0"/>
                    <w:left w:val="single" w:color="auto" w:sz="6" w:space="0"/>
                    <w:bottom w:val="single" w:color="auto" w:sz="6" w:space="0"/>
                    <w:right w:val="single" w:color="auto" w:sz="4" w:space="0"/>
                  </w:tcBorders>
                  <w:noWrap w:val="0"/>
                  <w:vAlign w:val="center"/>
                </w:tcPr>
                <w:p>
                  <w:pPr>
                    <w:jc w:val="center"/>
                    <w:rPr>
                      <w:rFonts w:eastAsia="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9" w:hRule="atLeast"/>
                <w:jc w:val="center"/>
              </w:trPr>
              <w:tc>
                <w:tcPr>
                  <w:tcW w:w="297" w:type="pct"/>
                  <w:tcBorders>
                    <w:top w:val="single" w:color="auto" w:sz="6" w:space="0"/>
                    <w:left w:val="single" w:color="auto" w:sz="4"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14</w:t>
                  </w:r>
                </w:p>
              </w:tc>
              <w:tc>
                <w:tcPr>
                  <w:tcW w:w="2386"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主城区及其主导上风向20公里范围内大气污染严重的燃煤电厂（含热电）、冶炼、水泥项目。</w:t>
                  </w:r>
                </w:p>
              </w:tc>
              <w:tc>
                <w:tcPr>
                  <w:tcW w:w="1673"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p>
              </w:tc>
              <w:tc>
                <w:tcPr>
                  <w:tcW w:w="643" w:type="pct"/>
                  <w:vMerge w:val="continue"/>
                  <w:tcBorders>
                    <w:top w:val="single" w:color="auto" w:sz="6" w:space="0"/>
                    <w:left w:val="single" w:color="auto" w:sz="6" w:space="0"/>
                    <w:bottom w:val="single" w:color="auto" w:sz="6" w:space="0"/>
                    <w:right w:val="single" w:color="auto" w:sz="4" w:space="0"/>
                  </w:tcBorders>
                  <w:noWrap w:val="0"/>
                  <w:vAlign w:val="center"/>
                </w:tcPr>
                <w:p>
                  <w:pPr>
                    <w:jc w:val="center"/>
                    <w:rPr>
                      <w:rFonts w:eastAsia="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4" w:hRule="atLeast"/>
                <w:jc w:val="center"/>
              </w:trPr>
              <w:tc>
                <w:tcPr>
                  <w:tcW w:w="297" w:type="pct"/>
                  <w:tcBorders>
                    <w:top w:val="single" w:color="auto" w:sz="6" w:space="0"/>
                    <w:left w:val="single" w:color="auto" w:sz="4"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15</w:t>
                  </w:r>
                </w:p>
              </w:tc>
              <w:tc>
                <w:tcPr>
                  <w:tcW w:w="2386"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长江、嘉陵江主城区江段及其上游沿江河地区排放有毒有害物质、重金属以及存在严重环境安全风险的产业项目。</w:t>
                  </w:r>
                </w:p>
              </w:tc>
              <w:tc>
                <w:tcPr>
                  <w:tcW w:w="1673"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p>
              </w:tc>
              <w:tc>
                <w:tcPr>
                  <w:tcW w:w="643" w:type="pct"/>
                  <w:vMerge w:val="continue"/>
                  <w:tcBorders>
                    <w:top w:val="single" w:color="auto" w:sz="6" w:space="0"/>
                    <w:left w:val="single" w:color="auto" w:sz="6" w:space="0"/>
                    <w:bottom w:val="single" w:color="auto" w:sz="6" w:space="0"/>
                    <w:right w:val="single" w:color="auto" w:sz="4" w:space="0"/>
                  </w:tcBorders>
                  <w:noWrap w:val="0"/>
                  <w:vAlign w:val="center"/>
                </w:tcPr>
                <w:p>
                  <w:pPr>
                    <w:jc w:val="center"/>
                    <w:rPr>
                      <w:rFonts w:eastAsia="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9" w:hRule="atLeast"/>
                <w:jc w:val="center"/>
              </w:trPr>
              <w:tc>
                <w:tcPr>
                  <w:tcW w:w="297" w:type="pct"/>
                  <w:tcBorders>
                    <w:top w:val="single" w:color="auto" w:sz="6" w:space="0"/>
                    <w:left w:val="single" w:color="auto" w:sz="4"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16</w:t>
                  </w:r>
                </w:p>
              </w:tc>
              <w:tc>
                <w:tcPr>
                  <w:tcW w:w="2386"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东北部地区和东南部地区的化工项目（万州区仅限于对现有主体化工产业链进行完善和升级改造）。</w:t>
                  </w:r>
                </w:p>
              </w:tc>
              <w:tc>
                <w:tcPr>
                  <w:tcW w:w="1673"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p>
              </w:tc>
              <w:tc>
                <w:tcPr>
                  <w:tcW w:w="643" w:type="pct"/>
                  <w:vMerge w:val="continue"/>
                  <w:tcBorders>
                    <w:top w:val="single" w:color="auto" w:sz="6" w:space="0"/>
                    <w:left w:val="single" w:color="auto" w:sz="6" w:space="0"/>
                    <w:bottom w:val="single" w:color="auto" w:sz="6" w:space="0"/>
                    <w:right w:val="single" w:color="auto" w:sz="4" w:space="0"/>
                  </w:tcBorders>
                  <w:noWrap w:val="0"/>
                  <w:vAlign w:val="center"/>
                </w:tcPr>
                <w:p>
                  <w:pPr>
                    <w:jc w:val="center"/>
                    <w:rPr>
                      <w:rFonts w:eastAsia="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5000" w:type="pct"/>
                  <w:gridSpan w:val="4"/>
                  <w:tcBorders>
                    <w:top w:val="single" w:color="auto" w:sz="6" w:space="0"/>
                    <w:left w:val="single" w:color="auto" w:sz="4" w:space="0"/>
                    <w:bottom w:val="single" w:color="auto" w:sz="6" w:space="0"/>
                    <w:right w:val="single" w:color="auto" w:sz="4" w:space="0"/>
                  </w:tcBorders>
                  <w:noWrap w:val="0"/>
                  <w:vAlign w:val="center"/>
                </w:tcPr>
                <w:p>
                  <w:pPr>
                    <w:spacing w:line="240" w:lineRule="auto"/>
                    <w:jc w:val="center"/>
                    <w:rPr>
                      <w:rFonts w:eastAsia="宋体"/>
                      <w:bCs/>
                      <w:color w:val="000000"/>
                      <w:szCs w:val="21"/>
                    </w:rPr>
                  </w:pPr>
                  <w:r>
                    <w:rPr>
                      <w:rFonts w:eastAsia="宋体"/>
                      <w:b/>
                      <w:bCs/>
                      <w:color w:val="000000"/>
                      <w:szCs w:val="21"/>
                    </w:rPr>
                    <w:t>（三）限制准入类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297" w:type="pct"/>
                  <w:tcBorders>
                    <w:top w:val="single" w:color="auto" w:sz="6" w:space="0"/>
                    <w:left w:val="single" w:color="auto" w:sz="4"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1</w:t>
                  </w:r>
                </w:p>
              </w:tc>
              <w:tc>
                <w:tcPr>
                  <w:tcW w:w="2386"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长江干流及主要支流岸线5公里范围内，除经国家和市政府批准设立、仍在建设的工业园区外，不再新布局工业园区（不包括现有工业园区拓展）。</w:t>
                  </w:r>
                </w:p>
              </w:tc>
              <w:tc>
                <w:tcPr>
                  <w:tcW w:w="1673"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项目不在该范围内。</w:t>
                  </w:r>
                </w:p>
              </w:tc>
              <w:tc>
                <w:tcPr>
                  <w:tcW w:w="643" w:type="pct"/>
                  <w:vMerge w:val="restart"/>
                  <w:tcBorders>
                    <w:top w:val="single" w:color="auto" w:sz="6" w:space="0"/>
                    <w:left w:val="single" w:color="auto" w:sz="6" w:space="0"/>
                    <w:bottom w:val="single" w:color="auto" w:sz="6" w:space="0"/>
                    <w:right w:val="single" w:color="auto" w:sz="4" w:space="0"/>
                  </w:tcBorders>
                  <w:noWrap w:val="0"/>
                  <w:vAlign w:val="center"/>
                </w:tcPr>
                <w:p>
                  <w:pPr>
                    <w:jc w:val="center"/>
                    <w:rPr>
                      <w:rFonts w:eastAsia="宋体"/>
                      <w:bCs/>
                      <w:color w:val="000000"/>
                      <w:szCs w:val="21"/>
                    </w:rPr>
                  </w:pPr>
                  <w:r>
                    <w:rPr>
                      <w:rFonts w:eastAsia="宋体"/>
                      <w:bCs/>
                      <w:color w:val="000000"/>
                      <w:szCs w:val="21"/>
                    </w:rPr>
                    <w:t>项目不属于限制准入类项目。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9" w:hRule="atLeast"/>
                <w:jc w:val="center"/>
              </w:trPr>
              <w:tc>
                <w:tcPr>
                  <w:tcW w:w="297" w:type="pct"/>
                  <w:tcBorders>
                    <w:top w:val="single" w:color="auto" w:sz="6" w:space="0"/>
                    <w:left w:val="single" w:color="auto" w:sz="4"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2</w:t>
                  </w:r>
                </w:p>
              </w:tc>
              <w:tc>
                <w:tcPr>
                  <w:tcW w:w="2386"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大气污染防治一般控制区域内，限制建设大气污染严重项目。</w:t>
                  </w:r>
                </w:p>
              </w:tc>
              <w:tc>
                <w:tcPr>
                  <w:tcW w:w="1673"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项目不属于大气污染严重项目。</w:t>
                  </w:r>
                </w:p>
              </w:tc>
              <w:tc>
                <w:tcPr>
                  <w:tcW w:w="643" w:type="pct"/>
                  <w:vMerge w:val="continue"/>
                  <w:tcBorders>
                    <w:top w:val="single" w:color="auto" w:sz="6" w:space="0"/>
                    <w:left w:val="single" w:color="auto" w:sz="6" w:space="0"/>
                    <w:bottom w:val="single" w:color="auto" w:sz="6" w:space="0"/>
                    <w:right w:val="single" w:color="auto" w:sz="4" w:space="0"/>
                  </w:tcBorders>
                  <w:noWrap w:val="0"/>
                  <w:vAlign w:val="center"/>
                </w:tcPr>
                <w:p>
                  <w:pPr>
                    <w:jc w:val="center"/>
                    <w:rPr>
                      <w:rFonts w:eastAsia="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9" w:hRule="atLeast"/>
                <w:jc w:val="center"/>
              </w:trPr>
              <w:tc>
                <w:tcPr>
                  <w:tcW w:w="297" w:type="pct"/>
                  <w:tcBorders>
                    <w:top w:val="single" w:color="auto" w:sz="6" w:space="0"/>
                    <w:left w:val="single" w:color="auto" w:sz="4"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3</w:t>
                  </w:r>
                </w:p>
              </w:tc>
              <w:tc>
                <w:tcPr>
                  <w:tcW w:w="2386"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其他区县的缺水区域严格限制建设高耗水的工业项目。</w:t>
                  </w:r>
                </w:p>
              </w:tc>
              <w:tc>
                <w:tcPr>
                  <w:tcW w:w="1673"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项目不属于缺水区域，且不属于高耗水的工业项目</w:t>
                  </w:r>
                </w:p>
              </w:tc>
              <w:tc>
                <w:tcPr>
                  <w:tcW w:w="643" w:type="pct"/>
                  <w:vMerge w:val="continue"/>
                  <w:tcBorders>
                    <w:top w:val="single" w:color="auto" w:sz="6" w:space="0"/>
                    <w:left w:val="single" w:color="auto" w:sz="6" w:space="0"/>
                    <w:bottom w:val="single" w:color="auto" w:sz="6" w:space="0"/>
                    <w:right w:val="single" w:color="auto" w:sz="4" w:space="0"/>
                  </w:tcBorders>
                  <w:noWrap w:val="0"/>
                  <w:vAlign w:val="center"/>
                </w:tcPr>
                <w:p>
                  <w:pPr>
                    <w:jc w:val="center"/>
                    <w:rPr>
                      <w:rFonts w:eastAsia="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297" w:type="pct"/>
                  <w:tcBorders>
                    <w:top w:val="single" w:color="auto" w:sz="6" w:space="0"/>
                    <w:left w:val="single" w:color="auto" w:sz="4"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4</w:t>
                  </w:r>
                </w:p>
              </w:tc>
              <w:tc>
                <w:tcPr>
                  <w:tcW w:w="2386"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合川区、江津区、长寿区、璧山区等地区，严格限制新建可能对主城区大气产生影响的燃用煤、重油等高污染燃料的工业项目。</w:t>
                  </w:r>
                </w:p>
              </w:tc>
              <w:tc>
                <w:tcPr>
                  <w:tcW w:w="1673"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项目为不使用燃用煤、重油等高污染燃料的工业项目</w:t>
                  </w:r>
                </w:p>
              </w:tc>
              <w:tc>
                <w:tcPr>
                  <w:tcW w:w="643" w:type="pct"/>
                  <w:vMerge w:val="continue"/>
                  <w:tcBorders>
                    <w:top w:val="single" w:color="auto" w:sz="6" w:space="0"/>
                    <w:left w:val="single" w:color="auto" w:sz="6" w:space="0"/>
                    <w:bottom w:val="single" w:color="auto" w:sz="6" w:space="0"/>
                    <w:right w:val="single" w:color="auto" w:sz="4" w:space="0"/>
                  </w:tcBorders>
                  <w:noWrap w:val="0"/>
                  <w:vAlign w:val="center"/>
                </w:tcPr>
                <w:p>
                  <w:pPr>
                    <w:jc w:val="center"/>
                    <w:rPr>
                      <w:rFonts w:eastAsia="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4" w:hRule="atLeast"/>
                <w:jc w:val="center"/>
              </w:trPr>
              <w:tc>
                <w:tcPr>
                  <w:tcW w:w="297" w:type="pct"/>
                  <w:tcBorders>
                    <w:top w:val="single" w:color="auto" w:sz="6" w:space="0"/>
                    <w:left w:val="single" w:color="auto" w:sz="4"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5</w:t>
                  </w:r>
                </w:p>
              </w:tc>
              <w:tc>
                <w:tcPr>
                  <w:tcW w:w="2386"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东北部地区、东南部地区限制发展易破坏生态植被的采矿业、建材等工业项目。</w:t>
                  </w:r>
                </w:p>
              </w:tc>
              <w:tc>
                <w:tcPr>
                  <w:tcW w:w="1673"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eastAsia="宋体"/>
                      <w:bCs/>
                      <w:color w:val="000000"/>
                      <w:szCs w:val="21"/>
                    </w:rPr>
                  </w:pPr>
                  <w:r>
                    <w:rPr>
                      <w:rFonts w:eastAsia="宋体"/>
                      <w:bCs/>
                      <w:color w:val="000000"/>
                      <w:szCs w:val="21"/>
                    </w:rPr>
                    <w:t>项目不在该范围内。</w:t>
                  </w:r>
                </w:p>
              </w:tc>
              <w:tc>
                <w:tcPr>
                  <w:tcW w:w="643" w:type="pct"/>
                  <w:vMerge w:val="continue"/>
                  <w:tcBorders>
                    <w:top w:val="single" w:color="auto" w:sz="6" w:space="0"/>
                    <w:left w:val="single" w:color="auto" w:sz="6" w:space="0"/>
                    <w:bottom w:val="single" w:color="auto" w:sz="6" w:space="0"/>
                    <w:right w:val="single" w:color="auto" w:sz="4" w:space="0"/>
                  </w:tcBorders>
                  <w:noWrap w:val="0"/>
                  <w:vAlign w:val="center"/>
                </w:tcPr>
                <w:p>
                  <w:pPr>
                    <w:jc w:val="center"/>
                    <w:rPr>
                      <w:rFonts w:eastAsia="宋体"/>
                      <w:bCs/>
                      <w:color w:val="000000"/>
                      <w:szCs w:val="21"/>
                    </w:rPr>
                  </w:pPr>
                </w:p>
              </w:tc>
            </w:tr>
          </w:tbl>
          <w:p>
            <w:pPr>
              <w:autoSpaceDE w:val="0"/>
              <w:autoSpaceDN w:val="0"/>
              <w:adjustRightInd w:val="0"/>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bCs/>
                <w:color w:val="000000"/>
                <w:sz w:val="24"/>
              </w:rPr>
              <w:t>对照《重庆市发展和改革委员会关于印发重庆市产业投资准入工作手册的通知》（渝发改投【2018】541号），项目不属于其不予准入、限制准备类项目。</w:t>
            </w:r>
          </w:p>
          <w:p>
            <w:pPr>
              <w:spacing w:after="0" w:line="500" w:lineRule="exact"/>
              <w:jc w:val="both"/>
              <w:rPr>
                <w:rFonts w:hint="default" w:ascii="Times New Roman" w:hAnsi="Times New Roman" w:cs="Times New Roman"/>
                <w:bCs/>
                <w:color w:val="auto"/>
                <w:sz w:val="24"/>
                <w:highlight w:val="none"/>
                <w:lang w:val="en-US" w:eastAsia="zh-CN"/>
              </w:rPr>
            </w:pPr>
            <w:r>
              <w:rPr>
                <w:rFonts w:ascii="Times New Roman" w:hAnsi="Times New Roman" w:eastAsia="宋体"/>
                <w:b/>
                <w:sz w:val="24"/>
                <w:szCs w:val="24"/>
              </w:rPr>
              <w:t>4.1.</w:t>
            </w:r>
            <w:r>
              <w:rPr>
                <w:rFonts w:hint="eastAsia" w:ascii="Times New Roman" w:hAnsi="Times New Roman" w:eastAsia="宋体"/>
                <w:b/>
                <w:sz w:val="24"/>
                <w:szCs w:val="24"/>
                <w:lang w:val="en-US" w:eastAsia="zh-CN"/>
              </w:rPr>
              <w:t xml:space="preserve">3 </w:t>
            </w:r>
            <w:r>
              <w:rPr>
                <w:rFonts w:ascii="Times New Roman" w:hAnsi="Times New Roman" w:eastAsia="宋体"/>
                <w:b/>
                <w:sz w:val="24"/>
                <w:szCs w:val="24"/>
              </w:rPr>
              <w:t>环境质量现状</w:t>
            </w:r>
          </w:p>
          <w:p>
            <w:pPr>
              <w:adjustRightInd w:val="0"/>
              <w:snapToGrid w:val="0"/>
              <w:spacing w:line="360" w:lineRule="auto"/>
              <w:ind w:firstLine="360" w:firstLineChars="15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（1）环境空气</w:t>
            </w:r>
          </w:p>
          <w:p>
            <w:pPr>
              <w:adjustRightInd w:val="0"/>
              <w:snapToGrid w:val="0"/>
              <w:spacing w:line="360" w:lineRule="auto"/>
              <w:ind w:firstLine="360" w:firstLineChars="15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梁平工业园区及其评价范围均属环境空气二类功能区，执行 GB3095-2012《环境空气质量标准》二级标准。根据环境质量现状监测，区域环境空气常规因子均满足二级标准要求；特征因子均未超标，满足相应环境质量标准要求。</w:t>
            </w:r>
          </w:p>
          <w:p>
            <w:pPr>
              <w:adjustRightInd w:val="0"/>
              <w:snapToGrid w:val="0"/>
              <w:spacing w:line="360" w:lineRule="auto"/>
              <w:ind w:firstLine="360" w:firstLineChars="15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（2）地表水环境</w:t>
            </w:r>
          </w:p>
          <w:p>
            <w:pPr>
              <w:adjustRightInd w:val="0"/>
              <w:snapToGrid w:val="0"/>
              <w:spacing w:line="360" w:lineRule="auto"/>
              <w:ind w:firstLine="360" w:firstLineChars="150"/>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小沙河水环境容量制约了区域的经济发展和工业建设。为改善小沙河流域水环境质量，重庆市梁平区人民政府印发了《</w:t>
            </w:r>
            <w:r>
              <w:rPr>
                <w:rFonts w:hint="default" w:ascii="Times New Roman" w:hAnsi="Times New Roman" w:eastAsia="宋体" w:cs="Times New Roman"/>
                <w:sz w:val="24"/>
                <w:szCs w:val="24"/>
                <w:lang w:eastAsia="zh-CN"/>
              </w:rPr>
              <w:t>重庆市梁平区龙溪河流域水污染整治方案</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lang w:eastAsia="zh-CN"/>
              </w:rPr>
              <w:t>梁委办〔2017〕</w:t>
            </w:r>
            <w:r>
              <w:rPr>
                <w:rFonts w:hint="eastAsia" w:ascii="Times New Roman" w:hAnsi="Times New Roman" w:eastAsia="宋体" w:cs="Times New Roman"/>
                <w:sz w:val="24"/>
                <w:szCs w:val="24"/>
                <w:lang w:eastAsia="zh-CN"/>
              </w:rPr>
              <w:t>67</w:t>
            </w:r>
            <w:r>
              <w:rPr>
                <w:rFonts w:hint="default" w:ascii="Times New Roman" w:hAnsi="Times New Roman" w:eastAsia="宋体" w:cs="Times New Roman"/>
                <w:sz w:val="24"/>
                <w:szCs w:val="24"/>
                <w:lang w:eastAsia="zh-CN"/>
              </w:rPr>
              <w:t>号</w:t>
            </w:r>
            <w:r>
              <w:rPr>
                <w:rFonts w:hint="eastAsia" w:ascii="Times New Roman" w:hAnsi="Times New Roman" w:eastAsia="宋体" w:cs="Times New Roman"/>
                <w:sz w:val="24"/>
                <w:szCs w:val="24"/>
                <w:lang w:eastAsia="zh-CN"/>
              </w:rPr>
              <w:t>），方案中的工程内容实施后</w:t>
            </w:r>
            <w:r>
              <w:rPr>
                <w:rFonts w:hint="default" w:ascii="Times New Roman" w:hAnsi="Times New Roman" w:eastAsia="宋体" w:cs="Times New Roman"/>
                <w:sz w:val="24"/>
                <w:szCs w:val="24"/>
                <w:lang w:eastAsia="zh-CN"/>
              </w:rPr>
              <w:t>龙溪河水质进一步改善，普顺断面水质</w:t>
            </w:r>
            <w:r>
              <w:rPr>
                <w:rFonts w:hint="eastAsia" w:ascii="Times New Roman" w:hAnsi="Times New Roman" w:eastAsia="宋体" w:cs="Times New Roman"/>
                <w:sz w:val="24"/>
                <w:szCs w:val="24"/>
                <w:lang w:eastAsia="zh-CN"/>
              </w:rPr>
              <w:t>已达标</w:t>
            </w:r>
            <w:r>
              <w:rPr>
                <w:rFonts w:hint="default" w:ascii="Times New Roman" w:hAnsi="Times New Roman" w:eastAsia="宋体" w:cs="Times New Roman"/>
                <w:sz w:val="24"/>
                <w:szCs w:val="24"/>
                <w:lang w:eastAsia="zh-CN"/>
              </w:rPr>
              <w:t>。</w:t>
            </w:r>
            <w:r>
              <w:rPr>
                <w:rFonts w:hint="eastAsia" w:ascii="Times New Roman" w:hAnsi="Times New Roman" w:eastAsia="宋体" w:cs="Times New Roman"/>
                <w:sz w:val="24"/>
                <w:szCs w:val="24"/>
                <w:lang w:eastAsia="zh-CN"/>
              </w:rPr>
              <w:t>此外，重庆市政府于</w:t>
            </w:r>
            <w:r>
              <w:rPr>
                <w:rFonts w:hint="default" w:ascii="Times New Roman" w:hAnsi="Times New Roman" w:eastAsia="宋体" w:cs="Times New Roman"/>
                <w:sz w:val="24"/>
                <w:szCs w:val="24"/>
                <w:lang w:eastAsia="zh-CN"/>
              </w:rPr>
              <w:t>2017</w:t>
            </w:r>
            <w:r>
              <w:rPr>
                <w:rFonts w:hint="eastAsia" w:ascii="Times New Roman" w:hAnsi="Times New Roman" w:eastAsia="宋体" w:cs="Times New Roman"/>
                <w:sz w:val="24"/>
                <w:szCs w:val="24"/>
                <w:lang w:eastAsia="zh-CN"/>
              </w:rPr>
              <w:t>年</w:t>
            </w:r>
            <w:r>
              <w:rPr>
                <w:rFonts w:hint="default" w:ascii="Times New Roman" w:hAnsi="Times New Roman" w:eastAsia="宋体" w:cs="Times New Roman"/>
                <w:sz w:val="24"/>
                <w:szCs w:val="24"/>
                <w:lang w:eastAsia="zh-CN"/>
              </w:rPr>
              <w:t>8</w:t>
            </w:r>
            <w:r>
              <w:rPr>
                <w:rFonts w:hint="eastAsia" w:ascii="Times New Roman" w:hAnsi="Times New Roman" w:eastAsia="宋体" w:cs="Times New Roman"/>
                <w:sz w:val="24"/>
                <w:szCs w:val="24"/>
                <w:lang w:eastAsia="zh-CN"/>
              </w:rPr>
              <w:t>月批准印发了《龙溪河流域生态修复与治理（试点）实施方案》；</w:t>
            </w:r>
            <w:r>
              <w:rPr>
                <w:rFonts w:hint="default" w:ascii="Times New Roman" w:hAnsi="Times New Roman" w:eastAsia="宋体" w:cs="Times New Roman"/>
                <w:sz w:val="24"/>
                <w:szCs w:val="24"/>
                <w:lang w:eastAsia="zh-CN"/>
              </w:rPr>
              <w:t>2017</w:t>
            </w:r>
            <w:r>
              <w:rPr>
                <w:rFonts w:hint="eastAsia" w:ascii="Times New Roman" w:hAnsi="Times New Roman" w:eastAsia="宋体" w:cs="Times New Roman"/>
                <w:sz w:val="24"/>
                <w:szCs w:val="24"/>
                <w:lang w:eastAsia="zh-CN"/>
              </w:rPr>
              <w:t>年</w:t>
            </w:r>
            <w:r>
              <w:rPr>
                <w:rFonts w:hint="default" w:ascii="Times New Roman" w:hAnsi="Times New Roman" w:eastAsia="宋体" w:cs="Times New Roman"/>
                <w:sz w:val="24"/>
                <w:szCs w:val="24"/>
                <w:lang w:eastAsia="zh-CN"/>
              </w:rPr>
              <w:t>6</w:t>
            </w:r>
            <w:r>
              <w:rPr>
                <w:rFonts w:hint="eastAsia" w:ascii="Times New Roman" w:hAnsi="Times New Roman" w:eastAsia="宋体" w:cs="Times New Roman"/>
                <w:sz w:val="24"/>
                <w:szCs w:val="24"/>
                <w:lang w:eastAsia="zh-CN"/>
              </w:rPr>
              <w:t>月，按照国家发展改革委要求，梁平区与长寿、垫江联合申报了龙溪河流域水环境综合治理与可持续发展试点，并于</w:t>
            </w:r>
            <w:r>
              <w:rPr>
                <w:rFonts w:hint="default" w:ascii="Times New Roman" w:hAnsi="Times New Roman" w:eastAsia="宋体" w:cs="Times New Roman"/>
                <w:sz w:val="24"/>
                <w:szCs w:val="24"/>
                <w:lang w:eastAsia="zh-CN"/>
              </w:rPr>
              <w:t>2017</w:t>
            </w:r>
            <w:r>
              <w:rPr>
                <w:rFonts w:hint="eastAsia" w:ascii="Times New Roman" w:hAnsi="Times New Roman" w:eastAsia="宋体" w:cs="Times New Roman"/>
                <w:sz w:val="24"/>
                <w:szCs w:val="24"/>
                <w:lang w:eastAsia="zh-CN"/>
              </w:rPr>
              <w:t>年</w:t>
            </w:r>
            <w:r>
              <w:rPr>
                <w:rFonts w:hint="default" w:ascii="Times New Roman" w:hAnsi="Times New Roman" w:eastAsia="宋体" w:cs="Times New Roman"/>
                <w:sz w:val="24"/>
                <w:szCs w:val="24"/>
                <w:lang w:eastAsia="zh-CN"/>
              </w:rPr>
              <w:t>11</w:t>
            </w:r>
            <w:r>
              <w:rPr>
                <w:rFonts w:hint="eastAsia" w:ascii="Times New Roman" w:hAnsi="Times New Roman" w:eastAsia="宋体" w:cs="Times New Roman"/>
                <w:sz w:val="24"/>
                <w:szCs w:val="24"/>
                <w:lang w:eastAsia="zh-CN"/>
              </w:rPr>
              <w:t>月获批，龙溪河流域成为全国首批</w:t>
            </w:r>
            <w:r>
              <w:rPr>
                <w:rFonts w:hint="default" w:ascii="Times New Roman" w:hAnsi="Times New Roman" w:eastAsia="宋体" w:cs="Times New Roman"/>
                <w:sz w:val="24"/>
                <w:szCs w:val="24"/>
                <w:lang w:eastAsia="zh-CN"/>
              </w:rPr>
              <w:t>16</w:t>
            </w:r>
            <w:r>
              <w:rPr>
                <w:rFonts w:hint="eastAsia" w:ascii="Times New Roman" w:hAnsi="Times New Roman" w:eastAsia="宋体" w:cs="Times New Roman"/>
                <w:sz w:val="24"/>
                <w:szCs w:val="24"/>
                <w:lang w:eastAsia="zh-CN"/>
              </w:rPr>
              <w:t>个流域水环境综合治理与可持续发展试点流域之一。</w:t>
            </w:r>
            <w:r>
              <w:rPr>
                <w:rFonts w:hint="default" w:ascii="Times New Roman" w:hAnsi="Times New Roman" w:eastAsia="宋体" w:cs="Times New Roman"/>
                <w:sz w:val="24"/>
                <w:szCs w:val="24"/>
                <w:lang w:eastAsia="zh-CN"/>
              </w:rPr>
              <w:t>2018</w:t>
            </w:r>
            <w:r>
              <w:rPr>
                <w:rFonts w:hint="eastAsia" w:ascii="Times New Roman" w:hAnsi="Times New Roman" w:eastAsia="宋体" w:cs="Times New Roman"/>
                <w:sz w:val="24"/>
                <w:szCs w:val="24"/>
                <w:lang w:eastAsia="zh-CN"/>
              </w:rPr>
              <w:t>年</w:t>
            </w:r>
            <w:r>
              <w:rPr>
                <w:rFonts w:hint="default" w:ascii="Times New Roman" w:hAnsi="Times New Roman" w:eastAsia="宋体" w:cs="Times New Roman"/>
                <w:sz w:val="24"/>
                <w:szCs w:val="24"/>
                <w:lang w:eastAsia="zh-CN"/>
              </w:rPr>
              <w:t>1</w:t>
            </w:r>
            <w:r>
              <w:rPr>
                <w:rFonts w:hint="eastAsia" w:ascii="Times New Roman" w:hAnsi="Times New Roman" w:eastAsia="宋体" w:cs="Times New Roman"/>
                <w:sz w:val="24"/>
                <w:szCs w:val="24"/>
                <w:lang w:eastAsia="zh-CN"/>
              </w:rPr>
              <w:t>月，重庆市发展改革委批复了三区县共同编制的《重庆市龙溪河流域水环境综合治理与可持续发展试点实施方案》，提出力争到</w:t>
            </w:r>
            <w:r>
              <w:rPr>
                <w:rFonts w:hint="default" w:ascii="Times New Roman" w:hAnsi="Times New Roman" w:eastAsia="宋体" w:cs="Times New Roman"/>
                <w:sz w:val="24"/>
                <w:szCs w:val="24"/>
                <w:lang w:eastAsia="zh-CN"/>
              </w:rPr>
              <w:t>2025</w:t>
            </w:r>
            <w:r>
              <w:rPr>
                <w:rFonts w:hint="eastAsia" w:ascii="Times New Roman" w:hAnsi="Times New Roman" w:eastAsia="宋体" w:cs="Times New Roman"/>
                <w:sz w:val="24"/>
                <w:szCs w:val="24"/>
                <w:lang w:eastAsia="zh-CN"/>
              </w:rPr>
              <w:t>年，龙溪河流域全面形成以生态农业、绿色工业和康养休闲旅游业为核心的生态产业结构，特色小镇与美丽乡村融合、产居相宜的城乡空间布局体系。</w:t>
            </w:r>
          </w:p>
          <w:p>
            <w:pPr>
              <w:adjustRightInd w:val="0"/>
              <w:snapToGrid w:val="0"/>
              <w:spacing w:line="360" w:lineRule="auto"/>
              <w:ind w:firstLine="360" w:firstLineChars="150"/>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（3）声环境</w:t>
            </w:r>
          </w:p>
          <w:p>
            <w:pPr>
              <w:adjustRightInd w:val="0"/>
              <w:snapToGrid w:val="0"/>
              <w:spacing w:line="360" w:lineRule="auto"/>
              <w:ind w:firstLine="360" w:firstLineChars="150"/>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监测结果显示，区域声环境质量现状较好，各声功能区均满足相应标准限值要求。规划实施后，各入驻企业通过采取隔声罩、减振、安装消声器，建筑隔声、绿化、合理布局等措施后，降噪效果明显，厂界噪声可满足《工业企业厂界环境噪声排放标准》（GB12348-2008）的相关排放要求，对外环境影响不大，不会改变区域声环境功能。</w:t>
            </w:r>
          </w:p>
          <w:p>
            <w:pPr>
              <w:spacing w:after="0" w:line="360" w:lineRule="auto"/>
              <w:jc w:val="both"/>
              <w:rPr>
                <w:rFonts w:hint="eastAsia" w:ascii="Times New Roman" w:hAnsi="Times New Roman" w:eastAsia="宋体"/>
                <w:b/>
                <w:sz w:val="24"/>
                <w:szCs w:val="24"/>
                <w:lang w:eastAsia="zh-CN"/>
              </w:rPr>
            </w:pPr>
            <w:r>
              <w:rPr>
                <w:rFonts w:ascii="Times New Roman" w:hAnsi="Times New Roman" w:eastAsia="宋体" w:cs="Times New Roman"/>
                <w:b/>
                <w:sz w:val="24"/>
                <w:szCs w:val="24"/>
              </w:rPr>
              <w:t>4.1.</w:t>
            </w:r>
            <w:r>
              <w:rPr>
                <w:rFonts w:hint="eastAsia" w:ascii="Times New Roman" w:hAnsi="Times New Roman" w:eastAsia="宋体" w:cs="Times New Roman"/>
                <w:b/>
                <w:sz w:val="24"/>
                <w:szCs w:val="24"/>
                <w:lang w:val="en-US" w:eastAsia="zh-CN"/>
              </w:rPr>
              <w:t>4</w:t>
            </w:r>
            <w:r>
              <w:rPr>
                <w:rFonts w:hint="eastAsia" w:ascii="Times New Roman" w:hAnsi="Times New Roman" w:eastAsia="宋体"/>
                <w:b/>
                <w:sz w:val="24"/>
                <w:szCs w:val="24"/>
                <w:lang w:eastAsia="zh-CN"/>
              </w:rPr>
              <w:t>环境保护措施及环境影响</w:t>
            </w:r>
          </w:p>
          <w:p>
            <w:pPr>
              <w:adjustRightInd w:val="0"/>
              <w:snapToGrid w:val="0"/>
              <w:spacing w:line="360" w:lineRule="auto"/>
              <w:ind w:firstLine="360" w:firstLineChars="150"/>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eastAsia="zh-CN"/>
              </w:rPr>
              <w:t>）施工期环境保护措施</w:t>
            </w:r>
          </w:p>
          <w:p>
            <w:pPr>
              <w:adjustRightInd w:val="0"/>
              <w:snapToGrid w:val="0"/>
              <w:spacing w:line="360" w:lineRule="auto"/>
              <w:ind w:firstLine="360" w:firstLineChars="15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本项目施工期内，无需新建厂房，租用已建标准厂房进行装修、设备安装及调试后进行生产。施工期建设内容主要为厂房装修及生产设备安装，产生的污染物主要为少量粉尘、废水、噪声及固废。 </w:t>
            </w:r>
          </w:p>
          <w:p>
            <w:pPr>
              <w:adjustRightInd w:val="0"/>
              <w:snapToGrid w:val="0"/>
              <w:spacing w:line="360" w:lineRule="auto"/>
              <w:ind w:firstLine="360" w:firstLineChars="15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施工期造成的环境影响随着施工期结束而消失，因此，本次评价重点针对运营期进行评价。</w:t>
            </w:r>
          </w:p>
          <w:p>
            <w:pPr>
              <w:adjustRightInd w:val="0"/>
              <w:snapToGrid w:val="0"/>
              <w:spacing w:line="360" w:lineRule="auto"/>
              <w:ind w:firstLine="360" w:firstLineChars="15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（2）运营期环境影响和保护措施</w:t>
            </w:r>
          </w:p>
          <w:p>
            <w:pPr>
              <w:adjustRightInd w:val="0"/>
              <w:snapToGrid w:val="0"/>
              <w:spacing w:line="360" w:lineRule="auto"/>
              <w:ind w:firstLine="360" w:firstLineChars="15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zh-CN" w:eastAsia="zh-CN"/>
              </w:rPr>
              <w:t>废水</w:t>
            </w:r>
            <w:r>
              <w:rPr>
                <w:rFonts w:hint="eastAsia" w:ascii="Times New Roman" w:hAnsi="Times New Roman" w:eastAsia="宋体" w:cs="Times New Roman"/>
                <w:sz w:val="24"/>
                <w:szCs w:val="24"/>
                <w:lang w:val="en-US" w:eastAsia="zh-CN"/>
              </w:rPr>
              <w:t>环境影响及污染防治措施</w:t>
            </w:r>
          </w:p>
          <w:p>
            <w:pPr>
              <w:adjustRightInd w:val="0"/>
              <w:snapToGrid w:val="0"/>
              <w:spacing w:line="360" w:lineRule="auto"/>
              <w:ind w:firstLine="360" w:firstLineChars="15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项目劳动定员共计300人，生活污水产生量少且水质简单。依托智能家居孵化园已建生化池（处理规模230m3/d）收集处理达梁平双桂污水处理厂进水水质标准后经园区污水管网进入梁平双桂污水处理厂深度处理达《城镇污水处理厂污</w:t>
            </w:r>
            <w:r>
              <w:rPr>
                <w:rFonts w:hint="default" w:ascii="Times New Roman" w:hAnsi="Times New Roman" w:eastAsia="宋体" w:cs="Times New Roman"/>
                <w:sz w:val="24"/>
                <w:szCs w:val="24"/>
                <w:lang w:val="en-US" w:eastAsia="zh-CN"/>
              </w:rPr>
              <w:t>染物排放标准》（GB18918-2002）一级B标准后排入小沙河。</w:t>
            </w:r>
          </w:p>
          <w:p>
            <w:pPr>
              <w:adjustRightInd w:val="0"/>
              <w:snapToGrid w:val="0"/>
              <w:spacing w:line="360" w:lineRule="auto"/>
              <w:ind w:firstLine="360" w:firstLineChars="15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2）噪声环境影响及保护措施</w:t>
            </w:r>
          </w:p>
          <w:p>
            <w:pPr>
              <w:adjustRightInd w:val="0"/>
              <w:snapToGrid w:val="0"/>
              <w:spacing w:line="360" w:lineRule="auto"/>
              <w:ind w:firstLine="360" w:firstLineChars="15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项目生产过程中，主要产噪设备为电脑裁线机、大平方剪剥机、气动式剥皮机等设备，在设备上考虑选择低噪声设备，对所用的高噪声设备进行基础减振、建筑隔声等措施；空压机设置专门的隔声房，并对其基座进行减振、基座加固等措施。</w:t>
            </w:r>
          </w:p>
          <w:p>
            <w:pPr>
              <w:spacing w:line="360" w:lineRule="auto"/>
              <w:ind w:firstLine="480" w:firstLineChars="200"/>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采取以上噪声防治措施后，项目东、南、西、北各方向厂界昼间噪声均满足《工业企业厂界环境噪声排放标准》（GB12348-2008）3类标准要求。</w:t>
            </w:r>
          </w:p>
          <w:p>
            <w:pPr>
              <w:spacing w:line="360" w:lineRule="auto"/>
              <w:ind w:firstLine="480" w:firstLineChars="200"/>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3）固废环境影响及保护措施</w:t>
            </w:r>
          </w:p>
          <w:p>
            <w:pPr>
              <w:spacing w:line="360" w:lineRule="auto"/>
              <w:ind w:firstLine="480" w:firstLineChars="200"/>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项目生产过程中产生的固废主要为一般固废、危险废物及生活垃圾。</w:t>
            </w:r>
          </w:p>
          <w:p>
            <w:pPr>
              <w:spacing w:line="360" w:lineRule="auto"/>
              <w:ind w:firstLine="480" w:firstLineChars="200"/>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①一般固废</w:t>
            </w:r>
          </w:p>
          <w:p>
            <w:pPr>
              <w:spacing w:line="360" w:lineRule="auto"/>
              <w:ind w:firstLine="480" w:firstLineChars="200"/>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边角料：来源于纯线材、PVC胶带、波纹管等生产时产生的边角料，主要为塑料材质，约5.0t/a。</w:t>
            </w:r>
          </w:p>
          <w:p>
            <w:pPr>
              <w:spacing w:line="360" w:lineRule="auto"/>
              <w:ind w:firstLine="480" w:firstLineChars="200"/>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废端子、塑料件等：在压接端子过程由于压接不好会产生废弃端子，端子主要为铜材料，操作过程不当或原料件不规格，产生废连接件、卡扣等，主要为塑料件。共约1.0t/a。</w:t>
            </w:r>
          </w:p>
          <w:p>
            <w:pPr>
              <w:spacing w:line="360" w:lineRule="auto"/>
              <w:ind w:firstLine="480" w:firstLineChars="200"/>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废包装物：主要为原料包装物，一般为塑料膜和纸箱，产生量约约2.0t/a。</w:t>
            </w:r>
          </w:p>
          <w:p>
            <w:pPr>
              <w:spacing w:line="360" w:lineRule="auto"/>
              <w:ind w:firstLine="480" w:firstLineChars="200"/>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以上边角料、废端子、废包装物经收集后暂存于一般固废暂存间，定期交由废旧物资回收单位回收。</w:t>
            </w:r>
          </w:p>
          <w:p>
            <w:pPr>
              <w:spacing w:line="360" w:lineRule="auto"/>
              <w:ind w:firstLine="480" w:firstLineChars="200"/>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②危险废物</w:t>
            </w:r>
          </w:p>
          <w:p>
            <w:pPr>
              <w:spacing w:line="360" w:lineRule="auto"/>
              <w:ind w:firstLine="480" w:firstLineChars="200"/>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项目建成后，危险废物主要为废润滑油、废油桶及含油棉纱手套。</w:t>
            </w:r>
          </w:p>
          <w:p>
            <w:pPr>
              <w:spacing w:line="360" w:lineRule="auto"/>
              <w:ind w:firstLine="480" w:firstLineChars="200"/>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废润滑油：主要为设备机修或维护时产生的废润滑油，产生量约为0.1t/a。根据《国家危险废物名录》（2016版），废润滑油属于“HW08废矿物油与矿物油废物”，危废代码为：900-249-08。</w:t>
            </w:r>
          </w:p>
          <w:p>
            <w:pPr>
              <w:spacing w:line="360" w:lineRule="auto"/>
              <w:ind w:firstLine="480" w:firstLineChars="200"/>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废油桶：盛装润滑油的容器，根据《国家危险废物名录》（2016版），废油桶属于“HW49其他废物”，危废代码为：900-041-49，产生量约为0.03t/a。</w:t>
            </w:r>
          </w:p>
          <w:p>
            <w:pPr>
              <w:spacing w:line="360" w:lineRule="auto"/>
              <w:ind w:firstLine="480" w:firstLineChars="200"/>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含油棉纱手套：主要为设备机修或维护时产生的含油棉纱手套，产生量约为0.05t/a。根据《国家危险废物名录》（2016版），含油棉纱手套属于“HW49其他废物”，危废代码为：900-041-049。产生的危险废物经收集后暂存于危险废物暂存间，定期交有资质单位进行处置。</w:t>
            </w:r>
          </w:p>
          <w:p>
            <w:pPr>
              <w:spacing w:line="360" w:lineRule="auto"/>
              <w:ind w:firstLine="480" w:firstLineChars="200"/>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③生活垃圾</w:t>
            </w:r>
          </w:p>
          <w:p>
            <w:pPr>
              <w:spacing w:line="360" w:lineRule="auto"/>
              <w:ind w:firstLine="480" w:firstLineChars="200"/>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项目员工合计约300人，生活垃圾按0.5kg/人·d计，则生活垃圾产生量为0.15t/d（45t/a）。产生的生活垃圾经收集后交由环卫部门日清日产。</w:t>
            </w:r>
          </w:p>
          <w:p>
            <w:pPr>
              <w:spacing w:line="360" w:lineRule="auto"/>
              <w:ind w:firstLine="480" w:firstLineChars="200"/>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根据固体废物管理相关要求，建设单位应当采取防扬散、防流失、防渗漏或者其他防治污染环境的措施，不得擅自倾倒、堆放、丢弃、遗撒固体废物。</w:t>
            </w:r>
          </w:p>
          <w:p>
            <w:pPr>
              <w:spacing w:after="0" w:line="360" w:lineRule="auto"/>
              <w:jc w:val="both"/>
              <w:rPr>
                <w:rFonts w:hint="eastAsia" w:ascii="Times New Roman" w:hAnsi="Times New Roman" w:eastAsia="宋体" w:cs="Times New Roman"/>
                <w:b/>
                <w:sz w:val="24"/>
                <w:szCs w:val="24"/>
                <w:lang w:val="en-IE" w:eastAsia="zh-CN"/>
              </w:rPr>
            </w:pPr>
            <w:r>
              <w:rPr>
                <w:rFonts w:ascii="Times New Roman" w:hAnsi="Times New Roman" w:eastAsia="宋体" w:cs="Times New Roman"/>
                <w:b/>
                <w:sz w:val="24"/>
                <w:szCs w:val="24"/>
              </w:rPr>
              <w:t>4.1.</w:t>
            </w:r>
            <w:r>
              <w:rPr>
                <w:rFonts w:hint="eastAsia" w:ascii="Times New Roman" w:hAnsi="Times New Roman" w:eastAsia="宋体" w:cs="Times New Roman"/>
                <w:b/>
                <w:sz w:val="24"/>
                <w:szCs w:val="24"/>
                <w:lang w:val="en-US" w:eastAsia="zh-CN"/>
              </w:rPr>
              <w:t>5</w:t>
            </w:r>
            <w:r>
              <w:rPr>
                <w:rFonts w:hint="eastAsia" w:ascii="Times New Roman" w:hAnsi="Times New Roman" w:eastAsia="宋体" w:cs="Times New Roman"/>
                <w:b/>
                <w:sz w:val="24"/>
                <w:szCs w:val="24"/>
                <w:lang w:val="en-IE" w:eastAsia="zh-CN"/>
              </w:rPr>
              <w:t>综合结论</w:t>
            </w:r>
          </w:p>
          <w:p>
            <w:pPr>
              <w:spacing w:line="360" w:lineRule="auto"/>
              <w:ind w:firstLine="480" w:firstLineChars="200"/>
              <w:rPr>
                <w:color w:val="000000"/>
                <w:sz w:val="24"/>
              </w:rPr>
            </w:pPr>
            <w:r>
              <w:rPr>
                <w:rFonts w:hint="eastAsia"/>
                <w:color w:val="000000"/>
                <w:sz w:val="24"/>
                <w:lang w:val="en-US" w:eastAsia="zh-CN"/>
              </w:rPr>
              <w:t>重庆乐仁汽车电子有限公司汽车线束总成生产</w:t>
            </w:r>
            <w:r>
              <w:rPr>
                <w:rFonts w:hint="eastAsia"/>
                <w:color w:val="000000"/>
                <w:sz w:val="24"/>
              </w:rPr>
              <w:t>项目</w:t>
            </w:r>
            <w:r>
              <w:rPr>
                <w:color w:val="000000"/>
                <w:sz w:val="24"/>
              </w:rPr>
              <w:t>符合国家产业政策</w:t>
            </w:r>
            <w:r>
              <w:rPr>
                <w:rFonts w:hint="eastAsia"/>
                <w:color w:val="000000"/>
                <w:sz w:val="24"/>
              </w:rPr>
              <w:t>，</w:t>
            </w:r>
            <w:r>
              <w:rPr>
                <w:color w:val="000000"/>
                <w:sz w:val="24"/>
              </w:rPr>
              <w:t>选址合理。项目采取的污染防治措施有效、可靠。通过采取相应的环境保护对策措施可以实现达标排放，所采用的环保措施技术经济合理可行，项目实施后不会对地表水、环境空气、声环境和生态环境产生明显影响。项目建设无明显环境制约因素。在建设单位严格执行本环境影响报告表中提出的污染防治对策和措施、严格执行“三同时”制度、确保各项污染物达标排放的前提下</w:t>
            </w:r>
            <w:r>
              <w:rPr>
                <w:rFonts w:hint="eastAsia"/>
                <w:color w:val="000000"/>
                <w:sz w:val="24"/>
              </w:rPr>
              <w:t>，技改项目的建设对区域环境影响小</w:t>
            </w:r>
            <w:r>
              <w:rPr>
                <w:color w:val="000000"/>
                <w:sz w:val="24"/>
              </w:rPr>
              <w:t>。</w:t>
            </w:r>
          </w:p>
          <w:p>
            <w:pPr>
              <w:spacing w:line="360" w:lineRule="auto"/>
              <w:ind w:firstLine="480" w:firstLineChars="200"/>
              <w:rPr>
                <w:color w:val="000000"/>
                <w:sz w:val="24"/>
              </w:rPr>
            </w:pPr>
            <w:r>
              <w:rPr>
                <w:bCs/>
                <w:color w:val="000000"/>
                <w:sz w:val="24"/>
              </w:rPr>
              <w:t>因此，从环境保护角度考察，该项目的建设是可行的。</w:t>
            </w:r>
          </w:p>
          <w:p>
            <w:pPr>
              <w:spacing w:line="480" w:lineRule="auto"/>
              <w:rPr>
                <w:rFonts w:hint="eastAsia" w:ascii="宋体" w:hAnsi="宋体" w:eastAsia="宋体" w:cs="宋体"/>
                <w:b/>
                <w:bCs/>
                <w:sz w:val="24"/>
              </w:rPr>
            </w:pPr>
            <w:r>
              <w:rPr>
                <w:rFonts w:hint="eastAsia" w:ascii="宋体" w:hAnsi="宋体" w:eastAsia="宋体" w:cs="宋体"/>
                <w:b/>
                <w:bCs/>
                <w:sz w:val="24"/>
              </w:rPr>
              <w:t>4.2</w:t>
            </w:r>
            <w:r>
              <w:rPr>
                <w:rFonts w:hint="eastAsia" w:ascii="宋体" w:hAnsi="宋体" w:eastAsia="宋体" w:cs="宋体"/>
                <w:b/>
                <w:bCs/>
                <w:sz w:val="24"/>
                <w:lang w:val="en-IE" w:eastAsia="zh-CN"/>
              </w:rPr>
              <w:t>审批部门审批决定</w:t>
            </w:r>
          </w:p>
          <w:p>
            <w:pPr>
              <w:spacing w:line="360" w:lineRule="auto"/>
              <w:ind w:firstLine="484" w:firstLineChars="202"/>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vertAlign w:val="baseline"/>
                <w:lang w:val="en-US" w:eastAsia="zh-CN"/>
              </w:rPr>
              <w:t>经重庆市</w:t>
            </w:r>
            <w:r>
              <w:rPr>
                <w:rFonts w:hint="eastAsia" w:ascii="Times New Roman" w:hAnsi="Times New Roman" w:eastAsia="宋体" w:cs="Times New Roman"/>
                <w:sz w:val="24"/>
                <w:szCs w:val="24"/>
                <w:vertAlign w:val="baseline"/>
                <w:lang w:val="en-US" w:eastAsia="zh-CN"/>
              </w:rPr>
              <w:t>梁平区</w:t>
            </w:r>
            <w:r>
              <w:rPr>
                <w:rFonts w:hint="default" w:ascii="Times New Roman" w:hAnsi="Times New Roman" w:eastAsia="宋体" w:cs="Times New Roman"/>
                <w:sz w:val="24"/>
                <w:szCs w:val="24"/>
                <w:vertAlign w:val="baseline"/>
                <w:lang w:val="en-US" w:eastAsia="zh-CN"/>
              </w:rPr>
              <w:t>生态环境局</w:t>
            </w:r>
            <w:r>
              <w:rPr>
                <w:rFonts w:hint="default" w:ascii="Times New Roman" w:hAnsi="Times New Roman" w:eastAsia="宋体" w:cs="Times New Roman"/>
                <w:sz w:val="24"/>
                <w:szCs w:val="24"/>
              </w:rPr>
              <w:t>《重庆市建设项目环境影响评价文件批准书</w:t>
            </w:r>
            <w:r>
              <w:rPr>
                <w:rFonts w:hint="default" w:ascii="Times New Roman" w:hAnsi="Times New Roman" w:eastAsia="宋体" w:cs="Times New Roman"/>
                <w:kern w:val="2"/>
                <w:sz w:val="24"/>
                <w:szCs w:val="24"/>
                <w:lang w:val="en-US" w:eastAsia="zh-CN" w:bidi="ar-SA"/>
              </w:rPr>
              <w:t>》</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t>（</w:t>
            </w:r>
            <w:r>
              <w:rPr>
                <w:rFonts w:hint="default" w:ascii="Times New Roman" w:hAnsi="Times New Roman" w:eastAsia="宋体" w:cs="Times New Roman"/>
                <w:sz w:val="24"/>
                <w:szCs w:val="24"/>
              </w:rPr>
              <w:t>渝（</w:t>
            </w:r>
            <w:r>
              <w:rPr>
                <w:rFonts w:hint="default" w:ascii="Times New Roman" w:hAnsi="Times New Roman" w:eastAsia="宋体" w:cs="Times New Roman"/>
                <w:sz w:val="24"/>
                <w:szCs w:val="24"/>
                <w:lang w:eastAsia="zh-CN"/>
              </w:rPr>
              <w:t>万</w:t>
            </w:r>
            <w:r>
              <w:rPr>
                <w:rFonts w:hint="default" w:ascii="Times New Roman" w:hAnsi="Times New Roman" w:eastAsia="宋体" w:cs="Times New Roman"/>
                <w:sz w:val="24"/>
                <w:szCs w:val="24"/>
              </w:rPr>
              <w:t>）环准[20</w:t>
            </w:r>
            <w:r>
              <w:rPr>
                <w:rFonts w:hint="eastAsia" w:ascii="Times New Roman" w:hAnsi="Times New Roman" w:eastAsia="宋体" w:cs="Times New Roman"/>
                <w:sz w:val="24"/>
                <w:szCs w:val="24"/>
                <w:lang w:val="en-US" w:eastAsia="zh-CN"/>
              </w:rPr>
              <w:t>21</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0</w:t>
            </w:r>
            <w:r>
              <w:rPr>
                <w:rFonts w:hint="eastAsia" w:ascii="Times New Roman" w:hAnsi="Times New Roman" w:eastAsia="宋体" w:cs="Times New Roman"/>
                <w:sz w:val="24"/>
                <w:szCs w:val="24"/>
                <w:lang w:val="en-US" w:eastAsia="zh-CN"/>
              </w:rPr>
              <w:t>13</w:t>
            </w:r>
            <w:r>
              <w:rPr>
                <w:rFonts w:hint="default" w:ascii="Times New Roman" w:hAnsi="Times New Roman" w:eastAsia="宋体" w:cs="Times New Roman"/>
                <w:sz w:val="24"/>
                <w:szCs w:val="24"/>
              </w:rPr>
              <w:t>号）批复，批复意见如下：</w:t>
            </w:r>
          </w:p>
          <w:p>
            <w:pPr>
              <w:spacing w:line="360" w:lineRule="auto"/>
              <w:ind w:firstLine="480" w:firstLineChars="200"/>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你公司报送的重庆乐仁汽车电子有限公司汽车线束总成生产项目（项目代码:2105-500155-04-01-668332）环评文件及相关报批申请材料收悉，经审查，符合我市建设项目环境影响评价文件告知承诺审批的相关要求。根据成都元页环保科技有限公司（统一社会信用代码:91510108MA6403BCXD )编制的《重庆乐仁汽车电子有限公司汽车线束总成生产项目环境影响报告表》对该项目开展环境影响评价的结论，在全面落实报告表提出的各项防治生态影响和环境污染措施、防范环境风险措施和你公司承诺的前提下，工程建设对环境的不利影响能够得到缓解和控制。我局原则同意该项目环境影响报告表结论以及拟采取的环境保护措施。</w:t>
            </w:r>
          </w:p>
          <w:p>
            <w:pPr>
              <w:spacing w:line="360" w:lineRule="auto"/>
              <w:ind w:firstLine="480" w:firstLineChars="200"/>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你公司应当严格落实该项目环境影响报告表提出的防治生态影响和环境污染措施及防范环境风险措施，严格执行配套建设的环保设施与主体工程同时设计、同时施工、同时投产的环保</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三同时</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制度。项目竣工后、应按照相关规定开展环境保护验收。经验收合格后</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项目方可正式投入生产或使用。</w:t>
            </w:r>
          </w:p>
          <w:p>
            <w:pPr>
              <w:spacing w:line="360" w:lineRule="auto"/>
              <w:ind w:firstLine="480" w:firstLineChars="200"/>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项目的性质、规模、地点、采用的生产工艺或者防治污染措施发生重大变动的，你单位应当重新报批该项目的环境影响评价文件。项目的日常监督管理由重庆市梁平区生态环境保护综合行政执法支队、重庆梁平工业园区管理委员会按照有关职责实施，发现存在不符合告知承诺制或环评文件存在重大质量问题，依法撤销审批决定，造成的一切法律后果和经济损失均由你公司承担。</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详见附件</w:t>
            </w: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w:t>
            </w:r>
          </w:p>
          <w:p>
            <w:pPr>
              <w:pStyle w:val="17"/>
            </w:pPr>
          </w:p>
          <w:p>
            <w:pPr>
              <w:pStyle w:val="17"/>
            </w:pPr>
          </w:p>
          <w:p>
            <w:pPr>
              <w:pStyle w:val="17"/>
              <w:rPr>
                <w:rFonts w:hint="default"/>
                <w:vertAlign w:val="baseline"/>
                <w:lang w:val="en-US" w:eastAsia="zh-CN"/>
              </w:rPr>
            </w:pPr>
          </w:p>
          <w:p>
            <w:pPr>
              <w:pStyle w:val="17"/>
              <w:rPr>
                <w:rFonts w:hint="default"/>
                <w:vertAlign w:val="baseline"/>
                <w:lang w:val="en-US" w:eastAsia="zh-CN"/>
              </w:rPr>
            </w:pPr>
          </w:p>
          <w:p>
            <w:pPr>
              <w:pStyle w:val="17"/>
              <w:rPr>
                <w:rFonts w:hint="default"/>
                <w:vertAlign w:val="baseline"/>
                <w:lang w:val="en-US" w:eastAsia="zh-CN"/>
              </w:rPr>
            </w:pPr>
          </w:p>
          <w:p>
            <w:pPr>
              <w:pStyle w:val="17"/>
              <w:rPr>
                <w:rFonts w:hint="default"/>
                <w:vertAlign w:val="baseline"/>
                <w:lang w:val="en-US" w:eastAsia="zh-CN"/>
              </w:rPr>
            </w:pPr>
          </w:p>
          <w:p>
            <w:pPr>
              <w:pStyle w:val="17"/>
              <w:rPr>
                <w:rFonts w:hint="default"/>
                <w:vertAlign w:val="baseline"/>
                <w:lang w:val="en-US" w:eastAsia="zh-CN"/>
              </w:rPr>
            </w:pPr>
          </w:p>
          <w:p>
            <w:pPr>
              <w:pStyle w:val="17"/>
              <w:rPr>
                <w:rFonts w:hint="default"/>
                <w:vertAlign w:val="baseline"/>
                <w:lang w:val="en-US" w:eastAsia="zh-CN"/>
              </w:rPr>
            </w:pPr>
          </w:p>
          <w:p>
            <w:pPr>
              <w:pStyle w:val="17"/>
              <w:rPr>
                <w:rFonts w:hint="default"/>
                <w:vertAlign w:val="baseline"/>
                <w:lang w:val="en-US" w:eastAsia="zh-CN"/>
              </w:rPr>
            </w:pPr>
          </w:p>
          <w:p>
            <w:pPr>
              <w:pStyle w:val="17"/>
              <w:rPr>
                <w:rFonts w:hint="default"/>
                <w:vertAlign w:val="baseline"/>
                <w:lang w:val="en-US" w:eastAsia="zh-CN"/>
              </w:rPr>
            </w:pPr>
          </w:p>
          <w:p>
            <w:pPr>
              <w:pStyle w:val="17"/>
              <w:rPr>
                <w:rFonts w:hint="default"/>
                <w:vertAlign w:val="baseline"/>
                <w:lang w:val="en-US" w:eastAsia="zh-CN"/>
              </w:rPr>
            </w:pPr>
          </w:p>
          <w:p>
            <w:pPr>
              <w:pStyle w:val="17"/>
              <w:rPr>
                <w:rFonts w:hint="default"/>
                <w:vertAlign w:val="baseline"/>
                <w:lang w:val="en-US" w:eastAsia="zh-CN"/>
              </w:rPr>
            </w:pPr>
          </w:p>
          <w:p>
            <w:pPr>
              <w:pStyle w:val="17"/>
              <w:rPr>
                <w:rFonts w:hint="default"/>
                <w:vertAlign w:val="baseline"/>
                <w:lang w:val="en-US" w:eastAsia="zh-CN"/>
              </w:rPr>
            </w:pPr>
          </w:p>
          <w:p>
            <w:pPr>
              <w:pStyle w:val="17"/>
              <w:rPr>
                <w:rFonts w:hint="default"/>
                <w:vertAlign w:val="baseline"/>
                <w:lang w:val="en-US" w:eastAsia="zh-CN"/>
              </w:rPr>
            </w:pPr>
          </w:p>
          <w:p>
            <w:pPr>
              <w:pStyle w:val="17"/>
              <w:rPr>
                <w:rFonts w:hint="default"/>
                <w:vertAlign w:val="baseline"/>
                <w:lang w:val="en-US" w:eastAsia="zh-CN"/>
              </w:rPr>
            </w:pPr>
          </w:p>
          <w:p>
            <w:pPr>
              <w:pStyle w:val="17"/>
              <w:ind w:left="0" w:leftChars="0" w:firstLine="0" w:firstLineChars="0"/>
              <w:rPr>
                <w:rFonts w:hint="default"/>
                <w:vertAlign w:val="baseline"/>
                <w:lang w:val="en-US" w:eastAsia="zh-CN"/>
              </w:rPr>
            </w:pPr>
          </w:p>
        </w:tc>
      </w:tr>
    </w:tbl>
    <w:p>
      <w:pPr>
        <w:spacing w:line="480" w:lineRule="auto"/>
        <w:rPr>
          <w:rFonts w:hint="eastAsia" w:ascii="宋体" w:hAnsi="宋体" w:eastAsia="宋体" w:cs="宋体"/>
          <w:b/>
          <w:sz w:val="28"/>
          <w:szCs w:val="28"/>
        </w:rPr>
      </w:pPr>
      <w:r>
        <w:rPr>
          <w:rFonts w:hint="eastAsia" w:ascii="宋体" w:hAnsi="宋体" w:eastAsia="宋体" w:cs="宋体"/>
          <w:b/>
          <w:sz w:val="28"/>
          <w:szCs w:val="28"/>
        </w:rPr>
        <w:t>表五</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5" w:hRule="atLeast"/>
        </w:trPr>
        <w:tc>
          <w:tcPr>
            <w:tcW w:w="8522" w:type="dxa"/>
          </w:tcPr>
          <w:p>
            <w:pPr>
              <w:spacing w:line="480" w:lineRule="auto"/>
              <w:rPr>
                <w:rFonts w:hAnsiTheme="minorEastAsia" w:eastAsiaTheme="minorEastAsia"/>
                <w:b/>
                <w:bCs/>
                <w:kern w:val="0"/>
                <w:sz w:val="24"/>
              </w:rPr>
            </w:pPr>
            <w:r>
              <w:rPr>
                <w:rFonts w:hAnsiTheme="minorEastAsia" w:eastAsiaTheme="minorEastAsia"/>
                <w:b/>
                <w:bCs/>
                <w:kern w:val="0"/>
                <w:sz w:val="24"/>
              </w:rPr>
              <w:t>验收监测质量保证及质量控制：</w:t>
            </w:r>
          </w:p>
          <w:p>
            <w:pPr>
              <w:spacing w:line="360" w:lineRule="auto"/>
              <w:rPr>
                <w:rFonts w:hint="default" w:ascii="Times New Roman" w:hAnsi="Times New Roman" w:cs="Times New Roman" w:eastAsiaTheme="minorEastAsia"/>
                <w:b/>
                <w:bCs/>
                <w:kern w:val="0"/>
                <w:sz w:val="24"/>
              </w:rPr>
            </w:pPr>
            <w:bookmarkStart w:id="0" w:name="_Toc514767367"/>
            <w:r>
              <w:rPr>
                <w:rFonts w:hint="default" w:ascii="Times New Roman" w:hAnsi="Times New Roman" w:cs="Times New Roman" w:eastAsiaTheme="minorEastAsia"/>
                <w:b/>
                <w:bCs/>
                <w:kern w:val="0"/>
                <w:sz w:val="24"/>
              </w:rPr>
              <w:t>5.1 监测分析方法</w:t>
            </w:r>
            <w:bookmarkEnd w:id="0"/>
          </w:p>
          <w:p>
            <w:pPr>
              <w:spacing w:line="360" w:lineRule="auto"/>
              <w:ind w:firstLine="480" w:firstLineChars="200"/>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监测分析方法详见表5-1。</w:t>
            </w:r>
          </w:p>
          <w:p>
            <w:pPr>
              <w:spacing w:line="360" w:lineRule="auto"/>
              <w:jc w:val="center"/>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 xml:space="preserve">表5-1    </w:t>
            </w:r>
            <w:bookmarkStart w:id="1" w:name="_Toc514767368"/>
            <w:r>
              <w:rPr>
                <w:rFonts w:hint="default" w:ascii="Times New Roman" w:hAnsi="Times New Roman" w:cs="Times New Roman" w:eastAsiaTheme="minorEastAsia"/>
                <w:b/>
                <w:bCs/>
                <w:kern w:val="0"/>
                <w:sz w:val="21"/>
                <w:szCs w:val="21"/>
              </w:rPr>
              <w:t>检测分析方法一览表</w:t>
            </w:r>
          </w:p>
          <w:tbl>
            <w:tblPr>
              <w:tblStyle w:val="1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4050"/>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2" w:type="dxa"/>
                  <w:noWrap w:val="0"/>
                  <w:vAlign w:val="center"/>
                </w:tcPr>
                <w:p>
                  <w:pPr>
                    <w:spacing w:line="240" w:lineRule="atLeas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检测项目</w:t>
                  </w:r>
                </w:p>
              </w:tc>
              <w:tc>
                <w:tcPr>
                  <w:tcW w:w="4050" w:type="dxa"/>
                  <w:noWrap w:val="0"/>
                  <w:vAlign w:val="center"/>
                </w:tcPr>
                <w:p>
                  <w:pPr>
                    <w:spacing w:line="240" w:lineRule="atLeas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检测方法</w:t>
                  </w:r>
                </w:p>
              </w:tc>
              <w:tc>
                <w:tcPr>
                  <w:tcW w:w="2484" w:type="dxa"/>
                  <w:noWrap w:val="0"/>
                  <w:vAlign w:val="center"/>
                </w:tcPr>
                <w:p>
                  <w:pPr>
                    <w:spacing w:line="240" w:lineRule="atLeas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检测依据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2" w:type="dxa"/>
                  <w:noWrap w:val="0"/>
                  <w:vAlign w:val="center"/>
                </w:tcPr>
                <w:p>
                  <w:pPr>
                    <w:spacing w:line="24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pH值</w:t>
                  </w:r>
                </w:p>
              </w:tc>
              <w:tc>
                <w:tcPr>
                  <w:tcW w:w="4050" w:type="dxa"/>
                  <w:noWrap w:val="0"/>
                  <w:vAlign w:val="center"/>
                </w:tcPr>
                <w:p>
                  <w:pPr>
                    <w:spacing w:line="240" w:lineRule="atLeas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便携式pH计法</w:t>
                  </w:r>
                </w:p>
              </w:tc>
              <w:tc>
                <w:tcPr>
                  <w:tcW w:w="2484" w:type="dxa"/>
                  <w:noWrap w:val="0"/>
                  <w:vAlign w:val="center"/>
                </w:tcPr>
                <w:p>
                  <w:pPr>
                    <w:spacing w:line="240" w:lineRule="atLeas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《水和废水监测分析方法》（第四版）（3.1.4.3）国家环境保护总局（2002年）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2" w:type="dxa"/>
                  <w:noWrap w:val="0"/>
                  <w:vAlign w:val="center"/>
                </w:tcPr>
                <w:p>
                  <w:pPr>
                    <w:spacing w:line="240" w:lineRule="atLeas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悬浮物</w:t>
                  </w:r>
                </w:p>
              </w:tc>
              <w:tc>
                <w:tcPr>
                  <w:tcW w:w="4050" w:type="dxa"/>
                  <w:noWrap w:val="0"/>
                  <w:vAlign w:val="center"/>
                </w:tcPr>
                <w:p>
                  <w:pPr>
                    <w:spacing w:line="240" w:lineRule="atLeas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水质 悬浮物的测定 重量法</w:t>
                  </w:r>
                </w:p>
              </w:tc>
              <w:tc>
                <w:tcPr>
                  <w:tcW w:w="2484" w:type="dxa"/>
                  <w:noWrap w:val="0"/>
                  <w:vAlign w:val="center"/>
                </w:tcPr>
                <w:p>
                  <w:pPr>
                    <w:spacing w:line="240" w:lineRule="atLeas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GB/T 11901-1989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2" w:type="dxa"/>
                  <w:noWrap w:val="0"/>
                  <w:vAlign w:val="center"/>
                </w:tcPr>
                <w:p>
                  <w:pPr>
                    <w:spacing w:line="240" w:lineRule="atLeas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化学需氧量</w:t>
                  </w:r>
                </w:p>
              </w:tc>
              <w:tc>
                <w:tcPr>
                  <w:tcW w:w="4050" w:type="dxa"/>
                  <w:noWrap w:val="0"/>
                  <w:vAlign w:val="center"/>
                </w:tcPr>
                <w:p>
                  <w:pPr>
                    <w:spacing w:line="240" w:lineRule="atLeas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水质 化学需氧量的测定 重铬酸盐法</w:t>
                  </w:r>
                </w:p>
              </w:tc>
              <w:tc>
                <w:tcPr>
                  <w:tcW w:w="2484" w:type="dxa"/>
                  <w:noWrap w:val="0"/>
                  <w:vAlign w:val="center"/>
                </w:tcPr>
                <w:p>
                  <w:pPr>
                    <w:spacing w:line="240" w:lineRule="atLeas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HJ 828-2017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2" w:type="dxa"/>
                  <w:noWrap w:val="0"/>
                  <w:vAlign w:val="center"/>
                </w:tcPr>
                <w:p>
                  <w:pPr>
                    <w:spacing w:line="240" w:lineRule="atLeas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五日生化需氧量</w:t>
                  </w:r>
                </w:p>
              </w:tc>
              <w:tc>
                <w:tcPr>
                  <w:tcW w:w="4050" w:type="dxa"/>
                  <w:noWrap w:val="0"/>
                  <w:vAlign w:val="center"/>
                </w:tcPr>
                <w:p>
                  <w:pPr>
                    <w:spacing w:line="240" w:lineRule="atLeas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水质 五日生化需氧量（BOD5）的测定</w:t>
                  </w:r>
                </w:p>
                <w:p>
                  <w:pPr>
                    <w:spacing w:line="240" w:lineRule="atLeas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 稀释与接种法</w:t>
                  </w:r>
                </w:p>
              </w:tc>
              <w:tc>
                <w:tcPr>
                  <w:tcW w:w="2484" w:type="dxa"/>
                  <w:noWrap w:val="0"/>
                  <w:vAlign w:val="center"/>
                </w:tcPr>
                <w:p>
                  <w:pPr>
                    <w:spacing w:line="240" w:lineRule="atLeas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HJ 505-2009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2" w:type="dxa"/>
                  <w:noWrap w:val="0"/>
                  <w:vAlign w:val="center"/>
                </w:tcPr>
                <w:p>
                  <w:pPr>
                    <w:spacing w:line="240" w:lineRule="atLeas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氨氮</w:t>
                  </w:r>
                </w:p>
              </w:tc>
              <w:tc>
                <w:tcPr>
                  <w:tcW w:w="4050" w:type="dxa"/>
                  <w:noWrap w:val="0"/>
                  <w:vAlign w:val="center"/>
                </w:tcPr>
                <w:p>
                  <w:pPr>
                    <w:spacing w:line="240" w:lineRule="atLeas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水质 氨氮的测定 蒸馏-中和滴定法</w:t>
                  </w:r>
                </w:p>
              </w:tc>
              <w:tc>
                <w:tcPr>
                  <w:tcW w:w="2484" w:type="dxa"/>
                  <w:noWrap w:val="0"/>
                  <w:vAlign w:val="center"/>
                </w:tcPr>
                <w:p>
                  <w:pPr>
                    <w:spacing w:line="240" w:lineRule="atLeas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HJ 537-2009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2" w:type="dxa"/>
                  <w:noWrap w:val="0"/>
                  <w:vAlign w:val="center"/>
                </w:tcPr>
                <w:p>
                  <w:pPr>
                    <w:spacing w:line="240" w:lineRule="atLeas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厂界噪声</w:t>
                  </w:r>
                </w:p>
              </w:tc>
              <w:tc>
                <w:tcPr>
                  <w:tcW w:w="4050" w:type="dxa"/>
                  <w:noWrap w:val="0"/>
                  <w:vAlign w:val="center"/>
                </w:tcPr>
                <w:p>
                  <w:pPr>
                    <w:spacing w:line="240" w:lineRule="atLeas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工业企业厂界环境噪声排放标准</w:t>
                  </w:r>
                </w:p>
              </w:tc>
              <w:tc>
                <w:tcPr>
                  <w:tcW w:w="2484" w:type="dxa"/>
                  <w:noWrap w:val="0"/>
                  <w:vAlign w:val="center"/>
                </w:tcPr>
                <w:p>
                  <w:pPr>
                    <w:spacing w:line="24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GB 12348-2008</w:t>
                  </w:r>
                </w:p>
              </w:tc>
            </w:tr>
          </w:tbl>
          <w:p>
            <w:pPr>
              <w:spacing w:line="480" w:lineRule="auto"/>
              <w:rPr>
                <w:rFonts w:eastAsiaTheme="minorEastAsia"/>
                <w:b/>
                <w:bCs/>
                <w:kern w:val="0"/>
                <w:sz w:val="24"/>
              </w:rPr>
            </w:pPr>
            <w:r>
              <w:rPr>
                <w:rFonts w:eastAsiaTheme="minorEastAsia"/>
                <w:b/>
                <w:bCs/>
                <w:kern w:val="0"/>
                <w:sz w:val="24"/>
              </w:rPr>
              <w:t xml:space="preserve">5.2 </w:t>
            </w:r>
            <w:r>
              <w:rPr>
                <w:rFonts w:hAnsiTheme="minorEastAsia" w:eastAsiaTheme="minorEastAsia"/>
                <w:b/>
                <w:bCs/>
                <w:kern w:val="0"/>
                <w:sz w:val="24"/>
              </w:rPr>
              <w:t>监测仪器</w:t>
            </w:r>
            <w:bookmarkEnd w:id="1"/>
          </w:p>
          <w:p>
            <w:pPr>
              <w:spacing w:line="360" w:lineRule="auto"/>
              <w:ind w:firstLine="480" w:firstLineChars="200"/>
              <w:rPr>
                <w:rFonts w:eastAsiaTheme="minorEastAsia"/>
                <w:kern w:val="0"/>
                <w:sz w:val="24"/>
              </w:rPr>
            </w:pPr>
            <w:r>
              <w:rPr>
                <w:rFonts w:hAnsiTheme="minorEastAsia" w:eastAsiaTheme="minorEastAsia"/>
                <w:kern w:val="0"/>
                <w:sz w:val="24"/>
              </w:rPr>
              <w:t>监测使用仪器详见表</w:t>
            </w:r>
            <w:r>
              <w:rPr>
                <w:rFonts w:eastAsiaTheme="minorEastAsia"/>
                <w:kern w:val="0"/>
                <w:sz w:val="24"/>
              </w:rPr>
              <w:t>5-2</w:t>
            </w:r>
            <w:r>
              <w:rPr>
                <w:rFonts w:hAnsiTheme="minorEastAsia" w:eastAsiaTheme="minorEastAsia"/>
                <w:kern w:val="0"/>
                <w:sz w:val="24"/>
              </w:rPr>
              <w:t>。</w:t>
            </w:r>
          </w:p>
          <w:p>
            <w:pPr>
              <w:spacing w:line="360" w:lineRule="auto"/>
              <w:jc w:val="center"/>
              <w:rPr>
                <w:rFonts w:hAnsiTheme="minorEastAsia" w:eastAsiaTheme="minorEastAsia"/>
                <w:b/>
                <w:bCs/>
                <w:kern w:val="0"/>
                <w:sz w:val="21"/>
                <w:szCs w:val="21"/>
              </w:rPr>
            </w:pPr>
            <w:r>
              <w:rPr>
                <w:rFonts w:hAnsiTheme="minorEastAsia" w:eastAsiaTheme="minorEastAsia"/>
                <w:b/>
                <w:bCs/>
                <w:kern w:val="0"/>
                <w:sz w:val="21"/>
                <w:szCs w:val="21"/>
              </w:rPr>
              <w:t xml:space="preserve">表5-2    </w:t>
            </w:r>
            <w:bookmarkStart w:id="2" w:name="_Toc514767369"/>
            <w:bookmarkStart w:id="3" w:name="_Toc499540844"/>
            <w:r>
              <w:rPr>
                <w:rFonts w:hAnsiTheme="minorEastAsia" w:eastAsiaTheme="minorEastAsia"/>
                <w:b/>
                <w:bCs/>
                <w:kern w:val="0"/>
                <w:sz w:val="21"/>
                <w:szCs w:val="21"/>
              </w:rPr>
              <w:t>检测使用仪器一览表</w:t>
            </w:r>
          </w:p>
          <w:tbl>
            <w:tblPr>
              <w:tblStyle w:val="1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5316"/>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686" w:type="dxa"/>
                  <w:noWrap w:val="0"/>
                  <w:vAlign w:val="center"/>
                </w:tcPr>
                <w:p>
                  <w:pPr>
                    <w:spacing w:line="240" w:lineRule="atLeas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检测项目</w:t>
                  </w:r>
                </w:p>
              </w:tc>
              <w:tc>
                <w:tcPr>
                  <w:tcW w:w="5316" w:type="dxa"/>
                  <w:noWrap w:val="0"/>
                  <w:vAlign w:val="center"/>
                </w:tcPr>
                <w:p>
                  <w:pPr>
                    <w:spacing w:line="240" w:lineRule="atLeas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仪器名称型号</w:t>
                  </w:r>
                  <w:r>
                    <w:rPr>
                      <w:rFonts w:hint="eastAsia" w:ascii="Times New Roman" w:hAnsi="Times New Roman" w:eastAsia="宋体" w:cs="Times New Roman"/>
                      <w:color w:val="auto"/>
                      <w:sz w:val="21"/>
                      <w:szCs w:val="21"/>
                      <w:lang w:eastAsia="zh-CN"/>
                    </w:rPr>
                    <w:t>及</w:t>
                  </w:r>
                  <w:r>
                    <w:rPr>
                      <w:rFonts w:hint="default" w:ascii="Times New Roman" w:hAnsi="Times New Roman" w:eastAsia="宋体" w:cs="Times New Roman"/>
                      <w:color w:val="auto"/>
                      <w:sz w:val="21"/>
                      <w:szCs w:val="21"/>
                    </w:rPr>
                    <w:t>编号</w:t>
                  </w:r>
                </w:p>
              </w:tc>
              <w:tc>
                <w:tcPr>
                  <w:tcW w:w="1294" w:type="dxa"/>
                  <w:noWrap w:val="0"/>
                  <w:vAlign w:val="center"/>
                </w:tcPr>
                <w:p>
                  <w:pPr>
                    <w:spacing w:line="240" w:lineRule="atLeas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86" w:type="dxa"/>
                  <w:noWrap w:val="0"/>
                  <w:vAlign w:val="center"/>
                </w:tcPr>
                <w:p>
                  <w:pPr>
                    <w:spacing w:line="240" w:lineRule="atLeast"/>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pH值</w:t>
                  </w:r>
                </w:p>
              </w:tc>
              <w:tc>
                <w:tcPr>
                  <w:tcW w:w="5316" w:type="dxa"/>
                  <w:noWrap w:val="0"/>
                  <w:vAlign w:val="center"/>
                </w:tcPr>
                <w:p>
                  <w:pPr>
                    <w:spacing w:line="240" w:lineRule="atLeast"/>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rPr>
                    <w:t>便携式pH计PHBJ-260/A-007</w:t>
                  </w:r>
                </w:p>
              </w:tc>
              <w:tc>
                <w:tcPr>
                  <w:tcW w:w="1294" w:type="dxa"/>
                  <w:vMerge w:val="restart"/>
                  <w:noWrap w:val="0"/>
                  <w:vAlign w:val="center"/>
                </w:tcPr>
                <w:p>
                  <w:pPr>
                    <w:spacing w:line="240" w:lineRule="atLeas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仪器在计量检定有效期内使用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86" w:type="dxa"/>
                  <w:noWrap w:val="0"/>
                  <w:vAlign w:val="center"/>
                </w:tcPr>
                <w:p>
                  <w:pPr>
                    <w:spacing w:line="240" w:lineRule="atLeast"/>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悬浮物</w:t>
                  </w:r>
                </w:p>
              </w:tc>
              <w:tc>
                <w:tcPr>
                  <w:tcW w:w="5316" w:type="dxa"/>
                  <w:noWrap w:val="0"/>
                  <w:vAlign w:val="center"/>
                </w:tcPr>
                <w:p>
                  <w:pPr>
                    <w:spacing w:line="240" w:lineRule="atLeast"/>
                    <w:jc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rPr>
                    <w:t>万分之一电子天平FA2004B/A-002</w:t>
                  </w:r>
                </w:p>
              </w:tc>
              <w:tc>
                <w:tcPr>
                  <w:tcW w:w="1294" w:type="dxa"/>
                  <w:vMerge w:val="continue"/>
                  <w:noWrap w:val="0"/>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86" w:type="dxa"/>
                  <w:noWrap w:val="0"/>
                  <w:vAlign w:val="center"/>
                </w:tcPr>
                <w:p>
                  <w:pPr>
                    <w:spacing w:line="240" w:lineRule="atLeast"/>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化学需氧量</w:t>
                  </w:r>
                </w:p>
              </w:tc>
              <w:tc>
                <w:tcPr>
                  <w:tcW w:w="5316" w:type="dxa"/>
                  <w:noWrap w:val="0"/>
                  <w:vAlign w:val="center"/>
                </w:tcPr>
                <w:p>
                  <w:pPr>
                    <w:spacing w:line="240" w:lineRule="atLeast"/>
                    <w:jc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rPr>
                    <w:t>具塞式滴定管50mL/C-003</w:t>
                  </w:r>
                </w:p>
              </w:tc>
              <w:tc>
                <w:tcPr>
                  <w:tcW w:w="1294" w:type="dxa"/>
                  <w:vMerge w:val="continue"/>
                  <w:noWrap w:val="0"/>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86" w:type="dxa"/>
                  <w:noWrap w:val="0"/>
                  <w:vAlign w:val="center"/>
                </w:tcPr>
                <w:p>
                  <w:pPr>
                    <w:spacing w:line="240" w:lineRule="atLeast"/>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五日生化需氧量</w:t>
                  </w:r>
                </w:p>
              </w:tc>
              <w:tc>
                <w:tcPr>
                  <w:tcW w:w="5316" w:type="dxa"/>
                  <w:noWrap w:val="0"/>
                  <w:vAlign w:val="center"/>
                </w:tcPr>
                <w:p>
                  <w:pPr>
                    <w:spacing w:line="240" w:lineRule="atLeast"/>
                    <w:jc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rPr>
                    <w:t>便携式溶解氧仪JPB607A/A-005</w:t>
                  </w:r>
                </w:p>
              </w:tc>
              <w:tc>
                <w:tcPr>
                  <w:tcW w:w="1294" w:type="dxa"/>
                  <w:vMerge w:val="continue"/>
                  <w:noWrap w:val="0"/>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686" w:type="dxa"/>
                  <w:noWrap w:val="0"/>
                  <w:vAlign w:val="center"/>
                </w:tcPr>
                <w:p>
                  <w:pPr>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氨氮</w:t>
                  </w:r>
                </w:p>
              </w:tc>
              <w:tc>
                <w:tcPr>
                  <w:tcW w:w="5316" w:type="dxa"/>
                  <w:noWrap w:val="0"/>
                  <w:vAlign w:val="center"/>
                </w:tcPr>
                <w:p>
                  <w:pPr>
                    <w:spacing w:line="240" w:lineRule="atLeast"/>
                    <w:jc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rPr>
                    <w:t>紫外可见分光光度计TU-1810DPC/A-010</w:t>
                  </w:r>
                </w:p>
              </w:tc>
              <w:tc>
                <w:tcPr>
                  <w:tcW w:w="1294" w:type="dxa"/>
                  <w:vMerge w:val="continue"/>
                  <w:noWrap w:val="0"/>
                  <w:vAlign w:val="center"/>
                </w:tcPr>
                <w:p>
                  <w:pPr>
                    <w:adjustRightInd w:val="0"/>
                    <w:snapToGrid w:val="0"/>
                    <w:jc w:val="center"/>
                    <w:rPr>
                      <w:rFonts w:hint="eastAsia" w:ascii="Times New Roman" w:hAnsi="Times New Roman" w:eastAsia="宋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86" w:type="dxa"/>
                  <w:noWrap w:val="0"/>
                  <w:vAlign w:val="center"/>
                </w:tcPr>
                <w:p>
                  <w:pPr>
                    <w:spacing w:line="240" w:lineRule="atLeast"/>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厂界噪声</w:t>
                  </w:r>
                </w:p>
              </w:tc>
              <w:tc>
                <w:tcPr>
                  <w:tcW w:w="5316" w:type="dxa"/>
                  <w:noWrap w:val="0"/>
                  <w:vAlign w:val="center"/>
                </w:tcPr>
                <w:p>
                  <w:pPr>
                    <w:spacing w:line="24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多功能声级计AWA5688/A-012</w:t>
                  </w:r>
                </w:p>
              </w:tc>
              <w:tc>
                <w:tcPr>
                  <w:tcW w:w="1294" w:type="dxa"/>
                  <w:vMerge w:val="continue"/>
                  <w:noWrap w:val="0"/>
                  <w:vAlign w:val="center"/>
                </w:tcPr>
                <w:p>
                  <w:pPr>
                    <w:adjustRightInd w:val="0"/>
                    <w:snapToGrid w:val="0"/>
                    <w:jc w:val="center"/>
                    <w:rPr>
                      <w:sz w:val="24"/>
                    </w:rPr>
                  </w:pPr>
                </w:p>
              </w:tc>
            </w:tr>
          </w:tbl>
          <w:p>
            <w:pPr>
              <w:spacing w:before="3" w:line="10" w:lineRule="exact"/>
              <w:rPr>
                <w:kern w:val="0"/>
                <w:sz w:val="4"/>
                <w:szCs w:val="4"/>
              </w:rPr>
            </w:pPr>
          </w:p>
          <w:p>
            <w:pPr>
              <w:spacing w:line="480" w:lineRule="auto"/>
              <w:rPr>
                <w:rFonts w:eastAsiaTheme="minorEastAsia"/>
                <w:b/>
                <w:bCs/>
                <w:kern w:val="0"/>
                <w:sz w:val="24"/>
              </w:rPr>
            </w:pPr>
            <w:r>
              <w:rPr>
                <w:rFonts w:eastAsiaTheme="minorEastAsia"/>
                <w:b/>
                <w:bCs/>
                <w:kern w:val="0"/>
                <w:sz w:val="24"/>
              </w:rPr>
              <w:t>5.3</w:t>
            </w:r>
            <w:r>
              <w:rPr>
                <w:rFonts w:hAnsiTheme="minorEastAsia" w:eastAsiaTheme="minorEastAsia"/>
                <w:b/>
                <w:bCs/>
                <w:kern w:val="0"/>
                <w:sz w:val="24"/>
              </w:rPr>
              <w:t>人员资质</w:t>
            </w:r>
            <w:bookmarkEnd w:id="2"/>
          </w:p>
          <w:p>
            <w:pPr>
              <w:spacing w:line="360" w:lineRule="auto"/>
              <w:ind w:firstLine="480" w:firstLineChars="200"/>
              <w:rPr>
                <w:rFonts w:eastAsiaTheme="minorEastAsia"/>
                <w:kern w:val="0"/>
                <w:sz w:val="24"/>
              </w:rPr>
            </w:pPr>
            <w:r>
              <w:rPr>
                <w:rFonts w:hAnsiTheme="minorEastAsia" w:eastAsiaTheme="minorEastAsia"/>
                <w:kern w:val="0"/>
                <w:sz w:val="24"/>
              </w:rPr>
              <w:t>参与本次验收监测现场采样及实验室分析的人员均经考核合格并持有上岗证</w:t>
            </w:r>
            <w:r>
              <w:rPr>
                <w:rFonts w:hint="eastAsia" w:hAnsiTheme="minorEastAsia"/>
                <w:kern w:val="0"/>
                <w:sz w:val="24"/>
                <w:lang w:eastAsia="zh-CN"/>
              </w:rPr>
              <w:t>“</w:t>
            </w:r>
            <w:r>
              <w:rPr>
                <w:rFonts w:hAnsiTheme="minorEastAsia" w:eastAsiaTheme="minorEastAsia"/>
                <w:kern w:val="0"/>
                <w:sz w:val="24"/>
              </w:rPr>
              <w:t>持证上岗</w:t>
            </w:r>
            <w:r>
              <w:rPr>
                <w:rFonts w:hint="eastAsia" w:hAnsiTheme="minorEastAsia"/>
                <w:kern w:val="0"/>
                <w:sz w:val="24"/>
                <w:lang w:eastAsia="zh-CN"/>
              </w:rPr>
              <w:t>”</w:t>
            </w:r>
            <w:r>
              <w:rPr>
                <w:rFonts w:hAnsiTheme="minorEastAsia" w:eastAsiaTheme="minorEastAsia"/>
                <w:kern w:val="0"/>
                <w:sz w:val="24"/>
              </w:rPr>
              <w:t>。</w:t>
            </w:r>
          </w:p>
          <w:p>
            <w:pPr>
              <w:spacing w:line="480" w:lineRule="auto"/>
              <w:rPr>
                <w:rFonts w:hint="default" w:ascii="Times New Roman" w:hAnsi="Times New Roman" w:cs="Times New Roman" w:eastAsiaTheme="minorEastAsia"/>
                <w:b/>
                <w:bCs/>
                <w:kern w:val="0"/>
                <w:sz w:val="24"/>
              </w:rPr>
            </w:pPr>
            <w:bookmarkStart w:id="4" w:name="_Toc514767370"/>
            <w:r>
              <w:rPr>
                <w:rFonts w:hint="default" w:ascii="Times New Roman" w:hAnsi="Times New Roman" w:cs="Times New Roman" w:eastAsiaTheme="minorEastAsia"/>
                <w:b/>
                <w:bCs/>
                <w:kern w:val="0"/>
                <w:sz w:val="24"/>
              </w:rPr>
              <w:t>5.4质量控制和质量保证</w:t>
            </w:r>
            <w:bookmarkEnd w:id="3"/>
            <w:bookmarkEnd w:id="4"/>
          </w:p>
          <w:p>
            <w:pPr>
              <w:spacing w:line="360" w:lineRule="auto"/>
              <w:ind w:firstLine="480" w:firstLineChars="200"/>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为了确保验收监测的环境样品的代表性，分析测试的准确性、精密性，监测报告的完整性，对验收监测的全过程（包括布点、采样、样品贮运、实验室分析、数据统计分析、报告编制和审核等）进行严格的质量控制。</w:t>
            </w:r>
          </w:p>
          <w:p>
            <w:pPr>
              <w:spacing w:line="360" w:lineRule="auto"/>
              <w:ind w:firstLine="360" w:firstLineChars="150"/>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1、严格按照验收监测方案要求开展监测工作；</w:t>
            </w:r>
          </w:p>
          <w:p>
            <w:pPr>
              <w:spacing w:line="360" w:lineRule="auto"/>
              <w:ind w:firstLine="360" w:firstLineChars="150"/>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2、合理布设监测点，保证各监测点位布设的科学性和代表性；</w:t>
            </w:r>
          </w:p>
          <w:p>
            <w:pPr>
              <w:spacing w:line="360" w:lineRule="auto"/>
              <w:ind w:firstLine="360" w:firstLineChars="150"/>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3、采样人员严格遵守采样操作规程，在生产设备和环保设施运行稳定条件下采样。同时，认真填写采样记录，注明采样工况，并按规定保存、运输样品，确保验收监测样品采集的代表性；</w:t>
            </w:r>
          </w:p>
          <w:p>
            <w:pPr>
              <w:spacing w:line="360" w:lineRule="auto"/>
              <w:ind w:firstLine="360" w:firstLineChars="150"/>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4、监测分析采用国家有关部门颁布的标准分析方法或推荐方法；监测人员经考核合格并持有上岗证，所有监测仪器、量具均经过计量部门检定合格并在有效期内使用；</w:t>
            </w:r>
          </w:p>
          <w:p>
            <w:pPr>
              <w:spacing w:line="360" w:lineRule="auto"/>
              <w:ind w:firstLine="360" w:firstLineChars="150"/>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5、噪声监测时使用经计量部门检定、并在有效期内的1级或2级声级计；在测试前后用标准发声源进行校准，测量前后仪器的灵敏度相差不大于0.5dB，若大于0.5dB则测试数据无效；</w:t>
            </w:r>
          </w:p>
          <w:p>
            <w:pPr>
              <w:spacing w:line="360" w:lineRule="auto"/>
              <w:ind w:firstLine="360" w:firstLineChars="150"/>
              <w:rPr>
                <w:rFonts w:hint="default" w:ascii="宋体" w:hAnsi="宋体" w:eastAsia="宋体" w:cs="宋体"/>
                <w:b/>
                <w:color w:val="000000"/>
                <w:kern w:val="0"/>
                <w:sz w:val="28"/>
                <w:szCs w:val="28"/>
                <w:vertAlign w:val="baseline"/>
                <w:lang w:val="en-US" w:eastAsia="zh-CN" w:bidi="ar"/>
              </w:rPr>
            </w:pPr>
            <w:r>
              <w:rPr>
                <w:rFonts w:hint="default" w:ascii="Times New Roman" w:hAnsi="Times New Roman" w:cs="Times New Roman" w:eastAsiaTheme="minorEastAsia"/>
                <w:kern w:val="0"/>
                <w:sz w:val="24"/>
              </w:rPr>
              <w:t>6、监测数据和监测报告严格实行</w:t>
            </w:r>
            <w:r>
              <w:rPr>
                <w:rFonts w:hint="eastAsia" w:ascii="Times New Roman" w:hAnsi="Times New Roman" w:cs="Times New Roman"/>
                <w:kern w:val="0"/>
                <w:sz w:val="24"/>
                <w:lang w:eastAsia="zh-CN"/>
              </w:rPr>
              <w:t>“</w:t>
            </w:r>
            <w:r>
              <w:rPr>
                <w:rFonts w:hint="default" w:ascii="Times New Roman" w:hAnsi="Times New Roman" w:cs="Times New Roman" w:eastAsiaTheme="minorEastAsia"/>
                <w:kern w:val="0"/>
                <w:sz w:val="24"/>
              </w:rPr>
              <w:t>三级审核</w:t>
            </w:r>
            <w:r>
              <w:rPr>
                <w:rFonts w:hint="eastAsia" w:ascii="Times New Roman" w:hAnsi="Times New Roman" w:cs="Times New Roman"/>
                <w:kern w:val="0"/>
                <w:sz w:val="24"/>
                <w:lang w:eastAsia="zh-CN"/>
              </w:rPr>
              <w:t>”</w:t>
            </w:r>
            <w:r>
              <w:rPr>
                <w:rFonts w:hint="default" w:ascii="Times New Roman" w:hAnsi="Times New Roman" w:cs="Times New Roman" w:eastAsiaTheme="minorEastAsia"/>
                <w:kern w:val="0"/>
                <w:sz w:val="24"/>
              </w:rPr>
              <w:t>制度。</w:t>
            </w:r>
          </w:p>
        </w:tc>
      </w:tr>
    </w:tbl>
    <w:p>
      <w:pPr>
        <w:spacing w:line="360" w:lineRule="auto"/>
        <w:rPr>
          <w:rFonts w:eastAsia="仿宋_GB2312"/>
          <w:b/>
          <w:sz w:val="28"/>
          <w:szCs w:val="28"/>
        </w:rPr>
      </w:pPr>
    </w:p>
    <w:p>
      <w:pPr>
        <w:spacing w:line="360" w:lineRule="auto"/>
        <w:rPr>
          <w:rFonts w:eastAsia="仿宋_GB2312"/>
          <w:b/>
          <w:sz w:val="28"/>
          <w:szCs w:val="28"/>
        </w:rPr>
      </w:pPr>
      <w:r>
        <w:rPr>
          <w:rFonts w:eastAsia="仿宋_GB2312"/>
          <w:b/>
          <w:sz w:val="28"/>
          <w:szCs w:val="28"/>
        </w:rPr>
        <w:t>表</w:t>
      </w:r>
      <w:r>
        <w:rPr>
          <w:rFonts w:hint="eastAsia" w:eastAsia="仿宋_GB2312"/>
          <w:b/>
          <w:sz w:val="28"/>
          <w:szCs w:val="28"/>
        </w:rPr>
        <w:t>六</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6" w:hRule="atLeast"/>
        </w:trPr>
        <w:tc>
          <w:tcPr>
            <w:tcW w:w="8522" w:type="dxa"/>
          </w:tcPr>
          <w:p>
            <w:pPr>
              <w:spacing w:line="480" w:lineRule="auto"/>
              <w:rPr>
                <w:b/>
                <w:bCs/>
                <w:sz w:val="24"/>
                <w:szCs w:val="24"/>
              </w:rPr>
            </w:pPr>
            <w:r>
              <w:rPr>
                <w:b/>
                <w:bCs/>
                <w:sz w:val="24"/>
                <w:szCs w:val="24"/>
              </w:rPr>
              <w:t>验收监测内容：</w:t>
            </w:r>
          </w:p>
          <w:p>
            <w:pPr>
              <w:spacing w:line="480" w:lineRule="auto"/>
              <w:rPr>
                <w:b/>
                <w:bCs/>
                <w:sz w:val="24"/>
                <w:szCs w:val="24"/>
              </w:rPr>
            </w:pPr>
            <w:bookmarkStart w:id="5" w:name="_Toc514767363"/>
            <w:r>
              <w:rPr>
                <w:b/>
                <w:bCs/>
                <w:sz w:val="24"/>
                <w:szCs w:val="24"/>
              </w:rPr>
              <w:t>6.1  废水</w:t>
            </w:r>
            <w:bookmarkEnd w:id="5"/>
          </w:p>
          <w:p>
            <w:pPr>
              <w:spacing w:line="480" w:lineRule="auto"/>
              <w:ind w:firstLine="480" w:firstLineChars="200"/>
              <w:rPr>
                <w:rFonts w:hint="eastAsia"/>
                <w:sz w:val="24"/>
                <w:szCs w:val="24"/>
                <w:lang w:eastAsia="zh-CN"/>
              </w:rPr>
            </w:pPr>
            <w:r>
              <w:rPr>
                <w:rFonts w:hint="eastAsia"/>
                <w:sz w:val="24"/>
                <w:szCs w:val="24"/>
              </w:rPr>
              <w:t>废水</w:t>
            </w:r>
            <w:r>
              <w:rPr>
                <w:sz w:val="24"/>
                <w:szCs w:val="24"/>
              </w:rPr>
              <w:t>监测内容详见表</w:t>
            </w:r>
            <w:r>
              <w:rPr>
                <w:rFonts w:hint="eastAsia"/>
                <w:sz w:val="24"/>
                <w:szCs w:val="24"/>
              </w:rPr>
              <w:t>6</w:t>
            </w:r>
            <w:r>
              <w:rPr>
                <w:sz w:val="24"/>
                <w:szCs w:val="24"/>
              </w:rPr>
              <w:t>-</w:t>
            </w:r>
            <w:r>
              <w:rPr>
                <w:rFonts w:hint="eastAsia"/>
                <w:sz w:val="24"/>
                <w:szCs w:val="24"/>
              </w:rPr>
              <w:t>1</w:t>
            </w:r>
            <w:r>
              <w:rPr>
                <w:sz w:val="24"/>
                <w:szCs w:val="24"/>
              </w:rPr>
              <w:t>，监测点位详见图</w:t>
            </w:r>
            <w:r>
              <w:rPr>
                <w:rFonts w:hint="eastAsia"/>
                <w:sz w:val="24"/>
                <w:szCs w:val="24"/>
              </w:rPr>
              <w:t>6</w:t>
            </w:r>
            <w:r>
              <w:rPr>
                <w:sz w:val="24"/>
                <w:szCs w:val="24"/>
              </w:rPr>
              <w:t>-</w:t>
            </w:r>
            <w:r>
              <w:rPr>
                <w:rFonts w:hint="eastAsia"/>
                <w:sz w:val="24"/>
                <w:szCs w:val="24"/>
              </w:rPr>
              <w:t>1</w:t>
            </w:r>
            <w:r>
              <w:rPr>
                <w:rFonts w:hint="eastAsia"/>
                <w:sz w:val="24"/>
                <w:szCs w:val="24"/>
                <w:lang w:eastAsia="zh-CN"/>
              </w:rPr>
              <w:t>。</w:t>
            </w:r>
          </w:p>
          <w:p>
            <w:pPr>
              <w:tabs>
                <w:tab w:val="center" w:pos="4606"/>
                <w:tab w:val="left" w:pos="6420"/>
              </w:tabs>
              <w:adjustRightInd w:val="0"/>
              <w:snapToGrid w:val="0"/>
              <w:spacing w:line="480" w:lineRule="auto"/>
              <w:jc w:val="center"/>
              <w:rPr>
                <w:b/>
                <w:bCs/>
              </w:rPr>
            </w:pPr>
            <w:r>
              <w:rPr>
                <w:rFonts w:hint="eastAsia"/>
                <w:b/>
                <w:bCs/>
              </w:rPr>
              <w:t xml:space="preserve">表6-1  </w:t>
            </w:r>
            <w:r>
              <w:rPr>
                <w:b/>
                <w:bCs/>
              </w:rPr>
              <w:t>废水监测内容</w:t>
            </w:r>
          </w:p>
          <w:tbl>
            <w:tblPr>
              <w:tblStyle w:val="14"/>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2"/>
              <w:gridCol w:w="2533"/>
              <w:gridCol w:w="2534"/>
              <w:gridCol w:w="2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1212" w:type="dxa"/>
                  <w:noWrap w:val="0"/>
                  <w:vAlign w:val="center"/>
                </w:tcPr>
                <w:p>
                  <w:pPr>
                    <w:pStyle w:val="25"/>
                    <w:spacing w:line="240" w:lineRule="auto"/>
                  </w:pPr>
                  <w:r>
                    <w:rPr>
                      <w:rFonts w:hint="eastAsia"/>
                    </w:rPr>
                    <w:t>监测</w:t>
                  </w:r>
                  <w:r>
                    <w:t>项目</w:t>
                  </w:r>
                </w:p>
              </w:tc>
              <w:tc>
                <w:tcPr>
                  <w:tcW w:w="2533" w:type="dxa"/>
                  <w:noWrap w:val="0"/>
                  <w:vAlign w:val="center"/>
                </w:tcPr>
                <w:p>
                  <w:pPr>
                    <w:pStyle w:val="25"/>
                    <w:spacing w:line="240" w:lineRule="auto"/>
                    <w:rPr>
                      <w:rFonts w:hint="default" w:ascii="Times New Roman" w:hAnsi="Times New Roman" w:cs="Times New Roman"/>
                    </w:rPr>
                  </w:pPr>
                  <w:r>
                    <w:rPr>
                      <w:rFonts w:hint="default" w:ascii="Times New Roman" w:hAnsi="Times New Roman" w:cs="Times New Roman"/>
                    </w:rPr>
                    <w:t>监测点位</w:t>
                  </w:r>
                </w:p>
              </w:tc>
              <w:tc>
                <w:tcPr>
                  <w:tcW w:w="2534" w:type="dxa"/>
                  <w:tcBorders>
                    <w:bottom w:val="single" w:color="auto" w:sz="4" w:space="0"/>
                  </w:tcBorders>
                  <w:noWrap w:val="0"/>
                  <w:vAlign w:val="center"/>
                </w:tcPr>
                <w:p>
                  <w:pPr>
                    <w:pStyle w:val="25"/>
                    <w:spacing w:line="240" w:lineRule="auto"/>
                    <w:rPr>
                      <w:rFonts w:hint="default" w:ascii="Times New Roman" w:hAnsi="Times New Roman" w:cs="Times New Roman"/>
                    </w:rPr>
                  </w:pPr>
                  <w:r>
                    <w:rPr>
                      <w:rFonts w:hint="default" w:ascii="Times New Roman" w:hAnsi="Times New Roman" w:cs="Times New Roman"/>
                    </w:rPr>
                    <w:t>监测因子</w:t>
                  </w:r>
                </w:p>
              </w:tc>
              <w:tc>
                <w:tcPr>
                  <w:tcW w:w="2017" w:type="dxa"/>
                  <w:tcBorders>
                    <w:bottom w:val="single" w:color="auto" w:sz="4" w:space="0"/>
                  </w:tcBorders>
                  <w:noWrap w:val="0"/>
                  <w:vAlign w:val="center"/>
                </w:tcPr>
                <w:p>
                  <w:pPr>
                    <w:pStyle w:val="25"/>
                    <w:spacing w:line="240" w:lineRule="auto"/>
                  </w:pPr>
                  <w:r>
                    <w:rPr>
                      <w:rFonts w:hint="eastAsia"/>
                    </w:rPr>
                    <w:t>监测</w:t>
                  </w:r>
                  <w:r>
                    <w:t>频次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7" w:hRule="atLeast"/>
              </w:trPr>
              <w:tc>
                <w:tcPr>
                  <w:tcW w:w="1212" w:type="dxa"/>
                  <w:noWrap w:val="0"/>
                  <w:vAlign w:val="center"/>
                </w:tcPr>
                <w:p>
                  <w:pPr>
                    <w:pStyle w:val="25"/>
                    <w:spacing w:line="240" w:lineRule="auto"/>
                    <w:jc w:val="center"/>
                    <w:rPr>
                      <w:rFonts w:hint="eastAsia"/>
                    </w:rPr>
                  </w:pPr>
                  <w:r>
                    <w:rPr>
                      <w:rFonts w:hint="eastAsia"/>
                    </w:rPr>
                    <w:t>生活废水</w:t>
                  </w:r>
                </w:p>
              </w:tc>
              <w:tc>
                <w:tcPr>
                  <w:tcW w:w="2533" w:type="dxa"/>
                  <w:noWrap w:val="0"/>
                  <w:vAlign w:val="center"/>
                </w:tcPr>
                <w:p>
                  <w:pPr>
                    <w:spacing w:line="500" w:lineRule="exact"/>
                    <w:jc w:val="center"/>
                    <w:rPr>
                      <w:rFonts w:hint="default" w:ascii="Times New Roman" w:hAnsi="Times New Roman" w:cs="Times New Roman"/>
                      <w:lang w:val="en-US" w:eastAsia="zh-CN"/>
                    </w:rPr>
                  </w:pPr>
                  <w:r>
                    <w:rPr>
                      <w:rFonts w:hint="default" w:ascii="Times New Roman" w:hAnsi="Times New Roman" w:cs="Times New Roman"/>
                      <w:lang w:val="en-US" w:eastAsia="zh-CN"/>
                    </w:rPr>
                    <w:t>生化池进出口W1、W2</w:t>
                  </w:r>
                </w:p>
              </w:tc>
              <w:tc>
                <w:tcPr>
                  <w:tcW w:w="2534" w:type="dxa"/>
                  <w:noWrap w:val="0"/>
                  <w:vAlign w:val="center"/>
                </w:tcPr>
                <w:p>
                  <w:pPr>
                    <w:pStyle w:val="25"/>
                    <w:spacing w:line="240" w:lineRule="auto"/>
                    <w:jc w:val="center"/>
                    <w:rPr>
                      <w:rFonts w:hint="default" w:ascii="Times New Roman" w:hAnsi="Times New Roman" w:cs="Times New Roman"/>
                      <w:lang w:val="en-US" w:eastAsia="zh-CN"/>
                    </w:rPr>
                  </w:pPr>
                  <w:r>
                    <w:rPr>
                      <w:rFonts w:hint="default" w:ascii="Times New Roman" w:hAnsi="Times New Roman" w:cs="Times New Roman"/>
                      <w:lang w:val="en-US" w:eastAsia="zh-CN"/>
                    </w:rPr>
                    <w:t>pH、COD、BOD</w:t>
                  </w:r>
                  <w:r>
                    <w:rPr>
                      <w:rFonts w:hint="default" w:ascii="Times New Roman" w:hAnsi="Times New Roman" w:cs="Times New Roman"/>
                      <w:vertAlign w:val="subscript"/>
                      <w:lang w:val="en-US" w:eastAsia="zh-CN"/>
                    </w:rPr>
                    <w:t>5</w:t>
                  </w:r>
                  <w:r>
                    <w:rPr>
                      <w:rFonts w:hint="default" w:ascii="Times New Roman" w:hAnsi="Times New Roman" w:cs="Times New Roman"/>
                      <w:lang w:val="en-US" w:eastAsia="zh-CN"/>
                    </w:rPr>
                    <w:t>、SS、NH3-N、石油类</w:t>
                  </w:r>
                </w:p>
              </w:tc>
              <w:tc>
                <w:tcPr>
                  <w:tcW w:w="2017" w:type="dxa"/>
                  <w:tcBorders>
                    <w:top w:val="single" w:color="auto" w:sz="4" w:space="0"/>
                    <w:bottom w:val="single" w:color="auto" w:sz="4" w:space="0"/>
                  </w:tcBorders>
                  <w:noWrap w:val="0"/>
                  <w:vAlign w:val="center"/>
                </w:tcPr>
                <w:p>
                  <w:pPr>
                    <w:pStyle w:val="25"/>
                    <w:jc w:val="center"/>
                    <w:rPr>
                      <w:rFonts w:hint="eastAsia"/>
                      <w:lang w:val="en-US" w:eastAsia="zh-CN"/>
                    </w:rPr>
                  </w:pPr>
                  <w:r>
                    <w:rPr>
                      <w:rFonts w:hint="eastAsia"/>
                      <w:lang w:val="en-US" w:eastAsia="zh-CN"/>
                    </w:rPr>
                    <w:t>连续监测2天，每天采样4次</w:t>
                  </w:r>
                </w:p>
              </w:tc>
            </w:tr>
          </w:tbl>
          <w:p>
            <w:pPr>
              <w:tabs>
                <w:tab w:val="center" w:pos="4606"/>
                <w:tab w:val="left" w:pos="6420"/>
              </w:tabs>
              <w:adjustRightInd w:val="0"/>
              <w:snapToGrid w:val="0"/>
              <w:spacing w:line="360" w:lineRule="auto"/>
              <w:jc w:val="center"/>
              <w:rPr>
                <w:rFonts w:hint="eastAsia"/>
              </w:rPr>
            </w:pPr>
          </w:p>
          <w:p>
            <w:pPr>
              <w:tabs>
                <w:tab w:val="center" w:pos="4606"/>
                <w:tab w:val="left" w:pos="6420"/>
              </w:tabs>
              <w:adjustRightInd w:val="0"/>
              <w:snapToGrid w:val="0"/>
              <w:spacing w:line="360" w:lineRule="auto"/>
              <w:jc w:val="center"/>
              <w:rPr>
                <w:rFonts w:hint="eastAsia"/>
              </w:rPr>
            </w:pPr>
            <w:r>
              <w:drawing>
                <wp:inline distT="0" distB="0" distL="114300" distR="114300">
                  <wp:extent cx="4552950" cy="41910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1"/>
                          <a:stretch>
                            <a:fillRect/>
                          </a:stretch>
                        </pic:blipFill>
                        <pic:spPr>
                          <a:xfrm>
                            <a:off x="0" y="0"/>
                            <a:ext cx="4552950" cy="419100"/>
                          </a:xfrm>
                          <a:prstGeom prst="rect">
                            <a:avLst/>
                          </a:prstGeom>
                          <a:noFill/>
                          <a:ln>
                            <a:noFill/>
                          </a:ln>
                        </pic:spPr>
                      </pic:pic>
                    </a:graphicData>
                  </a:graphic>
                </wp:inline>
              </w:drawing>
            </w:r>
          </w:p>
          <w:p>
            <w:pPr>
              <w:tabs>
                <w:tab w:val="center" w:pos="4606"/>
                <w:tab w:val="left" w:pos="6420"/>
              </w:tabs>
              <w:adjustRightInd w:val="0"/>
              <w:snapToGrid w:val="0"/>
              <w:spacing w:line="480" w:lineRule="auto"/>
              <w:jc w:val="center"/>
              <w:rPr>
                <w:b/>
                <w:bCs/>
                <w:sz w:val="24"/>
                <w:szCs w:val="24"/>
              </w:rPr>
            </w:pPr>
            <w:r>
              <w:rPr>
                <w:b/>
                <w:bCs/>
              </w:rPr>
              <w:t>图</w:t>
            </w:r>
            <w:r>
              <w:rPr>
                <w:rFonts w:hint="eastAsia"/>
                <w:b/>
                <w:bCs/>
              </w:rPr>
              <w:t>6</w:t>
            </w:r>
            <w:r>
              <w:rPr>
                <w:b/>
                <w:bCs/>
              </w:rPr>
              <w:t>-</w:t>
            </w:r>
            <w:r>
              <w:rPr>
                <w:rFonts w:hint="eastAsia"/>
                <w:b/>
                <w:bCs/>
              </w:rPr>
              <w:t>1</w:t>
            </w:r>
            <w:r>
              <w:rPr>
                <w:rFonts w:hint="eastAsia"/>
                <w:b/>
                <w:bCs/>
                <w:lang w:val="en-US" w:eastAsia="zh-CN"/>
              </w:rPr>
              <w:t xml:space="preserve"> 废水</w:t>
            </w:r>
            <w:r>
              <w:rPr>
                <w:b/>
                <w:bCs/>
              </w:rPr>
              <w:t>监测点位详见图</w:t>
            </w:r>
            <w:bookmarkStart w:id="6" w:name="_Toc514767365"/>
          </w:p>
          <w:p>
            <w:pPr>
              <w:spacing w:line="480" w:lineRule="auto"/>
              <w:jc w:val="left"/>
              <w:rPr>
                <w:b/>
                <w:bCs/>
                <w:sz w:val="24"/>
                <w:szCs w:val="24"/>
              </w:rPr>
            </w:pPr>
            <w:r>
              <w:rPr>
                <w:b/>
                <w:bCs/>
                <w:sz w:val="24"/>
                <w:szCs w:val="24"/>
              </w:rPr>
              <w:t>6.</w:t>
            </w:r>
            <w:r>
              <w:rPr>
                <w:rFonts w:hint="eastAsia"/>
                <w:b/>
                <w:bCs/>
                <w:sz w:val="24"/>
                <w:szCs w:val="24"/>
                <w:lang w:val="en-US" w:eastAsia="zh-CN"/>
              </w:rPr>
              <w:t>2</w:t>
            </w:r>
            <w:r>
              <w:rPr>
                <w:b/>
                <w:bCs/>
                <w:sz w:val="24"/>
                <w:szCs w:val="24"/>
              </w:rPr>
              <w:t xml:space="preserve">  噪声</w:t>
            </w:r>
            <w:bookmarkEnd w:id="6"/>
          </w:p>
          <w:p>
            <w:pPr>
              <w:spacing w:line="360" w:lineRule="auto"/>
              <w:ind w:firstLine="360" w:firstLineChars="150"/>
              <w:rPr>
                <w:sz w:val="24"/>
                <w:szCs w:val="24"/>
              </w:rPr>
            </w:pPr>
            <w:r>
              <w:rPr>
                <w:sz w:val="24"/>
                <w:szCs w:val="24"/>
              </w:rPr>
              <w:t>噪声监测内容详见表6-</w:t>
            </w:r>
            <w:r>
              <w:rPr>
                <w:rFonts w:hint="eastAsia"/>
                <w:sz w:val="24"/>
                <w:szCs w:val="24"/>
                <w:lang w:val="en-US" w:eastAsia="zh-CN"/>
              </w:rPr>
              <w:t>2</w:t>
            </w:r>
            <w:r>
              <w:rPr>
                <w:sz w:val="24"/>
                <w:szCs w:val="24"/>
              </w:rPr>
              <w:t>，监测点位详见图6-</w:t>
            </w:r>
            <w:r>
              <w:rPr>
                <w:rFonts w:hint="eastAsia"/>
                <w:sz w:val="24"/>
                <w:szCs w:val="24"/>
              </w:rPr>
              <w:t>2</w:t>
            </w:r>
            <w:r>
              <w:rPr>
                <w:sz w:val="24"/>
                <w:szCs w:val="24"/>
              </w:rPr>
              <w:t>。</w:t>
            </w:r>
          </w:p>
          <w:p>
            <w:pPr>
              <w:spacing w:line="480" w:lineRule="auto"/>
              <w:jc w:val="center"/>
              <w:rPr>
                <w:b/>
                <w:bCs/>
              </w:rPr>
            </w:pPr>
            <w:r>
              <w:rPr>
                <w:b/>
                <w:bCs/>
              </w:rPr>
              <w:t>表6-</w:t>
            </w:r>
            <w:r>
              <w:rPr>
                <w:rFonts w:hint="eastAsia"/>
                <w:b/>
                <w:bCs/>
                <w:lang w:val="en-US" w:eastAsia="zh-CN"/>
              </w:rPr>
              <w:t>2</w:t>
            </w:r>
            <w:r>
              <w:rPr>
                <w:b/>
                <w:bCs/>
              </w:rPr>
              <w:t xml:space="preserve">  厂界噪声监测内容</w:t>
            </w:r>
          </w:p>
          <w:tbl>
            <w:tblPr>
              <w:tblStyle w:val="1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1333"/>
              <w:gridCol w:w="2268"/>
              <w:gridCol w:w="1134"/>
              <w:gridCol w:w="2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97" w:type="dxa"/>
                  <w:vAlign w:val="center"/>
                </w:tcPr>
                <w:p>
                  <w:pPr>
                    <w:pStyle w:val="20"/>
                    <w:spacing w:line="240" w:lineRule="auto"/>
                    <w:jc w:val="center"/>
                  </w:pPr>
                  <w:r>
                    <w:t>监测类别</w:t>
                  </w:r>
                </w:p>
              </w:tc>
              <w:tc>
                <w:tcPr>
                  <w:tcW w:w="1333" w:type="dxa"/>
                  <w:vAlign w:val="center"/>
                </w:tcPr>
                <w:p>
                  <w:pPr>
                    <w:jc w:val="center"/>
                  </w:pPr>
                  <w:r>
                    <w:t>采样点编号</w:t>
                  </w:r>
                </w:p>
              </w:tc>
              <w:tc>
                <w:tcPr>
                  <w:tcW w:w="2268" w:type="dxa"/>
                  <w:vAlign w:val="center"/>
                </w:tcPr>
                <w:p>
                  <w:pPr>
                    <w:jc w:val="center"/>
                  </w:pPr>
                  <w:r>
                    <w:t>采样点位</w:t>
                  </w:r>
                </w:p>
              </w:tc>
              <w:tc>
                <w:tcPr>
                  <w:tcW w:w="1134" w:type="dxa"/>
                  <w:vAlign w:val="center"/>
                </w:tcPr>
                <w:p>
                  <w:pPr>
                    <w:jc w:val="center"/>
                  </w:pPr>
                  <w:r>
                    <w:t>监测项目</w:t>
                  </w:r>
                </w:p>
              </w:tc>
              <w:tc>
                <w:tcPr>
                  <w:tcW w:w="2064" w:type="dxa"/>
                  <w:vAlign w:val="center"/>
                </w:tcPr>
                <w:p>
                  <w:pPr>
                    <w:jc w:val="center"/>
                  </w:pPr>
                  <w: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97" w:type="dxa"/>
                  <w:vMerge w:val="restart"/>
                  <w:vAlign w:val="center"/>
                </w:tcPr>
                <w:p>
                  <w:pPr>
                    <w:jc w:val="center"/>
                  </w:pPr>
                  <w:r>
                    <w:t>厂界噪声</w:t>
                  </w:r>
                </w:p>
              </w:tc>
              <w:tc>
                <w:tcPr>
                  <w:tcW w:w="1333" w:type="dxa"/>
                  <w:vAlign w:val="center"/>
                </w:tcPr>
                <w:p>
                  <w:pPr>
                    <w:jc w:val="center"/>
                  </w:pPr>
                  <w:r>
                    <w:rPr>
                      <w:rFonts w:hint="eastAsia"/>
                    </w:rPr>
                    <w:t>N1</w:t>
                  </w:r>
                </w:p>
              </w:tc>
              <w:tc>
                <w:tcPr>
                  <w:tcW w:w="2268" w:type="dxa"/>
                  <w:vAlign w:val="center"/>
                </w:tcPr>
                <w:p>
                  <w:pPr>
                    <w:jc w:val="center"/>
                  </w:pPr>
                  <w:r>
                    <w:rPr>
                      <w:rFonts w:hint="eastAsia"/>
                    </w:rPr>
                    <w:t>厂区</w:t>
                  </w:r>
                  <w:r>
                    <w:rPr>
                      <w:rFonts w:hint="eastAsia"/>
                      <w:lang w:eastAsia="zh-CN"/>
                    </w:rPr>
                    <w:t>北</w:t>
                  </w:r>
                  <w:r>
                    <w:rPr>
                      <w:rFonts w:hint="eastAsia"/>
                    </w:rPr>
                    <w:t>面</w:t>
                  </w:r>
                </w:p>
              </w:tc>
              <w:tc>
                <w:tcPr>
                  <w:tcW w:w="1134" w:type="dxa"/>
                  <w:vMerge w:val="restart"/>
                  <w:vAlign w:val="center"/>
                </w:tcPr>
                <w:p>
                  <w:pPr>
                    <w:jc w:val="center"/>
                  </w:pPr>
                  <w:r>
                    <w:t>厂界噪声</w:t>
                  </w:r>
                </w:p>
              </w:tc>
              <w:tc>
                <w:tcPr>
                  <w:tcW w:w="2064" w:type="dxa"/>
                  <w:vMerge w:val="restart"/>
                  <w:vAlign w:val="center"/>
                </w:tcPr>
                <w:p>
                  <w:pPr>
                    <w:jc w:val="center"/>
                    <w:outlineLvl w:val="0"/>
                  </w:pPr>
                  <w:r>
                    <w:t>监测2天，每天昼间</w:t>
                  </w:r>
                  <w:r>
                    <w:rPr>
                      <w:rFonts w:hint="eastAsia"/>
                    </w:rPr>
                    <w:t>监测1</w:t>
                  </w:r>
                  <w: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97" w:type="dxa"/>
                  <w:vMerge w:val="continue"/>
                  <w:vAlign w:val="center"/>
                </w:tcPr>
                <w:p>
                  <w:pPr>
                    <w:jc w:val="center"/>
                  </w:pPr>
                </w:p>
              </w:tc>
              <w:tc>
                <w:tcPr>
                  <w:tcW w:w="1333" w:type="dxa"/>
                  <w:vAlign w:val="center"/>
                </w:tcPr>
                <w:p>
                  <w:pPr>
                    <w:jc w:val="center"/>
                  </w:pPr>
                  <w:r>
                    <w:rPr>
                      <w:rFonts w:hint="eastAsia"/>
                    </w:rPr>
                    <w:t>N2</w:t>
                  </w:r>
                </w:p>
              </w:tc>
              <w:tc>
                <w:tcPr>
                  <w:tcW w:w="2268" w:type="dxa"/>
                  <w:vAlign w:val="center"/>
                </w:tcPr>
                <w:p>
                  <w:pPr>
                    <w:jc w:val="center"/>
                  </w:pPr>
                  <w:r>
                    <w:rPr>
                      <w:rFonts w:hint="eastAsia"/>
                    </w:rPr>
                    <w:t>厂区南面</w:t>
                  </w:r>
                </w:p>
              </w:tc>
              <w:tc>
                <w:tcPr>
                  <w:tcW w:w="1134" w:type="dxa"/>
                  <w:vMerge w:val="continue"/>
                  <w:vAlign w:val="center"/>
                </w:tcPr>
                <w:p>
                  <w:pPr>
                    <w:jc w:val="center"/>
                  </w:pPr>
                </w:p>
              </w:tc>
              <w:tc>
                <w:tcPr>
                  <w:tcW w:w="2064" w:type="dxa"/>
                  <w:vMerge w:val="continue"/>
                  <w:vAlign w:val="center"/>
                </w:tcPr>
                <w:p>
                  <w:pPr>
                    <w:jc w:val="center"/>
                    <w:outlineLvl w:val="0"/>
                  </w:pPr>
                </w:p>
              </w:tc>
            </w:tr>
          </w:tbl>
          <w:p>
            <w:pPr>
              <w:pStyle w:val="17"/>
              <w:ind w:left="0" w:leftChars="0" w:firstLine="0" w:firstLineChars="0"/>
              <w:rPr>
                <w:b/>
                <w:bCs/>
              </w:rPr>
            </w:pPr>
            <w:r>
              <w:drawing>
                <wp:inline distT="0" distB="0" distL="114300" distR="114300">
                  <wp:extent cx="5257800" cy="2352675"/>
                  <wp:effectExtent l="0" t="0" r="0" b="952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2"/>
                          <a:stretch>
                            <a:fillRect/>
                          </a:stretch>
                        </pic:blipFill>
                        <pic:spPr>
                          <a:xfrm>
                            <a:off x="0" y="0"/>
                            <a:ext cx="5257800" cy="2352675"/>
                          </a:xfrm>
                          <a:prstGeom prst="rect">
                            <a:avLst/>
                          </a:prstGeom>
                          <a:noFill/>
                          <a:ln>
                            <a:noFill/>
                          </a:ln>
                        </pic:spPr>
                      </pic:pic>
                    </a:graphicData>
                  </a:graphic>
                </wp:inline>
              </w:drawing>
            </w:r>
          </w:p>
          <w:p>
            <w:pPr>
              <w:tabs>
                <w:tab w:val="center" w:pos="4606"/>
                <w:tab w:val="left" w:pos="6420"/>
              </w:tabs>
              <w:adjustRightInd w:val="0"/>
              <w:snapToGrid w:val="0"/>
              <w:spacing w:line="480" w:lineRule="auto"/>
              <w:jc w:val="center"/>
              <w:rPr>
                <w:rFonts w:hint="default" w:ascii="宋体" w:hAnsi="宋体" w:eastAsia="宋体" w:cs="宋体"/>
                <w:b/>
                <w:color w:val="000000"/>
                <w:kern w:val="0"/>
                <w:sz w:val="28"/>
                <w:szCs w:val="28"/>
                <w:vertAlign w:val="baseline"/>
                <w:lang w:val="en-US" w:eastAsia="zh-CN" w:bidi="ar"/>
              </w:rPr>
            </w:pPr>
            <w:r>
              <w:rPr>
                <w:b/>
                <w:bCs/>
              </w:rPr>
              <w:t>图</w:t>
            </w:r>
            <w:r>
              <w:rPr>
                <w:rFonts w:hint="eastAsia"/>
                <w:b/>
                <w:bCs/>
              </w:rPr>
              <w:t>6</w:t>
            </w:r>
            <w:r>
              <w:rPr>
                <w:b/>
                <w:bCs/>
              </w:rPr>
              <w:t>-</w:t>
            </w:r>
            <w:r>
              <w:rPr>
                <w:rFonts w:hint="eastAsia"/>
                <w:b/>
                <w:bCs/>
                <w:lang w:val="en-US" w:eastAsia="zh-CN"/>
              </w:rPr>
              <w:t>2 噪声</w:t>
            </w:r>
            <w:r>
              <w:rPr>
                <w:b/>
                <w:bCs/>
              </w:rPr>
              <w:t>监测点位详见图</w:t>
            </w:r>
          </w:p>
        </w:tc>
      </w:tr>
    </w:tbl>
    <w:p>
      <w:pPr>
        <w:spacing w:line="360" w:lineRule="auto"/>
        <w:rPr>
          <w:rFonts w:eastAsia="仿宋_GB2312"/>
          <w:b/>
          <w:sz w:val="28"/>
          <w:szCs w:val="28"/>
        </w:rPr>
      </w:pPr>
      <w:r>
        <w:rPr>
          <w:rFonts w:eastAsia="仿宋_GB2312"/>
          <w:b/>
          <w:sz w:val="28"/>
          <w:szCs w:val="28"/>
        </w:rPr>
        <w:t>表</w:t>
      </w:r>
      <w:r>
        <w:rPr>
          <w:rFonts w:hint="eastAsia" w:eastAsia="仿宋_GB2312"/>
          <w:b/>
          <w:sz w:val="28"/>
          <w:szCs w:val="28"/>
        </w:rPr>
        <w:t>七</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8522" w:type="dxa"/>
            <w:vAlign w:val="top"/>
          </w:tcPr>
          <w:p>
            <w:pPr>
              <w:spacing w:line="360" w:lineRule="auto"/>
              <w:rPr>
                <w:b/>
                <w:bCs/>
                <w:kern w:val="0"/>
                <w:sz w:val="24"/>
              </w:rPr>
            </w:pPr>
            <w:r>
              <w:rPr>
                <w:rFonts w:hAnsi="宋体"/>
                <w:b/>
                <w:bCs/>
                <w:kern w:val="0"/>
                <w:sz w:val="24"/>
              </w:rPr>
              <w:t>验收监测期间生产工况记录：</w:t>
            </w:r>
          </w:p>
          <w:p>
            <w:pPr>
              <w:spacing w:line="360" w:lineRule="auto"/>
              <w:ind w:firstLine="360" w:firstLineChars="150"/>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验收监测时间为20</w:t>
            </w:r>
            <w:r>
              <w:rPr>
                <w:rFonts w:hint="eastAsia" w:ascii="Times New Roman" w:hAnsi="Times New Roman" w:cs="Times New Roman" w:eastAsiaTheme="minorEastAsia"/>
                <w:kern w:val="0"/>
                <w:sz w:val="24"/>
                <w:lang w:val="en-US" w:eastAsia="zh-CN"/>
              </w:rPr>
              <w:t>21</w:t>
            </w:r>
            <w:r>
              <w:rPr>
                <w:rFonts w:hint="default" w:ascii="Times New Roman" w:hAnsi="Times New Roman" w:cs="Times New Roman" w:eastAsiaTheme="minorEastAsia"/>
                <w:kern w:val="0"/>
                <w:sz w:val="24"/>
              </w:rPr>
              <w:t>年</w:t>
            </w:r>
            <w:r>
              <w:rPr>
                <w:rFonts w:hint="eastAsia" w:ascii="Times New Roman" w:hAnsi="Times New Roman" w:cs="Times New Roman" w:eastAsiaTheme="minorEastAsia"/>
                <w:kern w:val="0"/>
                <w:sz w:val="24"/>
                <w:lang w:val="en-US" w:eastAsia="zh-CN"/>
              </w:rPr>
              <w:t>7</w:t>
            </w:r>
            <w:r>
              <w:rPr>
                <w:rFonts w:hint="default" w:ascii="Times New Roman" w:hAnsi="Times New Roman" w:cs="Times New Roman" w:eastAsiaTheme="minorEastAsia"/>
                <w:kern w:val="0"/>
                <w:sz w:val="24"/>
              </w:rPr>
              <w:t>月</w:t>
            </w:r>
            <w:r>
              <w:rPr>
                <w:rFonts w:hint="eastAsia" w:ascii="Times New Roman" w:hAnsi="Times New Roman" w:cs="Times New Roman" w:eastAsiaTheme="minorEastAsia"/>
                <w:kern w:val="0"/>
                <w:sz w:val="24"/>
                <w:lang w:val="en-US" w:eastAsia="zh-CN"/>
              </w:rPr>
              <w:t>19</w:t>
            </w:r>
            <w:r>
              <w:rPr>
                <w:rFonts w:hint="default" w:ascii="Times New Roman" w:hAnsi="Times New Roman" w:cs="Times New Roman" w:eastAsiaTheme="minorEastAsia"/>
                <w:kern w:val="0"/>
                <w:sz w:val="24"/>
              </w:rPr>
              <w:t>～</w:t>
            </w:r>
            <w:r>
              <w:rPr>
                <w:rFonts w:hint="eastAsia" w:ascii="Times New Roman" w:hAnsi="Times New Roman" w:cs="Times New Roman" w:eastAsiaTheme="minorEastAsia"/>
                <w:kern w:val="0"/>
                <w:sz w:val="24"/>
                <w:lang w:val="en-US" w:eastAsia="zh-CN"/>
              </w:rPr>
              <w:t>20</w:t>
            </w:r>
            <w:r>
              <w:rPr>
                <w:rFonts w:hint="default" w:ascii="Times New Roman" w:hAnsi="Times New Roman" w:cs="Times New Roman" w:eastAsiaTheme="minorEastAsia"/>
                <w:kern w:val="0"/>
                <w:sz w:val="24"/>
              </w:rPr>
              <w:t>日。重庆乐仁汽车电子有限公司主要生产汽车线束，设计每天生产533套。2021 年7月19日生产410套汽车线束，生产工况达76. 9%。2021年7月20日生产442套汽车线束，生产工况达82. 9%。</w:t>
            </w:r>
          </w:p>
          <w:p>
            <w:pPr>
              <w:spacing w:line="360" w:lineRule="auto"/>
              <w:ind w:firstLine="360" w:firstLineChars="150"/>
              <w:rPr>
                <w:rFonts w:hint="eastAsia" w:eastAsiaTheme="minorEastAsia"/>
                <w:lang w:eastAsia="zh-CN"/>
              </w:rPr>
            </w:pPr>
            <w:r>
              <w:rPr>
                <w:rFonts w:hint="default" w:ascii="Times New Roman" w:hAnsi="Times New Roman" w:cs="Times New Roman" w:eastAsiaTheme="minorEastAsia"/>
                <w:kern w:val="0"/>
                <w:sz w:val="24"/>
              </w:rPr>
              <w:t>监测期间，</w:t>
            </w:r>
            <w:r>
              <w:rPr>
                <w:rFonts w:hint="eastAsia" w:ascii="Times New Roman" w:hAnsi="Times New Roman" w:cs="Times New Roman" w:eastAsiaTheme="minorEastAsia"/>
                <w:kern w:val="0"/>
                <w:sz w:val="24"/>
                <w:lang w:eastAsia="zh-CN"/>
              </w:rPr>
              <w:t>重庆乐仁汽车电子有限公司汽车线束总成生产项目</w:t>
            </w:r>
            <w:r>
              <w:rPr>
                <w:rFonts w:hint="default" w:ascii="Times New Roman" w:hAnsi="Times New Roman" w:cs="Times New Roman" w:eastAsiaTheme="minorEastAsia"/>
                <w:kern w:val="0"/>
                <w:sz w:val="24"/>
              </w:rPr>
              <w:t>生产设施和环保处理设施运行正常</w:t>
            </w:r>
            <w:r>
              <w:rPr>
                <w:rFonts w:hint="eastAsia" w:ascii="Times New Roman" w:hAnsi="Times New Roman" w:cs="Times New Roman"/>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pPr>
              <w:spacing w:line="360" w:lineRule="auto"/>
              <w:rPr>
                <w:rFonts w:hAnsi="宋体"/>
                <w:b/>
                <w:bCs/>
                <w:kern w:val="0"/>
                <w:sz w:val="24"/>
              </w:rPr>
            </w:pPr>
            <w:r>
              <w:rPr>
                <w:rFonts w:hAnsi="宋体"/>
                <w:b/>
                <w:bCs/>
                <w:kern w:val="0"/>
                <w:sz w:val="24"/>
              </w:rPr>
              <w:t>验收监测结果：</w:t>
            </w:r>
          </w:p>
          <w:p>
            <w:pPr>
              <w:spacing w:line="360" w:lineRule="auto"/>
              <w:rPr>
                <w:rFonts w:hAnsi="宋体"/>
                <w:kern w:val="0"/>
                <w:sz w:val="24"/>
              </w:rPr>
            </w:pPr>
            <w:r>
              <w:rPr>
                <w:rFonts w:hint="eastAsia" w:hAnsi="宋体"/>
                <w:kern w:val="0"/>
                <w:sz w:val="24"/>
              </w:rPr>
              <w:t>1、废水</w:t>
            </w:r>
          </w:p>
          <w:p>
            <w:pPr>
              <w:spacing w:line="360" w:lineRule="auto"/>
              <w:ind w:firstLine="360" w:firstLineChars="150"/>
              <w:rPr>
                <w:rFonts w:hAnsi="宋体"/>
                <w:kern w:val="0"/>
                <w:sz w:val="24"/>
              </w:rPr>
            </w:pPr>
            <w:r>
              <w:rPr>
                <w:rFonts w:hint="eastAsia" w:hAnsi="宋体"/>
                <w:kern w:val="0"/>
                <w:sz w:val="24"/>
              </w:rPr>
              <w:t>废水检测结果详见表7-</w:t>
            </w:r>
            <w:r>
              <w:rPr>
                <w:rFonts w:hint="eastAsia" w:hAnsi="宋体"/>
                <w:kern w:val="0"/>
                <w:sz w:val="24"/>
                <w:lang w:val="en-US" w:eastAsia="zh-CN"/>
              </w:rPr>
              <w:t>1</w:t>
            </w:r>
            <w:r>
              <w:rPr>
                <w:rFonts w:hint="eastAsia" w:hAnsi="宋体"/>
                <w:kern w:val="0"/>
                <w:sz w:val="24"/>
              </w:rPr>
              <w:t>。</w:t>
            </w:r>
          </w:p>
          <w:p>
            <w:pPr>
              <w:adjustRightInd w:val="0"/>
              <w:snapToGrid w:val="0"/>
              <w:spacing w:line="360" w:lineRule="auto"/>
              <w:jc w:val="center"/>
              <w:rPr>
                <w:rFonts w:hint="eastAsia" w:hAnsi="宋体"/>
                <w:b/>
                <w:bCs/>
                <w:kern w:val="0"/>
                <w:sz w:val="21"/>
                <w:szCs w:val="21"/>
                <w:lang w:eastAsia="zh-CN"/>
              </w:rPr>
            </w:pPr>
            <w:r>
              <w:rPr>
                <w:rFonts w:hAnsi="宋体"/>
                <w:b/>
                <w:bCs/>
                <w:kern w:val="0"/>
                <w:sz w:val="21"/>
                <w:szCs w:val="21"/>
              </w:rPr>
              <w:t>表</w:t>
            </w:r>
            <w:r>
              <w:rPr>
                <w:rFonts w:hint="eastAsia" w:hAnsi="宋体"/>
                <w:b/>
                <w:bCs/>
                <w:kern w:val="0"/>
                <w:sz w:val="21"/>
                <w:szCs w:val="21"/>
              </w:rPr>
              <w:t>7</w:t>
            </w:r>
            <w:r>
              <w:rPr>
                <w:rFonts w:hAnsi="宋体"/>
                <w:b/>
                <w:bCs/>
                <w:kern w:val="0"/>
                <w:sz w:val="21"/>
                <w:szCs w:val="21"/>
              </w:rPr>
              <w:t>-</w:t>
            </w:r>
            <w:r>
              <w:rPr>
                <w:rFonts w:hint="eastAsia" w:hAnsi="宋体"/>
                <w:b/>
                <w:bCs/>
                <w:kern w:val="0"/>
                <w:sz w:val="21"/>
                <w:szCs w:val="21"/>
                <w:lang w:val="en-US" w:eastAsia="zh-CN"/>
              </w:rPr>
              <w:t>1</w:t>
            </w:r>
            <w:r>
              <w:rPr>
                <w:rFonts w:hint="eastAsia" w:hAnsi="宋体"/>
                <w:b/>
                <w:bCs/>
                <w:kern w:val="0"/>
                <w:sz w:val="21"/>
                <w:szCs w:val="21"/>
              </w:rPr>
              <w:t xml:space="preserve">  </w:t>
            </w:r>
            <w:r>
              <w:rPr>
                <w:rFonts w:hint="eastAsia" w:hAnsi="宋体"/>
                <w:b/>
                <w:bCs/>
                <w:kern w:val="0"/>
                <w:sz w:val="21"/>
                <w:szCs w:val="21"/>
                <w:lang w:eastAsia="zh-CN"/>
              </w:rPr>
              <w:t>废水</w:t>
            </w:r>
            <w:r>
              <w:rPr>
                <w:rFonts w:hAnsi="宋体"/>
                <w:b/>
                <w:bCs/>
                <w:kern w:val="0"/>
                <w:sz w:val="21"/>
                <w:szCs w:val="21"/>
              </w:rPr>
              <w:t>检测结果一览表</w:t>
            </w:r>
          </w:p>
          <w:tbl>
            <w:tblPr>
              <w:tblStyle w:val="1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748"/>
              <w:gridCol w:w="1453"/>
              <w:gridCol w:w="957"/>
              <w:gridCol w:w="873"/>
              <w:gridCol w:w="873"/>
              <w:gridCol w:w="873"/>
              <w:gridCol w:w="873"/>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1" w:type="pct"/>
                  <w:noWrap w:val="0"/>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检测</w:t>
                  </w:r>
                </w:p>
                <w:p>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时间</w:t>
                  </w:r>
                </w:p>
              </w:tc>
              <w:tc>
                <w:tcPr>
                  <w:tcW w:w="451" w:type="pct"/>
                  <w:noWrap w:val="0"/>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lang w:eastAsia="zh-CN"/>
                    </w:rPr>
                    <w:t>检测点位</w:t>
                  </w:r>
                </w:p>
              </w:tc>
              <w:tc>
                <w:tcPr>
                  <w:tcW w:w="876" w:type="pct"/>
                  <w:noWrap w:val="0"/>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lang w:eastAsia="zh-CN"/>
                    </w:rPr>
                    <w:t>检测项目</w:t>
                  </w:r>
                </w:p>
              </w:tc>
              <w:tc>
                <w:tcPr>
                  <w:tcW w:w="577" w:type="pct"/>
                  <w:noWrap w:val="0"/>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lang w:eastAsia="zh-CN"/>
                    </w:rPr>
                    <w:t>单位</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第一次</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第二次</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第三次</w:t>
                  </w:r>
                </w:p>
              </w:tc>
              <w:tc>
                <w:tcPr>
                  <w:tcW w:w="526" w:type="pct"/>
                  <w:noWrap w:val="0"/>
                  <w:vAlign w:val="center"/>
                </w:tcPr>
                <w:p>
                  <w:pPr>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第四次</w:t>
                  </w:r>
                </w:p>
              </w:tc>
              <w:tc>
                <w:tcPr>
                  <w:tcW w:w="527"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eastAsia="zh-CN"/>
                    </w:rPr>
                    <w:t>限</w:t>
                  </w:r>
                  <w:r>
                    <w:rPr>
                      <w:rFonts w:hint="default" w:ascii="Times New Roman" w:hAnsi="Times New Roman" w:eastAsia="宋体" w:cs="Times New Roman"/>
                      <w:szCs w:val="21"/>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1" w:type="pct"/>
                  <w:vMerge w:val="restart"/>
                  <w:noWrap w:val="0"/>
                  <w:vAlign w:val="center"/>
                </w:tcPr>
                <w:p>
                  <w:pPr>
                    <w:jc w:val="center"/>
                    <w:rPr>
                      <w:rFonts w:hint="default" w:ascii="Times New Roman" w:hAnsi="Times New Roman" w:eastAsia="宋体" w:cs="Times New Roman"/>
                      <w:szCs w:val="21"/>
                    </w:rPr>
                  </w:pPr>
                  <w:r>
                    <w:rPr>
                      <w:rFonts w:hint="eastAsia" w:ascii="Times New Roman" w:hAnsi="Times New Roman" w:eastAsia="宋体" w:cs="Times New Roman"/>
                      <w:szCs w:val="21"/>
                      <w:lang w:val="en-US" w:eastAsia="zh-CN"/>
                    </w:rPr>
                    <w:t>7</w:t>
                  </w:r>
                  <w:r>
                    <w:rPr>
                      <w:rFonts w:hint="default" w:ascii="Times New Roman" w:hAnsi="Times New Roman" w:eastAsia="宋体" w:cs="Times New Roman"/>
                      <w:szCs w:val="21"/>
                      <w:lang w:val="en-US" w:eastAsia="zh-CN"/>
                    </w:rPr>
                    <w:t>月</w:t>
                  </w:r>
                  <w:r>
                    <w:rPr>
                      <w:rFonts w:hint="eastAsia" w:ascii="Times New Roman" w:hAnsi="Times New Roman" w:eastAsia="宋体" w:cs="Times New Roman"/>
                      <w:szCs w:val="21"/>
                      <w:lang w:val="en-US" w:eastAsia="zh-CN"/>
                    </w:rPr>
                    <w:t>19</w:t>
                  </w:r>
                  <w:r>
                    <w:rPr>
                      <w:rFonts w:hint="default" w:ascii="Times New Roman" w:hAnsi="Times New Roman" w:eastAsia="宋体" w:cs="Times New Roman"/>
                      <w:szCs w:val="21"/>
                      <w:lang w:val="en-US" w:eastAsia="zh-CN"/>
                    </w:rPr>
                    <w:t>日</w:t>
                  </w:r>
                </w:p>
              </w:tc>
              <w:tc>
                <w:tcPr>
                  <w:tcW w:w="451" w:type="pct"/>
                  <w:vMerge w:val="restar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S</w:t>
                  </w:r>
                  <w:r>
                    <w:rPr>
                      <w:rFonts w:hint="default" w:ascii="Times New Roman" w:hAnsi="Times New Roman" w:eastAsia="宋体" w:cs="Times New Roman"/>
                      <w:szCs w:val="21"/>
                      <w:lang w:val="en-US" w:eastAsia="zh-CN"/>
                    </w:rPr>
                    <w:t>1</w:t>
                  </w:r>
                </w:p>
              </w:tc>
              <w:tc>
                <w:tcPr>
                  <w:tcW w:w="876" w:type="pct"/>
                  <w:noWrap w:val="0"/>
                  <w:vAlign w:val="center"/>
                </w:tcPr>
                <w:p>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pH值</w:t>
                  </w:r>
                </w:p>
              </w:tc>
              <w:tc>
                <w:tcPr>
                  <w:tcW w:w="577" w:type="pct"/>
                  <w:noWrap w:val="0"/>
                  <w:vAlign w:val="center"/>
                </w:tcPr>
                <w:p>
                  <w:pPr>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无量纲</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7.0</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6.8</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7.1</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7.</w:t>
                  </w:r>
                  <w:r>
                    <w:rPr>
                      <w:rFonts w:hint="eastAsia" w:ascii="Times New Roman" w:hAnsi="Times New Roman" w:eastAsia="宋体" w:cs="Times New Roman"/>
                      <w:szCs w:val="21"/>
                      <w:lang w:val="en-US" w:eastAsia="zh-CN"/>
                    </w:rPr>
                    <w:t>2</w:t>
                  </w:r>
                </w:p>
              </w:tc>
              <w:tc>
                <w:tcPr>
                  <w:tcW w:w="527" w:type="pct"/>
                  <w:noWrap w:val="0"/>
                  <w:vAlign w:val="center"/>
                </w:tcPr>
                <w:p>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1" w:type="pct"/>
                  <w:vMerge w:val="continue"/>
                  <w:noWrap w:val="0"/>
                  <w:vAlign w:val="center"/>
                </w:tcPr>
                <w:p>
                  <w:pPr>
                    <w:jc w:val="center"/>
                    <w:rPr>
                      <w:rFonts w:hint="default" w:ascii="Times New Roman" w:hAnsi="Times New Roman" w:eastAsia="宋体" w:cs="Times New Roman"/>
                      <w:szCs w:val="21"/>
                    </w:rPr>
                  </w:pPr>
                </w:p>
              </w:tc>
              <w:tc>
                <w:tcPr>
                  <w:tcW w:w="451" w:type="pct"/>
                  <w:vMerge w:val="continue"/>
                  <w:noWrap w:val="0"/>
                  <w:vAlign w:val="center"/>
                </w:tcPr>
                <w:p>
                  <w:pPr>
                    <w:jc w:val="center"/>
                    <w:rPr>
                      <w:rFonts w:hint="default" w:ascii="Times New Roman" w:hAnsi="Times New Roman" w:eastAsia="宋体" w:cs="Times New Roman"/>
                      <w:szCs w:val="21"/>
                    </w:rPr>
                  </w:pPr>
                </w:p>
              </w:tc>
              <w:tc>
                <w:tcPr>
                  <w:tcW w:w="876" w:type="pct"/>
                  <w:noWrap w:val="0"/>
                  <w:vAlign w:val="center"/>
                </w:tcPr>
                <w:p>
                  <w:pPr>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悬浮物</w:t>
                  </w:r>
                </w:p>
              </w:tc>
              <w:tc>
                <w:tcPr>
                  <w:tcW w:w="577" w:type="pct"/>
                  <w:noWrap w:val="0"/>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mg/L</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38</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35</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36</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38</w:t>
                  </w:r>
                </w:p>
              </w:tc>
              <w:tc>
                <w:tcPr>
                  <w:tcW w:w="527" w:type="pct"/>
                  <w:noWrap w:val="0"/>
                  <w:vAlign w:val="center"/>
                </w:tcPr>
                <w:p>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1" w:type="pct"/>
                  <w:vMerge w:val="continue"/>
                  <w:noWrap w:val="0"/>
                  <w:vAlign w:val="center"/>
                </w:tcPr>
                <w:p>
                  <w:pPr>
                    <w:jc w:val="center"/>
                    <w:rPr>
                      <w:rFonts w:hint="default" w:ascii="Times New Roman" w:hAnsi="Times New Roman" w:eastAsia="宋体" w:cs="Times New Roman"/>
                      <w:szCs w:val="21"/>
                    </w:rPr>
                  </w:pPr>
                </w:p>
              </w:tc>
              <w:tc>
                <w:tcPr>
                  <w:tcW w:w="451" w:type="pct"/>
                  <w:vMerge w:val="continue"/>
                  <w:noWrap w:val="0"/>
                  <w:vAlign w:val="center"/>
                </w:tcPr>
                <w:p>
                  <w:pPr>
                    <w:jc w:val="center"/>
                    <w:rPr>
                      <w:rFonts w:hint="default" w:ascii="Times New Roman" w:hAnsi="Times New Roman" w:eastAsia="宋体" w:cs="Times New Roman"/>
                      <w:szCs w:val="21"/>
                    </w:rPr>
                  </w:pPr>
                </w:p>
              </w:tc>
              <w:tc>
                <w:tcPr>
                  <w:tcW w:w="876" w:type="pct"/>
                  <w:noWrap w:val="0"/>
                  <w:vAlign w:val="center"/>
                </w:tcPr>
                <w:p>
                  <w:pPr>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化学需氧量</w:t>
                  </w:r>
                </w:p>
              </w:tc>
              <w:tc>
                <w:tcPr>
                  <w:tcW w:w="577" w:type="pct"/>
                  <w:noWrap w:val="0"/>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mg/L</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326</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317</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326</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329</w:t>
                  </w:r>
                </w:p>
              </w:tc>
              <w:tc>
                <w:tcPr>
                  <w:tcW w:w="527" w:type="pct"/>
                  <w:noWrap w:val="0"/>
                  <w:vAlign w:val="center"/>
                </w:tcPr>
                <w:p>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1" w:type="pct"/>
                  <w:vMerge w:val="continue"/>
                  <w:noWrap w:val="0"/>
                  <w:vAlign w:val="center"/>
                </w:tcPr>
                <w:p>
                  <w:pPr>
                    <w:jc w:val="center"/>
                    <w:rPr>
                      <w:rFonts w:hint="default" w:ascii="Times New Roman" w:hAnsi="Times New Roman" w:eastAsia="宋体" w:cs="Times New Roman"/>
                      <w:szCs w:val="21"/>
                    </w:rPr>
                  </w:pPr>
                </w:p>
              </w:tc>
              <w:tc>
                <w:tcPr>
                  <w:tcW w:w="451" w:type="pct"/>
                  <w:vMerge w:val="continue"/>
                  <w:noWrap w:val="0"/>
                  <w:vAlign w:val="center"/>
                </w:tcPr>
                <w:p>
                  <w:pPr>
                    <w:jc w:val="center"/>
                    <w:rPr>
                      <w:rFonts w:hint="default" w:ascii="Times New Roman" w:hAnsi="Times New Roman" w:eastAsia="宋体" w:cs="Times New Roman"/>
                      <w:szCs w:val="21"/>
                    </w:rPr>
                  </w:pPr>
                </w:p>
              </w:tc>
              <w:tc>
                <w:tcPr>
                  <w:tcW w:w="876" w:type="pct"/>
                  <w:noWrap w:val="0"/>
                  <w:vAlign w:val="center"/>
                </w:tcPr>
                <w:p>
                  <w:pPr>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五日生化</w:t>
                  </w:r>
                </w:p>
                <w:p>
                  <w:pPr>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需氧量</w:t>
                  </w:r>
                </w:p>
              </w:tc>
              <w:tc>
                <w:tcPr>
                  <w:tcW w:w="577" w:type="pct"/>
                  <w:noWrap w:val="0"/>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mg/L</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171</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186</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176</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176</w:t>
                  </w:r>
                </w:p>
              </w:tc>
              <w:tc>
                <w:tcPr>
                  <w:tcW w:w="527" w:type="pct"/>
                  <w:noWrap w:val="0"/>
                  <w:vAlign w:val="center"/>
                </w:tcPr>
                <w:p>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1" w:type="pct"/>
                  <w:vMerge w:val="continue"/>
                  <w:noWrap w:val="0"/>
                  <w:vAlign w:val="center"/>
                </w:tcPr>
                <w:p>
                  <w:pPr>
                    <w:jc w:val="center"/>
                    <w:rPr>
                      <w:rFonts w:hint="default" w:ascii="Times New Roman" w:hAnsi="Times New Roman" w:eastAsia="宋体" w:cs="Times New Roman"/>
                      <w:szCs w:val="21"/>
                    </w:rPr>
                  </w:pPr>
                </w:p>
              </w:tc>
              <w:tc>
                <w:tcPr>
                  <w:tcW w:w="451" w:type="pct"/>
                  <w:vMerge w:val="continue"/>
                  <w:noWrap w:val="0"/>
                  <w:vAlign w:val="center"/>
                </w:tcPr>
                <w:p>
                  <w:pPr>
                    <w:jc w:val="center"/>
                    <w:rPr>
                      <w:rFonts w:hint="default" w:ascii="Times New Roman" w:hAnsi="Times New Roman" w:eastAsia="宋体" w:cs="Times New Roman"/>
                      <w:szCs w:val="21"/>
                    </w:rPr>
                  </w:pPr>
                </w:p>
              </w:tc>
              <w:tc>
                <w:tcPr>
                  <w:tcW w:w="876" w:type="pct"/>
                  <w:noWrap w:val="0"/>
                  <w:vAlign w:val="center"/>
                </w:tcPr>
                <w:p>
                  <w:pPr>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氨氮</w:t>
                  </w:r>
                </w:p>
              </w:tc>
              <w:tc>
                <w:tcPr>
                  <w:tcW w:w="577" w:type="pct"/>
                  <w:noWrap w:val="0"/>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mg/L</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85.7</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86.8</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85.7</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85.9</w:t>
                  </w:r>
                </w:p>
              </w:tc>
              <w:tc>
                <w:tcPr>
                  <w:tcW w:w="527" w:type="pct"/>
                  <w:noWrap w:val="0"/>
                  <w:vAlign w:val="center"/>
                </w:tcPr>
                <w:p>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1" w:type="pct"/>
                  <w:vMerge w:val="continue"/>
                  <w:noWrap w:val="0"/>
                  <w:vAlign w:val="center"/>
                </w:tcPr>
                <w:p>
                  <w:pPr>
                    <w:jc w:val="center"/>
                    <w:rPr>
                      <w:rFonts w:hint="default" w:ascii="Times New Roman" w:hAnsi="Times New Roman" w:eastAsia="宋体" w:cs="Times New Roman"/>
                      <w:szCs w:val="21"/>
                    </w:rPr>
                  </w:pPr>
                </w:p>
              </w:tc>
              <w:tc>
                <w:tcPr>
                  <w:tcW w:w="451" w:type="pct"/>
                  <w:vMerge w:val="restar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S2</w:t>
                  </w:r>
                </w:p>
              </w:tc>
              <w:tc>
                <w:tcPr>
                  <w:tcW w:w="876" w:type="pct"/>
                  <w:noWrap w:val="0"/>
                  <w:vAlign w:val="center"/>
                </w:tcPr>
                <w:p>
                  <w:pPr>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val="en-US" w:eastAsia="zh-CN"/>
                    </w:rPr>
                    <w:t>pH值</w:t>
                  </w:r>
                </w:p>
              </w:tc>
              <w:tc>
                <w:tcPr>
                  <w:tcW w:w="577" w:type="pct"/>
                  <w:noWrap w:val="0"/>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lang w:eastAsia="zh-CN"/>
                    </w:rPr>
                    <w:t>无量纲</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6.5</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6.4</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6.5</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6.4</w:t>
                  </w:r>
                </w:p>
              </w:tc>
              <w:tc>
                <w:tcPr>
                  <w:tcW w:w="527"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1" w:type="pct"/>
                  <w:vMerge w:val="continue"/>
                  <w:noWrap w:val="0"/>
                  <w:vAlign w:val="center"/>
                </w:tcPr>
                <w:p>
                  <w:pPr>
                    <w:jc w:val="center"/>
                    <w:rPr>
                      <w:rFonts w:hint="default" w:ascii="Times New Roman" w:hAnsi="Times New Roman" w:eastAsia="宋体" w:cs="Times New Roman"/>
                      <w:szCs w:val="21"/>
                    </w:rPr>
                  </w:pPr>
                </w:p>
              </w:tc>
              <w:tc>
                <w:tcPr>
                  <w:tcW w:w="451" w:type="pct"/>
                  <w:vMerge w:val="continue"/>
                  <w:noWrap w:val="0"/>
                  <w:vAlign w:val="center"/>
                </w:tcPr>
                <w:p>
                  <w:pPr>
                    <w:jc w:val="center"/>
                    <w:rPr>
                      <w:rFonts w:hint="default" w:ascii="Times New Roman" w:hAnsi="Times New Roman" w:eastAsia="宋体" w:cs="Times New Roman"/>
                      <w:szCs w:val="21"/>
                    </w:rPr>
                  </w:pPr>
                </w:p>
              </w:tc>
              <w:tc>
                <w:tcPr>
                  <w:tcW w:w="876" w:type="pct"/>
                  <w:noWrap w:val="0"/>
                  <w:vAlign w:val="center"/>
                </w:tcPr>
                <w:p>
                  <w:pPr>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悬浮物</w:t>
                  </w:r>
                </w:p>
              </w:tc>
              <w:tc>
                <w:tcPr>
                  <w:tcW w:w="577" w:type="pct"/>
                  <w:noWrap w:val="0"/>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mg/L</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12</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13</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14</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15</w:t>
                  </w:r>
                </w:p>
              </w:tc>
              <w:tc>
                <w:tcPr>
                  <w:tcW w:w="527"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1" w:type="pct"/>
                  <w:vMerge w:val="continue"/>
                  <w:noWrap w:val="0"/>
                  <w:vAlign w:val="center"/>
                </w:tcPr>
                <w:p>
                  <w:pPr>
                    <w:jc w:val="center"/>
                    <w:rPr>
                      <w:rFonts w:hint="default" w:ascii="Times New Roman" w:hAnsi="Times New Roman" w:eastAsia="宋体" w:cs="Times New Roman"/>
                      <w:szCs w:val="21"/>
                    </w:rPr>
                  </w:pPr>
                </w:p>
              </w:tc>
              <w:tc>
                <w:tcPr>
                  <w:tcW w:w="451" w:type="pct"/>
                  <w:vMerge w:val="continue"/>
                  <w:noWrap w:val="0"/>
                  <w:vAlign w:val="center"/>
                </w:tcPr>
                <w:p>
                  <w:pPr>
                    <w:jc w:val="center"/>
                    <w:rPr>
                      <w:rFonts w:hint="default" w:ascii="Times New Roman" w:hAnsi="Times New Roman" w:eastAsia="宋体" w:cs="Times New Roman"/>
                      <w:szCs w:val="21"/>
                    </w:rPr>
                  </w:pPr>
                </w:p>
              </w:tc>
              <w:tc>
                <w:tcPr>
                  <w:tcW w:w="876" w:type="pct"/>
                  <w:noWrap w:val="0"/>
                  <w:vAlign w:val="center"/>
                </w:tcPr>
                <w:p>
                  <w:pPr>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化学需氧量</w:t>
                  </w:r>
                </w:p>
              </w:tc>
              <w:tc>
                <w:tcPr>
                  <w:tcW w:w="577" w:type="pct"/>
                  <w:noWrap w:val="0"/>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mg/L</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122</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113</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119</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143</w:t>
                  </w:r>
                </w:p>
              </w:tc>
              <w:tc>
                <w:tcPr>
                  <w:tcW w:w="527"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1" w:type="pct"/>
                  <w:vMerge w:val="continue"/>
                  <w:noWrap w:val="0"/>
                  <w:vAlign w:val="center"/>
                </w:tcPr>
                <w:p>
                  <w:pPr>
                    <w:jc w:val="center"/>
                    <w:rPr>
                      <w:rFonts w:hint="default" w:ascii="Times New Roman" w:hAnsi="Times New Roman" w:eastAsia="宋体" w:cs="Times New Roman"/>
                      <w:szCs w:val="21"/>
                    </w:rPr>
                  </w:pPr>
                </w:p>
              </w:tc>
              <w:tc>
                <w:tcPr>
                  <w:tcW w:w="451" w:type="pct"/>
                  <w:vMerge w:val="continue"/>
                  <w:noWrap w:val="0"/>
                  <w:vAlign w:val="center"/>
                </w:tcPr>
                <w:p>
                  <w:pPr>
                    <w:jc w:val="center"/>
                    <w:rPr>
                      <w:rFonts w:hint="default" w:ascii="Times New Roman" w:hAnsi="Times New Roman" w:eastAsia="宋体" w:cs="Times New Roman"/>
                      <w:szCs w:val="21"/>
                    </w:rPr>
                  </w:pPr>
                </w:p>
              </w:tc>
              <w:tc>
                <w:tcPr>
                  <w:tcW w:w="876" w:type="pct"/>
                  <w:noWrap w:val="0"/>
                  <w:vAlign w:val="center"/>
                </w:tcPr>
                <w:p>
                  <w:pPr>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五日生化</w:t>
                  </w:r>
                </w:p>
                <w:p>
                  <w:pPr>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需氧量</w:t>
                  </w:r>
                </w:p>
              </w:tc>
              <w:tc>
                <w:tcPr>
                  <w:tcW w:w="577" w:type="pct"/>
                  <w:noWrap w:val="0"/>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mg/L</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36.8</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35.8</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33.8</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37.8</w:t>
                  </w:r>
                </w:p>
              </w:tc>
              <w:tc>
                <w:tcPr>
                  <w:tcW w:w="527"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1" w:type="pct"/>
                  <w:vMerge w:val="continue"/>
                  <w:noWrap w:val="0"/>
                  <w:vAlign w:val="center"/>
                </w:tcPr>
                <w:p>
                  <w:pPr>
                    <w:jc w:val="center"/>
                    <w:rPr>
                      <w:rFonts w:hint="default" w:ascii="Times New Roman" w:hAnsi="Times New Roman" w:eastAsia="宋体" w:cs="Times New Roman"/>
                      <w:szCs w:val="21"/>
                    </w:rPr>
                  </w:pPr>
                </w:p>
              </w:tc>
              <w:tc>
                <w:tcPr>
                  <w:tcW w:w="451" w:type="pct"/>
                  <w:vMerge w:val="continue"/>
                  <w:noWrap w:val="0"/>
                  <w:vAlign w:val="center"/>
                </w:tcPr>
                <w:p>
                  <w:pPr>
                    <w:jc w:val="center"/>
                    <w:rPr>
                      <w:rFonts w:hint="default" w:ascii="Times New Roman" w:hAnsi="Times New Roman" w:eastAsia="宋体" w:cs="Times New Roman"/>
                      <w:szCs w:val="21"/>
                    </w:rPr>
                  </w:pPr>
                </w:p>
              </w:tc>
              <w:tc>
                <w:tcPr>
                  <w:tcW w:w="876" w:type="pct"/>
                  <w:noWrap w:val="0"/>
                  <w:vAlign w:val="center"/>
                </w:tcPr>
                <w:p>
                  <w:pPr>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氨氮</w:t>
                  </w:r>
                </w:p>
              </w:tc>
              <w:tc>
                <w:tcPr>
                  <w:tcW w:w="577" w:type="pct"/>
                  <w:noWrap w:val="0"/>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mg/L</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36.0</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35.9</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36.7</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33.7</w:t>
                  </w:r>
                </w:p>
              </w:tc>
              <w:tc>
                <w:tcPr>
                  <w:tcW w:w="527"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1" w:type="pct"/>
                  <w:vMerge w:val="restart"/>
                  <w:noWrap w:val="0"/>
                  <w:vAlign w:val="center"/>
                </w:tcPr>
                <w:p>
                  <w:pPr>
                    <w:jc w:val="center"/>
                    <w:rPr>
                      <w:rFonts w:hint="default" w:ascii="Times New Roman" w:hAnsi="Times New Roman" w:eastAsia="宋体" w:cs="Times New Roman"/>
                      <w:szCs w:val="21"/>
                    </w:rPr>
                  </w:pPr>
                  <w:r>
                    <w:rPr>
                      <w:rFonts w:hint="eastAsia" w:ascii="Times New Roman" w:hAnsi="Times New Roman" w:eastAsia="宋体" w:cs="Times New Roman"/>
                      <w:szCs w:val="21"/>
                      <w:lang w:val="en-US" w:eastAsia="zh-CN"/>
                    </w:rPr>
                    <w:t>7</w:t>
                  </w:r>
                  <w:r>
                    <w:rPr>
                      <w:rFonts w:hint="default" w:ascii="Times New Roman" w:hAnsi="Times New Roman" w:eastAsia="宋体" w:cs="Times New Roman"/>
                      <w:szCs w:val="21"/>
                      <w:lang w:val="en-US" w:eastAsia="zh-CN"/>
                    </w:rPr>
                    <w:t>月2</w:t>
                  </w:r>
                  <w:r>
                    <w:rPr>
                      <w:rFonts w:hint="eastAsia" w:ascii="Times New Roman" w:hAnsi="Times New Roman" w:eastAsia="宋体" w:cs="Times New Roman"/>
                      <w:szCs w:val="21"/>
                      <w:lang w:val="en-US" w:eastAsia="zh-CN"/>
                    </w:rPr>
                    <w:t>0</w:t>
                  </w:r>
                  <w:r>
                    <w:rPr>
                      <w:rFonts w:hint="default" w:ascii="Times New Roman" w:hAnsi="Times New Roman" w:eastAsia="宋体" w:cs="Times New Roman"/>
                      <w:szCs w:val="21"/>
                      <w:lang w:val="en-US" w:eastAsia="zh-CN"/>
                    </w:rPr>
                    <w:t>日</w:t>
                  </w:r>
                </w:p>
              </w:tc>
              <w:tc>
                <w:tcPr>
                  <w:tcW w:w="451" w:type="pct"/>
                  <w:vMerge w:val="restart"/>
                  <w:noWrap w:val="0"/>
                  <w:vAlign w:val="center"/>
                </w:tcPr>
                <w:p>
                  <w:pPr>
                    <w:jc w:val="center"/>
                    <w:rPr>
                      <w:rFonts w:hint="default" w:ascii="Times New Roman" w:hAnsi="Times New Roman" w:eastAsia="宋体" w:cs="Times New Roman"/>
                      <w:szCs w:val="21"/>
                    </w:rPr>
                  </w:pPr>
                  <w:r>
                    <w:rPr>
                      <w:rFonts w:hint="eastAsia" w:ascii="Times New Roman" w:hAnsi="Times New Roman" w:eastAsia="宋体" w:cs="Times New Roman"/>
                      <w:szCs w:val="21"/>
                      <w:lang w:val="en-US" w:eastAsia="zh-CN"/>
                    </w:rPr>
                    <w:t>S</w:t>
                  </w:r>
                  <w:r>
                    <w:rPr>
                      <w:rFonts w:hint="default" w:ascii="Times New Roman" w:hAnsi="Times New Roman" w:eastAsia="宋体" w:cs="Times New Roman"/>
                      <w:szCs w:val="21"/>
                      <w:lang w:val="en-US" w:eastAsia="zh-CN"/>
                    </w:rPr>
                    <w:t>1</w:t>
                  </w:r>
                </w:p>
              </w:tc>
              <w:tc>
                <w:tcPr>
                  <w:tcW w:w="876" w:type="pct"/>
                  <w:noWrap w:val="0"/>
                  <w:vAlign w:val="center"/>
                </w:tcPr>
                <w:p>
                  <w:pPr>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val="en-US" w:eastAsia="zh-CN"/>
                    </w:rPr>
                    <w:t>pH值</w:t>
                  </w:r>
                </w:p>
              </w:tc>
              <w:tc>
                <w:tcPr>
                  <w:tcW w:w="577" w:type="pct"/>
                  <w:noWrap w:val="0"/>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lang w:eastAsia="zh-CN"/>
                    </w:rPr>
                    <w:t>无量纲</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7.4</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7.</w:t>
                  </w:r>
                  <w:r>
                    <w:rPr>
                      <w:rFonts w:hint="eastAsia" w:ascii="Times New Roman" w:hAnsi="Times New Roman" w:eastAsia="宋体" w:cs="Times New Roman"/>
                      <w:szCs w:val="21"/>
                      <w:lang w:val="en-US" w:eastAsia="zh-CN"/>
                    </w:rPr>
                    <w:t>3</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7.</w:t>
                  </w:r>
                  <w:r>
                    <w:rPr>
                      <w:rFonts w:hint="eastAsia" w:ascii="Times New Roman" w:hAnsi="Times New Roman" w:eastAsia="宋体" w:cs="Times New Roman"/>
                      <w:szCs w:val="21"/>
                      <w:lang w:val="en-US" w:eastAsia="zh-CN"/>
                    </w:rPr>
                    <w:t>1</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7.</w:t>
                  </w:r>
                  <w:r>
                    <w:rPr>
                      <w:rFonts w:hint="eastAsia" w:ascii="Times New Roman" w:hAnsi="Times New Roman" w:eastAsia="宋体" w:cs="Times New Roman"/>
                      <w:szCs w:val="21"/>
                      <w:lang w:val="en-US" w:eastAsia="zh-CN"/>
                    </w:rPr>
                    <w:t>3</w:t>
                  </w:r>
                </w:p>
              </w:tc>
              <w:tc>
                <w:tcPr>
                  <w:tcW w:w="527" w:type="pct"/>
                  <w:noWrap w:val="0"/>
                  <w:vAlign w:val="center"/>
                </w:tcPr>
                <w:p>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1" w:type="pct"/>
                  <w:vMerge w:val="continue"/>
                  <w:noWrap w:val="0"/>
                  <w:vAlign w:val="center"/>
                </w:tcPr>
                <w:p>
                  <w:pPr>
                    <w:jc w:val="center"/>
                    <w:rPr>
                      <w:rFonts w:hint="default" w:ascii="Times New Roman" w:hAnsi="Times New Roman" w:eastAsia="宋体" w:cs="Times New Roman"/>
                      <w:color w:val="000000"/>
                      <w:sz w:val="24"/>
                    </w:rPr>
                  </w:pPr>
                </w:p>
              </w:tc>
              <w:tc>
                <w:tcPr>
                  <w:tcW w:w="451" w:type="pct"/>
                  <w:vMerge w:val="continue"/>
                  <w:noWrap w:val="0"/>
                  <w:vAlign w:val="center"/>
                </w:tcPr>
                <w:p>
                  <w:pPr>
                    <w:jc w:val="center"/>
                    <w:rPr>
                      <w:rFonts w:hint="default" w:ascii="Times New Roman" w:hAnsi="Times New Roman" w:eastAsia="宋体" w:cs="Times New Roman"/>
                      <w:szCs w:val="21"/>
                    </w:rPr>
                  </w:pPr>
                </w:p>
              </w:tc>
              <w:tc>
                <w:tcPr>
                  <w:tcW w:w="876" w:type="pct"/>
                  <w:noWrap w:val="0"/>
                  <w:vAlign w:val="center"/>
                </w:tcPr>
                <w:p>
                  <w:pPr>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悬浮物</w:t>
                  </w:r>
                </w:p>
              </w:tc>
              <w:tc>
                <w:tcPr>
                  <w:tcW w:w="577" w:type="pct"/>
                  <w:noWrap w:val="0"/>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mg/L</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39</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40</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42</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40</w:t>
                  </w:r>
                </w:p>
              </w:tc>
              <w:tc>
                <w:tcPr>
                  <w:tcW w:w="527" w:type="pct"/>
                  <w:noWrap w:val="0"/>
                  <w:vAlign w:val="center"/>
                </w:tcPr>
                <w:p>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1" w:type="pct"/>
                  <w:vMerge w:val="continue"/>
                  <w:noWrap w:val="0"/>
                  <w:vAlign w:val="center"/>
                </w:tcPr>
                <w:p>
                  <w:pPr>
                    <w:rPr>
                      <w:rFonts w:hint="default" w:ascii="Times New Roman" w:hAnsi="Times New Roman" w:eastAsia="宋体" w:cs="Times New Roman"/>
                      <w:color w:val="000000"/>
                      <w:sz w:val="24"/>
                    </w:rPr>
                  </w:pPr>
                </w:p>
              </w:tc>
              <w:tc>
                <w:tcPr>
                  <w:tcW w:w="451" w:type="pct"/>
                  <w:vMerge w:val="continue"/>
                  <w:noWrap w:val="0"/>
                  <w:vAlign w:val="center"/>
                </w:tcPr>
                <w:p>
                  <w:pPr>
                    <w:jc w:val="center"/>
                    <w:rPr>
                      <w:rFonts w:hint="default" w:ascii="Times New Roman" w:hAnsi="Times New Roman" w:eastAsia="宋体" w:cs="Times New Roman"/>
                      <w:szCs w:val="21"/>
                    </w:rPr>
                  </w:pPr>
                </w:p>
              </w:tc>
              <w:tc>
                <w:tcPr>
                  <w:tcW w:w="876" w:type="pct"/>
                  <w:noWrap w:val="0"/>
                  <w:vAlign w:val="center"/>
                </w:tcPr>
                <w:p>
                  <w:pPr>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化学需氧量</w:t>
                  </w:r>
                </w:p>
              </w:tc>
              <w:tc>
                <w:tcPr>
                  <w:tcW w:w="577" w:type="pct"/>
                  <w:noWrap w:val="0"/>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mg/L</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332</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322</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316</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336</w:t>
                  </w:r>
                </w:p>
              </w:tc>
              <w:tc>
                <w:tcPr>
                  <w:tcW w:w="527" w:type="pct"/>
                  <w:noWrap w:val="0"/>
                  <w:vAlign w:val="center"/>
                </w:tcPr>
                <w:p>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1" w:type="pct"/>
                  <w:vMerge w:val="continue"/>
                  <w:noWrap w:val="0"/>
                  <w:vAlign w:val="center"/>
                </w:tcPr>
                <w:p>
                  <w:pPr>
                    <w:jc w:val="center"/>
                    <w:rPr>
                      <w:rFonts w:hint="default" w:ascii="Times New Roman" w:hAnsi="Times New Roman" w:eastAsia="宋体" w:cs="Times New Roman"/>
                      <w:color w:val="000000"/>
                      <w:sz w:val="24"/>
                    </w:rPr>
                  </w:pPr>
                </w:p>
              </w:tc>
              <w:tc>
                <w:tcPr>
                  <w:tcW w:w="451" w:type="pct"/>
                  <w:vMerge w:val="continue"/>
                  <w:noWrap w:val="0"/>
                  <w:vAlign w:val="center"/>
                </w:tcPr>
                <w:p>
                  <w:pPr>
                    <w:jc w:val="center"/>
                    <w:rPr>
                      <w:rFonts w:hint="default" w:ascii="Times New Roman" w:hAnsi="Times New Roman" w:eastAsia="宋体" w:cs="Times New Roman"/>
                      <w:szCs w:val="21"/>
                    </w:rPr>
                  </w:pPr>
                </w:p>
              </w:tc>
              <w:tc>
                <w:tcPr>
                  <w:tcW w:w="876" w:type="pct"/>
                  <w:noWrap w:val="0"/>
                  <w:vAlign w:val="center"/>
                </w:tcPr>
                <w:p>
                  <w:pPr>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五日生化需氧量</w:t>
                  </w:r>
                </w:p>
              </w:tc>
              <w:tc>
                <w:tcPr>
                  <w:tcW w:w="577" w:type="pct"/>
                  <w:noWrap w:val="0"/>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mg/L</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141</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156</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146</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141</w:t>
                  </w:r>
                </w:p>
              </w:tc>
              <w:tc>
                <w:tcPr>
                  <w:tcW w:w="527" w:type="pct"/>
                  <w:noWrap w:val="0"/>
                  <w:vAlign w:val="center"/>
                </w:tcPr>
                <w:p>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1" w:type="pct"/>
                  <w:vMerge w:val="continue"/>
                  <w:noWrap w:val="0"/>
                  <w:vAlign w:val="center"/>
                </w:tcPr>
                <w:p>
                  <w:pPr>
                    <w:jc w:val="center"/>
                    <w:rPr>
                      <w:rFonts w:hint="default" w:ascii="Times New Roman" w:hAnsi="Times New Roman" w:eastAsia="宋体" w:cs="Times New Roman"/>
                      <w:color w:val="000000"/>
                      <w:sz w:val="24"/>
                    </w:rPr>
                  </w:pPr>
                </w:p>
              </w:tc>
              <w:tc>
                <w:tcPr>
                  <w:tcW w:w="451" w:type="pct"/>
                  <w:vMerge w:val="continue"/>
                  <w:noWrap w:val="0"/>
                  <w:vAlign w:val="center"/>
                </w:tcPr>
                <w:p>
                  <w:pPr>
                    <w:jc w:val="center"/>
                    <w:rPr>
                      <w:rFonts w:hint="default" w:ascii="Times New Roman" w:hAnsi="Times New Roman" w:eastAsia="宋体" w:cs="Times New Roman"/>
                      <w:szCs w:val="21"/>
                    </w:rPr>
                  </w:pPr>
                </w:p>
              </w:tc>
              <w:tc>
                <w:tcPr>
                  <w:tcW w:w="876" w:type="pct"/>
                  <w:noWrap w:val="0"/>
                  <w:vAlign w:val="center"/>
                </w:tcPr>
                <w:p>
                  <w:pPr>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氨氮</w:t>
                  </w:r>
                </w:p>
              </w:tc>
              <w:tc>
                <w:tcPr>
                  <w:tcW w:w="577" w:type="pct"/>
                  <w:noWrap w:val="0"/>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mg/L</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86.5</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83.9</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84.3</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85.1</w:t>
                  </w:r>
                </w:p>
              </w:tc>
              <w:tc>
                <w:tcPr>
                  <w:tcW w:w="527" w:type="pct"/>
                  <w:noWrap w:val="0"/>
                  <w:vAlign w:val="center"/>
                </w:tcPr>
                <w:p>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1" w:type="pct"/>
                  <w:vMerge w:val="continue"/>
                  <w:noWrap w:val="0"/>
                  <w:vAlign w:val="center"/>
                </w:tcPr>
                <w:p>
                  <w:pPr>
                    <w:jc w:val="center"/>
                    <w:rPr>
                      <w:rFonts w:hint="default" w:ascii="Times New Roman" w:hAnsi="Times New Roman" w:eastAsia="宋体" w:cs="Times New Roman"/>
                      <w:color w:val="000000"/>
                      <w:sz w:val="24"/>
                    </w:rPr>
                  </w:pPr>
                </w:p>
              </w:tc>
              <w:tc>
                <w:tcPr>
                  <w:tcW w:w="451" w:type="pct"/>
                  <w:vMerge w:val="restart"/>
                  <w:noWrap w:val="0"/>
                  <w:vAlign w:val="center"/>
                </w:tcPr>
                <w:p>
                  <w:pPr>
                    <w:jc w:val="center"/>
                    <w:rPr>
                      <w:rFonts w:hint="default" w:ascii="Times New Roman" w:hAnsi="Times New Roman" w:eastAsia="宋体" w:cs="Times New Roman"/>
                      <w:szCs w:val="21"/>
                    </w:rPr>
                  </w:pPr>
                  <w:r>
                    <w:rPr>
                      <w:rFonts w:hint="eastAsia" w:ascii="Times New Roman" w:hAnsi="Times New Roman" w:eastAsia="宋体" w:cs="Times New Roman"/>
                      <w:szCs w:val="21"/>
                      <w:lang w:val="en-US" w:eastAsia="zh-CN"/>
                    </w:rPr>
                    <w:t>S2</w:t>
                  </w:r>
                </w:p>
              </w:tc>
              <w:tc>
                <w:tcPr>
                  <w:tcW w:w="876" w:type="pct"/>
                  <w:noWrap w:val="0"/>
                  <w:vAlign w:val="center"/>
                </w:tcPr>
                <w:p>
                  <w:pPr>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val="en-US" w:eastAsia="zh-CN"/>
                    </w:rPr>
                    <w:t>pH值</w:t>
                  </w:r>
                </w:p>
              </w:tc>
              <w:tc>
                <w:tcPr>
                  <w:tcW w:w="577" w:type="pct"/>
                  <w:noWrap w:val="0"/>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lang w:eastAsia="zh-CN"/>
                    </w:rPr>
                    <w:t>无量纲</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6.6</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6.7</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6.5</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6.6</w:t>
                  </w:r>
                </w:p>
              </w:tc>
              <w:tc>
                <w:tcPr>
                  <w:tcW w:w="527"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1" w:type="pct"/>
                  <w:vMerge w:val="continue"/>
                  <w:noWrap w:val="0"/>
                  <w:vAlign w:val="center"/>
                </w:tcPr>
                <w:p>
                  <w:pPr>
                    <w:jc w:val="center"/>
                    <w:rPr>
                      <w:rFonts w:hint="default" w:ascii="Times New Roman" w:hAnsi="Times New Roman" w:eastAsia="宋体" w:cs="Times New Roman"/>
                      <w:color w:val="000000"/>
                      <w:sz w:val="24"/>
                    </w:rPr>
                  </w:pPr>
                </w:p>
              </w:tc>
              <w:tc>
                <w:tcPr>
                  <w:tcW w:w="451" w:type="pct"/>
                  <w:vMerge w:val="continue"/>
                  <w:noWrap w:val="0"/>
                  <w:vAlign w:val="center"/>
                </w:tcPr>
                <w:p>
                  <w:pPr>
                    <w:jc w:val="center"/>
                    <w:rPr>
                      <w:rFonts w:hint="default" w:ascii="Times New Roman" w:hAnsi="Times New Roman" w:eastAsia="宋体" w:cs="Times New Roman"/>
                      <w:szCs w:val="21"/>
                    </w:rPr>
                  </w:pPr>
                </w:p>
              </w:tc>
              <w:tc>
                <w:tcPr>
                  <w:tcW w:w="876" w:type="pct"/>
                  <w:noWrap w:val="0"/>
                  <w:vAlign w:val="center"/>
                </w:tcPr>
                <w:p>
                  <w:pPr>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悬浮物</w:t>
                  </w:r>
                </w:p>
              </w:tc>
              <w:tc>
                <w:tcPr>
                  <w:tcW w:w="577" w:type="pct"/>
                  <w:noWrap w:val="0"/>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mg/L</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14</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16</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15</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16</w:t>
                  </w:r>
                </w:p>
              </w:tc>
              <w:tc>
                <w:tcPr>
                  <w:tcW w:w="527"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1" w:type="pct"/>
                  <w:vMerge w:val="continue"/>
                  <w:noWrap w:val="0"/>
                  <w:vAlign w:val="center"/>
                </w:tcPr>
                <w:p>
                  <w:pPr>
                    <w:rPr>
                      <w:rFonts w:hint="default" w:ascii="Times New Roman" w:hAnsi="Times New Roman" w:eastAsia="宋体" w:cs="Times New Roman"/>
                      <w:color w:val="000000"/>
                      <w:sz w:val="24"/>
                    </w:rPr>
                  </w:pPr>
                </w:p>
              </w:tc>
              <w:tc>
                <w:tcPr>
                  <w:tcW w:w="451" w:type="pct"/>
                  <w:vMerge w:val="continue"/>
                  <w:noWrap w:val="0"/>
                  <w:vAlign w:val="center"/>
                </w:tcPr>
                <w:p>
                  <w:pPr>
                    <w:jc w:val="center"/>
                    <w:rPr>
                      <w:rFonts w:hint="default" w:ascii="Times New Roman" w:hAnsi="Times New Roman" w:eastAsia="宋体" w:cs="Times New Roman"/>
                      <w:szCs w:val="21"/>
                    </w:rPr>
                  </w:pPr>
                </w:p>
              </w:tc>
              <w:tc>
                <w:tcPr>
                  <w:tcW w:w="876" w:type="pct"/>
                  <w:noWrap w:val="0"/>
                  <w:vAlign w:val="center"/>
                </w:tcPr>
                <w:p>
                  <w:pPr>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化学需氧量</w:t>
                  </w:r>
                </w:p>
              </w:tc>
              <w:tc>
                <w:tcPr>
                  <w:tcW w:w="577" w:type="pct"/>
                  <w:noWrap w:val="0"/>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mg/L</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135</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137</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120</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125</w:t>
                  </w:r>
                </w:p>
              </w:tc>
              <w:tc>
                <w:tcPr>
                  <w:tcW w:w="527"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1" w:type="pct"/>
                  <w:vMerge w:val="continue"/>
                  <w:noWrap w:val="0"/>
                  <w:vAlign w:val="center"/>
                </w:tcPr>
                <w:p>
                  <w:pPr>
                    <w:jc w:val="center"/>
                    <w:rPr>
                      <w:rFonts w:hint="default" w:ascii="Times New Roman" w:hAnsi="Times New Roman" w:eastAsia="宋体" w:cs="Times New Roman"/>
                      <w:color w:val="000000"/>
                      <w:sz w:val="24"/>
                    </w:rPr>
                  </w:pPr>
                </w:p>
              </w:tc>
              <w:tc>
                <w:tcPr>
                  <w:tcW w:w="451" w:type="pct"/>
                  <w:vMerge w:val="continue"/>
                  <w:noWrap w:val="0"/>
                  <w:vAlign w:val="center"/>
                </w:tcPr>
                <w:p>
                  <w:pPr>
                    <w:jc w:val="center"/>
                    <w:rPr>
                      <w:rFonts w:hint="default" w:ascii="Times New Roman" w:hAnsi="Times New Roman" w:eastAsia="宋体" w:cs="Times New Roman"/>
                      <w:szCs w:val="21"/>
                    </w:rPr>
                  </w:pPr>
                </w:p>
              </w:tc>
              <w:tc>
                <w:tcPr>
                  <w:tcW w:w="876" w:type="pct"/>
                  <w:noWrap w:val="0"/>
                  <w:vAlign w:val="center"/>
                </w:tcPr>
                <w:p>
                  <w:pPr>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五日生化</w:t>
                  </w:r>
                </w:p>
                <w:p>
                  <w:pPr>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需氧量</w:t>
                  </w:r>
                </w:p>
              </w:tc>
              <w:tc>
                <w:tcPr>
                  <w:tcW w:w="577" w:type="pct"/>
                  <w:noWrap w:val="0"/>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mg/L</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41.8</w:t>
                  </w:r>
                </w:p>
              </w:tc>
              <w:tc>
                <w:tcPr>
                  <w:tcW w:w="526"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39.8</w:t>
                  </w:r>
                </w:p>
              </w:tc>
              <w:tc>
                <w:tcPr>
                  <w:tcW w:w="526"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39.8</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40.8</w:t>
                  </w:r>
                </w:p>
              </w:tc>
              <w:tc>
                <w:tcPr>
                  <w:tcW w:w="527"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1" w:type="pct"/>
                  <w:vMerge w:val="continue"/>
                  <w:noWrap w:val="0"/>
                  <w:vAlign w:val="center"/>
                </w:tcPr>
                <w:p>
                  <w:pPr>
                    <w:jc w:val="center"/>
                    <w:rPr>
                      <w:rFonts w:hint="default" w:ascii="Times New Roman" w:hAnsi="Times New Roman" w:eastAsia="宋体" w:cs="Times New Roman"/>
                      <w:color w:val="000000"/>
                      <w:sz w:val="24"/>
                    </w:rPr>
                  </w:pPr>
                </w:p>
              </w:tc>
              <w:tc>
                <w:tcPr>
                  <w:tcW w:w="451" w:type="pct"/>
                  <w:vMerge w:val="continue"/>
                  <w:noWrap w:val="0"/>
                  <w:vAlign w:val="center"/>
                </w:tcPr>
                <w:p>
                  <w:pPr>
                    <w:jc w:val="center"/>
                    <w:rPr>
                      <w:rFonts w:hint="default" w:ascii="Times New Roman" w:hAnsi="Times New Roman" w:eastAsia="宋体" w:cs="Times New Roman"/>
                      <w:szCs w:val="21"/>
                    </w:rPr>
                  </w:pPr>
                </w:p>
              </w:tc>
              <w:tc>
                <w:tcPr>
                  <w:tcW w:w="876" w:type="pct"/>
                  <w:noWrap w:val="0"/>
                  <w:vAlign w:val="center"/>
                </w:tcPr>
                <w:p>
                  <w:pPr>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氨氮</w:t>
                  </w:r>
                </w:p>
              </w:tc>
              <w:tc>
                <w:tcPr>
                  <w:tcW w:w="577" w:type="pct"/>
                  <w:noWrap w:val="0"/>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mg/L</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35.2</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35.6</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36.0</w:t>
                  </w:r>
                </w:p>
              </w:tc>
              <w:tc>
                <w:tcPr>
                  <w:tcW w:w="526"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37.1</w:t>
                  </w:r>
                </w:p>
              </w:tc>
              <w:tc>
                <w:tcPr>
                  <w:tcW w:w="527"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t>
                  </w:r>
                </w:p>
              </w:tc>
            </w:tr>
          </w:tbl>
          <w:p>
            <w:pPr>
              <w:spacing w:line="360" w:lineRule="auto"/>
              <w:ind w:firstLine="480" w:firstLineChars="200"/>
              <w:rPr>
                <w:kern w:val="0"/>
                <w:sz w:val="24"/>
              </w:rPr>
            </w:pPr>
            <w:r>
              <w:rPr>
                <w:rFonts w:hAnsi="宋体"/>
                <w:kern w:val="0"/>
                <w:sz w:val="24"/>
              </w:rPr>
              <w:t>由表可知，本次验收监测</w:t>
            </w:r>
            <w:r>
              <w:rPr>
                <w:rFonts w:hint="eastAsia" w:hAnsi="宋体"/>
                <w:kern w:val="0"/>
                <w:sz w:val="24"/>
                <w:lang w:eastAsia="zh-CN"/>
              </w:rPr>
              <w:t>重庆乐仁汽车电子有限公司</w:t>
            </w:r>
            <w:r>
              <w:rPr>
                <w:rFonts w:hint="eastAsia" w:hAnsi="宋体"/>
                <w:kern w:val="0"/>
                <w:sz w:val="24"/>
              </w:rPr>
              <w:t>项目</w:t>
            </w:r>
            <w:r>
              <w:rPr>
                <w:rFonts w:hint="eastAsia" w:hAnsi="宋体"/>
                <w:kern w:val="0"/>
                <w:sz w:val="24"/>
                <w:lang w:val="en-US" w:eastAsia="zh-CN"/>
              </w:rPr>
              <w:t>废水排口各项污染物浓度两天监测值皆能符合《污水综合排放标准》（GB8978-1996）中三级标准排放限值的要求。</w:t>
            </w:r>
          </w:p>
          <w:p>
            <w:pPr>
              <w:spacing w:line="360" w:lineRule="auto"/>
              <w:rPr>
                <w:kern w:val="0"/>
                <w:sz w:val="24"/>
              </w:rPr>
            </w:pPr>
            <w:r>
              <w:rPr>
                <w:rFonts w:hint="eastAsia"/>
                <w:kern w:val="0"/>
                <w:sz w:val="24"/>
              </w:rPr>
              <w:t>2</w:t>
            </w:r>
            <w:r>
              <w:rPr>
                <w:rFonts w:hAnsi="宋体"/>
                <w:kern w:val="0"/>
                <w:sz w:val="24"/>
              </w:rPr>
              <w:t>、</w:t>
            </w:r>
            <w:r>
              <w:rPr>
                <w:kern w:val="0"/>
                <w:sz w:val="24"/>
              </w:rPr>
              <w:t xml:space="preserve"> </w:t>
            </w:r>
            <w:r>
              <w:rPr>
                <w:rFonts w:hAnsi="宋体"/>
                <w:kern w:val="0"/>
                <w:sz w:val="24"/>
              </w:rPr>
              <w:t>厂界噪声</w:t>
            </w:r>
          </w:p>
          <w:p>
            <w:pPr>
              <w:spacing w:line="360" w:lineRule="auto"/>
              <w:ind w:firstLine="360" w:firstLineChars="150"/>
              <w:rPr>
                <w:kern w:val="0"/>
                <w:sz w:val="24"/>
              </w:rPr>
            </w:pPr>
            <w:r>
              <w:rPr>
                <w:rFonts w:hAnsi="宋体"/>
                <w:kern w:val="0"/>
                <w:sz w:val="24"/>
              </w:rPr>
              <w:t>厂界噪声监测结果详见表</w:t>
            </w:r>
            <w:r>
              <w:rPr>
                <w:kern w:val="0"/>
                <w:sz w:val="24"/>
              </w:rPr>
              <w:t>7-</w:t>
            </w:r>
            <w:r>
              <w:rPr>
                <w:rFonts w:hint="eastAsia"/>
                <w:kern w:val="0"/>
                <w:sz w:val="24"/>
                <w:lang w:val="en-US" w:eastAsia="zh-CN"/>
              </w:rPr>
              <w:t>2</w:t>
            </w:r>
            <w:r>
              <w:rPr>
                <w:rFonts w:hAnsi="宋体"/>
                <w:kern w:val="0"/>
                <w:sz w:val="24"/>
              </w:rPr>
              <w:t>。</w:t>
            </w:r>
          </w:p>
          <w:p>
            <w:pPr>
              <w:adjustRightInd w:val="0"/>
              <w:snapToGrid w:val="0"/>
              <w:spacing w:line="360" w:lineRule="auto"/>
              <w:jc w:val="center"/>
              <w:rPr>
                <w:rFonts w:hint="eastAsia" w:hAnsi="宋体"/>
                <w:b/>
                <w:bCs/>
                <w:kern w:val="0"/>
                <w:sz w:val="21"/>
                <w:szCs w:val="21"/>
                <w:lang w:val="en-US" w:eastAsia="zh-CN"/>
              </w:rPr>
            </w:pPr>
            <w:r>
              <w:rPr>
                <w:rFonts w:hint="eastAsia" w:hAnsi="宋体"/>
                <w:b/>
                <w:bCs/>
                <w:kern w:val="0"/>
                <w:sz w:val="21"/>
                <w:szCs w:val="21"/>
                <w:lang w:val="en-US" w:eastAsia="zh-CN"/>
              </w:rPr>
              <w:t>表7-2 厂界噪声检测结果一览表</w:t>
            </w:r>
          </w:p>
          <w:tbl>
            <w:tblPr>
              <w:tblStyle w:val="14"/>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1242"/>
              <w:gridCol w:w="1288"/>
              <w:gridCol w:w="1524"/>
              <w:gridCol w:w="1524"/>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5" w:type="pct"/>
                  <w:vMerge w:val="restart"/>
                  <w:noWrap w:val="0"/>
                  <w:vAlign w:val="center"/>
                </w:tcPr>
                <w:p>
                  <w:pPr>
                    <w:jc w:val="center"/>
                    <w:rPr>
                      <w:rFonts w:hint="default" w:ascii="Times New Roman" w:hAnsi="Times New Roman" w:eastAsia="宋体" w:cs="Times New Roman"/>
                      <w:b/>
                      <w:bCs/>
                      <w:kern w:val="0"/>
                      <w:sz w:val="21"/>
                      <w:szCs w:val="21"/>
                    </w:rPr>
                  </w:pPr>
                  <w:r>
                    <w:rPr>
                      <w:rFonts w:hint="eastAsia" w:ascii="Times New Roman" w:hAnsi="Times New Roman" w:eastAsia="宋体" w:cs="Times New Roman"/>
                      <w:b/>
                      <w:bCs/>
                      <w:kern w:val="0"/>
                      <w:sz w:val="21"/>
                      <w:szCs w:val="21"/>
                      <w:lang w:eastAsia="zh-CN"/>
                    </w:rPr>
                    <w:t>检测</w:t>
                  </w:r>
                  <w:r>
                    <w:rPr>
                      <w:rFonts w:hint="default" w:ascii="Times New Roman" w:hAnsi="Times New Roman" w:eastAsia="宋体" w:cs="Times New Roman"/>
                      <w:b/>
                      <w:bCs/>
                      <w:kern w:val="0"/>
                      <w:sz w:val="21"/>
                      <w:szCs w:val="21"/>
                    </w:rPr>
                    <w:t>时间</w:t>
                  </w:r>
                </w:p>
              </w:tc>
              <w:tc>
                <w:tcPr>
                  <w:tcW w:w="749" w:type="pct"/>
                  <w:vMerge w:val="restart"/>
                  <w:noWrap w:val="0"/>
                  <w:vAlign w:val="center"/>
                </w:tcPr>
                <w:p>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检测点位</w:t>
                  </w:r>
                </w:p>
              </w:tc>
              <w:tc>
                <w:tcPr>
                  <w:tcW w:w="1696" w:type="pct"/>
                  <w:gridSpan w:val="2"/>
                  <w:noWrap w:val="0"/>
                  <w:vAlign w:val="center"/>
                </w:tcPr>
                <w:p>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检测结果dB(A)</w:t>
                  </w:r>
                </w:p>
              </w:tc>
              <w:tc>
                <w:tcPr>
                  <w:tcW w:w="1838" w:type="pct"/>
                  <w:gridSpan w:val="2"/>
                  <w:noWrap w:val="0"/>
                  <w:vAlign w:val="center"/>
                </w:tcPr>
                <w:p>
                  <w:pPr>
                    <w:widowControl/>
                    <w:jc w:val="center"/>
                    <w:rPr>
                      <w:rFonts w:hint="eastAsia" w:ascii="Times New Roman" w:hAnsi="Times New Roman" w:eastAsia="宋体" w:cs="Times New Roman"/>
                      <w:b/>
                      <w:bCs/>
                      <w:kern w:val="0"/>
                      <w:sz w:val="21"/>
                      <w:szCs w:val="21"/>
                      <w:lang w:eastAsia="zh-CN"/>
                    </w:rPr>
                  </w:pPr>
                  <w:r>
                    <w:rPr>
                      <w:rFonts w:hint="eastAsia" w:cs="Times New Roman"/>
                      <w:b/>
                      <w:bCs/>
                      <w:kern w:val="0"/>
                      <w:sz w:val="21"/>
                      <w:szCs w:val="21"/>
                      <w:lang w:eastAsia="zh-CN"/>
                    </w:rPr>
                    <w:t>标准限值</w:t>
                  </w:r>
                  <w:r>
                    <w:rPr>
                      <w:rFonts w:hint="default" w:ascii="Times New Roman" w:hAnsi="Times New Roman" w:eastAsia="宋体" w:cs="Times New Roman"/>
                      <w:b/>
                      <w:bCs/>
                      <w:kern w:val="0"/>
                      <w:sz w:val="21"/>
                      <w:szCs w:val="21"/>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pct"/>
                  <w:vMerge w:val="continue"/>
                  <w:noWrap w:val="0"/>
                  <w:vAlign w:val="center"/>
                </w:tcPr>
                <w:p>
                  <w:pPr>
                    <w:widowControl/>
                    <w:jc w:val="center"/>
                    <w:rPr>
                      <w:rFonts w:hint="default" w:ascii="Times New Roman" w:hAnsi="Times New Roman" w:eastAsia="宋体" w:cs="Times New Roman"/>
                      <w:kern w:val="0"/>
                      <w:sz w:val="21"/>
                      <w:szCs w:val="21"/>
                    </w:rPr>
                  </w:pPr>
                </w:p>
              </w:tc>
              <w:tc>
                <w:tcPr>
                  <w:tcW w:w="749" w:type="pct"/>
                  <w:vMerge w:val="continue"/>
                  <w:noWrap w:val="0"/>
                  <w:vAlign w:val="center"/>
                </w:tcPr>
                <w:p>
                  <w:pPr>
                    <w:widowControl/>
                    <w:jc w:val="center"/>
                    <w:rPr>
                      <w:rFonts w:hint="default" w:ascii="Times New Roman" w:hAnsi="Times New Roman" w:eastAsia="宋体" w:cs="Times New Roman"/>
                      <w:kern w:val="0"/>
                      <w:sz w:val="21"/>
                      <w:szCs w:val="21"/>
                    </w:rPr>
                  </w:pPr>
                </w:p>
              </w:tc>
              <w:tc>
                <w:tcPr>
                  <w:tcW w:w="777" w:type="pct"/>
                  <w:noWrap w:val="0"/>
                  <w:vAlign w:val="center"/>
                </w:tcPr>
                <w:p>
                  <w:pPr>
                    <w:widowControl/>
                    <w:jc w:val="center"/>
                    <w:rPr>
                      <w:rFonts w:hint="eastAsia" w:ascii="Times New Roman" w:hAnsi="Times New Roman" w:eastAsia="宋体" w:cs="Times New Roman"/>
                      <w:b/>
                      <w:bCs/>
                      <w:kern w:val="0"/>
                      <w:sz w:val="21"/>
                      <w:szCs w:val="21"/>
                      <w:lang w:eastAsia="zh-CN"/>
                    </w:rPr>
                  </w:pPr>
                  <w:r>
                    <w:rPr>
                      <w:rFonts w:hint="eastAsia" w:cs="Times New Roman"/>
                      <w:b/>
                      <w:bCs/>
                      <w:kern w:val="0"/>
                      <w:sz w:val="21"/>
                      <w:szCs w:val="21"/>
                      <w:lang w:eastAsia="zh-CN"/>
                    </w:rPr>
                    <w:t>昼间</w:t>
                  </w:r>
                </w:p>
              </w:tc>
              <w:tc>
                <w:tcPr>
                  <w:tcW w:w="919" w:type="pct"/>
                  <w:noWrap w:val="0"/>
                  <w:vAlign w:val="center"/>
                </w:tcPr>
                <w:p>
                  <w:pPr>
                    <w:widowControl/>
                    <w:jc w:val="center"/>
                    <w:rPr>
                      <w:rFonts w:hint="eastAsia" w:ascii="Times New Roman" w:hAnsi="Times New Roman" w:eastAsia="宋体" w:cs="Times New Roman"/>
                      <w:b/>
                      <w:bCs/>
                      <w:kern w:val="0"/>
                      <w:sz w:val="21"/>
                      <w:szCs w:val="21"/>
                      <w:lang w:eastAsia="zh-CN"/>
                    </w:rPr>
                  </w:pPr>
                  <w:r>
                    <w:rPr>
                      <w:rFonts w:hint="eastAsia" w:cs="Times New Roman"/>
                      <w:b/>
                      <w:bCs/>
                      <w:kern w:val="0"/>
                      <w:sz w:val="21"/>
                      <w:szCs w:val="21"/>
                      <w:lang w:eastAsia="zh-CN"/>
                    </w:rPr>
                    <w:t>夜间</w:t>
                  </w:r>
                </w:p>
              </w:tc>
              <w:tc>
                <w:tcPr>
                  <w:tcW w:w="919" w:type="pct"/>
                  <w:noWrap w:val="0"/>
                  <w:vAlign w:val="center"/>
                </w:tcPr>
                <w:p>
                  <w:pPr>
                    <w:widowControl/>
                    <w:jc w:val="center"/>
                    <w:rPr>
                      <w:rFonts w:hint="default" w:ascii="Times New Roman" w:hAnsi="Times New Roman" w:eastAsia="宋体" w:cs="Times New Roman"/>
                      <w:b/>
                      <w:bCs/>
                      <w:kern w:val="0"/>
                      <w:sz w:val="21"/>
                      <w:szCs w:val="21"/>
                    </w:rPr>
                  </w:pPr>
                  <w:r>
                    <w:rPr>
                      <w:rFonts w:hint="eastAsia" w:cs="Times New Roman"/>
                      <w:b/>
                      <w:bCs/>
                      <w:kern w:val="0"/>
                      <w:sz w:val="21"/>
                      <w:szCs w:val="21"/>
                      <w:lang w:eastAsia="zh-CN"/>
                    </w:rPr>
                    <w:t>昼间</w:t>
                  </w:r>
                </w:p>
              </w:tc>
              <w:tc>
                <w:tcPr>
                  <w:tcW w:w="919" w:type="pct"/>
                  <w:noWrap w:val="0"/>
                  <w:vAlign w:val="center"/>
                </w:tcPr>
                <w:p>
                  <w:pPr>
                    <w:widowControl/>
                    <w:jc w:val="center"/>
                    <w:rPr>
                      <w:rFonts w:hint="default" w:ascii="Times New Roman" w:hAnsi="Times New Roman" w:eastAsia="宋体" w:cs="Times New Roman"/>
                      <w:b/>
                      <w:bCs/>
                      <w:kern w:val="0"/>
                      <w:sz w:val="21"/>
                      <w:szCs w:val="21"/>
                    </w:rPr>
                  </w:pPr>
                  <w:r>
                    <w:rPr>
                      <w:rFonts w:hint="eastAsia" w:cs="Times New Roman"/>
                      <w:b/>
                      <w:bCs/>
                      <w:kern w:val="0"/>
                      <w:sz w:val="21"/>
                      <w:szCs w:val="21"/>
                      <w:lang w:eastAsia="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5" w:type="pct"/>
                  <w:vMerge w:val="restart"/>
                  <w:noWrap w:val="0"/>
                  <w:vAlign w:val="center"/>
                </w:tcPr>
                <w:p>
                  <w:pPr>
                    <w:jc w:val="center"/>
                    <w:rPr>
                      <w:rFonts w:hint="default" w:ascii="Times New Roman" w:hAnsi="Times New Roman" w:eastAsia="宋体" w:cs="Times New Roman"/>
                      <w:szCs w:val="21"/>
                    </w:rPr>
                  </w:pPr>
                  <w:r>
                    <w:rPr>
                      <w:rFonts w:hint="eastAsia" w:ascii="Times New Roman" w:hAnsi="Times New Roman" w:eastAsia="宋体" w:cs="Times New Roman"/>
                      <w:szCs w:val="21"/>
                      <w:lang w:val="en-US" w:eastAsia="zh-CN"/>
                    </w:rPr>
                    <w:t>7</w:t>
                  </w:r>
                  <w:r>
                    <w:rPr>
                      <w:rFonts w:hint="default" w:ascii="Times New Roman" w:hAnsi="Times New Roman" w:eastAsia="宋体" w:cs="Times New Roman"/>
                      <w:szCs w:val="21"/>
                    </w:rPr>
                    <w:t>月</w:t>
                  </w:r>
                  <w:r>
                    <w:rPr>
                      <w:rFonts w:hint="eastAsia" w:ascii="Times New Roman" w:hAnsi="Times New Roman" w:eastAsia="宋体" w:cs="Times New Roman"/>
                      <w:szCs w:val="21"/>
                      <w:lang w:val="en-US" w:eastAsia="zh-CN"/>
                    </w:rPr>
                    <w:t>19</w:t>
                  </w:r>
                  <w:r>
                    <w:rPr>
                      <w:rFonts w:hint="default" w:ascii="Times New Roman" w:hAnsi="Times New Roman" w:eastAsia="宋体" w:cs="Times New Roman"/>
                      <w:szCs w:val="21"/>
                    </w:rPr>
                    <w:t>日</w:t>
                  </w:r>
                </w:p>
              </w:tc>
              <w:tc>
                <w:tcPr>
                  <w:tcW w:w="749" w:type="pct"/>
                  <w:noWrap w:val="0"/>
                  <w:vAlign w:val="center"/>
                </w:tcPr>
                <w:p>
                  <w:pPr>
                    <w:jc w:val="center"/>
                    <w:rPr>
                      <w:rFonts w:hint="default" w:ascii="Times New Roman" w:hAnsi="Times New Roman" w:eastAsia="宋体" w:cs="Times New Roman"/>
                      <w:szCs w:val="21"/>
                    </w:rPr>
                  </w:pPr>
                  <w:r>
                    <w:rPr>
                      <w:rFonts w:hint="eastAsia" w:ascii="Times New Roman" w:hAnsi="Times New Roman" w:eastAsia="宋体" w:cs="Times New Roman"/>
                      <w:szCs w:val="21"/>
                      <w:lang w:val="en-US" w:eastAsia="zh-CN"/>
                    </w:rPr>
                    <w:t>Z</w:t>
                  </w:r>
                  <w:r>
                    <w:rPr>
                      <w:rFonts w:hint="default" w:ascii="Times New Roman" w:hAnsi="Times New Roman" w:eastAsia="宋体" w:cs="Times New Roman"/>
                      <w:szCs w:val="21"/>
                    </w:rPr>
                    <w:t>1</w:t>
                  </w:r>
                </w:p>
              </w:tc>
              <w:tc>
                <w:tcPr>
                  <w:tcW w:w="777"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56</w:t>
                  </w:r>
                </w:p>
              </w:tc>
              <w:tc>
                <w:tcPr>
                  <w:tcW w:w="919"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45</w:t>
                  </w:r>
                </w:p>
              </w:tc>
              <w:tc>
                <w:tcPr>
                  <w:tcW w:w="919" w:type="pct"/>
                  <w:vMerge w:val="restar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65</w:t>
                  </w:r>
                </w:p>
              </w:tc>
              <w:tc>
                <w:tcPr>
                  <w:tcW w:w="919" w:type="pct"/>
                  <w:vMerge w:val="restar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5" w:type="pct"/>
                  <w:vMerge w:val="continue"/>
                  <w:noWrap w:val="0"/>
                  <w:vAlign w:val="bottom"/>
                </w:tcPr>
                <w:p>
                  <w:pPr>
                    <w:jc w:val="center"/>
                    <w:rPr>
                      <w:rFonts w:hint="default" w:ascii="Times New Roman" w:hAnsi="Times New Roman" w:eastAsia="宋体" w:cs="Times New Roman"/>
                      <w:szCs w:val="21"/>
                    </w:rPr>
                  </w:pPr>
                </w:p>
              </w:tc>
              <w:tc>
                <w:tcPr>
                  <w:tcW w:w="749" w:type="pct"/>
                  <w:noWrap w:val="0"/>
                  <w:vAlign w:val="center"/>
                </w:tcPr>
                <w:p>
                  <w:pPr>
                    <w:jc w:val="center"/>
                    <w:rPr>
                      <w:rFonts w:hint="default" w:ascii="Times New Roman" w:hAnsi="Times New Roman" w:eastAsia="宋体" w:cs="Times New Roman"/>
                      <w:szCs w:val="21"/>
                    </w:rPr>
                  </w:pPr>
                  <w:r>
                    <w:rPr>
                      <w:rFonts w:hint="eastAsia" w:ascii="Times New Roman" w:hAnsi="Times New Roman" w:eastAsia="宋体" w:cs="Times New Roman"/>
                      <w:szCs w:val="21"/>
                      <w:lang w:val="en-US" w:eastAsia="zh-CN"/>
                    </w:rPr>
                    <w:t>Z</w:t>
                  </w:r>
                  <w:r>
                    <w:rPr>
                      <w:rFonts w:hint="default" w:ascii="Times New Roman" w:hAnsi="Times New Roman" w:eastAsia="宋体" w:cs="Times New Roman"/>
                      <w:szCs w:val="21"/>
                    </w:rPr>
                    <w:t>2</w:t>
                  </w:r>
                </w:p>
              </w:tc>
              <w:tc>
                <w:tcPr>
                  <w:tcW w:w="777"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55</w:t>
                  </w:r>
                </w:p>
              </w:tc>
              <w:tc>
                <w:tcPr>
                  <w:tcW w:w="919"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45</w:t>
                  </w:r>
                </w:p>
              </w:tc>
              <w:tc>
                <w:tcPr>
                  <w:tcW w:w="919" w:type="pct"/>
                  <w:vMerge w:val="continue"/>
                  <w:noWrap w:val="0"/>
                  <w:vAlign w:val="center"/>
                </w:tcPr>
                <w:p>
                  <w:pPr>
                    <w:jc w:val="center"/>
                    <w:rPr>
                      <w:rFonts w:hint="eastAsia" w:ascii="Times New Roman" w:hAnsi="Times New Roman" w:eastAsia="宋体" w:cs="Times New Roman"/>
                      <w:kern w:val="0"/>
                      <w:sz w:val="21"/>
                      <w:szCs w:val="21"/>
                      <w:lang w:eastAsia="zh-CN"/>
                    </w:rPr>
                  </w:pPr>
                </w:p>
              </w:tc>
              <w:tc>
                <w:tcPr>
                  <w:tcW w:w="919" w:type="pct"/>
                  <w:vMerge w:val="continue"/>
                  <w:noWrap w:val="0"/>
                  <w:vAlign w:val="center"/>
                </w:tcPr>
                <w:p>
                  <w:pPr>
                    <w:jc w:val="center"/>
                    <w:rPr>
                      <w:rFonts w:hint="eastAsia" w:ascii="Times New Roman" w:hAnsi="Times New Roman" w:eastAsia="宋体" w:cs="Times New Roman"/>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5" w:type="pct"/>
                  <w:vMerge w:val="restart"/>
                  <w:noWrap w:val="0"/>
                  <w:vAlign w:val="center"/>
                </w:tcPr>
                <w:p>
                  <w:pPr>
                    <w:jc w:val="center"/>
                    <w:rPr>
                      <w:rFonts w:hint="default" w:ascii="Times New Roman" w:hAnsi="Times New Roman" w:eastAsia="宋体" w:cs="Times New Roman"/>
                      <w:szCs w:val="21"/>
                    </w:rPr>
                  </w:pPr>
                  <w:r>
                    <w:rPr>
                      <w:rFonts w:hint="eastAsia" w:ascii="Times New Roman" w:hAnsi="Times New Roman" w:eastAsia="宋体" w:cs="Times New Roman"/>
                      <w:szCs w:val="21"/>
                      <w:lang w:val="en-US" w:eastAsia="zh-CN"/>
                    </w:rPr>
                    <w:t>7</w:t>
                  </w:r>
                  <w:r>
                    <w:rPr>
                      <w:rFonts w:hint="default" w:ascii="Times New Roman" w:hAnsi="Times New Roman" w:eastAsia="宋体" w:cs="Times New Roman"/>
                      <w:szCs w:val="21"/>
                    </w:rPr>
                    <w:t>月</w:t>
                  </w:r>
                  <w:r>
                    <w:rPr>
                      <w:rFonts w:hint="eastAsia" w:ascii="Times New Roman" w:hAnsi="Times New Roman" w:eastAsia="宋体" w:cs="Times New Roman"/>
                      <w:szCs w:val="21"/>
                      <w:lang w:val="en-US" w:eastAsia="zh-CN"/>
                    </w:rPr>
                    <w:t>20</w:t>
                  </w:r>
                  <w:r>
                    <w:rPr>
                      <w:rFonts w:hint="default" w:ascii="Times New Roman" w:hAnsi="Times New Roman" w:eastAsia="宋体" w:cs="Times New Roman"/>
                      <w:szCs w:val="21"/>
                    </w:rPr>
                    <w:t>日</w:t>
                  </w:r>
                </w:p>
              </w:tc>
              <w:tc>
                <w:tcPr>
                  <w:tcW w:w="749" w:type="pct"/>
                  <w:noWrap w:val="0"/>
                  <w:vAlign w:val="center"/>
                </w:tcPr>
                <w:p>
                  <w:pPr>
                    <w:jc w:val="center"/>
                    <w:rPr>
                      <w:rFonts w:hint="default" w:ascii="Times New Roman" w:hAnsi="Times New Roman" w:eastAsia="宋体" w:cs="Times New Roman"/>
                      <w:szCs w:val="21"/>
                    </w:rPr>
                  </w:pPr>
                  <w:r>
                    <w:rPr>
                      <w:rFonts w:hint="eastAsia" w:ascii="Times New Roman" w:hAnsi="Times New Roman" w:eastAsia="宋体" w:cs="Times New Roman"/>
                      <w:szCs w:val="21"/>
                      <w:lang w:val="en-US" w:eastAsia="zh-CN"/>
                    </w:rPr>
                    <w:t>Z</w:t>
                  </w:r>
                  <w:r>
                    <w:rPr>
                      <w:rFonts w:hint="default" w:ascii="Times New Roman" w:hAnsi="Times New Roman" w:eastAsia="宋体" w:cs="Times New Roman"/>
                      <w:szCs w:val="21"/>
                    </w:rPr>
                    <w:t>1</w:t>
                  </w:r>
                </w:p>
              </w:tc>
              <w:tc>
                <w:tcPr>
                  <w:tcW w:w="777"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58</w:t>
                  </w:r>
                </w:p>
              </w:tc>
              <w:tc>
                <w:tcPr>
                  <w:tcW w:w="919"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45</w:t>
                  </w:r>
                </w:p>
              </w:tc>
              <w:tc>
                <w:tcPr>
                  <w:tcW w:w="919" w:type="pct"/>
                  <w:vMerge w:val="continue"/>
                  <w:noWrap w:val="0"/>
                  <w:vAlign w:val="center"/>
                </w:tcPr>
                <w:p>
                  <w:pPr>
                    <w:widowControl/>
                    <w:jc w:val="center"/>
                    <w:rPr>
                      <w:rFonts w:hint="default" w:ascii="Times New Roman" w:hAnsi="Times New Roman" w:eastAsia="宋体" w:cs="Times New Roman"/>
                      <w:kern w:val="0"/>
                      <w:sz w:val="21"/>
                      <w:szCs w:val="21"/>
                    </w:rPr>
                  </w:pPr>
                </w:p>
              </w:tc>
              <w:tc>
                <w:tcPr>
                  <w:tcW w:w="919" w:type="pct"/>
                  <w:vMerge w:val="continue"/>
                  <w:noWrap w:val="0"/>
                  <w:vAlign w:val="center"/>
                </w:tcPr>
                <w:p>
                  <w:pPr>
                    <w:widowControl/>
                    <w:jc w:val="center"/>
                    <w:rPr>
                      <w:rFonts w:hint="eastAsia" w:ascii="Times New Roman" w:hAnsi="Times New Roman" w:eastAsia="宋体" w:cs="Times New Roman"/>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5" w:type="pct"/>
                  <w:vMerge w:val="continue"/>
                  <w:noWrap w:val="0"/>
                  <w:vAlign w:val="bottom"/>
                </w:tcPr>
                <w:p>
                  <w:pPr>
                    <w:jc w:val="center"/>
                    <w:rPr>
                      <w:rFonts w:hint="default" w:ascii="Times New Roman" w:hAnsi="Times New Roman" w:eastAsia="宋体" w:cs="Times New Roman"/>
                      <w:szCs w:val="21"/>
                    </w:rPr>
                  </w:pPr>
                </w:p>
              </w:tc>
              <w:tc>
                <w:tcPr>
                  <w:tcW w:w="749" w:type="pct"/>
                  <w:noWrap w:val="0"/>
                  <w:vAlign w:val="center"/>
                </w:tcPr>
                <w:p>
                  <w:pPr>
                    <w:jc w:val="center"/>
                    <w:rPr>
                      <w:rFonts w:hint="default" w:ascii="Times New Roman" w:hAnsi="Times New Roman" w:eastAsia="宋体" w:cs="Times New Roman"/>
                      <w:szCs w:val="21"/>
                    </w:rPr>
                  </w:pPr>
                  <w:r>
                    <w:rPr>
                      <w:rFonts w:hint="eastAsia" w:ascii="Times New Roman" w:hAnsi="Times New Roman" w:eastAsia="宋体" w:cs="Times New Roman"/>
                      <w:szCs w:val="21"/>
                      <w:lang w:val="en-US" w:eastAsia="zh-CN"/>
                    </w:rPr>
                    <w:t>Z</w:t>
                  </w:r>
                  <w:r>
                    <w:rPr>
                      <w:rFonts w:hint="default" w:ascii="Times New Roman" w:hAnsi="Times New Roman" w:eastAsia="宋体" w:cs="Times New Roman"/>
                      <w:szCs w:val="21"/>
                    </w:rPr>
                    <w:t>2</w:t>
                  </w:r>
                </w:p>
              </w:tc>
              <w:tc>
                <w:tcPr>
                  <w:tcW w:w="777"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56</w:t>
                  </w:r>
                </w:p>
              </w:tc>
              <w:tc>
                <w:tcPr>
                  <w:tcW w:w="919"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45</w:t>
                  </w:r>
                </w:p>
              </w:tc>
              <w:tc>
                <w:tcPr>
                  <w:tcW w:w="919" w:type="pct"/>
                  <w:vMerge w:val="continue"/>
                  <w:noWrap w:val="0"/>
                  <w:vAlign w:val="center"/>
                </w:tcPr>
                <w:p>
                  <w:pPr>
                    <w:jc w:val="center"/>
                    <w:rPr>
                      <w:rFonts w:hint="default" w:ascii="Times New Roman" w:hAnsi="Times New Roman" w:eastAsia="宋体" w:cs="Times New Roman"/>
                      <w:kern w:val="0"/>
                      <w:sz w:val="21"/>
                      <w:szCs w:val="21"/>
                    </w:rPr>
                  </w:pPr>
                </w:p>
              </w:tc>
              <w:tc>
                <w:tcPr>
                  <w:tcW w:w="919" w:type="pct"/>
                  <w:vMerge w:val="continue"/>
                  <w:noWrap w:val="0"/>
                  <w:vAlign w:val="center"/>
                </w:tcPr>
                <w:p>
                  <w:pPr>
                    <w:jc w:val="center"/>
                    <w:rPr>
                      <w:rFonts w:hint="eastAsia" w:ascii="Times New Roman" w:hAnsi="Times New Roman" w:eastAsia="宋体" w:cs="Times New Roman"/>
                      <w:kern w:val="0"/>
                      <w:sz w:val="21"/>
                      <w:szCs w:val="21"/>
                      <w:lang w:eastAsia="zh-CN"/>
                    </w:rPr>
                  </w:pPr>
                </w:p>
              </w:tc>
            </w:tr>
          </w:tbl>
          <w:p>
            <w:pPr>
              <w:pStyle w:val="29"/>
              <w:spacing w:line="360" w:lineRule="auto"/>
              <w:ind w:firstLine="480" w:firstLineChars="200"/>
              <w:jc w:val="both"/>
              <w:rPr>
                <w:kern w:val="0"/>
                <w:sz w:val="24"/>
              </w:rPr>
            </w:pPr>
            <w:r>
              <w:rPr>
                <w:rFonts w:hint="default" w:ascii="Times New Roman" w:hAnsi="Times New Roman" w:eastAsia="宋体" w:cs="Times New Roman"/>
                <w:color w:val="auto"/>
                <w:kern w:val="0"/>
                <w:sz w:val="24"/>
                <w:szCs w:val="24"/>
                <w:lang w:val="en-US" w:eastAsia="zh-CN" w:bidi="ar-SA"/>
              </w:rPr>
              <w:t>由表可知，本次验收监测</w:t>
            </w:r>
            <w:r>
              <w:rPr>
                <w:rFonts w:hint="eastAsia" w:ascii="Times New Roman" w:eastAsia="宋体" w:cs="Times New Roman"/>
                <w:color w:val="auto"/>
                <w:kern w:val="0"/>
                <w:sz w:val="24"/>
                <w:szCs w:val="24"/>
                <w:lang w:val="en-US" w:eastAsia="zh-CN" w:bidi="ar-SA"/>
              </w:rPr>
              <w:t>重庆乐仁汽车电子有限公司</w:t>
            </w:r>
            <w:r>
              <w:rPr>
                <w:rFonts w:hint="eastAsia" w:ascii="Times New Roman" w:hAnsi="Times New Roman" w:eastAsia="宋体" w:cs="Times New Roman"/>
                <w:color w:val="auto"/>
                <w:kern w:val="0"/>
                <w:sz w:val="24"/>
                <w:szCs w:val="24"/>
                <w:lang w:val="en-US" w:eastAsia="zh-CN" w:bidi="ar-SA"/>
              </w:rPr>
              <w:t>项目噪声排放符合《工业企业厂界环境噪声排放标准》（GB12348-2008）中的3类标准。</w:t>
            </w:r>
          </w:p>
          <w:p>
            <w:pPr>
              <w:spacing w:line="360" w:lineRule="exact"/>
              <w:rPr>
                <w:kern w:val="0"/>
                <w:sz w:val="24"/>
              </w:rPr>
            </w:pPr>
          </w:p>
          <w:p>
            <w:pPr>
              <w:spacing w:line="360" w:lineRule="exact"/>
              <w:rPr>
                <w:kern w:val="0"/>
                <w:sz w:val="24"/>
              </w:rPr>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spacing w:line="360" w:lineRule="exact"/>
              <w:rPr>
                <w:kern w:val="0"/>
                <w:sz w:val="24"/>
              </w:rPr>
            </w:pPr>
          </w:p>
          <w:p>
            <w:pPr>
              <w:spacing w:line="360" w:lineRule="exact"/>
            </w:pPr>
          </w:p>
        </w:tc>
      </w:tr>
    </w:tbl>
    <w:p>
      <w:pPr>
        <w:spacing w:line="360" w:lineRule="auto"/>
        <w:rPr>
          <w:rFonts w:eastAsia="仿宋_GB2312"/>
          <w:b/>
          <w:sz w:val="28"/>
          <w:szCs w:val="28"/>
        </w:rPr>
      </w:pPr>
      <w:r>
        <w:rPr>
          <w:rFonts w:eastAsia="仿宋_GB2312"/>
          <w:b/>
          <w:sz w:val="28"/>
          <w:szCs w:val="28"/>
        </w:rPr>
        <w:t>表</w:t>
      </w:r>
      <w:r>
        <w:rPr>
          <w:rFonts w:hint="eastAsia" w:eastAsia="仿宋_GB2312"/>
          <w:b/>
          <w:sz w:val="28"/>
          <w:szCs w:val="28"/>
        </w:rPr>
        <w:t>八 环保管理检查</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7" w:hRule="atLeast"/>
        </w:trPr>
        <w:tc>
          <w:tcPr>
            <w:tcW w:w="8522" w:type="dxa"/>
          </w:tcPr>
          <w:p>
            <w:pPr>
              <w:spacing w:line="480" w:lineRule="auto"/>
              <w:rPr>
                <w:rFonts w:hAnsi="宋体"/>
                <w:b/>
                <w:bCs/>
                <w:kern w:val="0"/>
                <w:sz w:val="24"/>
              </w:rPr>
            </w:pPr>
            <w:bookmarkStart w:id="7" w:name="_Toc514767377"/>
            <w:r>
              <w:rPr>
                <w:b/>
                <w:bCs/>
                <w:kern w:val="0"/>
                <w:sz w:val="24"/>
              </w:rPr>
              <w:t xml:space="preserve">8.1  </w:t>
            </w:r>
            <w:r>
              <w:rPr>
                <w:rFonts w:hAnsi="宋体"/>
                <w:b/>
                <w:bCs/>
                <w:kern w:val="0"/>
                <w:sz w:val="24"/>
              </w:rPr>
              <w:t>环保机构设置、环境管理制度及其落实情况</w:t>
            </w:r>
            <w:bookmarkEnd w:id="7"/>
          </w:p>
          <w:p>
            <w:pPr>
              <w:spacing w:line="360" w:lineRule="auto"/>
              <w:ind w:firstLine="480" w:firstLineChars="200"/>
              <w:rPr>
                <w:rFonts w:hAnsi="宋体"/>
                <w:kern w:val="0"/>
                <w:sz w:val="24"/>
              </w:rPr>
            </w:pPr>
            <w:r>
              <w:rPr>
                <w:rFonts w:hint="eastAsia" w:hAnsi="宋体"/>
                <w:kern w:val="0"/>
                <w:sz w:val="24"/>
                <w:lang w:eastAsia="zh-CN"/>
              </w:rPr>
              <w:t>重庆乐仁汽车电子有限公司</w:t>
            </w:r>
            <w:r>
              <w:rPr>
                <w:rFonts w:hAnsi="宋体"/>
                <w:kern w:val="0"/>
                <w:sz w:val="24"/>
              </w:rPr>
              <w:t>设立了安全环保部对项目环境管理和环境监控负责，并受项目主管单位及当地环保局的监督和指导。</w:t>
            </w:r>
          </w:p>
          <w:p>
            <w:pPr>
              <w:spacing w:line="360" w:lineRule="auto"/>
              <w:ind w:firstLine="480" w:firstLineChars="200"/>
              <w:rPr>
                <w:rFonts w:hAnsi="宋体"/>
                <w:kern w:val="0"/>
                <w:sz w:val="24"/>
              </w:rPr>
            </w:pPr>
            <w:r>
              <w:rPr>
                <w:rFonts w:hAnsi="宋体"/>
                <w:kern w:val="0"/>
                <w:sz w:val="24"/>
              </w:rPr>
              <w:t>公司制定了环保管理制度、环境风险应急预案、环保设施（设备）操作管理规程、固体废物管理制度等。该工程环保手续齐全，较好地履行了环境管理制度。</w:t>
            </w:r>
          </w:p>
          <w:p>
            <w:pPr>
              <w:spacing w:line="480" w:lineRule="auto"/>
              <w:rPr>
                <w:b/>
                <w:bCs/>
                <w:kern w:val="0"/>
                <w:sz w:val="24"/>
              </w:rPr>
            </w:pPr>
            <w:bookmarkStart w:id="8" w:name="_Toc514767378"/>
            <w:r>
              <w:rPr>
                <w:b/>
                <w:bCs/>
                <w:kern w:val="0"/>
                <w:sz w:val="24"/>
              </w:rPr>
              <w:t>8.2  建设项目</w:t>
            </w:r>
            <w:r>
              <w:rPr>
                <w:rFonts w:hint="eastAsia"/>
                <w:b/>
                <w:bCs/>
                <w:kern w:val="0"/>
                <w:sz w:val="24"/>
                <w:lang w:eastAsia="zh-CN"/>
              </w:rPr>
              <w:t>“</w:t>
            </w:r>
            <w:r>
              <w:rPr>
                <w:b/>
                <w:bCs/>
                <w:kern w:val="0"/>
                <w:sz w:val="24"/>
              </w:rPr>
              <w:t>三同时</w:t>
            </w:r>
            <w:r>
              <w:rPr>
                <w:rFonts w:hint="eastAsia"/>
                <w:b/>
                <w:bCs/>
                <w:kern w:val="0"/>
                <w:sz w:val="24"/>
                <w:lang w:eastAsia="zh-CN"/>
              </w:rPr>
              <w:t>”</w:t>
            </w:r>
            <w:r>
              <w:rPr>
                <w:b/>
                <w:bCs/>
                <w:kern w:val="0"/>
                <w:sz w:val="24"/>
              </w:rPr>
              <w:t>执行情况</w:t>
            </w:r>
            <w:bookmarkEnd w:id="8"/>
          </w:p>
          <w:p>
            <w:pPr>
              <w:spacing w:line="360" w:lineRule="auto"/>
              <w:ind w:firstLine="480" w:firstLineChars="200"/>
              <w:rPr>
                <w:kern w:val="0"/>
                <w:sz w:val="24"/>
              </w:rPr>
            </w:pPr>
            <w:r>
              <w:rPr>
                <w:rFonts w:hAnsi="宋体"/>
                <w:kern w:val="0"/>
                <w:sz w:val="24"/>
              </w:rPr>
              <w:t>本项目在建设前，根据《中华人民共和国环境保护法》和《建设项目环境保护管理条例》的要求进行了项目环境影响评价，本项目产生的废水、废气污染物均设置环保设施</w:t>
            </w:r>
            <w:r>
              <w:rPr>
                <w:rFonts w:hint="eastAsia" w:hAnsi="宋体"/>
                <w:kern w:val="0"/>
                <w:sz w:val="24"/>
              </w:rPr>
              <w:t>（措施）进行</w:t>
            </w:r>
            <w:r>
              <w:rPr>
                <w:rFonts w:hAnsi="宋体"/>
                <w:kern w:val="0"/>
                <w:sz w:val="24"/>
              </w:rPr>
              <w:t>了有效处理，本项目产生的</w:t>
            </w:r>
            <w:r>
              <w:rPr>
                <w:rFonts w:hint="eastAsia" w:hAnsi="宋体"/>
                <w:kern w:val="0"/>
                <w:sz w:val="24"/>
              </w:rPr>
              <w:t>固体废物</w:t>
            </w:r>
            <w:r>
              <w:rPr>
                <w:rFonts w:hAnsi="宋体"/>
                <w:kern w:val="0"/>
                <w:sz w:val="24"/>
              </w:rPr>
              <w:t>得到了规范处置，基本做到了环保设施与主体工程同时设计、同时施工、同时投入运行。</w:t>
            </w:r>
          </w:p>
          <w:p>
            <w:pPr>
              <w:spacing w:line="480" w:lineRule="auto"/>
              <w:rPr>
                <w:b/>
                <w:bCs/>
                <w:kern w:val="0"/>
                <w:sz w:val="24"/>
              </w:rPr>
            </w:pPr>
            <w:bookmarkStart w:id="9" w:name="_Toc514767379"/>
            <w:r>
              <w:rPr>
                <w:b/>
                <w:bCs/>
                <w:kern w:val="0"/>
                <w:sz w:val="24"/>
              </w:rPr>
              <w:t>8.3  环评文件要求的环保措施落实情况</w:t>
            </w:r>
            <w:bookmarkEnd w:id="9"/>
          </w:p>
          <w:p>
            <w:pPr>
              <w:spacing w:line="360" w:lineRule="auto"/>
              <w:ind w:firstLine="480" w:firstLineChars="200"/>
              <w:rPr>
                <w:kern w:val="0"/>
                <w:sz w:val="24"/>
              </w:rPr>
            </w:pPr>
            <w:r>
              <w:rPr>
                <w:rFonts w:hAnsi="宋体"/>
                <w:kern w:val="0"/>
                <w:sz w:val="24"/>
              </w:rPr>
              <w:t>本项目在施工建设和运行过程中，严格按照环评报告表及其批复文件要求认真落实了环保措施的建设和运行管理。环评报告表中要求的环保措施实际落实情况详见表</w:t>
            </w:r>
            <w:r>
              <w:rPr>
                <w:kern w:val="0"/>
                <w:sz w:val="24"/>
              </w:rPr>
              <w:t>8-1</w:t>
            </w:r>
            <w:r>
              <w:rPr>
                <w:rFonts w:hAnsi="宋体"/>
                <w:kern w:val="0"/>
                <w:sz w:val="24"/>
              </w:rPr>
              <w:t>；环评批复文件要求落实情况详见表</w:t>
            </w:r>
            <w:r>
              <w:rPr>
                <w:kern w:val="0"/>
                <w:sz w:val="24"/>
              </w:rPr>
              <w:t>8-2</w:t>
            </w:r>
            <w:r>
              <w:rPr>
                <w:rFonts w:hAnsi="宋体"/>
                <w:kern w:val="0"/>
                <w:sz w:val="24"/>
              </w:rPr>
              <w:t>。</w:t>
            </w:r>
          </w:p>
          <w:p>
            <w:pPr>
              <w:spacing w:line="480" w:lineRule="auto"/>
              <w:jc w:val="center"/>
              <w:rPr>
                <w:b/>
                <w:bCs w:val="0"/>
                <w:kern w:val="0"/>
                <w:sz w:val="21"/>
                <w:szCs w:val="21"/>
              </w:rPr>
            </w:pPr>
            <w:r>
              <w:rPr>
                <w:rFonts w:hAnsi="宋体"/>
                <w:b/>
                <w:bCs w:val="0"/>
                <w:kern w:val="0"/>
                <w:sz w:val="21"/>
                <w:szCs w:val="21"/>
              </w:rPr>
              <w:t>表</w:t>
            </w:r>
            <w:r>
              <w:rPr>
                <w:b/>
                <w:bCs w:val="0"/>
                <w:kern w:val="0"/>
                <w:sz w:val="21"/>
                <w:szCs w:val="21"/>
              </w:rPr>
              <w:t>8-1</w:t>
            </w:r>
            <w:r>
              <w:rPr>
                <w:rFonts w:hAnsi="宋体"/>
                <w:b/>
                <w:bCs w:val="0"/>
                <w:kern w:val="0"/>
                <w:sz w:val="21"/>
                <w:szCs w:val="21"/>
              </w:rPr>
              <w:t>环评报告表要求与及实际建成的主要污染防治设施对照表</w:t>
            </w:r>
          </w:p>
          <w:tbl>
            <w:tblPr>
              <w:tblStyle w:val="1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870"/>
              <w:gridCol w:w="1455"/>
              <w:gridCol w:w="2445"/>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51" w:type="dxa"/>
                  <w:gridSpan w:val="3"/>
                  <w:vAlign w:val="center"/>
                </w:tcPr>
                <w:p>
                  <w:pPr>
                    <w:pStyle w:val="18"/>
                    <w:rPr>
                      <w:rFonts w:hint="eastAsia" w:ascii="宋体" w:hAnsi="宋体" w:eastAsia="宋体" w:cs="宋体"/>
                      <w:sz w:val="21"/>
                      <w:szCs w:val="21"/>
                    </w:rPr>
                  </w:pPr>
                  <w:r>
                    <w:rPr>
                      <w:rFonts w:hint="eastAsia" w:ascii="宋体" w:hAnsi="宋体" w:eastAsia="宋体" w:cs="宋体"/>
                      <w:sz w:val="21"/>
                      <w:szCs w:val="21"/>
                    </w:rPr>
                    <w:t>污染源排放类别及排放源</w:t>
                  </w:r>
                </w:p>
              </w:tc>
              <w:tc>
                <w:tcPr>
                  <w:tcW w:w="2445" w:type="dxa"/>
                  <w:vMerge w:val="restart"/>
                  <w:vAlign w:val="center"/>
                </w:tcPr>
                <w:p>
                  <w:pPr>
                    <w:pStyle w:val="18"/>
                    <w:rPr>
                      <w:rFonts w:hint="eastAsia" w:ascii="宋体" w:hAnsi="宋体" w:eastAsia="宋体" w:cs="宋体"/>
                      <w:sz w:val="21"/>
                      <w:szCs w:val="21"/>
                    </w:rPr>
                  </w:pPr>
                  <w:r>
                    <w:rPr>
                      <w:rFonts w:hint="eastAsia" w:ascii="宋体" w:hAnsi="宋体" w:eastAsia="宋体" w:cs="宋体"/>
                      <w:sz w:val="21"/>
                      <w:szCs w:val="21"/>
                    </w:rPr>
                    <w:t>环评建设内容</w:t>
                  </w:r>
                </w:p>
              </w:tc>
              <w:tc>
                <w:tcPr>
                  <w:tcW w:w="2700" w:type="dxa"/>
                  <w:vMerge w:val="restart"/>
                  <w:vAlign w:val="center"/>
                </w:tcPr>
                <w:p>
                  <w:pPr>
                    <w:pStyle w:val="18"/>
                    <w:rPr>
                      <w:rFonts w:hint="eastAsia" w:ascii="宋体" w:hAnsi="宋体" w:eastAsia="宋体" w:cs="宋体"/>
                      <w:sz w:val="21"/>
                      <w:szCs w:val="21"/>
                    </w:rPr>
                  </w:pPr>
                  <w:r>
                    <w:rPr>
                      <w:rFonts w:hint="eastAsia" w:ascii="宋体" w:hAnsi="宋体" w:eastAsia="宋体" w:cs="宋体"/>
                      <w:sz w:val="21"/>
                      <w:szCs w:val="21"/>
                    </w:rPr>
                    <w:t>实际建设内容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dxa"/>
                  <w:vAlign w:val="center"/>
                </w:tcPr>
                <w:p>
                  <w:pPr>
                    <w:pStyle w:val="18"/>
                    <w:rPr>
                      <w:rFonts w:hint="eastAsia" w:ascii="宋体" w:hAnsi="宋体" w:eastAsia="宋体" w:cs="宋体"/>
                      <w:sz w:val="21"/>
                      <w:szCs w:val="21"/>
                    </w:rPr>
                  </w:pPr>
                  <w:r>
                    <w:rPr>
                      <w:rFonts w:hint="eastAsia" w:ascii="宋体" w:hAnsi="宋体" w:eastAsia="宋体" w:cs="宋体"/>
                      <w:sz w:val="21"/>
                      <w:szCs w:val="21"/>
                    </w:rPr>
                    <w:t>类别</w:t>
                  </w:r>
                </w:p>
              </w:tc>
              <w:tc>
                <w:tcPr>
                  <w:tcW w:w="870" w:type="dxa"/>
                  <w:vAlign w:val="center"/>
                </w:tcPr>
                <w:p>
                  <w:pPr>
                    <w:pStyle w:val="18"/>
                    <w:rPr>
                      <w:rFonts w:hint="eastAsia" w:ascii="宋体" w:hAnsi="宋体" w:eastAsia="宋体" w:cs="宋体"/>
                      <w:sz w:val="21"/>
                      <w:szCs w:val="21"/>
                    </w:rPr>
                  </w:pPr>
                  <w:r>
                    <w:rPr>
                      <w:rFonts w:hint="eastAsia" w:ascii="宋体" w:hAnsi="宋体" w:eastAsia="宋体" w:cs="宋体"/>
                      <w:sz w:val="21"/>
                      <w:szCs w:val="21"/>
                    </w:rPr>
                    <w:t>污染源</w:t>
                  </w:r>
                </w:p>
              </w:tc>
              <w:tc>
                <w:tcPr>
                  <w:tcW w:w="1455" w:type="dxa"/>
                  <w:vAlign w:val="center"/>
                </w:tcPr>
                <w:p>
                  <w:pPr>
                    <w:pStyle w:val="18"/>
                    <w:rPr>
                      <w:rFonts w:hint="eastAsia" w:ascii="宋体" w:hAnsi="宋体" w:eastAsia="宋体" w:cs="宋体"/>
                      <w:sz w:val="21"/>
                      <w:szCs w:val="21"/>
                    </w:rPr>
                  </w:pPr>
                  <w:r>
                    <w:rPr>
                      <w:rFonts w:hint="eastAsia" w:ascii="宋体" w:hAnsi="宋体" w:eastAsia="宋体" w:cs="宋体"/>
                      <w:sz w:val="21"/>
                      <w:szCs w:val="21"/>
                    </w:rPr>
                    <w:t>污染因子</w:t>
                  </w:r>
                </w:p>
              </w:tc>
              <w:tc>
                <w:tcPr>
                  <w:tcW w:w="2445" w:type="dxa"/>
                  <w:vMerge w:val="continue"/>
                  <w:vAlign w:val="center"/>
                </w:tcPr>
                <w:p>
                  <w:pPr>
                    <w:pStyle w:val="18"/>
                    <w:rPr>
                      <w:rFonts w:hint="eastAsia" w:ascii="宋体" w:hAnsi="宋体" w:eastAsia="宋体" w:cs="宋体"/>
                      <w:sz w:val="21"/>
                      <w:szCs w:val="21"/>
                    </w:rPr>
                  </w:pPr>
                </w:p>
              </w:tc>
              <w:tc>
                <w:tcPr>
                  <w:tcW w:w="2700" w:type="dxa"/>
                  <w:vMerge w:val="continue"/>
                  <w:vAlign w:val="center"/>
                </w:tcPr>
                <w:p>
                  <w:pPr>
                    <w:pStyle w:val="18"/>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jc w:val="center"/>
              </w:trPr>
              <w:tc>
                <w:tcPr>
                  <w:tcW w:w="826" w:type="dxa"/>
                  <w:vAlign w:val="center"/>
                </w:tcPr>
                <w:p>
                  <w:pPr>
                    <w:pStyle w:val="18"/>
                    <w:rPr>
                      <w:rFonts w:hint="eastAsia" w:ascii="宋体" w:hAnsi="宋体" w:eastAsia="宋体" w:cs="宋体"/>
                      <w:sz w:val="21"/>
                      <w:szCs w:val="21"/>
                    </w:rPr>
                  </w:pPr>
                  <w:r>
                    <w:rPr>
                      <w:rFonts w:hint="eastAsia" w:ascii="宋体" w:hAnsi="宋体" w:eastAsia="宋体" w:cs="宋体"/>
                      <w:sz w:val="21"/>
                      <w:szCs w:val="21"/>
                    </w:rPr>
                    <w:t>废水</w:t>
                  </w:r>
                </w:p>
              </w:tc>
              <w:tc>
                <w:tcPr>
                  <w:tcW w:w="870" w:type="dxa"/>
                  <w:vAlign w:val="center"/>
                </w:tcPr>
                <w:p>
                  <w:pPr>
                    <w:pStyle w:val="18"/>
                    <w:ind w:left="-105" w:leftChars="-50" w:right="-105" w:rightChars="-50"/>
                    <w:rPr>
                      <w:rFonts w:hint="eastAsia" w:ascii="宋体" w:hAnsi="宋体" w:eastAsia="宋体" w:cs="宋体"/>
                      <w:sz w:val="21"/>
                      <w:szCs w:val="21"/>
                      <w:lang w:eastAsia="zh-CN"/>
                    </w:rPr>
                  </w:pPr>
                  <w:r>
                    <w:rPr>
                      <w:rFonts w:hint="eastAsia" w:ascii="宋体" w:hAnsi="宋体" w:eastAsia="宋体" w:cs="宋体"/>
                      <w:kern w:val="0"/>
                      <w:sz w:val="21"/>
                      <w:szCs w:val="21"/>
                    </w:rPr>
                    <w:t>生活污水及车间清洁废水</w:t>
                  </w:r>
                </w:p>
              </w:tc>
              <w:tc>
                <w:tcPr>
                  <w:tcW w:w="1455" w:type="dxa"/>
                  <w:vAlign w:val="center"/>
                </w:tcPr>
                <w:p>
                  <w:pPr>
                    <w:autoSpaceDE w:val="0"/>
                    <w:autoSpaceDN w:val="0"/>
                    <w:adjustRightInd w:val="0"/>
                    <w:snapToGrid w:val="0"/>
                    <w:spacing w:line="240" w:lineRule="atLeast"/>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COD</w:t>
                  </w:r>
                </w:p>
                <w:p>
                  <w:pPr>
                    <w:autoSpaceDE w:val="0"/>
                    <w:autoSpaceDN w:val="0"/>
                    <w:adjustRightInd w:val="0"/>
                    <w:snapToGrid w:val="0"/>
                    <w:spacing w:line="240" w:lineRule="atLeast"/>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BOD</w:t>
                  </w:r>
                  <w:r>
                    <w:rPr>
                      <w:rFonts w:hint="default" w:ascii="Times New Roman" w:hAnsi="Times New Roman" w:eastAsia="宋体" w:cs="Times New Roman"/>
                      <w:sz w:val="21"/>
                      <w:szCs w:val="21"/>
                      <w:vertAlign w:val="subscript"/>
                    </w:rPr>
                    <w:t>5</w:t>
                  </w:r>
                </w:p>
                <w:p>
                  <w:pPr>
                    <w:autoSpaceDE w:val="0"/>
                    <w:autoSpaceDN w:val="0"/>
                    <w:adjustRightInd w:val="0"/>
                    <w:snapToGrid w:val="0"/>
                    <w:spacing w:line="240" w:lineRule="atLeast"/>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SS</w:t>
                  </w:r>
                </w:p>
                <w:p>
                  <w:pPr>
                    <w:autoSpaceDE w:val="0"/>
                    <w:autoSpaceDN w:val="0"/>
                    <w:adjustRightInd w:val="0"/>
                    <w:snapToGrid w:val="0"/>
                    <w:spacing w:line="240" w:lineRule="atLeast"/>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NH</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rPr>
                    <w:t>-N</w:t>
                  </w:r>
                </w:p>
                <w:p>
                  <w:pPr>
                    <w:pStyle w:val="18"/>
                    <w:rPr>
                      <w:rFonts w:hint="eastAsia" w:ascii="宋体" w:hAnsi="宋体" w:eastAsia="宋体" w:cs="宋体"/>
                      <w:sz w:val="21"/>
                      <w:szCs w:val="21"/>
                      <w:lang w:eastAsia="zh-CN"/>
                    </w:rPr>
                  </w:pPr>
                  <w:r>
                    <w:rPr>
                      <w:rFonts w:hint="default" w:ascii="Times New Roman" w:hAnsi="Times New Roman" w:eastAsia="宋体" w:cs="Times New Roman"/>
                      <w:kern w:val="0"/>
                      <w:sz w:val="21"/>
                      <w:szCs w:val="21"/>
                      <w:lang w:val="en-US" w:eastAsia="zh-CN"/>
                    </w:rPr>
                    <w:t>石油类</w:t>
                  </w:r>
                </w:p>
              </w:tc>
              <w:tc>
                <w:tcPr>
                  <w:tcW w:w="2445" w:type="dxa"/>
                  <w:vAlign w:val="center"/>
                </w:tcPr>
                <w:p>
                  <w:pPr>
                    <w:adjustRightInd w:val="0"/>
                    <w:snapToGrid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经租用标准厂房的生化池处理达标后进入园区污水管网，最后进入沱口污水处理厂。</w:t>
                  </w:r>
                </w:p>
              </w:tc>
              <w:tc>
                <w:tcPr>
                  <w:tcW w:w="2700" w:type="dxa"/>
                  <w:vAlign w:val="center"/>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IE" w:eastAsia="zh-CN" w:bidi="ar-SA"/>
                    </w:rPr>
                    <w:t>生活污水经园区生化池处理后达</w:t>
                  </w:r>
                  <w:r>
                    <w:rPr>
                      <w:rFonts w:hint="eastAsia" w:ascii="宋体" w:hAnsi="宋体" w:eastAsia="宋体" w:cs="宋体"/>
                      <w:kern w:val="2"/>
                      <w:sz w:val="21"/>
                      <w:szCs w:val="21"/>
                      <w:lang w:val="en-US" w:eastAsia="zh-CN" w:bidi="ar-SA"/>
                    </w:rPr>
                    <w:t>《污水综合排放标准》（GB8978-1996）三级标准</w:t>
                  </w:r>
                  <w:r>
                    <w:rPr>
                      <w:rFonts w:hint="eastAsia" w:ascii="宋体" w:hAnsi="宋体" w:eastAsia="宋体" w:cs="宋体"/>
                      <w:kern w:val="2"/>
                      <w:sz w:val="21"/>
                      <w:szCs w:val="21"/>
                      <w:lang w:val="en-IE" w:eastAsia="zh-CN" w:bidi="ar-SA"/>
                    </w:rPr>
                    <w:t>后排入园区管网，进入沱口污水处理厂，处理达</w:t>
                  </w:r>
                  <w:r>
                    <w:rPr>
                      <w:rFonts w:hint="eastAsia" w:ascii="宋体" w:hAnsi="宋体" w:eastAsia="宋体" w:cs="宋体"/>
                      <w:kern w:val="2"/>
                      <w:sz w:val="21"/>
                      <w:szCs w:val="21"/>
                      <w:lang w:val="en-US" w:eastAsia="zh-CN" w:bidi="ar-SA"/>
                    </w:rPr>
                    <w:t>《城镇污水处理厂污染物排放标准》（GB 18918-2002）一级A标准后排入长江。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dxa"/>
                  <w:vAlign w:val="center"/>
                </w:tcPr>
                <w:p>
                  <w:pPr>
                    <w:pStyle w:val="18"/>
                    <w:rPr>
                      <w:rFonts w:hint="eastAsia" w:ascii="宋体" w:hAnsi="宋体" w:eastAsia="宋体" w:cs="宋体"/>
                      <w:sz w:val="21"/>
                      <w:szCs w:val="21"/>
                    </w:rPr>
                  </w:pPr>
                  <w:r>
                    <w:rPr>
                      <w:rFonts w:hint="eastAsia" w:ascii="宋体" w:hAnsi="宋体" w:eastAsia="宋体" w:cs="宋体"/>
                      <w:sz w:val="21"/>
                      <w:szCs w:val="21"/>
                    </w:rPr>
                    <w:t>噪声</w:t>
                  </w:r>
                </w:p>
              </w:tc>
              <w:tc>
                <w:tcPr>
                  <w:tcW w:w="870" w:type="dxa"/>
                  <w:vAlign w:val="center"/>
                </w:tcPr>
                <w:p>
                  <w:pPr>
                    <w:pStyle w:val="18"/>
                    <w:ind w:left="-105" w:leftChars="-50" w:right="-105" w:rightChars="-50"/>
                    <w:rPr>
                      <w:rFonts w:hint="eastAsia" w:ascii="宋体" w:hAnsi="宋体" w:eastAsia="宋体" w:cs="宋体"/>
                      <w:sz w:val="21"/>
                      <w:szCs w:val="21"/>
                    </w:rPr>
                  </w:pPr>
                  <w:r>
                    <w:rPr>
                      <w:rFonts w:hint="eastAsia" w:ascii="宋体" w:hAnsi="宋体" w:eastAsia="宋体" w:cs="宋体"/>
                      <w:sz w:val="21"/>
                      <w:szCs w:val="21"/>
                    </w:rPr>
                    <w:t>生产设备</w:t>
                  </w:r>
                </w:p>
              </w:tc>
              <w:tc>
                <w:tcPr>
                  <w:tcW w:w="1455" w:type="dxa"/>
                  <w:vAlign w:val="center"/>
                </w:tcPr>
                <w:p>
                  <w:pPr>
                    <w:pStyle w:val="18"/>
                    <w:rPr>
                      <w:rFonts w:hint="eastAsia" w:ascii="宋体" w:hAnsi="宋体" w:eastAsia="宋体" w:cs="宋体"/>
                      <w:sz w:val="21"/>
                      <w:szCs w:val="21"/>
                    </w:rPr>
                  </w:pPr>
                  <w:r>
                    <w:rPr>
                      <w:rFonts w:hint="eastAsia" w:ascii="宋体" w:hAnsi="宋体" w:eastAsia="宋体" w:cs="宋体"/>
                      <w:sz w:val="21"/>
                      <w:szCs w:val="21"/>
                    </w:rPr>
                    <w:t>等效</w:t>
                  </w:r>
                  <w:r>
                    <w:rPr>
                      <w:rFonts w:hint="eastAsia" w:ascii="宋体" w:hAnsi="宋体" w:eastAsia="宋体" w:cs="宋体"/>
                      <w:sz w:val="21"/>
                      <w:szCs w:val="21"/>
                      <w:lang w:val="en-US" w:eastAsia="zh-CN"/>
                    </w:rPr>
                    <w:t>A</w:t>
                  </w:r>
                  <w:r>
                    <w:rPr>
                      <w:rFonts w:hint="eastAsia" w:ascii="宋体" w:hAnsi="宋体" w:eastAsia="宋体" w:cs="宋体"/>
                      <w:sz w:val="21"/>
                      <w:szCs w:val="21"/>
                    </w:rPr>
                    <w:t>声级</w:t>
                  </w:r>
                </w:p>
              </w:tc>
              <w:tc>
                <w:tcPr>
                  <w:tcW w:w="2445" w:type="dxa"/>
                  <w:vAlign w:val="center"/>
                </w:tcPr>
                <w:p>
                  <w:pPr>
                    <w:pStyle w:val="18"/>
                    <w:rPr>
                      <w:rFonts w:hint="eastAsia" w:ascii="宋体" w:hAnsi="宋体" w:eastAsia="宋体" w:cs="宋体"/>
                      <w:kern w:val="2"/>
                      <w:sz w:val="21"/>
                      <w:szCs w:val="21"/>
                      <w:lang w:val="en-US" w:eastAsia="zh-CN" w:bidi="ar-SA"/>
                    </w:rPr>
                  </w:pPr>
                  <w:r>
                    <w:rPr>
                      <w:rFonts w:hint="eastAsia" w:ascii="宋体" w:hAnsi="宋体" w:eastAsia="宋体" w:cs="宋体"/>
                      <w:bCs/>
                      <w:sz w:val="21"/>
                      <w:szCs w:val="21"/>
                    </w:rPr>
                    <w:t>采用低噪声设备、基础减振、消声器、厂房隔声。</w:t>
                  </w:r>
                </w:p>
              </w:tc>
              <w:tc>
                <w:tcPr>
                  <w:tcW w:w="2700" w:type="dxa"/>
                  <w:vAlign w:val="center"/>
                </w:tcPr>
                <w:p>
                  <w:pPr>
                    <w:pStyle w:val="18"/>
                    <w:rPr>
                      <w:rFonts w:hint="eastAsia" w:ascii="宋体" w:hAnsi="宋体" w:eastAsia="宋体" w:cs="宋体"/>
                      <w:kern w:val="2"/>
                      <w:sz w:val="21"/>
                      <w:szCs w:val="21"/>
                      <w:lang w:val="en-US" w:eastAsia="zh-CN" w:bidi="ar-SA"/>
                    </w:rPr>
                  </w:pPr>
                  <w:r>
                    <w:rPr>
                      <w:rFonts w:hint="eastAsia" w:ascii="宋体" w:hAnsi="宋体" w:eastAsia="宋体" w:cs="宋体"/>
                      <w:bCs/>
                      <w:sz w:val="21"/>
                      <w:szCs w:val="21"/>
                    </w:rPr>
                    <w:t>合理布局、采用低噪声设备、基础减振、消声器、厂房隔声。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dxa"/>
                  <w:vMerge w:val="restart"/>
                  <w:vAlign w:val="center"/>
                </w:tcPr>
                <w:p>
                  <w:pPr>
                    <w:pStyle w:val="18"/>
                    <w:rPr>
                      <w:rFonts w:hint="eastAsia" w:ascii="宋体" w:hAnsi="宋体" w:eastAsia="宋体" w:cs="宋体"/>
                      <w:sz w:val="21"/>
                      <w:szCs w:val="21"/>
                    </w:rPr>
                  </w:pPr>
                  <w:r>
                    <w:rPr>
                      <w:rFonts w:hint="eastAsia" w:ascii="宋体" w:hAnsi="宋体" w:eastAsia="宋体" w:cs="宋体"/>
                      <w:sz w:val="21"/>
                      <w:szCs w:val="21"/>
                    </w:rPr>
                    <w:t>一般固废</w:t>
                  </w:r>
                </w:p>
              </w:tc>
              <w:tc>
                <w:tcPr>
                  <w:tcW w:w="2325" w:type="dxa"/>
                  <w:gridSpan w:val="2"/>
                  <w:vAlign w:val="center"/>
                </w:tcPr>
                <w:p>
                  <w:pPr>
                    <w:pStyle w:val="18"/>
                    <w:rPr>
                      <w:rFonts w:hint="eastAsia" w:ascii="宋体" w:hAnsi="宋体" w:eastAsia="宋体" w:cs="宋体"/>
                      <w:sz w:val="21"/>
                      <w:szCs w:val="21"/>
                    </w:rPr>
                  </w:pPr>
                  <w:r>
                    <w:rPr>
                      <w:rFonts w:hint="eastAsia" w:ascii="宋体" w:hAnsi="宋体" w:eastAsia="宋体" w:cs="宋体"/>
                      <w:sz w:val="21"/>
                      <w:szCs w:val="21"/>
                    </w:rPr>
                    <w:t>生活垃圾</w:t>
                  </w:r>
                </w:p>
              </w:tc>
              <w:tc>
                <w:tcPr>
                  <w:tcW w:w="2445" w:type="dxa"/>
                  <w:vAlign w:val="center"/>
                </w:tcPr>
                <w:p>
                  <w:pPr>
                    <w:pStyle w:val="18"/>
                    <w:rPr>
                      <w:rFonts w:hint="eastAsia" w:ascii="宋体" w:hAnsi="宋体" w:eastAsia="宋体" w:cs="宋体"/>
                      <w:b/>
                      <w:bCs/>
                      <w:kern w:val="2"/>
                      <w:sz w:val="21"/>
                      <w:szCs w:val="21"/>
                      <w:lang w:val="en-US" w:eastAsia="zh-CN" w:bidi="ar-SA"/>
                    </w:rPr>
                  </w:pPr>
                  <w:r>
                    <w:rPr>
                      <w:rFonts w:hint="eastAsia" w:ascii="宋体" w:hAnsi="宋体" w:eastAsia="宋体" w:cs="宋体"/>
                      <w:kern w:val="2"/>
                      <w:sz w:val="21"/>
                      <w:szCs w:val="21"/>
                      <w:lang w:val="en-IE" w:eastAsia="zh-CN" w:bidi="ar-SA"/>
                    </w:rPr>
                    <w:t>由当地环卫部门统收集，运输和处理。</w:t>
                  </w:r>
                </w:p>
              </w:tc>
              <w:tc>
                <w:tcPr>
                  <w:tcW w:w="2700" w:type="dxa"/>
                  <w:vAlign w:val="center"/>
                </w:tcPr>
                <w:p>
                  <w:pPr>
                    <w:pStyle w:val="18"/>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IE" w:eastAsia="zh-CN" w:bidi="ar-SA"/>
                    </w:rPr>
                    <w:t>由当地环卫部门统收集，运输和处理。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dxa"/>
                  <w:vMerge w:val="continue"/>
                  <w:vAlign w:val="center"/>
                </w:tcPr>
                <w:p>
                  <w:pPr>
                    <w:pStyle w:val="18"/>
                    <w:rPr>
                      <w:rFonts w:hint="eastAsia" w:ascii="宋体" w:hAnsi="宋体" w:eastAsia="宋体" w:cs="宋体"/>
                      <w:sz w:val="21"/>
                      <w:szCs w:val="21"/>
                    </w:rPr>
                  </w:pPr>
                </w:p>
              </w:tc>
              <w:tc>
                <w:tcPr>
                  <w:tcW w:w="2325" w:type="dxa"/>
                  <w:gridSpan w:val="2"/>
                  <w:vAlign w:val="center"/>
                </w:tcPr>
                <w:p>
                  <w:pPr>
                    <w:snapToGrid w:val="0"/>
                    <w:jc w:val="center"/>
                    <w:rPr>
                      <w:rFonts w:hint="eastAsia" w:ascii="宋体" w:hAnsi="宋体" w:eastAsia="宋体" w:cs="宋体"/>
                      <w:sz w:val="21"/>
                      <w:szCs w:val="21"/>
                    </w:rPr>
                  </w:pPr>
                  <w:r>
                    <w:rPr>
                      <w:rFonts w:hint="eastAsia" w:ascii="宋体" w:hAnsi="宋体" w:eastAsia="宋体" w:cs="宋体"/>
                      <w:bCs/>
                      <w:sz w:val="21"/>
                      <w:szCs w:val="21"/>
                    </w:rPr>
                    <w:t>边角料</w:t>
                  </w:r>
                </w:p>
              </w:tc>
              <w:tc>
                <w:tcPr>
                  <w:tcW w:w="2445" w:type="dxa"/>
                  <w:vMerge w:val="restart"/>
                  <w:vAlign w:val="center"/>
                </w:tcPr>
                <w:p>
                  <w:pPr>
                    <w:pStyle w:val="18"/>
                    <w:rPr>
                      <w:rFonts w:hint="eastAsia" w:ascii="宋体" w:hAnsi="宋体" w:eastAsia="宋体" w:cs="宋体"/>
                      <w:kern w:val="2"/>
                      <w:sz w:val="21"/>
                      <w:szCs w:val="21"/>
                      <w:lang w:val="en-US" w:eastAsia="zh-CN" w:bidi="ar-SA"/>
                    </w:rPr>
                  </w:pPr>
                  <w:r>
                    <w:rPr>
                      <w:rFonts w:hint="eastAsia" w:ascii="宋体" w:hAnsi="宋体" w:eastAsia="宋体" w:cs="宋体"/>
                      <w:bCs/>
                      <w:sz w:val="21"/>
                      <w:szCs w:val="21"/>
                    </w:rPr>
                    <w:t>收集外售废品回收单位</w:t>
                  </w:r>
                </w:p>
              </w:tc>
              <w:tc>
                <w:tcPr>
                  <w:tcW w:w="2700" w:type="dxa"/>
                  <w:vMerge w:val="restart"/>
                  <w:vAlign w:val="center"/>
                </w:tcPr>
                <w:p>
                  <w:pPr>
                    <w:pStyle w:val="18"/>
                    <w:rPr>
                      <w:rFonts w:hint="eastAsia" w:ascii="宋体" w:hAnsi="宋体" w:eastAsia="宋体" w:cs="宋体"/>
                      <w:kern w:val="2"/>
                      <w:sz w:val="21"/>
                      <w:szCs w:val="21"/>
                      <w:lang w:val="en-IE" w:eastAsia="zh-CN" w:bidi="ar-SA"/>
                    </w:rPr>
                  </w:pPr>
                  <w:r>
                    <w:rPr>
                      <w:rFonts w:hint="eastAsia" w:ascii="宋体" w:hAnsi="宋体" w:eastAsia="宋体" w:cs="宋体"/>
                      <w:bCs/>
                      <w:sz w:val="21"/>
                      <w:szCs w:val="21"/>
                    </w:rPr>
                    <w:t>收集外售废品回收单位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dxa"/>
                  <w:vMerge w:val="continue"/>
                  <w:vAlign w:val="center"/>
                </w:tcPr>
                <w:p>
                  <w:pPr>
                    <w:pStyle w:val="18"/>
                    <w:rPr>
                      <w:rFonts w:hint="eastAsia" w:ascii="宋体" w:hAnsi="宋体" w:eastAsia="宋体" w:cs="宋体"/>
                      <w:sz w:val="21"/>
                      <w:szCs w:val="21"/>
                    </w:rPr>
                  </w:pPr>
                </w:p>
              </w:tc>
              <w:tc>
                <w:tcPr>
                  <w:tcW w:w="2325" w:type="dxa"/>
                  <w:gridSpan w:val="2"/>
                  <w:vAlign w:val="center"/>
                </w:tcPr>
                <w:p>
                  <w:pPr>
                    <w:snapToGrid w:val="0"/>
                    <w:jc w:val="center"/>
                    <w:rPr>
                      <w:rFonts w:hint="eastAsia" w:ascii="宋体" w:hAnsi="宋体" w:eastAsia="宋体" w:cs="宋体"/>
                      <w:sz w:val="21"/>
                      <w:szCs w:val="21"/>
                    </w:rPr>
                  </w:pPr>
                  <w:r>
                    <w:rPr>
                      <w:rFonts w:hint="eastAsia" w:ascii="宋体" w:hAnsi="宋体" w:eastAsia="宋体" w:cs="宋体"/>
                      <w:bCs/>
                      <w:sz w:val="21"/>
                      <w:szCs w:val="21"/>
                    </w:rPr>
                    <w:t>废端子、废塑料件</w:t>
                  </w:r>
                </w:p>
              </w:tc>
              <w:tc>
                <w:tcPr>
                  <w:tcW w:w="2445" w:type="dxa"/>
                  <w:vMerge w:val="continue"/>
                  <w:vAlign w:val="center"/>
                </w:tcPr>
                <w:p>
                  <w:pPr>
                    <w:pStyle w:val="18"/>
                    <w:rPr>
                      <w:rFonts w:hint="eastAsia" w:ascii="宋体" w:hAnsi="宋体" w:eastAsia="宋体" w:cs="宋体"/>
                      <w:kern w:val="2"/>
                      <w:sz w:val="21"/>
                      <w:szCs w:val="21"/>
                      <w:lang w:val="en-US" w:eastAsia="zh-CN" w:bidi="ar-SA"/>
                    </w:rPr>
                  </w:pPr>
                </w:p>
              </w:tc>
              <w:tc>
                <w:tcPr>
                  <w:tcW w:w="2700" w:type="dxa"/>
                  <w:vMerge w:val="continue"/>
                  <w:vAlign w:val="center"/>
                </w:tcPr>
                <w:p>
                  <w:pPr>
                    <w:pStyle w:val="18"/>
                    <w:rPr>
                      <w:rFonts w:hint="eastAsia" w:ascii="宋体" w:hAnsi="宋体" w:eastAsia="宋体" w:cs="宋体"/>
                      <w:kern w:val="2"/>
                      <w:sz w:val="21"/>
                      <w:szCs w:val="21"/>
                      <w:lang w:val="en-IE"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dxa"/>
                  <w:vMerge w:val="continue"/>
                  <w:vAlign w:val="center"/>
                </w:tcPr>
                <w:p>
                  <w:pPr>
                    <w:pStyle w:val="18"/>
                    <w:rPr>
                      <w:rFonts w:hint="eastAsia" w:ascii="宋体" w:hAnsi="宋体" w:eastAsia="宋体" w:cs="宋体"/>
                      <w:sz w:val="21"/>
                      <w:szCs w:val="21"/>
                    </w:rPr>
                  </w:pPr>
                </w:p>
              </w:tc>
              <w:tc>
                <w:tcPr>
                  <w:tcW w:w="2325" w:type="dxa"/>
                  <w:gridSpan w:val="2"/>
                  <w:vAlign w:val="center"/>
                </w:tcPr>
                <w:p>
                  <w:pPr>
                    <w:snapToGrid w:val="0"/>
                    <w:jc w:val="center"/>
                    <w:rPr>
                      <w:rFonts w:hint="eastAsia" w:ascii="宋体" w:hAnsi="宋体" w:eastAsia="宋体" w:cs="宋体"/>
                      <w:sz w:val="21"/>
                      <w:szCs w:val="21"/>
                    </w:rPr>
                  </w:pPr>
                  <w:r>
                    <w:rPr>
                      <w:rFonts w:hint="eastAsia" w:ascii="宋体" w:hAnsi="宋体" w:eastAsia="宋体" w:cs="宋体"/>
                      <w:bCs/>
                      <w:sz w:val="21"/>
                      <w:szCs w:val="21"/>
                    </w:rPr>
                    <w:t>废包装材料</w:t>
                  </w:r>
                </w:p>
              </w:tc>
              <w:tc>
                <w:tcPr>
                  <w:tcW w:w="2445" w:type="dxa"/>
                  <w:vMerge w:val="continue"/>
                  <w:vAlign w:val="center"/>
                </w:tcPr>
                <w:p>
                  <w:pPr>
                    <w:pStyle w:val="18"/>
                    <w:rPr>
                      <w:rFonts w:hint="eastAsia" w:ascii="宋体" w:hAnsi="宋体" w:eastAsia="宋体" w:cs="宋体"/>
                      <w:kern w:val="2"/>
                      <w:sz w:val="21"/>
                      <w:szCs w:val="21"/>
                      <w:lang w:val="en-US" w:eastAsia="zh-CN" w:bidi="ar-SA"/>
                    </w:rPr>
                  </w:pPr>
                </w:p>
              </w:tc>
              <w:tc>
                <w:tcPr>
                  <w:tcW w:w="2700" w:type="dxa"/>
                  <w:vMerge w:val="continue"/>
                  <w:vAlign w:val="center"/>
                </w:tcPr>
                <w:p>
                  <w:pPr>
                    <w:pStyle w:val="18"/>
                    <w:rPr>
                      <w:rFonts w:hint="eastAsia" w:ascii="宋体" w:hAnsi="宋体" w:eastAsia="宋体" w:cs="宋体"/>
                      <w:kern w:val="2"/>
                      <w:sz w:val="21"/>
                      <w:szCs w:val="21"/>
                      <w:lang w:val="en-IE"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26" w:type="dxa"/>
                  <w:vAlign w:val="center"/>
                </w:tcPr>
                <w:p>
                  <w:pPr>
                    <w:pStyle w:val="18"/>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危险废物</w:t>
                  </w:r>
                </w:p>
              </w:tc>
              <w:tc>
                <w:tcPr>
                  <w:tcW w:w="2325" w:type="dxa"/>
                  <w:gridSpan w:val="2"/>
                  <w:vAlign w:val="center"/>
                </w:tcPr>
                <w:p>
                  <w:pPr>
                    <w:pStyle w:val="18"/>
                    <w:rPr>
                      <w:rFonts w:hint="eastAsia" w:ascii="宋体" w:hAnsi="宋体" w:eastAsia="宋体" w:cs="宋体"/>
                      <w:color w:val="auto"/>
                      <w:sz w:val="21"/>
                      <w:szCs w:val="21"/>
                      <w:lang w:eastAsia="zh-CN"/>
                    </w:rPr>
                  </w:pPr>
                  <w:r>
                    <w:rPr>
                      <w:rFonts w:hint="eastAsia" w:ascii="宋体" w:hAnsi="宋体" w:eastAsia="宋体" w:cs="宋体"/>
                      <w:bCs/>
                      <w:color w:val="auto"/>
                      <w:sz w:val="21"/>
                      <w:szCs w:val="21"/>
                    </w:rPr>
                    <w:t>废液压油、润滑油及包装桶、废活性炭</w:t>
                  </w:r>
                </w:p>
              </w:tc>
              <w:tc>
                <w:tcPr>
                  <w:tcW w:w="2445" w:type="dxa"/>
                  <w:vAlign w:val="center"/>
                </w:tcPr>
                <w:p>
                  <w:pPr>
                    <w:pStyle w:val="18"/>
                    <w:rPr>
                      <w:rFonts w:hint="eastAsia" w:ascii="宋体" w:hAnsi="宋体" w:eastAsia="宋体" w:cs="宋体"/>
                      <w:color w:val="auto"/>
                      <w:kern w:val="2"/>
                      <w:sz w:val="21"/>
                      <w:szCs w:val="21"/>
                      <w:lang w:val="en-US" w:eastAsia="zh-CN" w:bidi="ar-SA"/>
                    </w:rPr>
                  </w:pPr>
                  <w:r>
                    <w:rPr>
                      <w:rFonts w:hint="eastAsia" w:ascii="宋体" w:hAnsi="宋体" w:eastAsia="宋体" w:cs="宋体"/>
                      <w:bCs/>
                      <w:color w:val="auto"/>
                      <w:sz w:val="21"/>
                      <w:szCs w:val="21"/>
                    </w:rPr>
                    <w:t>交由有危险废物处置资质单位处理</w:t>
                  </w:r>
                </w:p>
              </w:tc>
              <w:tc>
                <w:tcPr>
                  <w:tcW w:w="2700" w:type="dxa"/>
                  <w:vAlign w:val="center"/>
                </w:tcPr>
                <w:p>
                  <w:pPr>
                    <w:pStyle w:val="18"/>
                    <w:rPr>
                      <w:rFonts w:hint="eastAsia" w:ascii="宋体" w:hAnsi="宋体" w:eastAsia="宋体" w:cs="宋体"/>
                      <w:color w:val="auto"/>
                      <w:kern w:val="2"/>
                      <w:sz w:val="21"/>
                      <w:szCs w:val="21"/>
                      <w:lang w:val="en-US" w:eastAsia="zh-CN" w:bidi="ar-SA"/>
                    </w:rPr>
                  </w:pPr>
                  <w:r>
                    <w:rPr>
                      <w:rFonts w:hint="eastAsia" w:ascii="宋体" w:hAnsi="宋体" w:eastAsia="宋体" w:cs="宋体"/>
                      <w:bCs/>
                      <w:color w:val="auto"/>
                      <w:sz w:val="21"/>
                      <w:szCs w:val="21"/>
                      <w:lang w:eastAsia="zh-CN"/>
                    </w:rPr>
                    <w:t>暂存于危废间。</w:t>
                  </w:r>
                  <w:r>
                    <w:rPr>
                      <w:rFonts w:hint="eastAsia" w:ascii="宋体" w:hAnsi="宋体" w:eastAsia="宋体" w:cs="宋体"/>
                      <w:bCs/>
                      <w:color w:val="auto"/>
                      <w:sz w:val="21"/>
                      <w:szCs w:val="21"/>
                    </w:rPr>
                    <w:t>交由有危险废物处置资质单位处理</w:t>
                  </w:r>
                </w:p>
              </w:tc>
            </w:tr>
          </w:tbl>
          <w:p>
            <w:pPr>
              <w:spacing w:line="480" w:lineRule="auto"/>
              <w:jc w:val="center"/>
              <w:rPr>
                <w:b/>
                <w:color w:val="FF0000"/>
                <w:kern w:val="0"/>
                <w:sz w:val="21"/>
                <w:szCs w:val="21"/>
              </w:rPr>
            </w:pPr>
            <w:r>
              <w:rPr>
                <w:rFonts w:hAnsi="宋体"/>
                <w:b/>
                <w:color w:val="auto"/>
                <w:kern w:val="0"/>
                <w:sz w:val="21"/>
                <w:szCs w:val="21"/>
              </w:rPr>
              <w:t>表</w:t>
            </w:r>
            <w:r>
              <w:rPr>
                <w:b/>
                <w:color w:val="auto"/>
                <w:kern w:val="0"/>
                <w:sz w:val="21"/>
                <w:szCs w:val="21"/>
              </w:rPr>
              <w:t xml:space="preserve">8-2  </w:t>
            </w:r>
            <w:r>
              <w:rPr>
                <w:rFonts w:hAnsi="宋体"/>
                <w:b/>
                <w:color w:val="auto"/>
                <w:kern w:val="0"/>
                <w:sz w:val="21"/>
                <w:szCs w:val="21"/>
              </w:rPr>
              <w:t>环评批复与实际落实情况对照表</w:t>
            </w:r>
          </w:p>
          <w:tbl>
            <w:tblPr>
              <w:tblStyle w:val="1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3777"/>
              <w:gridCol w:w="3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42" w:type="dxa"/>
                  <w:vAlign w:val="center"/>
                </w:tcPr>
                <w:p>
                  <w:pPr>
                    <w:adjustRightInd w:val="0"/>
                    <w:snapToGrid w:val="0"/>
                    <w:jc w:val="center"/>
                    <w:rPr>
                      <w:szCs w:val="21"/>
                    </w:rPr>
                  </w:pPr>
                  <w:bookmarkStart w:id="10" w:name="_Toc514767380"/>
                  <w:r>
                    <w:rPr>
                      <w:szCs w:val="21"/>
                    </w:rPr>
                    <w:t>序号</w:t>
                  </w:r>
                </w:p>
              </w:tc>
              <w:tc>
                <w:tcPr>
                  <w:tcW w:w="3777" w:type="dxa"/>
                  <w:vAlign w:val="center"/>
                </w:tcPr>
                <w:p>
                  <w:pPr>
                    <w:adjustRightInd w:val="0"/>
                    <w:snapToGrid w:val="0"/>
                    <w:jc w:val="center"/>
                    <w:rPr>
                      <w:szCs w:val="21"/>
                    </w:rPr>
                  </w:pPr>
                  <w:r>
                    <w:rPr>
                      <w:szCs w:val="21"/>
                    </w:rPr>
                    <w:t>环评批复意见</w:t>
                  </w:r>
                </w:p>
              </w:tc>
              <w:tc>
                <w:tcPr>
                  <w:tcW w:w="3777" w:type="dxa"/>
                  <w:vAlign w:val="center"/>
                </w:tcPr>
                <w:p>
                  <w:pPr>
                    <w:adjustRightInd w:val="0"/>
                    <w:snapToGrid w:val="0"/>
                    <w:jc w:val="center"/>
                    <w:rPr>
                      <w:szCs w:val="21"/>
                    </w:rPr>
                  </w:pPr>
                  <w:r>
                    <w:rPr>
                      <w:szCs w:val="21"/>
                    </w:rPr>
                    <w:t>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8" w:hRule="atLeast"/>
                <w:jc w:val="center"/>
              </w:trPr>
              <w:tc>
                <w:tcPr>
                  <w:tcW w:w="742" w:type="dxa"/>
                  <w:vAlign w:val="center"/>
                </w:tcPr>
                <w:p>
                  <w:pPr>
                    <w:adjustRightInd w:val="0"/>
                    <w:snapToGrid w:val="0"/>
                    <w:jc w:val="center"/>
                    <w:rPr>
                      <w:szCs w:val="21"/>
                    </w:rPr>
                  </w:pPr>
                  <w:r>
                    <w:rPr>
                      <w:rFonts w:hint="eastAsia"/>
                      <w:szCs w:val="21"/>
                    </w:rPr>
                    <w:t>1</w:t>
                  </w:r>
                </w:p>
              </w:tc>
              <w:tc>
                <w:tcPr>
                  <w:tcW w:w="3777" w:type="dxa"/>
                  <w:vAlign w:val="center"/>
                </w:tcPr>
                <w:p>
                  <w:pPr>
                    <w:adjustRightInd w:val="0"/>
                    <w:snapToGrid w:val="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本项目位于重庆市梁平工业园，通过租用智能家居孵化园3栋A区1层、2层、5层标准厂房进行建设重庆乐仁汽车电子有限公司汽车线束总成生产项目，项目总建筑面积约为6642.46m</w:t>
                  </w:r>
                  <w:r>
                    <w:rPr>
                      <w:rFonts w:hint="default" w:ascii="Times New Roman" w:hAnsi="Times New Roman" w:cs="Times New Roman" w:eastAsiaTheme="minorEastAsia"/>
                      <w:sz w:val="21"/>
                      <w:szCs w:val="21"/>
                      <w:vertAlign w:val="superscript"/>
                      <w:lang w:val="en-US" w:eastAsia="zh-CN"/>
                    </w:rPr>
                    <w:t>2</w:t>
                  </w:r>
                  <w:r>
                    <w:rPr>
                      <w:rFonts w:hint="default" w:ascii="Times New Roman" w:hAnsi="Times New Roman" w:cs="Times New Roman" w:eastAsiaTheme="minorEastAsia"/>
                      <w:sz w:val="21"/>
                      <w:szCs w:val="21"/>
                      <w:lang w:val="en-US" w:eastAsia="zh-CN"/>
                    </w:rPr>
                    <w:t>，建成后可形成年产汽车线束16万套。项目投资8000万元，其中环保投资5万元，占总投资0.0625%。项目劳动定员300人，一班制，每班工作8h，年生产300d；厂区内不设食宿。</w:t>
                  </w:r>
                </w:p>
              </w:tc>
              <w:tc>
                <w:tcPr>
                  <w:tcW w:w="3777" w:type="dxa"/>
                  <w:vAlign w:val="center"/>
                </w:tcPr>
                <w:p>
                  <w:pPr>
                    <w:adjustRightInd w:val="0"/>
                    <w:snapToGrid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本项目位于重庆市梁平工业园，通过租用智能家居孵化园3栋A区1层、2层、5层标准厂房进行建设重庆乐仁汽车电子有限公司汽车线束总成生产项目，项目总建筑面积约为6642.46m</w:t>
                  </w:r>
                  <w:r>
                    <w:rPr>
                      <w:rFonts w:hint="default" w:ascii="Times New Roman" w:hAnsi="Times New Roman" w:cs="Times New Roman" w:eastAsiaTheme="minorEastAsia"/>
                      <w:sz w:val="21"/>
                      <w:szCs w:val="21"/>
                      <w:vertAlign w:val="superscript"/>
                      <w:lang w:val="en-US" w:eastAsia="zh-CN"/>
                    </w:rPr>
                    <w:t>2</w:t>
                  </w:r>
                  <w:r>
                    <w:rPr>
                      <w:rFonts w:hint="default" w:ascii="Times New Roman" w:hAnsi="Times New Roman" w:cs="Times New Roman" w:eastAsiaTheme="minorEastAsia"/>
                      <w:sz w:val="21"/>
                      <w:szCs w:val="21"/>
                      <w:lang w:val="en-US" w:eastAsia="zh-CN"/>
                    </w:rPr>
                    <w:t>，建成后可形成年产汽车线束16万套。项目投资8000万元，其中环保投资5万元，占总投资0.0625%。项目劳动定员300人，一班制，每班工作8h，年生产300d；厂区内不设食宿。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2" w:type="dxa"/>
                  <w:vAlign w:val="center"/>
                </w:tcPr>
                <w:p>
                  <w:pPr>
                    <w:adjustRightInd w:val="0"/>
                    <w:snapToGrid w:val="0"/>
                    <w:jc w:val="center"/>
                    <w:rPr>
                      <w:szCs w:val="21"/>
                    </w:rPr>
                  </w:pPr>
                  <w:r>
                    <w:rPr>
                      <w:rFonts w:hint="eastAsia"/>
                      <w:szCs w:val="21"/>
                    </w:rPr>
                    <w:t>2</w:t>
                  </w:r>
                </w:p>
              </w:tc>
              <w:tc>
                <w:tcPr>
                  <w:tcW w:w="3777" w:type="dxa"/>
                  <w:vAlign w:val="center"/>
                </w:tcPr>
                <w:p>
                  <w:pPr>
                    <w:adjustRightInd w:val="0"/>
                    <w:snapToGrid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该建设项目应严格按照本批准书附件规定的排放标准及总量控制指标、辐射剂量控制限值执行，不得突破</w:t>
                  </w:r>
                </w:p>
              </w:tc>
              <w:tc>
                <w:tcPr>
                  <w:tcW w:w="3777" w:type="dxa"/>
                  <w:vAlign w:val="center"/>
                </w:tcPr>
                <w:p>
                  <w:pPr>
                    <w:adjustRightInd w:val="0"/>
                    <w:snapToGrid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本次验收监测，项目外排废水、废气污染物浓度及外排厂界噪声达标</w:t>
                  </w:r>
                  <w:r>
                    <w:rPr>
                      <w:rFonts w:hint="eastAsia" w:ascii="Times New Roman" w:hAnsi="Times New Roman"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2" w:type="dxa"/>
                  <w:vAlign w:val="center"/>
                </w:tcPr>
                <w:p>
                  <w:pPr>
                    <w:adjustRightInd w:val="0"/>
                    <w:snapToGrid w:val="0"/>
                    <w:jc w:val="center"/>
                    <w:rPr>
                      <w:szCs w:val="21"/>
                    </w:rPr>
                  </w:pPr>
                  <w:r>
                    <w:rPr>
                      <w:rFonts w:hint="eastAsia"/>
                      <w:szCs w:val="21"/>
                    </w:rPr>
                    <w:t>3</w:t>
                  </w:r>
                </w:p>
              </w:tc>
              <w:tc>
                <w:tcPr>
                  <w:tcW w:w="3777" w:type="dxa"/>
                  <w:vAlign w:val="center"/>
                </w:tcPr>
                <w:p>
                  <w:pPr>
                    <w:adjustRightInd w:val="0"/>
                    <w:snapToGrid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项目废水主要为生活污水及车间清洁废水，经生化池处理后排入</w:t>
                  </w:r>
                  <w:r>
                    <w:rPr>
                      <w:rFonts w:hint="eastAsia" w:hAnsi="宋体"/>
                      <w:color w:val="000000"/>
                      <w:sz w:val="24"/>
                      <w:lang w:val="en-US" w:eastAsia="zh-CN"/>
                    </w:rPr>
                    <w:t>梁平双桂</w:t>
                  </w:r>
                  <w:r>
                    <w:rPr>
                      <w:rFonts w:hint="default" w:ascii="Times New Roman" w:hAnsi="Times New Roman" w:cs="Times New Roman" w:eastAsiaTheme="minorEastAsia"/>
                      <w:sz w:val="21"/>
                      <w:szCs w:val="21"/>
                      <w:lang w:val="en-US" w:eastAsia="zh-CN"/>
                    </w:rPr>
                    <w:t>污水处理厂进行处理，达《城镇污水处理厂污染物排放标准》（GB18918-2002）一级A标准后排入长江。</w:t>
                  </w:r>
                </w:p>
              </w:tc>
              <w:tc>
                <w:tcPr>
                  <w:tcW w:w="3777" w:type="dxa"/>
                  <w:vAlign w:val="center"/>
                </w:tcPr>
                <w:p>
                  <w:pPr>
                    <w:adjustRightInd w:val="0"/>
                    <w:snapToGrid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42" w:type="dxa"/>
                  <w:vAlign w:val="center"/>
                </w:tcPr>
                <w:p>
                  <w:pPr>
                    <w:adjustRightInd w:val="0"/>
                    <w:snapToGrid w:val="0"/>
                    <w:jc w:val="center"/>
                    <w:rPr>
                      <w:rFonts w:hint="eastAsia" w:eastAsiaTheme="minorEastAsia"/>
                      <w:szCs w:val="21"/>
                      <w:lang w:eastAsia="zh-CN"/>
                    </w:rPr>
                  </w:pPr>
                  <w:r>
                    <w:rPr>
                      <w:rFonts w:hint="eastAsia"/>
                      <w:szCs w:val="21"/>
                      <w:lang w:val="en-US" w:eastAsia="zh-CN"/>
                    </w:rPr>
                    <w:t>4</w:t>
                  </w:r>
                </w:p>
              </w:tc>
              <w:tc>
                <w:tcPr>
                  <w:tcW w:w="3777" w:type="dxa"/>
                  <w:vAlign w:val="center"/>
                </w:tcPr>
                <w:p>
                  <w:pPr>
                    <w:adjustRightInd w:val="0"/>
                    <w:snapToGrid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生活垃圾分类收集后交由环卫部门统一清运处置， 少量含油棉纱、手套纳入生活垃圾一同处置；边角料、废端子、废塑料件、废包装物均由废品回收单位回收处置：废液压油、润滑油及含油包装桶、废活性炭等危险废物集中收集后定期交有危险废物处置资质单位收集处置</w:t>
                  </w:r>
                  <w:r>
                    <w:rPr>
                      <w:rFonts w:hint="eastAsia" w:ascii="Times New Roman" w:hAnsi="Times New Roman" w:cs="Times New Roman"/>
                      <w:sz w:val="21"/>
                      <w:szCs w:val="21"/>
                      <w:lang w:val="en-US" w:eastAsia="zh-CN"/>
                    </w:rPr>
                    <w:t>。</w:t>
                  </w:r>
                </w:p>
              </w:tc>
              <w:tc>
                <w:tcPr>
                  <w:tcW w:w="3777" w:type="dxa"/>
                  <w:vAlign w:val="center"/>
                </w:tcPr>
                <w:p>
                  <w:pPr>
                    <w:adjustRightInd w:val="0"/>
                    <w:snapToGrid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废</w:t>
                  </w:r>
                  <w:r>
                    <w:rPr>
                      <w:rFonts w:hint="default" w:ascii="Times New Roman" w:hAnsi="Times New Roman" w:cs="Times New Roman" w:eastAsiaTheme="minorEastAsia"/>
                      <w:sz w:val="21"/>
                      <w:szCs w:val="21"/>
                      <w:lang w:val="en-US" w:eastAsia="zh-CN"/>
                    </w:rPr>
                    <w:t>棉纱手套</w:t>
                  </w:r>
                  <w:r>
                    <w:rPr>
                      <w:rFonts w:hint="eastAsia" w:ascii="Times New Roman" w:hAnsi="Times New Roman" w:cs="Times New Roman" w:eastAsiaTheme="minorEastAsia"/>
                      <w:sz w:val="21"/>
                      <w:szCs w:val="21"/>
                      <w:lang w:val="en-US" w:eastAsia="zh-CN"/>
                    </w:rPr>
                    <w:t>、</w:t>
                  </w:r>
                  <w:r>
                    <w:rPr>
                      <w:rFonts w:hint="default" w:ascii="Times New Roman" w:hAnsi="Times New Roman" w:cs="Times New Roman" w:eastAsiaTheme="minorEastAsia"/>
                      <w:sz w:val="21"/>
                      <w:szCs w:val="21"/>
                      <w:lang w:val="en-US" w:eastAsia="zh-CN"/>
                    </w:rPr>
                    <w:t>生活垃圾袋装后交</w:t>
                  </w:r>
                  <w:r>
                    <w:rPr>
                      <w:rFonts w:hint="eastAsia" w:ascii="Times New Roman" w:hAnsi="Times New Roman" w:cs="Times New Roman"/>
                      <w:sz w:val="21"/>
                      <w:szCs w:val="21"/>
                      <w:lang w:val="en-US" w:eastAsia="zh-CN"/>
                    </w:rPr>
                    <w:t>梁平区</w:t>
                  </w:r>
                  <w:r>
                    <w:rPr>
                      <w:rFonts w:hint="default" w:ascii="Times New Roman" w:hAnsi="Times New Roman" w:cs="Times New Roman" w:eastAsiaTheme="minorEastAsia"/>
                      <w:sz w:val="21"/>
                      <w:szCs w:val="21"/>
                      <w:lang w:val="en-US" w:eastAsia="zh-CN"/>
                    </w:rPr>
                    <w:t>环卫部门处理</w:t>
                  </w:r>
                  <w:r>
                    <w:rPr>
                      <w:rFonts w:hint="eastAsia" w:ascii="Times New Roman" w:hAnsi="Times New Roman" w:cs="Times New Roman" w:eastAsiaTheme="minorEastAsia"/>
                      <w:sz w:val="21"/>
                      <w:szCs w:val="21"/>
                      <w:lang w:val="en-US" w:eastAsia="zh-CN"/>
                    </w:rPr>
                    <w:t>；边角料、废端子、废塑料件、废包装物均由废品回收单位回收处置：</w:t>
                  </w:r>
                  <w:bookmarkStart w:id="22" w:name="_GoBack"/>
                  <w:bookmarkEnd w:id="22"/>
                  <w:r>
                    <w:rPr>
                      <w:rFonts w:hint="eastAsia" w:ascii="Times New Roman" w:hAnsi="Times New Roman" w:cs="Times New Roman"/>
                      <w:sz w:val="21"/>
                      <w:szCs w:val="21"/>
                      <w:lang w:val="en-US" w:eastAsia="zh-CN"/>
                    </w:rPr>
                    <w:t>不产生危险废物</w:t>
                  </w:r>
                  <w:r>
                    <w:rPr>
                      <w:rFonts w:hint="default" w:ascii="Times New Roman" w:hAnsi="Times New Roman" w:cs="Times New Roman" w:eastAsiaTheme="minor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42" w:type="dxa"/>
                  <w:vAlign w:val="center"/>
                </w:tcPr>
                <w:p>
                  <w:pPr>
                    <w:adjustRightInd w:val="0"/>
                    <w:snapToGrid w:val="0"/>
                    <w:jc w:val="center"/>
                    <w:rPr>
                      <w:rFonts w:hint="default" w:eastAsiaTheme="minorEastAsia"/>
                      <w:szCs w:val="21"/>
                      <w:lang w:val="en-US" w:eastAsia="zh-CN"/>
                    </w:rPr>
                  </w:pPr>
                  <w:r>
                    <w:rPr>
                      <w:rFonts w:hint="eastAsia"/>
                      <w:szCs w:val="21"/>
                      <w:lang w:val="en-US" w:eastAsia="zh-CN"/>
                    </w:rPr>
                    <w:t>5</w:t>
                  </w:r>
                </w:p>
              </w:tc>
              <w:tc>
                <w:tcPr>
                  <w:tcW w:w="3777" w:type="dxa"/>
                  <w:vAlign w:val="center"/>
                </w:tcPr>
                <w:p>
                  <w:pPr>
                    <w:adjustRightInd w:val="0"/>
                    <w:snapToGrid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选用低噪声设备，并合理布局噪声源，对高噪声设备采取减振、隔声、消声等降噪措施。厂区噪声排放应达到《工业企业厂界环境噪声排放标准》(GB 12348-2008)中</w:t>
                  </w:r>
                  <w:r>
                    <w:rPr>
                      <w:rFonts w:hint="eastAsia" w:ascii="Times New Roman" w:hAnsi="Times New Roman" w:cs="Times New Roman"/>
                      <w:sz w:val="21"/>
                      <w:szCs w:val="21"/>
                      <w:lang w:val="en-US" w:eastAsia="zh-CN"/>
                    </w:rPr>
                    <w:t>3</w:t>
                  </w:r>
                  <w:r>
                    <w:rPr>
                      <w:rFonts w:hint="default" w:ascii="Times New Roman" w:hAnsi="Times New Roman" w:cs="Times New Roman" w:eastAsiaTheme="minorEastAsia"/>
                      <w:sz w:val="21"/>
                      <w:szCs w:val="21"/>
                      <w:lang w:val="en-US" w:eastAsia="zh-CN"/>
                    </w:rPr>
                    <w:t xml:space="preserve"> 类区域标准。</w:t>
                  </w:r>
                </w:p>
              </w:tc>
              <w:tc>
                <w:tcPr>
                  <w:tcW w:w="3777" w:type="dxa"/>
                  <w:vAlign w:val="center"/>
                </w:tcPr>
                <w:p>
                  <w:pPr>
                    <w:adjustRightInd w:val="0"/>
                    <w:snapToGrid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本项目</w:t>
                  </w:r>
                  <w:r>
                    <w:rPr>
                      <w:rFonts w:hint="eastAsia" w:ascii="Times New Roman" w:hAnsi="Times New Roman" w:cs="Times New Roman"/>
                      <w:sz w:val="21"/>
                      <w:szCs w:val="21"/>
                      <w:lang w:val="en-US" w:eastAsia="zh-CN"/>
                    </w:rPr>
                    <w:t>位于工业区，且密闭厂房</w:t>
                  </w:r>
                  <w:r>
                    <w:rPr>
                      <w:rFonts w:hint="eastAsia" w:ascii="Times New Roman" w:hAnsi="Times New Roman" w:cs="Times New Roman" w:eastAsiaTheme="minorEastAsia"/>
                      <w:sz w:val="21"/>
                      <w:szCs w:val="21"/>
                      <w:lang w:val="en-US" w:eastAsia="zh-CN"/>
                    </w:rPr>
                    <w:t>；项目夜间未生产。本次验收监测项目昼</w:t>
                  </w:r>
                  <w:r>
                    <w:rPr>
                      <w:rFonts w:hint="eastAsia" w:ascii="Times New Roman" w:hAnsi="Times New Roman" w:cs="Times New Roman"/>
                      <w:sz w:val="21"/>
                      <w:szCs w:val="21"/>
                      <w:lang w:val="en-US" w:eastAsia="zh-CN"/>
                    </w:rPr>
                    <w:t>夜</w:t>
                  </w:r>
                  <w:r>
                    <w:rPr>
                      <w:rFonts w:hint="eastAsia" w:ascii="Times New Roman" w:hAnsi="Times New Roman" w:cs="Times New Roman" w:eastAsiaTheme="minorEastAsia"/>
                      <w:sz w:val="21"/>
                      <w:szCs w:val="21"/>
                      <w:lang w:val="en-US" w:eastAsia="zh-CN"/>
                    </w:rPr>
                    <w:t>间厂界噪声达标。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742" w:type="dxa"/>
                  <w:vAlign w:val="center"/>
                </w:tcPr>
                <w:p>
                  <w:pPr>
                    <w:adjustRightInd w:val="0"/>
                    <w:snapToGrid w:val="0"/>
                    <w:jc w:val="center"/>
                    <w:rPr>
                      <w:rFonts w:hint="eastAsia" w:eastAsiaTheme="minorEastAsia"/>
                      <w:szCs w:val="21"/>
                      <w:lang w:eastAsia="zh-CN"/>
                    </w:rPr>
                  </w:pPr>
                  <w:r>
                    <w:rPr>
                      <w:rFonts w:hint="eastAsia"/>
                      <w:szCs w:val="21"/>
                      <w:lang w:val="en-US" w:eastAsia="zh-CN"/>
                    </w:rPr>
                    <w:t>6</w:t>
                  </w:r>
                </w:p>
              </w:tc>
              <w:tc>
                <w:tcPr>
                  <w:tcW w:w="3777" w:type="dxa"/>
                  <w:vAlign w:val="center"/>
                </w:tcPr>
                <w:p>
                  <w:pPr>
                    <w:adjustRightInd w:val="0"/>
                    <w:snapToGrid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建立健全环境保护内部管理机构和制度，加强厂区绿化，规范排污口，确保污染治理设施正常运转，做到各项污染物常年稳定达标排放。 </w:t>
                  </w:r>
                </w:p>
              </w:tc>
              <w:tc>
                <w:tcPr>
                  <w:tcW w:w="3777" w:type="dxa"/>
                  <w:vAlign w:val="center"/>
                </w:tcPr>
                <w:p>
                  <w:pPr>
                    <w:adjustRightInd w:val="0"/>
                    <w:snapToGrid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2" w:type="dxa"/>
                  <w:vAlign w:val="center"/>
                </w:tcPr>
                <w:p>
                  <w:pPr>
                    <w:adjustRightInd w:val="0"/>
                    <w:snapToGrid w:val="0"/>
                    <w:jc w:val="center"/>
                    <w:rPr>
                      <w:rFonts w:hint="eastAsia" w:eastAsiaTheme="minorEastAsia"/>
                      <w:szCs w:val="21"/>
                      <w:lang w:eastAsia="zh-CN"/>
                    </w:rPr>
                  </w:pPr>
                  <w:r>
                    <w:rPr>
                      <w:rFonts w:hint="eastAsia"/>
                      <w:szCs w:val="21"/>
                      <w:lang w:val="en-US" w:eastAsia="zh-CN"/>
                    </w:rPr>
                    <w:t>7</w:t>
                  </w:r>
                </w:p>
              </w:tc>
              <w:tc>
                <w:tcPr>
                  <w:tcW w:w="3777" w:type="dxa"/>
                  <w:vAlign w:val="center"/>
                </w:tcPr>
                <w:p>
                  <w:pPr>
                    <w:adjustRightInd w:val="0"/>
                    <w:snapToGrid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强化环境风险防范。落实报告表提出的环境风险防范和应急措施。强化环境管理，落实环境保护主体责任。严格安全生产，防止因事故引发环境污染。</w:t>
                  </w:r>
                </w:p>
              </w:tc>
              <w:tc>
                <w:tcPr>
                  <w:tcW w:w="3777" w:type="dxa"/>
                  <w:vAlign w:val="center"/>
                </w:tcPr>
                <w:p>
                  <w:pPr>
                    <w:adjustRightInd w:val="0"/>
                    <w:snapToGrid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建立安全生产岗位责任制，制定安全生产规章制度、安全操作规程。工作现场严禁吸烟、进食、饮水；严格岗位操作规程，加强操作人员的岗位培训和职业素质教育。提高安全意识，实施规范核查。实行操作人员持证上岗制度，确保安全生产。建立预警机制，定期组织相关人员进行事故防范演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2" w:type="dxa"/>
                  <w:vAlign w:val="center"/>
                </w:tcPr>
                <w:p>
                  <w:pPr>
                    <w:adjustRightInd w:val="0"/>
                    <w:snapToGrid w:val="0"/>
                    <w:jc w:val="center"/>
                    <w:rPr>
                      <w:rFonts w:hint="eastAsia" w:eastAsiaTheme="minorEastAsia"/>
                      <w:szCs w:val="21"/>
                      <w:lang w:eastAsia="zh-CN"/>
                    </w:rPr>
                  </w:pPr>
                  <w:r>
                    <w:rPr>
                      <w:rFonts w:hint="eastAsia"/>
                      <w:szCs w:val="21"/>
                      <w:lang w:val="en-US" w:eastAsia="zh-CN"/>
                    </w:rPr>
                    <w:t>8</w:t>
                  </w:r>
                </w:p>
              </w:tc>
              <w:tc>
                <w:tcPr>
                  <w:tcW w:w="3777" w:type="dxa"/>
                  <w:vAlign w:val="center"/>
                </w:tcPr>
                <w:p>
                  <w:pPr>
                    <w:adjustRightInd w:val="0"/>
                    <w:snapToGrid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该项目建设必须严格执行环境保护设施与主体工程同时设计、同时施工、同时投入使用的环境保护“三同时”制度。项目竣工后，建设单位必须按照规定程序申请环保验收。验收合格后，项目方能投入正式使用</w:t>
                  </w:r>
                </w:p>
              </w:tc>
              <w:tc>
                <w:tcPr>
                  <w:tcW w:w="3777" w:type="dxa"/>
                  <w:vAlign w:val="center"/>
                </w:tcPr>
                <w:p>
                  <w:pPr>
                    <w:adjustRightInd w:val="0"/>
                    <w:snapToGrid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2" w:type="dxa"/>
                  <w:vAlign w:val="center"/>
                </w:tcPr>
                <w:p>
                  <w:pPr>
                    <w:adjustRightInd w:val="0"/>
                    <w:snapToGrid w:val="0"/>
                    <w:jc w:val="center"/>
                    <w:rPr>
                      <w:rFonts w:hint="eastAsia" w:eastAsiaTheme="minorEastAsia"/>
                      <w:szCs w:val="21"/>
                      <w:lang w:eastAsia="zh-CN"/>
                    </w:rPr>
                  </w:pPr>
                  <w:r>
                    <w:rPr>
                      <w:rFonts w:hint="eastAsia"/>
                      <w:szCs w:val="21"/>
                      <w:lang w:val="en-US" w:eastAsia="zh-CN"/>
                    </w:rPr>
                    <w:t>9</w:t>
                  </w:r>
                </w:p>
              </w:tc>
              <w:tc>
                <w:tcPr>
                  <w:tcW w:w="3777" w:type="dxa"/>
                  <w:vAlign w:val="center"/>
                </w:tcPr>
                <w:p>
                  <w:pPr>
                    <w:adjustRightInd w:val="0"/>
                    <w:snapToGrid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该项目的内容、规模地点或者防止污染、防止生态破坏的措施发生重大变动的，你单位应重新向我局报批该项目环境影响评价文件</w:t>
                  </w:r>
                </w:p>
              </w:tc>
              <w:tc>
                <w:tcPr>
                  <w:tcW w:w="3777" w:type="dxa"/>
                  <w:vAlign w:val="center"/>
                </w:tcPr>
                <w:p>
                  <w:pPr>
                    <w:adjustRightInd w:val="0"/>
                    <w:snapToGrid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本项目的性质、规模、地点、采用的生产工艺，防治污染、生态保护措施未发生重大变化。</w:t>
                  </w:r>
                </w:p>
              </w:tc>
            </w:tr>
          </w:tbl>
          <w:p>
            <w:pPr>
              <w:spacing w:line="480" w:lineRule="auto"/>
              <w:rPr>
                <w:b/>
                <w:bCs/>
                <w:kern w:val="0"/>
                <w:sz w:val="24"/>
              </w:rPr>
            </w:pPr>
            <w:r>
              <w:rPr>
                <w:b/>
                <w:bCs/>
                <w:kern w:val="0"/>
                <w:sz w:val="24"/>
              </w:rPr>
              <w:t>8.4  环保设施运行及维护情况</w:t>
            </w:r>
            <w:bookmarkEnd w:id="10"/>
          </w:p>
          <w:p>
            <w:pPr>
              <w:spacing w:line="360" w:lineRule="auto"/>
              <w:ind w:firstLine="480" w:firstLineChars="200"/>
              <w:rPr>
                <w:rFonts w:hAnsi="宋体"/>
                <w:kern w:val="0"/>
                <w:sz w:val="24"/>
              </w:rPr>
            </w:pPr>
            <w:r>
              <w:rPr>
                <w:rFonts w:hAnsi="宋体"/>
                <w:kern w:val="0"/>
                <w:sz w:val="24"/>
              </w:rPr>
              <w:t>试运行期间，各类环保设施均与生产设施同步运行。各环保管理人员按照国家相关规定制定的《废气、废水治理设施工作制度与职责》对处理设施进行操作与维护。从而确保废水处理设施正常运行，并对治理设施的日常运行情况进行记录。</w:t>
            </w:r>
          </w:p>
          <w:p>
            <w:pPr>
              <w:spacing w:line="480" w:lineRule="auto"/>
              <w:rPr>
                <w:b/>
                <w:bCs/>
                <w:kern w:val="0"/>
                <w:sz w:val="24"/>
              </w:rPr>
            </w:pPr>
            <w:bookmarkStart w:id="11" w:name="_Toc514767381"/>
            <w:r>
              <w:rPr>
                <w:b/>
                <w:bCs/>
                <w:kern w:val="0"/>
                <w:sz w:val="24"/>
              </w:rPr>
              <w:t>8.5  环保投诉</w:t>
            </w:r>
            <w:bookmarkEnd w:id="11"/>
          </w:p>
          <w:p>
            <w:pPr>
              <w:spacing w:line="360" w:lineRule="auto"/>
              <w:ind w:firstLine="480" w:firstLineChars="200"/>
              <w:rPr>
                <w:rFonts w:hAnsi="宋体"/>
                <w:kern w:val="0"/>
                <w:sz w:val="24"/>
              </w:rPr>
            </w:pPr>
            <w:r>
              <w:rPr>
                <w:rFonts w:hAnsi="宋体"/>
                <w:kern w:val="0"/>
                <w:sz w:val="24"/>
              </w:rPr>
              <w:t>本项目认真执行了国家的环境影响评价制度、</w:t>
            </w:r>
            <w:r>
              <w:rPr>
                <w:kern w:val="0"/>
                <w:sz w:val="24"/>
              </w:rPr>
              <w:t>“</w:t>
            </w:r>
            <w:r>
              <w:rPr>
                <w:rFonts w:hAnsi="宋体"/>
                <w:kern w:val="0"/>
                <w:sz w:val="24"/>
              </w:rPr>
              <w:t>三同时</w:t>
            </w:r>
            <w:r>
              <w:rPr>
                <w:kern w:val="0"/>
                <w:sz w:val="24"/>
              </w:rPr>
              <w:t>”</w:t>
            </w:r>
            <w:r>
              <w:rPr>
                <w:rFonts w:hAnsi="宋体"/>
                <w:kern w:val="0"/>
                <w:sz w:val="24"/>
              </w:rPr>
              <w:t>制度，试运行期全过程实行了环境管理，保证了本工程各项污染防治措施得到了认真落实。本项目至目前为止的试运行期未发生环境污染事件，环保主管部门亦未收到环保投诉。</w:t>
            </w:r>
          </w:p>
          <w:p>
            <w:pPr>
              <w:spacing w:line="360" w:lineRule="auto"/>
              <w:ind w:firstLine="480" w:firstLineChars="200"/>
              <w:rPr>
                <w:rFonts w:hAnsi="宋体"/>
                <w:kern w:val="0"/>
                <w:sz w:val="24"/>
              </w:rPr>
            </w:pPr>
          </w:p>
          <w:p>
            <w:pPr>
              <w:spacing w:line="360" w:lineRule="auto"/>
              <w:rPr>
                <w:b/>
                <w:kern w:val="0"/>
                <w:sz w:val="24"/>
              </w:rPr>
            </w:pPr>
          </w:p>
        </w:tc>
      </w:tr>
    </w:tbl>
    <w:p>
      <w:pPr>
        <w:spacing w:line="360" w:lineRule="auto"/>
        <w:rPr>
          <w:rFonts w:eastAsia="仿宋_GB2312"/>
          <w:b/>
          <w:sz w:val="28"/>
          <w:szCs w:val="28"/>
        </w:rPr>
      </w:pPr>
    </w:p>
    <w:p>
      <w:pPr>
        <w:spacing w:line="360" w:lineRule="auto"/>
        <w:rPr>
          <w:rFonts w:ascii="宋体" w:hAnsi="宋体"/>
          <w:sz w:val="28"/>
          <w:szCs w:val="28"/>
        </w:rPr>
      </w:pPr>
      <w:r>
        <w:rPr>
          <w:rFonts w:eastAsia="仿宋_GB2312"/>
          <w:b/>
          <w:sz w:val="28"/>
          <w:szCs w:val="28"/>
        </w:rPr>
        <w:t>表</w:t>
      </w:r>
      <w:r>
        <w:rPr>
          <w:rFonts w:hint="eastAsia" w:eastAsia="仿宋_GB2312"/>
          <w:b/>
          <w:sz w:val="28"/>
          <w:szCs w:val="28"/>
        </w:rPr>
        <w:t>九</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80" w:lineRule="auto"/>
              <w:rPr>
                <w:b/>
                <w:bCs/>
                <w:kern w:val="0"/>
                <w:sz w:val="24"/>
              </w:rPr>
            </w:pPr>
            <w:r>
              <w:rPr>
                <w:b/>
                <w:bCs/>
                <w:kern w:val="0"/>
                <w:sz w:val="24"/>
              </w:rPr>
              <w:t>9.1 验收监测结论：</w:t>
            </w:r>
          </w:p>
          <w:p>
            <w:pPr>
              <w:spacing w:line="360" w:lineRule="auto"/>
              <w:rPr>
                <w:kern w:val="0"/>
                <w:sz w:val="24"/>
              </w:rPr>
            </w:pPr>
            <w:bookmarkStart w:id="12" w:name="_Toc514767384"/>
            <w:r>
              <w:rPr>
                <w:kern w:val="0"/>
                <w:sz w:val="24"/>
              </w:rPr>
              <w:t>9.1.1</w:t>
            </w:r>
            <w:r>
              <w:rPr>
                <w:rFonts w:hAnsi="宋体"/>
                <w:kern w:val="0"/>
                <w:sz w:val="24"/>
              </w:rPr>
              <w:t>验收监测期间的工况</w:t>
            </w:r>
            <w:bookmarkEnd w:id="12"/>
          </w:p>
          <w:p>
            <w:pPr>
              <w:spacing w:line="360" w:lineRule="auto"/>
              <w:ind w:firstLine="480" w:firstLineChars="200"/>
              <w:rPr>
                <w:kern w:val="0"/>
                <w:sz w:val="24"/>
              </w:rPr>
            </w:pPr>
            <w:r>
              <w:rPr>
                <w:rFonts w:hAnsi="宋体"/>
                <w:kern w:val="0"/>
                <w:sz w:val="24"/>
              </w:rPr>
              <w:t>验收监测时间为</w:t>
            </w:r>
            <w:r>
              <w:rPr>
                <w:rFonts w:hint="default" w:ascii="Times New Roman" w:hAnsi="Times New Roman" w:cs="Times New Roman"/>
                <w:kern w:val="0"/>
                <w:sz w:val="24"/>
              </w:rPr>
              <w:t>20</w:t>
            </w:r>
            <w:r>
              <w:rPr>
                <w:rFonts w:hint="default" w:ascii="Times New Roman" w:hAnsi="Times New Roman" w:cs="Times New Roman"/>
                <w:kern w:val="0"/>
                <w:sz w:val="24"/>
                <w:lang w:val="en-US" w:eastAsia="zh-CN"/>
              </w:rPr>
              <w:t>21</w:t>
            </w:r>
            <w:r>
              <w:rPr>
                <w:rFonts w:hint="default" w:ascii="Times New Roman" w:hAnsi="Times New Roman" w:cs="Times New Roman"/>
                <w:kern w:val="0"/>
                <w:sz w:val="24"/>
              </w:rPr>
              <w:t>年</w:t>
            </w:r>
            <w:r>
              <w:rPr>
                <w:rFonts w:hint="default" w:ascii="Times New Roman" w:hAnsi="Times New Roman" w:cs="Times New Roman"/>
                <w:kern w:val="0"/>
                <w:sz w:val="24"/>
                <w:lang w:val="en-US" w:eastAsia="zh-CN"/>
              </w:rPr>
              <w:t>7</w:t>
            </w:r>
            <w:r>
              <w:rPr>
                <w:rFonts w:hint="default" w:ascii="Times New Roman" w:hAnsi="Times New Roman" w:cs="Times New Roman"/>
                <w:kern w:val="0"/>
                <w:sz w:val="24"/>
              </w:rPr>
              <w:t>月</w:t>
            </w:r>
            <w:r>
              <w:rPr>
                <w:rFonts w:hint="default" w:ascii="Times New Roman" w:hAnsi="Times New Roman" w:cs="Times New Roman"/>
                <w:kern w:val="0"/>
                <w:sz w:val="24"/>
                <w:lang w:val="en-US" w:eastAsia="zh-CN"/>
              </w:rPr>
              <w:t>19</w:t>
            </w:r>
            <w:r>
              <w:rPr>
                <w:rFonts w:hint="default" w:ascii="Times New Roman" w:hAnsi="Times New Roman" w:cs="Times New Roman"/>
                <w:kern w:val="0"/>
                <w:sz w:val="24"/>
              </w:rPr>
              <w:t>～</w:t>
            </w:r>
            <w:r>
              <w:rPr>
                <w:rFonts w:hint="default" w:ascii="Times New Roman" w:hAnsi="Times New Roman" w:cs="Times New Roman"/>
                <w:kern w:val="0"/>
                <w:sz w:val="24"/>
                <w:lang w:val="en-US" w:eastAsia="zh-CN"/>
              </w:rPr>
              <w:t>20</w:t>
            </w:r>
            <w:r>
              <w:rPr>
                <w:rFonts w:hint="default" w:ascii="Times New Roman" w:hAnsi="Times New Roman" w:cs="Times New Roman"/>
                <w:kern w:val="0"/>
                <w:sz w:val="24"/>
              </w:rPr>
              <w:t>日</w:t>
            </w:r>
            <w:r>
              <w:rPr>
                <w:rFonts w:hint="eastAsia" w:hAnsi="宋体"/>
                <w:kern w:val="0"/>
                <w:sz w:val="24"/>
              </w:rPr>
              <w:t>。</w:t>
            </w:r>
            <w:r>
              <w:rPr>
                <w:rFonts w:hAnsi="宋体"/>
                <w:kern w:val="0"/>
                <w:sz w:val="24"/>
              </w:rPr>
              <w:t>监测期间，</w:t>
            </w:r>
            <w:r>
              <w:rPr>
                <w:rFonts w:hint="eastAsia" w:hAnsi="宋体"/>
                <w:kern w:val="0"/>
                <w:sz w:val="24"/>
                <w:lang w:eastAsia="zh-CN"/>
              </w:rPr>
              <w:t>重庆乐仁汽车电子有限公司汽车线束总成生产项目</w:t>
            </w:r>
            <w:r>
              <w:rPr>
                <w:rFonts w:hAnsi="宋体"/>
                <w:kern w:val="0"/>
                <w:sz w:val="24"/>
              </w:rPr>
              <w:t>生产设施和环保处理设施运行正常。</w:t>
            </w:r>
          </w:p>
          <w:p>
            <w:pPr>
              <w:spacing w:line="360" w:lineRule="auto"/>
              <w:rPr>
                <w:kern w:val="0"/>
                <w:sz w:val="24"/>
              </w:rPr>
            </w:pPr>
            <w:r>
              <w:rPr>
                <w:kern w:val="0"/>
                <w:sz w:val="24"/>
              </w:rPr>
              <w:t>9.1.2</w:t>
            </w:r>
            <w:r>
              <w:rPr>
                <w:rFonts w:hAnsi="宋体"/>
                <w:kern w:val="0"/>
                <w:sz w:val="24"/>
              </w:rPr>
              <w:t>废水验收监测结论</w:t>
            </w:r>
          </w:p>
          <w:p>
            <w:pPr>
              <w:spacing w:line="360" w:lineRule="auto"/>
              <w:ind w:firstLine="480" w:firstLineChars="200"/>
              <w:rPr>
                <w:rFonts w:hint="eastAsia" w:hAnsi="宋体"/>
                <w:kern w:val="0"/>
                <w:sz w:val="24"/>
                <w:lang w:eastAsia="zh-CN"/>
              </w:rPr>
            </w:pPr>
            <w:r>
              <w:rPr>
                <w:rFonts w:hint="eastAsia" w:hAnsi="宋体"/>
                <w:kern w:val="0"/>
                <w:sz w:val="24"/>
                <w:lang w:eastAsia="zh-CN"/>
              </w:rPr>
              <w:t>重庆乐仁汽车电子有限公司汽车线束总成生产项目</w:t>
            </w:r>
            <w:r>
              <w:rPr>
                <w:rFonts w:hint="eastAsia"/>
                <w:spacing w:val="2"/>
                <w:kern w:val="0"/>
                <w:sz w:val="24"/>
              </w:rPr>
              <w:t>生活废水</w:t>
            </w:r>
            <w:r>
              <w:rPr>
                <w:spacing w:val="2"/>
                <w:kern w:val="0"/>
                <w:sz w:val="24"/>
              </w:rPr>
              <w:t>经</w:t>
            </w:r>
            <w:r>
              <w:rPr>
                <w:rFonts w:hint="eastAsia"/>
                <w:spacing w:val="2"/>
                <w:kern w:val="0"/>
                <w:sz w:val="24"/>
                <w:lang w:eastAsia="zh-CN"/>
              </w:rPr>
              <w:t>园区生化池</w:t>
            </w:r>
            <w:r>
              <w:rPr>
                <w:rFonts w:hint="default" w:ascii="Times New Roman" w:hAnsi="Times New Roman" w:eastAsia="宋体" w:cs="Times New Roman"/>
                <w:kern w:val="2"/>
                <w:sz w:val="24"/>
                <w:szCs w:val="24"/>
                <w:lang w:val="en-US" w:eastAsia="zh-CN" w:bidi="ar-SA"/>
              </w:rPr>
              <w:t>处理达《污水综合排放标准》（GB8978-1996）三级标准后排入园区污水管网，进入</w:t>
            </w:r>
            <w:r>
              <w:rPr>
                <w:rFonts w:hint="eastAsia" w:ascii="Times New Roman" w:hAnsi="Times New Roman" w:eastAsia="宋体" w:cs="Times New Roman"/>
                <w:kern w:val="2"/>
                <w:sz w:val="24"/>
                <w:szCs w:val="24"/>
                <w:lang w:val="en-US" w:eastAsia="zh-CN" w:bidi="ar-SA"/>
              </w:rPr>
              <w:t>双桂</w:t>
            </w:r>
            <w:r>
              <w:rPr>
                <w:rFonts w:hint="default" w:ascii="Times New Roman" w:hAnsi="Times New Roman" w:eastAsia="宋体" w:cs="Times New Roman"/>
                <w:kern w:val="2"/>
                <w:sz w:val="24"/>
                <w:szCs w:val="24"/>
                <w:lang w:val="en-US" w:eastAsia="zh-CN" w:bidi="ar-SA"/>
              </w:rPr>
              <w:t>污水处理厂集中处理达标排放。</w:t>
            </w:r>
            <w:r>
              <w:rPr>
                <w:rFonts w:hAnsi="宋体"/>
                <w:kern w:val="0"/>
                <w:sz w:val="24"/>
              </w:rPr>
              <w:t>监测结果表明：</w:t>
            </w:r>
            <w:r>
              <w:rPr>
                <w:rFonts w:hint="eastAsia" w:hAnsi="宋体"/>
                <w:kern w:val="0"/>
                <w:sz w:val="24"/>
                <w:lang w:val="en-US" w:eastAsia="zh-CN"/>
              </w:rPr>
              <w:t>废水排口各项污染物浓度两天监测值皆能符合《污水综合排放标准》（GB8978-1996）中三级标准排放限值的要求</w:t>
            </w:r>
            <w:r>
              <w:rPr>
                <w:rFonts w:hint="eastAsia" w:hAnsi="宋体"/>
                <w:kern w:val="0"/>
                <w:sz w:val="24"/>
                <w:lang w:eastAsia="zh-CN"/>
              </w:rPr>
              <w:t>。</w:t>
            </w:r>
          </w:p>
          <w:p>
            <w:pPr>
              <w:spacing w:line="360" w:lineRule="auto"/>
              <w:rPr>
                <w:kern w:val="0"/>
                <w:sz w:val="24"/>
              </w:rPr>
            </w:pPr>
            <w:bookmarkStart w:id="13" w:name="_Toc514767386"/>
            <w:r>
              <w:rPr>
                <w:kern w:val="0"/>
                <w:sz w:val="24"/>
              </w:rPr>
              <w:t>9.1.3</w:t>
            </w:r>
            <w:bookmarkEnd w:id="13"/>
            <w:bookmarkStart w:id="14" w:name="_Toc514767387"/>
            <w:r>
              <w:rPr>
                <w:rFonts w:hAnsi="宋体"/>
                <w:kern w:val="0"/>
                <w:sz w:val="24"/>
              </w:rPr>
              <w:t>噪声验收监测结论</w:t>
            </w:r>
            <w:bookmarkEnd w:id="14"/>
          </w:p>
          <w:p>
            <w:pPr>
              <w:spacing w:line="360" w:lineRule="auto"/>
              <w:ind w:firstLine="480" w:firstLineChars="200"/>
              <w:rPr>
                <w:kern w:val="0"/>
                <w:sz w:val="24"/>
              </w:rPr>
            </w:pPr>
            <w:r>
              <w:rPr>
                <w:kern w:val="0"/>
                <w:sz w:val="24"/>
              </w:rPr>
              <w:t>监测结果表明：</w:t>
            </w:r>
            <w:r>
              <w:rPr>
                <w:rFonts w:hAnsi="宋体"/>
                <w:kern w:val="0"/>
                <w:sz w:val="24"/>
              </w:rPr>
              <w:t>本次验收监测</w:t>
            </w:r>
            <w:r>
              <w:rPr>
                <w:rFonts w:hint="eastAsia" w:hAnsi="宋体"/>
                <w:kern w:val="0"/>
                <w:sz w:val="24"/>
                <w:lang w:eastAsia="zh-CN"/>
              </w:rPr>
              <w:t>重庆乐仁汽车电子有限公司汽车线束总成生产项目</w:t>
            </w:r>
            <w:r>
              <w:rPr>
                <w:rFonts w:hint="eastAsia" w:ascii="Times New Roman" w:hAnsi="Times New Roman" w:eastAsia="宋体" w:cs="Times New Roman"/>
                <w:color w:val="auto"/>
                <w:kern w:val="0"/>
                <w:sz w:val="24"/>
                <w:szCs w:val="24"/>
                <w:lang w:val="en-US" w:eastAsia="zh-CN" w:bidi="ar-SA"/>
              </w:rPr>
              <w:t>噪声排放符合《工业企业厂界环境噪声排放标准》（GB12348-2008）中的3类标准</w:t>
            </w:r>
            <w:r>
              <w:rPr>
                <w:kern w:val="0"/>
                <w:sz w:val="24"/>
              </w:rPr>
              <w:t>。</w:t>
            </w:r>
          </w:p>
          <w:p>
            <w:pPr>
              <w:spacing w:line="360" w:lineRule="auto"/>
              <w:rPr>
                <w:rFonts w:hint="eastAsia"/>
                <w:kern w:val="0"/>
                <w:sz w:val="24"/>
              </w:rPr>
            </w:pPr>
            <w:r>
              <w:rPr>
                <w:rFonts w:hint="eastAsia"/>
                <w:kern w:val="0"/>
                <w:sz w:val="24"/>
              </w:rPr>
              <w:t>9.1.</w:t>
            </w:r>
            <w:r>
              <w:rPr>
                <w:rFonts w:hint="eastAsia"/>
                <w:kern w:val="0"/>
                <w:sz w:val="24"/>
                <w:lang w:val="en-US" w:eastAsia="zh-CN"/>
              </w:rPr>
              <w:t>4</w:t>
            </w:r>
            <w:r>
              <w:rPr>
                <w:rFonts w:hint="eastAsia"/>
                <w:kern w:val="0"/>
                <w:sz w:val="24"/>
              </w:rPr>
              <w:t xml:space="preserve"> 固体废物环境影响结论</w:t>
            </w:r>
          </w:p>
          <w:p>
            <w:pPr>
              <w:keepNext w:val="0"/>
              <w:keepLines w:val="0"/>
              <w:pageBreakBefore w:val="0"/>
              <w:widowControl w:val="0"/>
              <w:kinsoku/>
              <w:wordWrap/>
              <w:overflowPunct/>
              <w:topLinePunct w:val="0"/>
              <w:autoSpaceDE/>
              <w:autoSpaceDN/>
              <w:bidi w:val="0"/>
              <w:adjustRightInd/>
              <w:snapToGrid w:val="0"/>
              <w:spacing w:line="360" w:lineRule="auto"/>
              <w:ind w:firstLine="57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项目营运期产生的固体废弃物主要有废边角料（废电线剥离的塑料壳以及裁剪时产生电线头、塑料小节）、废端子（铜材料）、废包装物、废油桶以及液压油、活性炭、生活垃圾，其中废油桶以及液压油、活性炭属危险废物。</w:t>
            </w:r>
          </w:p>
          <w:p>
            <w:pPr>
              <w:pStyle w:val="17"/>
            </w:pPr>
            <w:r>
              <w:rPr>
                <w:rFonts w:hint="default" w:ascii="Times New Roman" w:hAnsi="Times New Roman" w:eastAsia="宋体" w:cs="Times New Roman"/>
                <w:kern w:val="2"/>
                <w:sz w:val="24"/>
                <w:szCs w:val="24"/>
                <w:lang w:val="en-US" w:eastAsia="zh-CN" w:bidi="ar-SA"/>
              </w:rPr>
              <w:t>生活垃圾分类收集后交由环卫部门统一清运处置， 少量含油棉纱、手套纳入生活垃圾一同处置；边角料、废端子、废塑料件、废包装物均由废品</w:t>
            </w:r>
            <w:r>
              <w:rPr>
                <w:rFonts w:hint="default" w:ascii="Times New Roman" w:hAnsi="Times New Roman" w:eastAsia="宋体" w:cs="Times New Roman"/>
                <w:sz w:val="24"/>
                <w:szCs w:val="24"/>
                <w:lang w:val="en-US" w:eastAsia="zh-CN"/>
              </w:rPr>
              <w:t>回收单位回收处置</w:t>
            </w:r>
            <w:r>
              <w:rPr>
                <w:rFonts w:hint="eastAsia" w:ascii="Times New Roman" w:hAnsi="Times New Roman" w:eastAsia="宋体" w:cs="Times New Roman"/>
                <w:sz w:val="24"/>
                <w:szCs w:val="24"/>
                <w:lang w:val="en-US" w:eastAsia="zh-CN"/>
              </w:rPr>
              <w:t>。</w:t>
            </w:r>
          </w:p>
          <w:p>
            <w:pPr>
              <w:spacing w:line="360" w:lineRule="auto"/>
              <w:ind w:firstLine="480" w:firstLineChars="200"/>
              <w:rPr>
                <w:rFonts w:hint="eastAsia" w:hAnsi="宋体"/>
                <w:kern w:val="0"/>
                <w:sz w:val="24"/>
              </w:rPr>
            </w:pPr>
            <w:bookmarkStart w:id="15" w:name="_Toc514767388"/>
            <w:r>
              <w:rPr>
                <w:rFonts w:hint="eastAsia" w:hAnsi="宋体"/>
                <w:kern w:val="0"/>
                <w:sz w:val="24"/>
              </w:rPr>
              <w:t>本项目固体废物处理措施落实了环评报告书及环评批复要求。</w:t>
            </w:r>
          </w:p>
          <w:bookmarkEnd w:id="15"/>
          <w:p>
            <w:pPr>
              <w:spacing w:line="360" w:lineRule="auto"/>
              <w:rPr>
                <w:kern w:val="0"/>
                <w:sz w:val="24"/>
              </w:rPr>
            </w:pPr>
            <w:bookmarkStart w:id="16" w:name="_Toc514767389"/>
            <w:r>
              <w:rPr>
                <w:kern w:val="0"/>
                <w:sz w:val="24"/>
              </w:rPr>
              <w:t>9.1.</w:t>
            </w:r>
            <w:r>
              <w:rPr>
                <w:rFonts w:hint="eastAsia"/>
                <w:kern w:val="0"/>
                <w:sz w:val="24"/>
                <w:lang w:val="en-US" w:eastAsia="zh-CN"/>
              </w:rPr>
              <w:t>8</w:t>
            </w:r>
            <w:r>
              <w:rPr>
                <w:rFonts w:hAnsi="宋体"/>
                <w:kern w:val="0"/>
                <w:sz w:val="24"/>
              </w:rPr>
              <w:t>验收监测综合结论</w:t>
            </w:r>
            <w:bookmarkEnd w:id="16"/>
          </w:p>
          <w:p>
            <w:pPr>
              <w:adjustRightInd w:val="0"/>
              <w:snapToGrid w:val="0"/>
              <w:spacing w:line="540" w:lineRule="exact"/>
              <w:ind w:firstLine="480" w:firstLineChars="200"/>
              <w:rPr>
                <w:rFonts w:ascii="黑体" w:hAnsi="宋体" w:eastAsia="黑体"/>
                <w:b/>
                <w:kern w:val="0"/>
                <w:sz w:val="24"/>
              </w:rPr>
            </w:pPr>
            <w:r>
              <w:rPr>
                <w:rFonts w:hint="eastAsia" w:hAnsi="宋体"/>
                <w:b w:val="0"/>
                <w:bCs/>
                <w:kern w:val="0"/>
                <w:sz w:val="24"/>
                <w:lang w:eastAsia="zh-CN"/>
              </w:rPr>
              <w:t>综上所述，重庆乐仁汽车电子有限公司</w:t>
            </w:r>
            <w:r>
              <w:rPr>
                <w:rFonts w:hint="eastAsia" w:hAnsi="宋体"/>
                <w:kern w:val="0"/>
                <w:sz w:val="24"/>
                <w:lang w:eastAsia="zh-CN"/>
              </w:rPr>
              <w:t>汽车线束总成生产项目</w:t>
            </w:r>
            <w:r>
              <w:rPr>
                <w:kern w:val="0"/>
                <w:sz w:val="24"/>
              </w:rPr>
              <w:t>建设前环境保护审查、审批手续完备，工程在设计、施工和营运过程中采取的污染防治措施有效，环境保护设施及其他措施已基本按批准的环境影响报告表的要求落实，达到环评和环保局批复提出的环境保护和管理要求，试运营期间无污染投诉，建议通过本项目环境保护竣工验收。</w:t>
            </w:r>
          </w:p>
          <w:p>
            <w:pPr>
              <w:spacing w:line="480" w:lineRule="auto"/>
              <w:rPr>
                <w:b/>
                <w:bCs/>
                <w:kern w:val="0"/>
                <w:sz w:val="24"/>
              </w:rPr>
            </w:pPr>
            <w:bookmarkStart w:id="17" w:name="_Toc498419691"/>
            <w:bookmarkStart w:id="18" w:name="_Toc432636521"/>
            <w:bookmarkStart w:id="19" w:name="_Toc514767390"/>
            <w:bookmarkStart w:id="20" w:name="_Toc499540867"/>
            <w:r>
              <w:rPr>
                <w:b/>
                <w:bCs/>
                <w:kern w:val="0"/>
                <w:sz w:val="24"/>
              </w:rPr>
              <w:t>9.2建议</w:t>
            </w:r>
            <w:bookmarkEnd w:id="17"/>
            <w:bookmarkEnd w:id="18"/>
            <w:bookmarkEnd w:id="19"/>
            <w:bookmarkEnd w:id="20"/>
          </w:p>
          <w:p>
            <w:pPr>
              <w:numPr>
                <w:ilvl w:val="0"/>
                <w:numId w:val="2"/>
              </w:numPr>
              <w:adjustRightInd w:val="0"/>
              <w:snapToGrid w:val="0"/>
              <w:spacing w:line="540" w:lineRule="exact"/>
              <w:ind w:firstLine="480" w:firstLineChars="200"/>
              <w:rPr>
                <w:kern w:val="0"/>
                <w:sz w:val="24"/>
              </w:rPr>
            </w:pPr>
            <w:r>
              <w:rPr>
                <w:kern w:val="0"/>
                <w:sz w:val="24"/>
              </w:rPr>
              <w:t>加强环保设施的运行管理和维护，确保环保设施处于良好运行状态，以保证污染治理设施的处理效果。</w:t>
            </w:r>
          </w:p>
          <w:p>
            <w:pPr>
              <w:pStyle w:val="17"/>
              <w:numPr>
                <w:ilvl w:val="0"/>
                <w:numId w:val="2"/>
              </w:numPr>
            </w:pPr>
            <w:r>
              <w:rPr>
                <w:rFonts w:hint="eastAsia"/>
              </w:rPr>
              <w:t>加强生产管理，保证主体生产设备及配套环保设施的连续稳定运转，减少非正常情况的发生。</w:t>
            </w:r>
          </w:p>
          <w:p>
            <w:pPr>
              <w:adjustRightInd w:val="0"/>
              <w:snapToGrid w:val="0"/>
              <w:spacing w:line="540" w:lineRule="exact"/>
              <w:ind w:firstLine="480" w:firstLineChars="200"/>
              <w:rPr>
                <w:kern w:val="0"/>
                <w:sz w:val="24"/>
              </w:rPr>
            </w:pPr>
          </w:p>
          <w:p>
            <w:pPr>
              <w:spacing w:line="360" w:lineRule="auto"/>
              <w:rPr>
                <w:kern w:val="0"/>
                <w:sz w:val="24"/>
              </w:rPr>
            </w:pPr>
          </w:p>
          <w:p>
            <w:pPr>
              <w:spacing w:line="360" w:lineRule="auto"/>
              <w:rPr>
                <w:kern w:val="0"/>
                <w:sz w:val="24"/>
              </w:rPr>
            </w:pPr>
          </w:p>
          <w:p>
            <w:pPr>
              <w:spacing w:line="360" w:lineRule="auto"/>
              <w:rPr>
                <w:kern w:val="0"/>
                <w:sz w:val="24"/>
              </w:rPr>
            </w:pPr>
          </w:p>
          <w:p>
            <w:pPr>
              <w:pStyle w:val="17"/>
              <w:rPr>
                <w:kern w:val="0"/>
                <w:sz w:val="24"/>
              </w:rPr>
            </w:pPr>
          </w:p>
          <w:p>
            <w:pPr>
              <w:pStyle w:val="17"/>
              <w:rPr>
                <w:kern w:val="0"/>
                <w:sz w:val="24"/>
              </w:rPr>
            </w:pPr>
          </w:p>
          <w:p>
            <w:pPr>
              <w:pStyle w:val="17"/>
              <w:rPr>
                <w:kern w:val="0"/>
                <w:sz w:val="24"/>
              </w:rPr>
            </w:pPr>
          </w:p>
          <w:p>
            <w:pPr>
              <w:pStyle w:val="17"/>
              <w:rPr>
                <w:kern w:val="0"/>
                <w:sz w:val="24"/>
              </w:rPr>
            </w:pPr>
          </w:p>
          <w:p>
            <w:pPr>
              <w:pStyle w:val="17"/>
              <w:rPr>
                <w:kern w:val="0"/>
                <w:sz w:val="24"/>
              </w:rPr>
            </w:pPr>
          </w:p>
          <w:p>
            <w:pPr>
              <w:pStyle w:val="17"/>
              <w:rPr>
                <w:kern w:val="0"/>
                <w:sz w:val="24"/>
              </w:rPr>
            </w:pPr>
          </w:p>
          <w:p>
            <w:pPr>
              <w:pStyle w:val="17"/>
              <w:rPr>
                <w:kern w:val="0"/>
                <w:sz w:val="24"/>
              </w:rPr>
            </w:pPr>
          </w:p>
          <w:p>
            <w:pPr>
              <w:pStyle w:val="17"/>
              <w:rPr>
                <w:kern w:val="0"/>
                <w:sz w:val="24"/>
              </w:rPr>
            </w:pPr>
          </w:p>
          <w:p>
            <w:pPr>
              <w:pStyle w:val="17"/>
              <w:rPr>
                <w:kern w:val="0"/>
                <w:sz w:val="24"/>
              </w:rPr>
            </w:pPr>
          </w:p>
          <w:p>
            <w:pPr>
              <w:pStyle w:val="17"/>
              <w:rPr>
                <w:kern w:val="0"/>
                <w:sz w:val="24"/>
              </w:rPr>
            </w:pPr>
          </w:p>
          <w:p>
            <w:pPr>
              <w:spacing w:line="360" w:lineRule="auto"/>
              <w:rPr>
                <w:kern w:val="0"/>
                <w:sz w:val="24"/>
              </w:rPr>
            </w:pPr>
          </w:p>
        </w:tc>
      </w:tr>
    </w:tbl>
    <w:p>
      <w:pPr>
        <w:spacing w:line="560" w:lineRule="exact"/>
        <w:rPr>
          <w:b/>
          <w:sz w:val="24"/>
        </w:rPr>
        <w:sectPr>
          <w:footerReference r:id="rId4" w:type="default"/>
          <w:pgSz w:w="11906" w:h="16838"/>
          <w:pgMar w:top="1440" w:right="1800" w:bottom="1440" w:left="1800" w:header="851" w:footer="992" w:gutter="0"/>
          <w:pgNumType w:fmt="decimal" w:start="1"/>
          <w:cols w:space="425" w:num="1"/>
          <w:docGrid w:type="lines" w:linePitch="312" w:charSpace="0"/>
        </w:sectPr>
      </w:pPr>
    </w:p>
    <w:p>
      <w:pPr>
        <w:pStyle w:val="21"/>
        <w:jc w:val="center"/>
        <w:rPr>
          <w:rFonts w:cs="Times New Roman"/>
          <w:sz w:val="28"/>
          <w:szCs w:val="28"/>
        </w:rPr>
      </w:pPr>
      <w:bookmarkStart w:id="21" w:name="_Toc510438541"/>
      <w:r>
        <w:rPr>
          <w:rFonts w:cs="Times New Roman"/>
          <w:sz w:val="28"/>
          <w:szCs w:val="28"/>
        </w:rPr>
        <w:t>建设项目工程竣工环境保护“三同时”验收登记表</w:t>
      </w:r>
      <w:bookmarkEnd w:id="21"/>
    </w:p>
    <w:p>
      <w:pPr>
        <w:pStyle w:val="2"/>
        <w:tabs>
          <w:tab w:val="left" w:pos="6256"/>
          <w:tab w:val="left" w:pos="11790"/>
        </w:tabs>
        <w:spacing w:after="0" w:line="400" w:lineRule="exact"/>
        <w:jc w:val="left"/>
        <w:rPr>
          <w:rFonts w:eastAsiaTheme="minorEastAsia"/>
          <w:szCs w:val="21"/>
        </w:rPr>
      </w:pPr>
      <w:r>
        <w:rPr>
          <w:rFonts w:eastAsiaTheme="minorEastAsia"/>
          <w:szCs w:val="21"/>
        </w:rPr>
        <w:t>填表</w:t>
      </w:r>
      <w:r>
        <w:rPr>
          <w:rFonts w:eastAsiaTheme="minorEastAsia"/>
          <w:spacing w:val="-3"/>
          <w:szCs w:val="21"/>
        </w:rPr>
        <w:t>单</w:t>
      </w:r>
      <w:r>
        <w:rPr>
          <w:rFonts w:eastAsiaTheme="minorEastAsia"/>
          <w:szCs w:val="21"/>
        </w:rPr>
        <w:t>位</w:t>
      </w:r>
      <w:r>
        <w:rPr>
          <w:rFonts w:eastAsiaTheme="minorEastAsia"/>
          <w:spacing w:val="-3"/>
          <w:szCs w:val="21"/>
        </w:rPr>
        <w:t>（</w:t>
      </w:r>
      <w:r>
        <w:rPr>
          <w:rFonts w:eastAsiaTheme="minorEastAsia"/>
          <w:szCs w:val="21"/>
        </w:rPr>
        <w:t>盖</w:t>
      </w:r>
      <w:r>
        <w:rPr>
          <w:rFonts w:eastAsiaTheme="minorEastAsia"/>
          <w:spacing w:val="-3"/>
          <w:szCs w:val="21"/>
        </w:rPr>
        <w:t>章</w:t>
      </w:r>
      <w:r>
        <w:rPr>
          <w:rFonts w:eastAsiaTheme="minorEastAsia"/>
          <w:szCs w:val="21"/>
        </w:rPr>
        <w:t>）：</w:t>
      </w:r>
      <w:r>
        <w:rPr>
          <w:rFonts w:hint="eastAsia"/>
          <w:szCs w:val="21"/>
          <w:lang w:eastAsia="zh-CN"/>
        </w:rPr>
        <w:t>重庆乐仁汽车电子有限公司</w:t>
      </w:r>
      <w:r>
        <w:rPr>
          <w:rFonts w:hint="eastAsia" w:eastAsiaTheme="minorEastAsia"/>
          <w:szCs w:val="21"/>
        </w:rPr>
        <w:t xml:space="preserve"> </w:t>
      </w:r>
      <w:r>
        <w:rPr>
          <w:rFonts w:hint="eastAsia"/>
          <w:szCs w:val="21"/>
          <w:lang w:val="en-US" w:eastAsia="zh-CN"/>
        </w:rPr>
        <w:t xml:space="preserve">        </w:t>
      </w:r>
      <w:r>
        <w:rPr>
          <w:rFonts w:eastAsiaTheme="minorEastAsia"/>
          <w:szCs w:val="21"/>
        </w:rPr>
        <w:t xml:space="preserve">      填表</w:t>
      </w:r>
      <w:r>
        <w:rPr>
          <w:rFonts w:eastAsiaTheme="minorEastAsia"/>
          <w:spacing w:val="-3"/>
          <w:szCs w:val="21"/>
        </w:rPr>
        <w:t>人</w:t>
      </w:r>
      <w:r>
        <w:rPr>
          <w:rFonts w:eastAsiaTheme="minorEastAsia"/>
          <w:szCs w:val="21"/>
        </w:rPr>
        <w:t>（</w:t>
      </w:r>
      <w:r>
        <w:rPr>
          <w:rFonts w:eastAsiaTheme="minorEastAsia"/>
          <w:spacing w:val="-3"/>
          <w:szCs w:val="21"/>
        </w:rPr>
        <w:t>签</w:t>
      </w:r>
      <w:r>
        <w:rPr>
          <w:rFonts w:eastAsiaTheme="minorEastAsia"/>
          <w:szCs w:val="21"/>
        </w:rPr>
        <w:t>字）：</w:t>
      </w:r>
      <w:r>
        <w:rPr>
          <w:rFonts w:hint="eastAsia"/>
          <w:szCs w:val="21"/>
          <w:lang w:eastAsia="zh-CN"/>
        </w:rPr>
        <w:t>王选</w:t>
      </w:r>
      <w:r>
        <w:rPr>
          <w:rFonts w:hint="eastAsia"/>
          <w:szCs w:val="21"/>
          <w:lang w:val="en-US" w:eastAsia="zh-CN"/>
        </w:rPr>
        <w:t xml:space="preserve">                   </w:t>
      </w:r>
      <w:r>
        <w:rPr>
          <w:rFonts w:eastAsiaTheme="minorEastAsia"/>
          <w:szCs w:val="21"/>
        </w:rPr>
        <w:t>项目</w:t>
      </w:r>
      <w:r>
        <w:rPr>
          <w:rFonts w:eastAsiaTheme="minorEastAsia"/>
          <w:spacing w:val="-3"/>
          <w:szCs w:val="21"/>
        </w:rPr>
        <w:t>经</w:t>
      </w:r>
      <w:r>
        <w:rPr>
          <w:rFonts w:eastAsiaTheme="minorEastAsia"/>
          <w:szCs w:val="21"/>
        </w:rPr>
        <w:t>办</w:t>
      </w:r>
      <w:r>
        <w:rPr>
          <w:rFonts w:eastAsiaTheme="minorEastAsia"/>
          <w:spacing w:val="-3"/>
          <w:szCs w:val="21"/>
        </w:rPr>
        <w:t>人</w:t>
      </w:r>
      <w:r>
        <w:rPr>
          <w:rFonts w:eastAsiaTheme="minorEastAsia"/>
          <w:szCs w:val="21"/>
        </w:rPr>
        <w:t>（</w:t>
      </w:r>
      <w:r>
        <w:rPr>
          <w:rFonts w:eastAsiaTheme="minorEastAsia"/>
          <w:spacing w:val="-3"/>
          <w:szCs w:val="21"/>
        </w:rPr>
        <w:t>签</w:t>
      </w:r>
      <w:r>
        <w:rPr>
          <w:rFonts w:eastAsiaTheme="minorEastAsia"/>
          <w:szCs w:val="21"/>
        </w:rPr>
        <w:t>字）：</w:t>
      </w:r>
      <w:r>
        <w:rPr>
          <w:rFonts w:hint="eastAsia"/>
          <w:szCs w:val="21"/>
          <w:lang w:eastAsia="zh-CN"/>
        </w:rPr>
        <w:t>王选</w:t>
      </w:r>
    </w:p>
    <w:tbl>
      <w:tblPr>
        <w:tblStyle w:val="24"/>
        <w:tblpPr w:leftFromText="180" w:rightFromText="180" w:vertAnchor="text" w:horzAnchor="page" w:tblpX="583" w:tblpY="57"/>
        <w:tblOverlap w:val="never"/>
        <w:tblW w:w="154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
        <w:gridCol w:w="284"/>
        <w:gridCol w:w="993"/>
        <w:gridCol w:w="560"/>
        <w:gridCol w:w="852"/>
        <w:gridCol w:w="1145"/>
        <w:gridCol w:w="136"/>
        <w:gridCol w:w="998"/>
        <w:gridCol w:w="994"/>
        <w:gridCol w:w="591"/>
        <w:gridCol w:w="833"/>
        <w:gridCol w:w="128"/>
        <w:gridCol w:w="141"/>
        <w:gridCol w:w="864"/>
        <w:gridCol w:w="1133"/>
        <w:gridCol w:w="1115"/>
        <w:gridCol w:w="900"/>
        <w:gridCol w:w="824"/>
        <w:gridCol w:w="1284"/>
        <w:gridCol w:w="420"/>
        <w:gridCol w:w="571"/>
        <w:gridCol w:w="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283" w:type="dxa"/>
            <w:vMerge w:val="restart"/>
            <w:vAlign w:val="center"/>
          </w:tcPr>
          <w:p>
            <w:pPr>
              <w:pStyle w:val="23"/>
              <w:ind w:left="42" w:leftChars="20"/>
              <w:jc w:val="both"/>
              <w:rPr>
                <w:rFonts w:ascii="黑体" w:hAnsi="黑体" w:eastAsia="黑体"/>
                <w:b/>
                <w:sz w:val="10"/>
                <w:lang w:eastAsia="en-US"/>
              </w:rPr>
            </w:pPr>
          </w:p>
          <w:p>
            <w:pPr>
              <w:pStyle w:val="23"/>
              <w:spacing w:line="170" w:lineRule="auto"/>
              <w:ind w:left="42" w:leftChars="20"/>
              <w:jc w:val="both"/>
              <w:rPr>
                <w:rFonts w:ascii="黑体" w:hAnsi="黑体" w:eastAsia="黑体"/>
                <w:b/>
                <w:sz w:val="15"/>
                <w:lang w:eastAsia="en-US"/>
              </w:rPr>
            </w:pPr>
            <w:r>
              <w:rPr>
                <w:rFonts w:ascii="黑体" w:hAnsi="黑体" w:eastAsia="黑体"/>
                <w:b/>
                <w:sz w:val="15"/>
                <w:lang w:eastAsia="en-US"/>
              </w:rPr>
              <w:t>建设项目</w:t>
            </w:r>
          </w:p>
        </w:tc>
        <w:tc>
          <w:tcPr>
            <w:tcW w:w="1837" w:type="dxa"/>
            <w:gridSpan w:val="3"/>
            <w:vAlign w:val="center"/>
          </w:tcPr>
          <w:p>
            <w:pPr>
              <w:pStyle w:val="23"/>
              <w:spacing w:line="220" w:lineRule="exact"/>
              <w:ind w:left="42" w:leftChars="20" w:right="-105" w:rightChars="-50"/>
              <w:jc w:val="both"/>
              <w:rPr>
                <w:rFonts w:ascii="黑体" w:hAnsi="黑体" w:eastAsia="黑体"/>
                <w:b/>
                <w:sz w:val="15"/>
                <w:lang w:eastAsia="en-US"/>
              </w:rPr>
            </w:pPr>
            <w:r>
              <w:rPr>
                <w:rFonts w:ascii="黑体" w:hAnsi="黑体" w:eastAsia="黑体"/>
                <w:b/>
                <w:sz w:val="15"/>
                <w:lang w:eastAsia="en-US"/>
              </w:rPr>
              <w:t>项目名称</w:t>
            </w:r>
          </w:p>
        </w:tc>
        <w:tc>
          <w:tcPr>
            <w:tcW w:w="4125" w:type="dxa"/>
            <w:gridSpan w:val="5"/>
            <w:vAlign w:val="center"/>
          </w:tcPr>
          <w:p>
            <w:pPr>
              <w:pStyle w:val="23"/>
              <w:spacing w:line="220" w:lineRule="exact"/>
              <w:jc w:val="center"/>
              <w:rPr>
                <w:rFonts w:hint="eastAsia" w:ascii="黑体" w:hAnsi="黑体" w:eastAsia="黑体"/>
                <w:sz w:val="18"/>
                <w:szCs w:val="18"/>
                <w:lang w:eastAsia="zh-CN"/>
              </w:rPr>
            </w:pPr>
            <w:r>
              <w:rPr>
                <w:rFonts w:hint="eastAsia" w:ascii="黑体" w:hAnsi="黑体" w:eastAsia="黑体"/>
                <w:sz w:val="18"/>
                <w:szCs w:val="18"/>
                <w:lang w:val="en-US" w:eastAsia="zh-CN"/>
              </w:rPr>
              <w:t>汽车线束总成生产项目</w:t>
            </w:r>
          </w:p>
        </w:tc>
        <w:tc>
          <w:tcPr>
            <w:tcW w:w="1693" w:type="dxa"/>
            <w:gridSpan w:val="4"/>
            <w:vAlign w:val="center"/>
          </w:tcPr>
          <w:p>
            <w:pPr>
              <w:pStyle w:val="23"/>
              <w:spacing w:line="220" w:lineRule="exact"/>
              <w:ind w:left="42" w:leftChars="20" w:right="-105" w:rightChars="-50"/>
              <w:jc w:val="both"/>
              <w:rPr>
                <w:rFonts w:ascii="黑体" w:hAnsi="黑体" w:eastAsia="黑体"/>
                <w:b/>
                <w:sz w:val="15"/>
                <w:lang w:eastAsia="en-US"/>
              </w:rPr>
            </w:pPr>
            <w:r>
              <w:rPr>
                <w:rFonts w:ascii="黑体" w:hAnsi="黑体" w:eastAsia="黑体"/>
                <w:b/>
                <w:sz w:val="15"/>
                <w:lang w:eastAsia="en-US"/>
              </w:rPr>
              <w:t>项目代码</w:t>
            </w:r>
          </w:p>
        </w:tc>
        <w:tc>
          <w:tcPr>
            <w:tcW w:w="3112" w:type="dxa"/>
            <w:gridSpan w:val="3"/>
            <w:vAlign w:val="center"/>
          </w:tcPr>
          <w:p>
            <w:pPr>
              <w:pStyle w:val="23"/>
              <w:spacing w:line="168" w:lineRule="exact"/>
              <w:jc w:val="center"/>
              <w:rPr>
                <w:rFonts w:hint="eastAsia" w:ascii="黑体" w:hAnsi="黑体" w:eastAsia="黑体" w:cs="黑体"/>
                <w:sz w:val="18"/>
                <w:szCs w:val="18"/>
                <w:lang w:eastAsia="en-US"/>
              </w:rPr>
            </w:pPr>
            <w:r>
              <w:rPr>
                <w:rFonts w:hint="eastAsia" w:ascii="黑体" w:hAnsi="黑体" w:eastAsia="黑体" w:cs="黑体"/>
                <w:sz w:val="18"/>
                <w:szCs w:val="18"/>
                <w:lang w:eastAsia="en-US"/>
              </w:rPr>
              <w:t>2105-500155-04-01-668332</w:t>
            </w:r>
          </w:p>
        </w:tc>
        <w:tc>
          <w:tcPr>
            <w:tcW w:w="1724" w:type="dxa"/>
            <w:gridSpan w:val="2"/>
            <w:vAlign w:val="center"/>
          </w:tcPr>
          <w:p>
            <w:pPr>
              <w:pStyle w:val="23"/>
              <w:spacing w:line="220" w:lineRule="exact"/>
              <w:ind w:left="42" w:leftChars="20" w:right="-105" w:rightChars="-50"/>
              <w:jc w:val="both"/>
              <w:rPr>
                <w:rFonts w:ascii="黑体" w:hAnsi="黑体" w:eastAsia="黑体"/>
                <w:b/>
                <w:sz w:val="15"/>
                <w:lang w:eastAsia="en-US"/>
              </w:rPr>
            </w:pPr>
            <w:r>
              <w:rPr>
                <w:rFonts w:ascii="黑体" w:hAnsi="黑体" w:eastAsia="黑体"/>
                <w:b/>
                <w:sz w:val="15"/>
                <w:lang w:eastAsia="en-US"/>
              </w:rPr>
              <w:t>建设地点</w:t>
            </w:r>
          </w:p>
        </w:tc>
        <w:tc>
          <w:tcPr>
            <w:tcW w:w="2721" w:type="dxa"/>
            <w:gridSpan w:val="4"/>
            <w:vAlign w:val="center"/>
          </w:tcPr>
          <w:p>
            <w:pPr>
              <w:pStyle w:val="23"/>
              <w:spacing w:line="220" w:lineRule="exact"/>
              <w:jc w:val="both"/>
              <w:rPr>
                <w:rFonts w:hint="default" w:ascii="黑体" w:hAnsi="黑体" w:eastAsia="黑体"/>
                <w:sz w:val="18"/>
                <w:szCs w:val="18"/>
                <w:lang w:val="en-US" w:eastAsia="zh-CN"/>
              </w:rPr>
            </w:pPr>
            <w:r>
              <w:rPr>
                <w:rFonts w:hint="eastAsia" w:ascii="黑体" w:hAnsi="黑体" w:eastAsia="黑体"/>
                <w:sz w:val="18"/>
                <w:szCs w:val="18"/>
                <w:lang w:eastAsia="zh-CN"/>
              </w:rPr>
              <w:t>梁平区工业区智能家居孵化园3栋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283" w:type="dxa"/>
            <w:vMerge w:val="continue"/>
            <w:tcBorders>
              <w:top w:val="nil"/>
            </w:tcBorders>
          </w:tcPr>
          <w:p>
            <w:pPr>
              <w:autoSpaceDE w:val="0"/>
              <w:autoSpaceDN w:val="0"/>
              <w:ind w:left="42" w:leftChars="20"/>
              <w:rPr>
                <w:rFonts w:ascii="黑体" w:hAnsi="黑体" w:eastAsia="黑体" w:cstheme="minorBidi"/>
                <w:b/>
                <w:sz w:val="2"/>
                <w:szCs w:val="2"/>
                <w:lang w:eastAsia="en-US"/>
              </w:rPr>
            </w:pPr>
          </w:p>
        </w:tc>
        <w:tc>
          <w:tcPr>
            <w:tcW w:w="1837" w:type="dxa"/>
            <w:gridSpan w:val="3"/>
            <w:vAlign w:val="center"/>
          </w:tcPr>
          <w:p>
            <w:pPr>
              <w:pStyle w:val="23"/>
              <w:spacing w:line="220" w:lineRule="exact"/>
              <w:ind w:left="42" w:leftChars="20" w:right="-105" w:rightChars="-50"/>
              <w:jc w:val="both"/>
              <w:rPr>
                <w:rFonts w:ascii="黑体" w:hAnsi="黑体" w:eastAsia="黑体"/>
                <w:b/>
                <w:sz w:val="15"/>
                <w:lang w:eastAsia="en-US"/>
              </w:rPr>
            </w:pPr>
            <w:r>
              <w:rPr>
                <w:rFonts w:ascii="黑体" w:hAnsi="黑体" w:eastAsia="黑体"/>
                <w:b/>
                <w:sz w:val="15"/>
                <w:lang w:eastAsia="en-US"/>
              </w:rPr>
              <w:t>行业类别(分类管理名录)</w:t>
            </w:r>
          </w:p>
        </w:tc>
        <w:tc>
          <w:tcPr>
            <w:tcW w:w="4125" w:type="dxa"/>
            <w:gridSpan w:val="5"/>
            <w:vAlign w:val="center"/>
          </w:tcPr>
          <w:p>
            <w:pPr>
              <w:pStyle w:val="23"/>
              <w:spacing w:line="220" w:lineRule="exact"/>
              <w:jc w:val="center"/>
              <w:rPr>
                <w:rFonts w:ascii="黑体" w:hAnsi="黑体" w:eastAsia="黑体"/>
                <w:sz w:val="18"/>
                <w:szCs w:val="18"/>
                <w:lang w:eastAsia="en-US"/>
              </w:rPr>
            </w:pPr>
            <w:r>
              <w:rPr>
                <w:rFonts w:hint="eastAsia" w:ascii="黑体" w:hAnsi="黑体" w:eastAsia="黑体"/>
                <w:sz w:val="18"/>
                <w:szCs w:val="18"/>
                <w:lang w:eastAsia="en-US"/>
              </w:rPr>
              <w:t>K-机械、电子</w:t>
            </w:r>
          </w:p>
        </w:tc>
        <w:tc>
          <w:tcPr>
            <w:tcW w:w="1693" w:type="dxa"/>
            <w:gridSpan w:val="4"/>
            <w:vAlign w:val="center"/>
          </w:tcPr>
          <w:p>
            <w:pPr>
              <w:pStyle w:val="23"/>
              <w:spacing w:line="220" w:lineRule="exact"/>
              <w:ind w:left="42" w:leftChars="20" w:right="-105" w:rightChars="-50"/>
              <w:jc w:val="both"/>
              <w:rPr>
                <w:rFonts w:ascii="黑体" w:hAnsi="黑体" w:eastAsia="黑体"/>
                <w:b/>
                <w:sz w:val="15"/>
                <w:lang w:eastAsia="en-US"/>
              </w:rPr>
            </w:pPr>
            <w:r>
              <w:rPr>
                <w:rFonts w:ascii="黑体" w:hAnsi="黑体" w:eastAsia="黑体"/>
                <w:b/>
                <w:sz w:val="15"/>
                <w:lang w:eastAsia="en-US"/>
              </w:rPr>
              <w:t>建设性质</w:t>
            </w:r>
          </w:p>
        </w:tc>
        <w:tc>
          <w:tcPr>
            <w:tcW w:w="7557" w:type="dxa"/>
            <w:gridSpan w:val="9"/>
            <w:vAlign w:val="center"/>
          </w:tcPr>
          <w:p>
            <w:pPr>
              <w:pStyle w:val="23"/>
              <w:tabs>
                <w:tab w:val="left" w:pos="685"/>
                <w:tab w:val="left" w:pos="1361"/>
              </w:tabs>
              <w:spacing w:line="220" w:lineRule="exact"/>
              <w:jc w:val="center"/>
              <w:rPr>
                <w:rFonts w:hint="eastAsia" w:ascii="黑体" w:hAnsi="黑体" w:eastAsia="黑体" w:cs="黑体"/>
                <w:sz w:val="18"/>
                <w:szCs w:val="18"/>
                <w:lang w:eastAsia="en-US"/>
              </w:rPr>
            </w:pPr>
            <w:r>
              <w:rPr>
                <w:rFonts w:hint="eastAsia" w:ascii="黑体" w:hAnsi="黑体" w:eastAsia="黑体" w:cs="黑体"/>
                <w:sz w:val="18"/>
                <w:szCs w:val="18"/>
                <w:lang w:eastAsia="en-US"/>
              </w:rPr>
              <w:fldChar w:fldCharType="begin"/>
            </w:r>
            <w:r>
              <w:rPr>
                <w:rFonts w:hint="eastAsia" w:ascii="黑体" w:hAnsi="黑体" w:eastAsia="黑体" w:cs="黑体"/>
                <w:sz w:val="18"/>
                <w:szCs w:val="18"/>
                <w:lang w:eastAsia="en-US"/>
              </w:rPr>
              <w:instrText xml:space="preserve"> eq \o\ac(□,</w:instrText>
            </w:r>
            <w:r>
              <w:rPr>
                <w:rFonts w:hint="eastAsia" w:ascii="黑体" w:hAnsi="黑体" w:eastAsia="黑体" w:cs="黑体"/>
                <w:position w:val="2"/>
                <w:sz w:val="18"/>
                <w:szCs w:val="18"/>
                <w:lang w:eastAsia="en-US"/>
              </w:rPr>
              <w:instrText xml:space="preserve">√</w:instrText>
            </w:r>
            <w:r>
              <w:rPr>
                <w:rFonts w:hint="eastAsia" w:ascii="黑体" w:hAnsi="黑体" w:eastAsia="黑体" w:cs="黑体"/>
                <w:sz w:val="18"/>
                <w:szCs w:val="18"/>
                <w:lang w:eastAsia="en-US"/>
              </w:rPr>
              <w:instrText xml:space="preserve">)</w:instrText>
            </w:r>
            <w:r>
              <w:rPr>
                <w:rFonts w:hint="eastAsia" w:ascii="黑体" w:hAnsi="黑体" w:eastAsia="黑体" w:cs="黑体"/>
                <w:sz w:val="18"/>
                <w:szCs w:val="18"/>
                <w:lang w:eastAsia="en-US"/>
              </w:rPr>
              <w:fldChar w:fldCharType="end"/>
            </w:r>
            <w:r>
              <w:rPr>
                <w:rFonts w:hint="eastAsia" w:ascii="黑体" w:hAnsi="黑体" w:eastAsia="黑体" w:cs="黑体"/>
                <w:sz w:val="18"/>
                <w:szCs w:val="18"/>
                <w:lang w:eastAsia="en-US"/>
              </w:rPr>
              <w:t>新建</w:t>
            </w:r>
            <w:r>
              <w:rPr>
                <w:rFonts w:hint="eastAsia" w:ascii="黑体" w:hAnsi="黑体" w:eastAsia="黑体" w:cs="黑体"/>
                <w:sz w:val="18"/>
                <w:szCs w:val="18"/>
                <w:lang w:eastAsia="en-US"/>
              </w:rPr>
              <w:tab/>
            </w:r>
            <w:r>
              <w:rPr>
                <w:rFonts w:hint="eastAsia" w:ascii="黑体" w:hAnsi="黑体" w:eastAsia="黑体" w:cs="黑体"/>
                <w:sz w:val="18"/>
                <w:szCs w:val="18"/>
                <w:lang w:eastAsia="en-US"/>
              </w:rPr>
              <w:t>改</w:t>
            </w:r>
            <w:r>
              <w:rPr>
                <w:rFonts w:hint="eastAsia" w:ascii="黑体" w:hAnsi="黑体" w:eastAsia="黑体" w:cs="黑体"/>
                <w:spacing w:val="-3"/>
                <w:sz w:val="18"/>
                <w:szCs w:val="18"/>
                <w:lang w:eastAsia="en-US"/>
              </w:rPr>
              <w:t>扩</w:t>
            </w:r>
            <w:r>
              <w:rPr>
                <w:rFonts w:hint="eastAsia" w:ascii="黑体" w:hAnsi="黑体" w:eastAsia="黑体" w:cs="黑体"/>
                <w:sz w:val="18"/>
                <w:szCs w:val="18"/>
                <w:lang w:eastAsia="en-US"/>
              </w:rPr>
              <w:t>建</w:t>
            </w:r>
            <w:r>
              <w:rPr>
                <w:rFonts w:hint="eastAsia" w:ascii="黑体" w:hAnsi="黑体" w:eastAsia="黑体" w:cs="黑体"/>
                <w:sz w:val="18"/>
                <w:szCs w:val="18"/>
                <w:lang w:eastAsia="en-US"/>
              </w:rPr>
              <w:tab/>
            </w:r>
            <w:r>
              <w:rPr>
                <w:rFonts w:hint="eastAsia" w:ascii="黑体" w:hAnsi="黑体" w:eastAsia="黑体" w:cs="黑体"/>
                <w:spacing w:val="-3"/>
                <w:sz w:val="18"/>
                <w:szCs w:val="18"/>
                <w:lang w:eastAsia="en-US"/>
              </w:rPr>
              <w:t>技</w:t>
            </w:r>
            <w:r>
              <w:rPr>
                <w:rFonts w:hint="eastAsia" w:ascii="黑体" w:hAnsi="黑体" w:eastAsia="黑体" w:cs="黑体"/>
                <w:sz w:val="18"/>
                <w:szCs w:val="18"/>
                <w:lang w:eastAsia="en-US"/>
              </w:rPr>
              <w:t>术</w:t>
            </w:r>
            <w:r>
              <w:rPr>
                <w:rFonts w:hint="eastAsia" w:ascii="黑体" w:hAnsi="黑体" w:eastAsia="黑体" w:cs="黑体"/>
                <w:spacing w:val="-3"/>
                <w:sz w:val="18"/>
                <w:szCs w:val="18"/>
                <w:lang w:eastAsia="en-US"/>
              </w:rPr>
              <w:t>改</w:t>
            </w:r>
            <w:r>
              <w:rPr>
                <w:rFonts w:hint="eastAsia" w:ascii="黑体" w:hAnsi="黑体" w:eastAsia="黑体" w:cs="黑体"/>
                <w:sz w:val="18"/>
                <w:szCs w:val="18"/>
                <w:lang w:eastAsia="en-US"/>
              </w:rPr>
              <w:t>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283" w:type="dxa"/>
            <w:vMerge w:val="continue"/>
            <w:tcBorders>
              <w:top w:val="nil"/>
            </w:tcBorders>
          </w:tcPr>
          <w:p>
            <w:pPr>
              <w:autoSpaceDE w:val="0"/>
              <w:autoSpaceDN w:val="0"/>
              <w:ind w:left="42" w:leftChars="20"/>
              <w:rPr>
                <w:rFonts w:ascii="黑体" w:hAnsi="黑体" w:eastAsia="黑体" w:cstheme="minorBidi"/>
                <w:b/>
                <w:sz w:val="2"/>
                <w:szCs w:val="2"/>
                <w:lang w:eastAsia="en-US"/>
              </w:rPr>
            </w:pPr>
          </w:p>
        </w:tc>
        <w:tc>
          <w:tcPr>
            <w:tcW w:w="1837" w:type="dxa"/>
            <w:gridSpan w:val="3"/>
            <w:vAlign w:val="center"/>
          </w:tcPr>
          <w:p>
            <w:pPr>
              <w:pStyle w:val="23"/>
              <w:spacing w:line="220" w:lineRule="exact"/>
              <w:ind w:left="42" w:leftChars="20" w:right="-105" w:rightChars="-50"/>
              <w:jc w:val="both"/>
              <w:rPr>
                <w:rFonts w:ascii="黑体" w:hAnsi="黑体" w:eastAsia="黑体"/>
                <w:b/>
                <w:sz w:val="15"/>
                <w:lang w:eastAsia="en-US"/>
              </w:rPr>
            </w:pPr>
            <w:r>
              <w:rPr>
                <w:rFonts w:ascii="黑体" w:hAnsi="黑体" w:eastAsia="黑体"/>
                <w:b/>
                <w:sz w:val="15"/>
                <w:lang w:eastAsia="en-US"/>
              </w:rPr>
              <w:t>设计</w:t>
            </w:r>
            <w:r>
              <w:rPr>
                <w:rFonts w:hint="eastAsia" w:ascii="黑体" w:hAnsi="黑体" w:eastAsia="黑体"/>
                <w:b/>
                <w:sz w:val="15"/>
                <w:lang w:eastAsia="en-US"/>
              </w:rPr>
              <w:t>销售</w:t>
            </w:r>
            <w:r>
              <w:rPr>
                <w:rFonts w:ascii="黑体" w:hAnsi="黑体" w:eastAsia="黑体"/>
                <w:b/>
                <w:sz w:val="15"/>
                <w:lang w:eastAsia="en-US"/>
              </w:rPr>
              <w:t>能力</w:t>
            </w:r>
          </w:p>
        </w:tc>
        <w:tc>
          <w:tcPr>
            <w:tcW w:w="4125" w:type="dxa"/>
            <w:gridSpan w:val="5"/>
            <w:vAlign w:val="center"/>
          </w:tcPr>
          <w:p>
            <w:pPr>
              <w:pStyle w:val="23"/>
              <w:spacing w:line="220" w:lineRule="exact"/>
              <w:jc w:val="center"/>
              <w:rPr>
                <w:rFonts w:hint="eastAsia" w:ascii="黑体" w:hAnsi="黑体" w:eastAsia="黑体"/>
                <w:sz w:val="18"/>
                <w:szCs w:val="18"/>
                <w:lang w:eastAsia="zh-CN"/>
              </w:rPr>
            </w:pPr>
            <w:r>
              <w:rPr>
                <w:rFonts w:hint="eastAsia" w:ascii="Times New Roman" w:hAnsi="Times New Roman" w:eastAsia="黑体" w:cs="Times New Roman"/>
                <w:sz w:val="18"/>
                <w:szCs w:val="18"/>
                <w:lang w:val="en-US" w:eastAsia="zh-CN"/>
              </w:rPr>
              <w:t>汽车线束总成生产项目</w:t>
            </w:r>
          </w:p>
        </w:tc>
        <w:tc>
          <w:tcPr>
            <w:tcW w:w="1693" w:type="dxa"/>
            <w:gridSpan w:val="4"/>
            <w:vAlign w:val="center"/>
          </w:tcPr>
          <w:p>
            <w:pPr>
              <w:pStyle w:val="23"/>
              <w:spacing w:line="220" w:lineRule="exact"/>
              <w:ind w:left="42" w:leftChars="20" w:right="-105" w:rightChars="-50"/>
              <w:jc w:val="both"/>
              <w:rPr>
                <w:rFonts w:ascii="黑体" w:hAnsi="黑体" w:eastAsia="黑体"/>
                <w:b/>
                <w:sz w:val="15"/>
                <w:lang w:eastAsia="en-US"/>
              </w:rPr>
            </w:pPr>
            <w:r>
              <w:rPr>
                <w:rFonts w:ascii="黑体" w:hAnsi="黑体" w:eastAsia="黑体"/>
                <w:b/>
                <w:sz w:val="15"/>
                <w:lang w:eastAsia="en-US"/>
              </w:rPr>
              <w:t>实际</w:t>
            </w:r>
            <w:r>
              <w:rPr>
                <w:rFonts w:hint="eastAsia" w:ascii="黑体" w:hAnsi="黑体" w:eastAsia="黑体"/>
                <w:b/>
                <w:sz w:val="15"/>
                <w:lang w:eastAsia="en-US"/>
              </w:rPr>
              <w:t>销售</w:t>
            </w:r>
            <w:r>
              <w:rPr>
                <w:rFonts w:ascii="黑体" w:hAnsi="黑体" w:eastAsia="黑体"/>
                <w:b/>
                <w:sz w:val="15"/>
                <w:lang w:eastAsia="en-US"/>
              </w:rPr>
              <w:t>能力</w:t>
            </w:r>
          </w:p>
        </w:tc>
        <w:tc>
          <w:tcPr>
            <w:tcW w:w="3112" w:type="dxa"/>
            <w:gridSpan w:val="3"/>
            <w:vAlign w:val="center"/>
          </w:tcPr>
          <w:p>
            <w:pPr>
              <w:pStyle w:val="23"/>
              <w:spacing w:line="220" w:lineRule="exact"/>
              <w:jc w:val="center"/>
              <w:rPr>
                <w:rFonts w:hint="eastAsia" w:ascii="黑体" w:hAnsi="黑体" w:eastAsia="黑体" w:cs="黑体"/>
                <w:sz w:val="18"/>
                <w:szCs w:val="18"/>
                <w:lang w:eastAsia="en-US"/>
              </w:rPr>
            </w:pPr>
            <w:r>
              <w:rPr>
                <w:rFonts w:hint="eastAsia" w:ascii="黑体" w:hAnsi="黑体" w:eastAsia="黑体" w:cs="黑体"/>
                <w:sz w:val="18"/>
                <w:szCs w:val="18"/>
                <w:lang w:val="en-US" w:eastAsia="zh-CN"/>
              </w:rPr>
              <w:t>汽车线束总成生产项目</w:t>
            </w:r>
          </w:p>
        </w:tc>
        <w:tc>
          <w:tcPr>
            <w:tcW w:w="1724" w:type="dxa"/>
            <w:gridSpan w:val="2"/>
            <w:vAlign w:val="center"/>
          </w:tcPr>
          <w:p>
            <w:pPr>
              <w:pStyle w:val="23"/>
              <w:spacing w:line="220" w:lineRule="exact"/>
              <w:ind w:left="42" w:leftChars="20" w:right="-105" w:rightChars="-50"/>
              <w:jc w:val="both"/>
              <w:rPr>
                <w:rFonts w:ascii="黑体" w:hAnsi="黑体" w:eastAsia="黑体"/>
                <w:b/>
                <w:sz w:val="15"/>
                <w:lang w:eastAsia="en-US"/>
              </w:rPr>
            </w:pPr>
            <w:r>
              <w:rPr>
                <w:rFonts w:ascii="黑体" w:hAnsi="黑体" w:eastAsia="黑体"/>
                <w:b/>
                <w:sz w:val="15"/>
                <w:lang w:eastAsia="en-US"/>
              </w:rPr>
              <w:t>环评单位</w:t>
            </w:r>
          </w:p>
        </w:tc>
        <w:tc>
          <w:tcPr>
            <w:tcW w:w="2721" w:type="dxa"/>
            <w:gridSpan w:val="4"/>
            <w:vAlign w:val="center"/>
          </w:tcPr>
          <w:p>
            <w:pPr>
              <w:pStyle w:val="23"/>
              <w:spacing w:line="220" w:lineRule="exact"/>
              <w:jc w:val="center"/>
              <w:rPr>
                <w:rFonts w:hint="eastAsia" w:ascii="黑体" w:hAnsi="黑体" w:eastAsia="黑体"/>
                <w:sz w:val="18"/>
                <w:szCs w:val="18"/>
                <w:lang w:eastAsia="zh-CN"/>
              </w:rPr>
            </w:pPr>
            <w:r>
              <w:rPr>
                <w:rFonts w:hint="eastAsia" w:ascii="黑体" w:hAnsi="黑体" w:eastAsia="黑体"/>
                <w:bCs/>
                <w:sz w:val="18"/>
                <w:szCs w:val="18"/>
                <w:lang w:val="en-US" w:eastAsia="zh-CN"/>
              </w:rPr>
              <w:t>成都元页环保科技有限公司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283" w:type="dxa"/>
            <w:vMerge w:val="continue"/>
            <w:tcBorders>
              <w:top w:val="nil"/>
            </w:tcBorders>
          </w:tcPr>
          <w:p>
            <w:pPr>
              <w:autoSpaceDE w:val="0"/>
              <w:autoSpaceDN w:val="0"/>
              <w:ind w:left="42" w:leftChars="20"/>
              <w:rPr>
                <w:rFonts w:ascii="黑体" w:hAnsi="黑体" w:eastAsia="黑体" w:cstheme="minorBidi"/>
                <w:b/>
                <w:sz w:val="2"/>
                <w:szCs w:val="2"/>
                <w:lang w:eastAsia="en-US"/>
              </w:rPr>
            </w:pPr>
          </w:p>
        </w:tc>
        <w:tc>
          <w:tcPr>
            <w:tcW w:w="1837" w:type="dxa"/>
            <w:gridSpan w:val="3"/>
            <w:vAlign w:val="center"/>
          </w:tcPr>
          <w:p>
            <w:pPr>
              <w:pStyle w:val="23"/>
              <w:spacing w:line="232" w:lineRule="exact"/>
              <w:ind w:left="42" w:leftChars="20" w:right="-105" w:rightChars="-50"/>
              <w:jc w:val="both"/>
              <w:rPr>
                <w:rFonts w:ascii="黑体" w:hAnsi="黑体" w:eastAsia="黑体"/>
                <w:b/>
                <w:sz w:val="15"/>
                <w:lang w:eastAsia="en-US"/>
              </w:rPr>
            </w:pPr>
            <w:r>
              <w:rPr>
                <w:rFonts w:ascii="黑体" w:hAnsi="黑体" w:eastAsia="黑体"/>
                <w:b/>
                <w:sz w:val="15"/>
                <w:lang w:eastAsia="en-US"/>
              </w:rPr>
              <w:t>环评文件审批机关</w:t>
            </w:r>
          </w:p>
        </w:tc>
        <w:tc>
          <w:tcPr>
            <w:tcW w:w="4125" w:type="dxa"/>
            <w:gridSpan w:val="5"/>
            <w:vAlign w:val="center"/>
          </w:tcPr>
          <w:p>
            <w:pPr>
              <w:pStyle w:val="23"/>
              <w:spacing w:line="232" w:lineRule="exact"/>
              <w:jc w:val="center"/>
              <w:rPr>
                <w:rFonts w:ascii="黑体" w:hAnsi="黑体" w:eastAsia="黑体"/>
                <w:sz w:val="18"/>
                <w:szCs w:val="18"/>
                <w:lang w:eastAsia="en-US"/>
              </w:rPr>
            </w:pPr>
            <w:r>
              <w:rPr>
                <w:rFonts w:ascii="黑体" w:hAnsi="黑体" w:eastAsia="黑体"/>
                <w:sz w:val="18"/>
                <w:szCs w:val="18"/>
                <w:lang w:val="en-US" w:eastAsia="en-US"/>
              </w:rPr>
              <w:t>重庆市</w:t>
            </w:r>
            <w:r>
              <w:rPr>
                <w:rFonts w:hint="eastAsia" w:ascii="黑体" w:hAnsi="黑体" w:eastAsia="黑体"/>
                <w:sz w:val="18"/>
                <w:szCs w:val="18"/>
                <w:lang w:val="en-US" w:eastAsia="zh-CN"/>
              </w:rPr>
              <w:t>梁平区生态环境</w:t>
            </w:r>
            <w:r>
              <w:rPr>
                <w:rFonts w:ascii="黑体" w:hAnsi="黑体" w:eastAsia="黑体"/>
                <w:sz w:val="18"/>
                <w:szCs w:val="18"/>
                <w:lang w:val="en-US" w:eastAsia="en-US"/>
              </w:rPr>
              <w:t>局</w:t>
            </w:r>
          </w:p>
        </w:tc>
        <w:tc>
          <w:tcPr>
            <w:tcW w:w="1693" w:type="dxa"/>
            <w:gridSpan w:val="4"/>
            <w:vAlign w:val="center"/>
          </w:tcPr>
          <w:p>
            <w:pPr>
              <w:pStyle w:val="23"/>
              <w:spacing w:line="232" w:lineRule="exact"/>
              <w:ind w:left="42" w:leftChars="20" w:right="-105" w:rightChars="-50"/>
              <w:jc w:val="both"/>
              <w:rPr>
                <w:rFonts w:ascii="黑体" w:hAnsi="黑体" w:eastAsia="黑体"/>
                <w:b/>
                <w:sz w:val="15"/>
                <w:lang w:eastAsia="en-US"/>
              </w:rPr>
            </w:pPr>
            <w:r>
              <w:rPr>
                <w:rFonts w:ascii="黑体" w:hAnsi="黑体" w:eastAsia="黑体"/>
                <w:b/>
                <w:sz w:val="15"/>
                <w:lang w:eastAsia="en-US"/>
              </w:rPr>
              <w:t>审批文号</w:t>
            </w:r>
          </w:p>
        </w:tc>
        <w:tc>
          <w:tcPr>
            <w:tcW w:w="3112" w:type="dxa"/>
            <w:gridSpan w:val="3"/>
            <w:vAlign w:val="center"/>
          </w:tcPr>
          <w:p>
            <w:pPr>
              <w:pStyle w:val="23"/>
              <w:spacing w:line="232" w:lineRule="exact"/>
              <w:jc w:val="center"/>
              <w:rPr>
                <w:rFonts w:hint="eastAsia" w:ascii="黑体" w:hAnsi="黑体" w:eastAsia="黑体" w:cs="黑体"/>
                <w:sz w:val="18"/>
                <w:szCs w:val="18"/>
                <w:lang w:eastAsia="en-US"/>
              </w:rPr>
            </w:pPr>
            <w:r>
              <w:rPr>
                <w:rFonts w:hint="eastAsia" w:ascii="黑体" w:hAnsi="黑体" w:eastAsia="黑体" w:cs="黑体"/>
                <w:sz w:val="18"/>
                <w:szCs w:val="18"/>
              </w:rPr>
              <w:t>渝（</w:t>
            </w:r>
            <w:r>
              <w:rPr>
                <w:rFonts w:hint="eastAsia" w:ascii="黑体" w:hAnsi="黑体" w:eastAsia="黑体" w:cs="黑体"/>
                <w:sz w:val="18"/>
                <w:szCs w:val="18"/>
                <w:lang w:eastAsia="zh-CN"/>
              </w:rPr>
              <w:t>梁</w:t>
            </w:r>
            <w:r>
              <w:rPr>
                <w:rFonts w:hint="eastAsia" w:ascii="黑体" w:hAnsi="黑体" w:eastAsia="黑体" w:cs="黑体"/>
                <w:sz w:val="18"/>
                <w:szCs w:val="18"/>
              </w:rPr>
              <w:t>）环准[20</w:t>
            </w:r>
            <w:r>
              <w:rPr>
                <w:rFonts w:hint="eastAsia" w:ascii="黑体" w:hAnsi="黑体" w:eastAsia="黑体" w:cs="黑体"/>
                <w:sz w:val="18"/>
                <w:szCs w:val="18"/>
                <w:lang w:val="en-US" w:eastAsia="zh-CN"/>
              </w:rPr>
              <w:t>21</w:t>
            </w:r>
            <w:r>
              <w:rPr>
                <w:rFonts w:hint="eastAsia" w:ascii="黑体" w:hAnsi="黑体" w:eastAsia="黑体" w:cs="黑体"/>
                <w:sz w:val="18"/>
                <w:szCs w:val="18"/>
              </w:rPr>
              <w:t>]</w:t>
            </w:r>
            <w:r>
              <w:rPr>
                <w:rFonts w:hint="eastAsia" w:ascii="黑体" w:hAnsi="黑体" w:eastAsia="黑体" w:cs="黑体"/>
                <w:sz w:val="18"/>
                <w:szCs w:val="18"/>
                <w:lang w:val="en-US" w:eastAsia="zh-CN"/>
              </w:rPr>
              <w:t>013</w:t>
            </w:r>
            <w:r>
              <w:rPr>
                <w:rFonts w:hint="eastAsia" w:ascii="黑体" w:hAnsi="黑体" w:eastAsia="黑体" w:cs="黑体"/>
                <w:sz w:val="18"/>
                <w:szCs w:val="18"/>
              </w:rPr>
              <w:t>号</w:t>
            </w:r>
          </w:p>
        </w:tc>
        <w:tc>
          <w:tcPr>
            <w:tcW w:w="1724" w:type="dxa"/>
            <w:gridSpan w:val="2"/>
            <w:vAlign w:val="center"/>
          </w:tcPr>
          <w:p>
            <w:pPr>
              <w:pStyle w:val="23"/>
              <w:spacing w:line="232" w:lineRule="exact"/>
              <w:ind w:left="42" w:leftChars="20" w:right="-105" w:rightChars="-50"/>
              <w:jc w:val="both"/>
              <w:rPr>
                <w:rFonts w:ascii="黑体" w:hAnsi="黑体" w:eastAsia="黑体"/>
                <w:b/>
                <w:sz w:val="15"/>
                <w:lang w:eastAsia="en-US"/>
              </w:rPr>
            </w:pPr>
            <w:r>
              <w:rPr>
                <w:rFonts w:ascii="黑体" w:hAnsi="黑体" w:eastAsia="黑体"/>
                <w:b/>
                <w:sz w:val="15"/>
                <w:lang w:eastAsia="en-US"/>
              </w:rPr>
              <w:t>环评文件类型</w:t>
            </w:r>
          </w:p>
        </w:tc>
        <w:tc>
          <w:tcPr>
            <w:tcW w:w="2721" w:type="dxa"/>
            <w:gridSpan w:val="4"/>
            <w:vAlign w:val="center"/>
          </w:tcPr>
          <w:p>
            <w:pPr>
              <w:pStyle w:val="23"/>
              <w:spacing w:line="232" w:lineRule="exact"/>
              <w:jc w:val="center"/>
              <w:rPr>
                <w:rFonts w:ascii="黑体" w:hAnsi="黑体" w:eastAsia="黑体"/>
                <w:sz w:val="18"/>
                <w:szCs w:val="18"/>
                <w:lang w:eastAsia="en-US"/>
              </w:rPr>
            </w:pPr>
            <w:r>
              <w:rPr>
                <w:rFonts w:hint="eastAsia" w:ascii="黑体" w:hAnsi="黑体" w:eastAsia="黑体"/>
                <w:sz w:val="18"/>
                <w:szCs w:val="18"/>
                <w:lang w:eastAsia="en-US"/>
              </w:rPr>
              <w:t>环境影响报告表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0" w:hRule="atLeast"/>
        </w:trPr>
        <w:tc>
          <w:tcPr>
            <w:tcW w:w="283" w:type="dxa"/>
            <w:vMerge w:val="continue"/>
            <w:tcBorders>
              <w:top w:val="nil"/>
            </w:tcBorders>
          </w:tcPr>
          <w:p>
            <w:pPr>
              <w:autoSpaceDE w:val="0"/>
              <w:autoSpaceDN w:val="0"/>
              <w:ind w:left="42" w:leftChars="20"/>
              <w:rPr>
                <w:rFonts w:ascii="黑体" w:hAnsi="黑体" w:eastAsia="黑体" w:cstheme="minorBidi"/>
                <w:b/>
                <w:sz w:val="2"/>
                <w:szCs w:val="2"/>
                <w:lang w:eastAsia="en-US"/>
              </w:rPr>
            </w:pPr>
          </w:p>
        </w:tc>
        <w:tc>
          <w:tcPr>
            <w:tcW w:w="1837" w:type="dxa"/>
            <w:gridSpan w:val="3"/>
            <w:vAlign w:val="center"/>
          </w:tcPr>
          <w:p>
            <w:pPr>
              <w:pStyle w:val="23"/>
              <w:spacing w:line="222" w:lineRule="exact"/>
              <w:ind w:left="42" w:leftChars="20" w:right="-105" w:rightChars="-50"/>
              <w:jc w:val="both"/>
              <w:rPr>
                <w:rFonts w:ascii="黑体" w:hAnsi="黑体" w:eastAsia="黑体"/>
                <w:b/>
                <w:sz w:val="15"/>
                <w:lang w:eastAsia="en-US"/>
              </w:rPr>
            </w:pPr>
            <w:r>
              <w:rPr>
                <w:rFonts w:ascii="黑体" w:hAnsi="黑体" w:eastAsia="黑体"/>
                <w:b/>
                <w:sz w:val="15"/>
                <w:lang w:eastAsia="en-US"/>
              </w:rPr>
              <w:t>开工日期</w:t>
            </w:r>
          </w:p>
        </w:tc>
        <w:tc>
          <w:tcPr>
            <w:tcW w:w="4125" w:type="dxa"/>
            <w:gridSpan w:val="5"/>
            <w:vAlign w:val="center"/>
          </w:tcPr>
          <w:p>
            <w:pPr>
              <w:pStyle w:val="23"/>
              <w:spacing w:line="170" w:lineRule="exact"/>
              <w:jc w:val="center"/>
              <w:rPr>
                <w:rFonts w:hint="eastAsia" w:ascii="黑体" w:hAnsi="黑体" w:eastAsia="黑体"/>
                <w:color w:val="auto"/>
                <w:sz w:val="18"/>
                <w:szCs w:val="18"/>
                <w:lang w:val="en-US" w:eastAsia="zh-CN"/>
              </w:rPr>
            </w:pPr>
            <w:r>
              <w:rPr>
                <w:rFonts w:hint="eastAsia" w:ascii="黑体" w:hAnsi="黑体" w:eastAsia="黑体"/>
                <w:color w:val="auto"/>
                <w:sz w:val="18"/>
                <w:szCs w:val="18"/>
                <w:lang w:eastAsia="en-US"/>
              </w:rPr>
              <w:t>20</w:t>
            </w:r>
            <w:r>
              <w:rPr>
                <w:rFonts w:hint="eastAsia" w:ascii="黑体" w:hAnsi="黑体" w:eastAsia="黑体"/>
                <w:color w:val="auto"/>
                <w:sz w:val="18"/>
                <w:szCs w:val="18"/>
                <w:lang w:val="en-US" w:eastAsia="zh-CN"/>
              </w:rPr>
              <w:t>21</w:t>
            </w:r>
            <w:r>
              <w:rPr>
                <w:rFonts w:hint="eastAsia" w:ascii="黑体" w:hAnsi="黑体" w:eastAsia="黑体"/>
                <w:color w:val="auto"/>
                <w:sz w:val="18"/>
                <w:szCs w:val="18"/>
                <w:lang w:eastAsia="en-US"/>
              </w:rPr>
              <w:t>.</w:t>
            </w:r>
            <w:r>
              <w:rPr>
                <w:rFonts w:hint="eastAsia" w:ascii="黑体" w:hAnsi="黑体" w:eastAsia="黑体"/>
                <w:color w:val="auto"/>
                <w:sz w:val="18"/>
                <w:szCs w:val="18"/>
                <w:lang w:val="en-US" w:eastAsia="zh-CN"/>
              </w:rPr>
              <w:t>7</w:t>
            </w:r>
          </w:p>
        </w:tc>
        <w:tc>
          <w:tcPr>
            <w:tcW w:w="1693" w:type="dxa"/>
            <w:gridSpan w:val="4"/>
            <w:vAlign w:val="center"/>
          </w:tcPr>
          <w:p>
            <w:pPr>
              <w:pStyle w:val="23"/>
              <w:spacing w:line="222" w:lineRule="exact"/>
              <w:ind w:left="42" w:leftChars="20" w:right="-105" w:rightChars="-50"/>
              <w:jc w:val="both"/>
              <w:rPr>
                <w:rFonts w:ascii="黑体" w:hAnsi="黑体" w:eastAsia="黑体"/>
                <w:b/>
                <w:color w:val="auto"/>
                <w:sz w:val="15"/>
                <w:lang w:eastAsia="en-US"/>
              </w:rPr>
            </w:pPr>
            <w:r>
              <w:rPr>
                <w:rFonts w:ascii="黑体" w:hAnsi="黑体" w:eastAsia="黑体"/>
                <w:b/>
                <w:color w:val="auto"/>
                <w:sz w:val="15"/>
                <w:lang w:eastAsia="en-US"/>
              </w:rPr>
              <w:t>竣工日期</w:t>
            </w:r>
          </w:p>
        </w:tc>
        <w:tc>
          <w:tcPr>
            <w:tcW w:w="3112" w:type="dxa"/>
            <w:gridSpan w:val="3"/>
            <w:vAlign w:val="center"/>
          </w:tcPr>
          <w:p>
            <w:pPr>
              <w:pStyle w:val="23"/>
              <w:spacing w:line="170" w:lineRule="exact"/>
              <w:jc w:val="center"/>
              <w:rPr>
                <w:rFonts w:hint="eastAsia" w:ascii="黑体" w:hAnsi="黑体" w:eastAsia="黑体"/>
                <w:color w:val="auto"/>
                <w:sz w:val="18"/>
                <w:szCs w:val="18"/>
                <w:lang w:val="en-US" w:eastAsia="zh-CN"/>
              </w:rPr>
            </w:pPr>
            <w:r>
              <w:rPr>
                <w:rFonts w:hint="eastAsia" w:ascii="黑体" w:hAnsi="黑体" w:eastAsia="黑体"/>
                <w:color w:val="auto"/>
                <w:sz w:val="18"/>
                <w:szCs w:val="18"/>
                <w:lang w:eastAsia="en-US"/>
              </w:rPr>
              <w:t>20</w:t>
            </w:r>
            <w:r>
              <w:rPr>
                <w:rFonts w:hint="eastAsia" w:ascii="黑体" w:hAnsi="黑体" w:eastAsia="黑体"/>
                <w:color w:val="auto"/>
                <w:sz w:val="18"/>
                <w:szCs w:val="18"/>
                <w:lang w:val="en-US" w:eastAsia="zh-CN"/>
              </w:rPr>
              <w:t>21</w:t>
            </w:r>
            <w:r>
              <w:rPr>
                <w:rFonts w:hint="eastAsia" w:ascii="黑体" w:hAnsi="黑体" w:eastAsia="黑体"/>
                <w:color w:val="auto"/>
                <w:sz w:val="18"/>
                <w:szCs w:val="18"/>
                <w:lang w:val="en-US" w:eastAsia="en-US"/>
              </w:rPr>
              <w:t>.</w:t>
            </w:r>
            <w:r>
              <w:rPr>
                <w:rFonts w:hint="eastAsia" w:ascii="黑体" w:hAnsi="黑体" w:eastAsia="黑体"/>
                <w:color w:val="auto"/>
                <w:sz w:val="18"/>
                <w:szCs w:val="18"/>
                <w:lang w:val="en-US" w:eastAsia="zh-CN"/>
              </w:rPr>
              <w:t>7</w:t>
            </w:r>
          </w:p>
        </w:tc>
        <w:tc>
          <w:tcPr>
            <w:tcW w:w="1724" w:type="dxa"/>
            <w:gridSpan w:val="2"/>
            <w:vAlign w:val="center"/>
          </w:tcPr>
          <w:p>
            <w:pPr>
              <w:pStyle w:val="23"/>
              <w:spacing w:line="222" w:lineRule="exact"/>
              <w:ind w:left="42" w:leftChars="20" w:right="-105" w:rightChars="-50"/>
              <w:jc w:val="both"/>
              <w:rPr>
                <w:rFonts w:ascii="黑体" w:hAnsi="黑体" w:eastAsia="黑体"/>
                <w:b/>
                <w:sz w:val="15"/>
                <w:lang w:eastAsia="en-US"/>
              </w:rPr>
            </w:pPr>
            <w:r>
              <w:rPr>
                <w:rFonts w:ascii="黑体" w:hAnsi="黑体" w:eastAsia="黑体"/>
                <w:b/>
                <w:sz w:val="15"/>
                <w:lang w:eastAsia="en-US"/>
              </w:rPr>
              <w:t>排污许可证申领时间</w:t>
            </w:r>
          </w:p>
        </w:tc>
        <w:tc>
          <w:tcPr>
            <w:tcW w:w="2721" w:type="dxa"/>
            <w:gridSpan w:val="4"/>
            <w:vAlign w:val="center"/>
          </w:tcPr>
          <w:p>
            <w:pPr>
              <w:pStyle w:val="23"/>
              <w:spacing w:line="170" w:lineRule="exact"/>
              <w:jc w:val="center"/>
              <w:rPr>
                <w:rFonts w:ascii="黑体" w:hAnsi="黑体" w:eastAsia="黑体"/>
                <w:sz w:val="18"/>
                <w:szCs w:val="18"/>
                <w:lang w:eastAsia="en-US"/>
              </w:rPr>
            </w:pPr>
            <w:r>
              <w:rPr>
                <w:rFonts w:ascii="Times New Roman" w:hAnsi="Times New Roman" w:eastAsia="黑体" w:cs="Times New Roman"/>
                <w:sz w:val="18"/>
                <w:szCs w:val="18"/>
                <w:lang w:eastAsia="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283" w:type="dxa"/>
            <w:vMerge w:val="continue"/>
            <w:tcBorders>
              <w:top w:val="nil"/>
            </w:tcBorders>
          </w:tcPr>
          <w:p>
            <w:pPr>
              <w:autoSpaceDE w:val="0"/>
              <w:autoSpaceDN w:val="0"/>
              <w:ind w:left="42" w:leftChars="20"/>
              <w:rPr>
                <w:rFonts w:ascii="黑体" w:hAnsi="黑体" w:eastAsia="黑体" w:cstheme="minorBidi"/>
                <w:b/>
                <w:sz w:val="2"/>
                <w:szCs w:val="2"/>
                <w:lang w:eastAsia="en-US"/>
              </w:rPr>
            </w:pPr>
          </w:p>
        </w:tc>
        <w:tc>
          <w:tcPr>
            <w:tcW w:w="1837" w:type="dxa"/>
            <w:gridSpan w:val="3"/>
            <w:vAlign w:val="center"/>
          </w:tcPr>
          <w:p>
            <w:pPr>
              <w:pStyle w:val="23"/>
              <w:spacing w:line="220" w:lineRule="exact"/>
              <w:ind w:left="42" w:leftChars="20" w:right="-105" w:rightChars="-50"/>
              <w:jc w:val="both"/>
              <w:rPr>
                <w:rFonts w:ascii="黑体" w:hAnsi="黑体" w:eastAsia="黑体"/>
                <w:b/>
                <w:sz w:val="15"/>
                <w:lang w:eastAsia="en-US"/>
              </w:rPr>
            </w:pPr>
            <w:r>
              <w:rPr>
                <w:rFonts w:ascii="黑体" w:hAnsi="黑体" w:eastAsia="黑体"/>
                <w:b/>
                <w:sz w:val="15"/>
                <w:lang w:eastAsia="en-US"/>
              </w:rPr>
              <w:t>环保设施设计单位</w:t>
            </w:r>
          </w:p>
        </w:tc>
        <w:tc>
          <w:tcPr>
            <w:tcW w:w="4125" w:type="dxa"/>
            <w:gridSpan w:val="5"/>
            <w:vAlign w:val="center"/>
          </w:tcPr>
          <w:p>
            <w:pPr>
              <w:pStyle w:val="23"/>
              <w:spacing w:line="220" w:lineRule="exact"/>
              <w:jc w:val="center"/>
              <w:rPr>
                <w:rFonts w:ascii="黑体" w:hAnsi="黑体" w:eastAsia="黑体"/>
                <w:color w:val="auto"/>
                <w:sz w:val="18"/>
                <w:szCs w:val="18"/>
                <w:lang w:eastAsia="en-US"/>
              </w:rPr>
            </w:pPr>
            <w:r>
              <w:rPr>
                <w:rFonts w:ascii="Times New Roman" w:hAnsi="Times New Roman" w:eastAsia="黑体" w:cs="Times New Roman"/>
                <w:color w:val="auto"/>
                <w:sz w:val="18"/>
                <w:szCs w:val="18"/>
                <w:lang w:eastAsia="en-US"/>
              </w:rPr>
              <w:t>/</w:t>
            </w:r>
          </w:p>
        </w:tc>
        <w:tc>
          <w:tcPr>
            <w:tcW w:w="1693" w:type="dxa"/>
            <w:gridSpan w:val="4"/>
            <w:vAlign w:val="center"/>
          </w:tcPr>
          <w:p>
            <w:pPr>
              <w:pStyle w:val="23"/>
              <w:spacing w:line="220" w:lineRule="exact"/>
              <w:ind w:left="42" w:leftChars="20" w:right="-105" w:rightChars="-50"/>
              <w:jc w:val="both"/>
              <w:rPr>
                <w:rFonts w:ascii="黑体" w:hAnsi="黑体" w:eastAsia="黑体"/>
                <w:b/>
                <w:color w:val="auto"/>
                <w:sz w:val="15"/>
                <w:lang w:eastAsia="en-US"/>
              </w:rPr>
            </w:pPr>
            <w:r>
              <w:rPr>
                <w:rFonts w:ascii="黑体" w:hAnsi="黑体" w:eastAsia="黑体"/>
                <w:b/>
                <w:color w:val="auto"/>
                <w:sz w:val="15"/>
                <w:lang w:eastAsia="en-US"/>
              </w:rPr>
              <w:t>环保设施施工单位</w:t>
            </w:r>
          </w:p>
        </w:tc>
        <w:tc>
          <w:tcPr>
            <w:tcW w:w="3112" w:type="dxa"/>
            <w:gridSpan w:val="3"/>
            <w:vAlign w:val="center"/>
          </w:tcPr>
          <w:p>
            <w:pPr>
              <w:pStyle w:val="23"/>
              <w:spacing w:line="168" w:lineRule="exact"/>
              <w:jc w:val="center"/>
              <w:rPr>
                <w:rFonts w:ascii="黑体" w:hAnsi="黑体" w:eastAsia="黑体"/>
                <w:color w:val="auto"/>
                <w:sz w:val="18"/>
                <w:szCs w:val="18"/>
                <w:lang w:eastAsia="en-US"/>
              </w:rPr>
            </w:pPr>
            <w:r>
              <w:rPr>
                <w:rFonts w:ascii="Times New Roman" w:hAnsi="Times New Roman" w:eastAsia="黑体" w:cs="Times New Roman"/>
                <w:color w:val="auto"/>
                <w:sz w:val="18"/>
                <w:szCs w:val="18"/>
                <w:lang w:eastAsia="en-US"/>
              </w:rPr>
              <w:t>/</w:t>
            </w:r>
          </w:p>
        </w:tc>
        <w:tc>
          <w:tcPr>
            <w:tcW w:w="1724" w:type="dxa"/>
            <w:gridSpan w:val="2"/>
            <w:vAlign w:val="center"/>
          </w:tcPr>
          <w:p>
            <w:pPr>
              <w:pStyle w:val="23"/>
              <w:spacing w:line="220" w:lineRule="exact"/>
              <w:ind w:left="42" w:leftChars="20" w:right="-105" w:rightChars="-50"/>
              <w:jc w:val="both"/>
              <w:rPr>
                <w:rFonts w:ascii="黑体" w:hAnsi="黑体" w:eastAsia="黑体"/>
                <w:b/>
                <w:sz w:val="15"/>
                <w:lang w:eastAsia="en-US"/>
              </w:rPr>
            </w:pPr>
            <w:r>
              <w:rPr>
                <w:rFonts w:ascii="黑体" w:hAnsi="黑体" w:eastAsia="黑体"/>
                <w:b/>
                <w:sz w:val="15"/>
                <w:lang w:eastAsia="en-US"/>
              </w:rPr>
              <w:t>本工程排污许可证编号</w:t>
            </w:r>
          </w:p>
        </w:tc>
        <w:tc>
          <w:tcPr>
            <w:tcW w:w="2721" w:type="dxa"/>
            <w:gridSpan w:val="4"/>
            <w:vAlign w:val="center"/>
          </w:tcPr>
          <w:p>
            <w:pPr>
              <w:pStyle w:val="23"/>
              <w:spacing w:line="168" w:lineRule="exact"/>
              <w:jc w:val="center"/>
              <w:rPr>
                <w:rFonts w:ascii="黑体" w:hAnsi="黑体" w:eastAsia="黑体"/>
                <w:sz w:val="18"/>
                <w:szCs w:val="18"/>
                <w:lang w:eastAsia="en-US"/>
              </w:rPr>
            </w:pPr>
            <w:r>
              <w:rPr>
                <w:rFonts w:ascii="Times New Roman" w:hAnsi="Times New Roman" w:eastAsia="黑体" w:cs="Times New Roman"/>
                <w:sz w:val="18"/>
                <w:szCs w:val="18"/>
                <w:lang w:eastAsia="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283" w:type="dxa"/>
            <w:vMerge w:val="continue"/>
            <w:tcBorders>
              <w:top w:val="nil"/>
            </w:tcBorders>
          </w:tcPr>
          <w:p>
            <w:pPr>
              <w:autoSpaceDE w:val="0"/>
              <w:autoSpaceDN w:val="0"/>
              <w:ind w:left="42" w:leftChars="20"/>
              <w:rPr>
                <w:rFonts w:ascii="黑体" w:hAnsi="黑体" w:eastAsia="黑体" w:cstheme="minorBidi"/>
                <w:b/>
                <w:sz w:val="2"/>
                <w:szCs w:val="2"/>
                <w:lang w:eastAsia="en-US"/>
              </w:rPr>
            </w:pPr>
          </w:p>
        </w:tc>
        <w:tc>
          <w:tcPr>
            <w:tcW w:w="1837" w:type="dxa"/>
            <w:gridSpan w:val="3"/>
            <w:vAlign w:val="center"/>
          </w:tcPr>
          <w:p>
            <w:pPr>
              <w:pStyle w:val="23"/>
              <w:ind w:left="42" w:leftChars="20" w:right="-105" w:rightChars="-50"/>
              <w:jc w:val="both"/>
              <w:rPr>
                <w:rFonts w:ascii="黑体" w:hAnsi="黑体" w:eastAsia="黑体"/>
                <w:b/>
                <w:sz w:val="15"/>
                <w:lang w:eastAsia="en-US"/>
              </w:rPr>
            </w:pPr>
            <w:r>
              <w:rPr>
                <w:rFonts w:ascii="黑体" w:hAnsi="黑体" w:eastAsia="黑体"/>
                <w:b/>
                <w:sz w:val="15"/>
                <w:lang w:eastAsia="en-US"/>
              </w:rPr>
              <w:t>验收单位</w:t>
            </w:r>
          </w:p>
        </w:tc>
        <w:tc>
          <w:tcPr>
            <w:tcW w:w="4125" w:type="dxa"/>
            <w:gridSpan w:val="5"/>
            <w:vAlign w:val="center"/>
          </w:tcPr>
          <w:p>
            <w:pPr>
              <w:pStyle w:val="23"/>
              <w:jc w:val="center"/>
              <w:rPr>
                <w:rFonts w:hint="eastAsia" w:ascii="黑体" w:hAnsi="黑体" w:eastAsia="黑体"/>
                <w:sz w:val="18"/>
                <w:szCs w:val="18"/>
                <w:lang w:eastAsia="zh-CN"/>
              </w:rPr>
            </w:pPr>
            <w:r>
              <w:rPr>
                <w:rFonts w:hint="eastAsia" w:ascii="Times New Roman" w:hAnsi="Times New Roman" w:eastAsia="黑体" w:cs="Times New Roman"/>
                <w:sz w:val="18"/>
                <w:szCs w:val="18"/>
                <w:lang w:val="en-US" w:eastAsia="zh-CN"/>
              </w:rPr>
              <w:t>重庆乐仁汽车电子有限公司</w:t>
            </w:r>
          </w:p>
        </w:tc>
        <w:tc>
          <w:tcPr>
            <w:tcW w:w="1693" w:type="dxa"/>
            <w:gridSpan w:val="4"/>
            <w:vAlign w:val="center"/>
          </w:tcPr>
          <w:p>
            <w:pPr>
              <w:pStyle w:val="23"/>
              <w:ind w:left="42" w:leftChars="20" w:right="-105" w:rightChars="-50"/>
              <w:jc w:val="both"/>
              <w:rPr>
                <w:rFonts w:ascii="黑体" w:hAnsi="黑体" w:eastAsia="黑体"/>
                <w:b/>
                <w:sz w:val="15"/>
                <w:lang w:eastAsia="en-US"/>
              </w:rPr>
            </w:pPr>
            <w:r>
              <w:rPr>
                <w:rFonts w:ascii="黑体" w:hAnsi="黑体" w:eastAsia="黑体"/>
                <w:b/>
                <w:sz w:val="15"/>
                <w:lang w:eastAsia="en-US"/>
              </w:rPr>
              <w:t>环保设施监测单位</w:t>
            </w:r>
          </w:p>
        </w:tc>
        <w:tc>
          <w:tcPr>
            <w:tcW w:w="3112" w:type="dxa"/>
            <w:gridSpan w:val="3"/>
            <w:vAlign w:val="center"/>
          </w:tcPr>
          <w:p>
            <w:pPr>
              <w:pStyle w:val="23"/>
              <w:jc w:val="center"/>
              <w:rPr>
                <w:rFonts w:hint="eastAsia" w:ascii="黑体" w:hAnsi="黑体" w:eastAsia="黑体"/>
                <w:sz w:val="18"/>
                <w:szCs w:val="18"/>
                <w:lang w:eastAsia="zh-CN"/>
              </w:rPr>
            </w:pPr>
            <w:r>
              <w:rPr>
                <w:rFonts w:hint="eastAsia" w:ascii="黑体" w:hAnsi="黑体" w:eastAsia="黑体"/>
                <w:sz w:val="18"/>
                <w:szCs w:val="18"/>
                <w:lang w:eastAsia="zh-CN"/>
              </w:rPr>
              <w:t>重庆新晨环境监测有限公司</w:t>
            </w:r>
          </w:p>
        </w:tc>
        <w:tc>
          <w:tcPr>
            <w:tcW w:w="1724" w:type="dxa"/>
            <w:gridSpan w:val="2"/>
            <w:vAlign w:val="center"/>
          </w:tcPr>
          <w:p>
            <w:pPr>
              <w:pStyle w:val="23"/>
              <w:ind w:left="42" w:leftChars="20" w:right="-105" w:rightChars="-50"/>
              <w:jc w:val="both"/>
              <w:rPr>
                <w:rFonts w:ascii="黑体" w:hAnsi="黑体" w:eastAsia="黑体"/>
                <w:b/>
                <w:sz w:val="15"/>
                <w:lang w:eastAsia="en-US"/>
              </w:rPr>
            </w:pPr>
            <w:r>
              <w:rPr>
                <w:rFonts w:ascii="黑体" w:hAnsi="黑体" w:eastAsia="黑体"/>
                <w:b/>
                <w:sz w:val="15"/>
                <w:lang w:eastAsia="en-US"/>
              </w:rPr>
              <w:t>验收监测时工况</w:t>
            </w:r>
          </w:p>
        </w:tc>
        <w:tc>
          <w:tcPr>
            <w:tcW w:w="2721" w:type="dxa"/>
            <w:gridSpan w:val="4"/>
            <w:vAlign w:val="center"/>
          </w:tcPr>
          <w:p>
            <w:pPr>
              <w:pStyle w:val="23"/>
              <w:jc w:val="center"/>
              <w:rPr>
                <w:rFonts w:ascii="黑体" w:hAnsi="黑体" w:eastAsia="黑体"/>
                <w:sz w:val="18"/>
                <w:szCs w:val="18"/>
                <w:lang w:val="en-US"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283" w:type="dxa"/>
            <w:vMerge w:val="continue"/>
            <w:tcBorders>
              <w:top w:val="nil"/>
            </w:tcBorders>
          </w:tcPr>
          <w:p>
            <w:pPr>
              <w:autoSpaceDE w:val="0"/>
              <w:autoSpaceDN w:val="0"/>
              <w:ind w:left="42" w:leftChars="20"/>
              <w:rPr>
                <w:rFonts w:ascii="黑体" w:hAnsi="黑体" w:eastAsia="黑体" w:cstheme="minorBidi"/>
                <w:b/>
                <w:sz w:val="2"/>
                <w:szCs w:val="2"/>
                <w:lang w:eastAsia="en-US"/>
              </w:rPr>
            </w:pPr>
          </w:p>
        </w:tc>
        <w:tc>
          <w:tcPr>
            <w:tcW w:w="1837" w:type="dxa"/>
            <w:gridSpan w:val="3"/>
            <w:vAlign w:val="center"/>
          </w:tcPr>
          <w:p>
            <w:pPr>
              <w:pStyle w:val="23"/>
              <w:ind w:left="42" w:leftChars="20" w:right="-105" w:rightChars="-50"/>
              <w:jc w:val="both"/>
              <w:rPr>
                <w:rFonts w:ascii="黑体" w:hAnsi="黑体" w:eastAsia="黑体"/>
                <w:b/>
                <w:sz w:val="15"/>
                <w:lang w:eastAsia="en-US"/>
              </w:rPr>
            </w:pPr>
            <w:r>
              <w:rPr>
                <w:rFonts w:ascii="黑体" w:hAnsi="黑体" w:eastAsia="黑体"/>
                <w:b/>
                <w:sz w:val="15"/>
                <w:lang w:eastAsia="en-US"/>
              </w:rPr>
              <w:t>投资总概算（万元）</w:t>
            </w:r>
          </w:p>
        </w:tc>
        <w:tc>
          <w:tcPr>
            <w:tcW w:w="4125" w:type="dxa"/>
            <w:gridSpan w:val="5"/>
            <w:vAlign w:val="center"/>
          </w:tcPr>
          <w:p>
            <w:pPr>
              <w:pStyle w:val="23"/>
              <w:jc w:val="center"/>
              <w:rPr>
                <w:rFonts w:hint="default" w:ascii="黑体" w:hAnsi="黑体" w:eastAsia="黑体"/>
                <w:sz w:val="18"/>
                <w:szCs w:val="18"/>
                <w:lang w:val="en-US" w:eastAsia="zh-CN"/>
              </w:rPr>
            </w:pPr>
            <w:r>
              <w:rPr>
                <w:rFonts w:hint="eastAsia" w:ascii="黑体" w:hAnsi="黑体" w:eastAsia="黑体"/>
                <w:sz w:val="18"/>
                <w:szCs w:val="18"/>
                <w:lang w:val="en-US" w:eastAsia="zh-CN"/>
              </w:rPr>
              <w:t>8000</w:t>
            </w:r>
          </w:p>
        </w:tc>
        <w:tc>
          <w:tcPr>
            <w:tcW w:w="1693" w:type="dxa"/>
            <w:gridSpan w:val="4"/>
            <w:vAlign w:val="center"/>
          </w:tcPr>
          <w:p>
            <w:pPr>
              <w:pStyle w:val="23"/>
              <w:spacing w:line="249" w:lineRule="exact"/>
              <w:ind w:left="42" w:leftChars="20" w:right="-105" w:rightChars="-50"/>
              <w:jc w:val="both"/>
              <w:rPr>
                <w:rFonts w:ascii="黑体" w:hAnsi="黑体" w:eastAsia="黑体"/>
                <w:b/>
                <w:sz w:val="15"/>
                <w:lang w:eastAsia="en-US"/>
              </w:rPr>
            </w:pPr>
            <w:r>
              <w:rPr>
                <w:rFonts w:hint="eastAsia" w:ascii="黑体" w:hAnsi="黑体" w:eastAsia="黑体" w:cs="宋体"/>
                <w:b/>
                <w:sz w:val="15"/>
                <w:lang w:eastAsia="en-US"/>
              </w:rPr>
              <w:t>环保投资总概算（万元）</w:t>
            </w:r>
          </w:p>
        </w:tc>
        <w:tc>
          <w:tcPr>
            <w:tcW w:w="3112" w:type="dxa"/>
            <w:gridSpan w:val="3"/>
            <w:vAlign w:val="center"/>
          </w:tcPr>
          <w:p>
            <w:pPr>
              <w:pStyle w:val="23"/>
              <w:jc w:val="center"/>
              <w:rPr>
                <w:rFonts w:hint="default" w:ascii="黑体" w:hAnsi="黑体" w:eastAsia="黑体"/>
                <w:sz w:val="18"/>
                <w:szCs w:val="18"/>
                <w:lang w:val="en-US" w:eastAsia="zh-CN"/>
              </w:rPr>
            </w:pPr>
            <w:r>
              <w:rPr>
                <w:rFonts w:hint="eastAsia" w:ascii="黑体" w:hAnsi="黑体" w:eastAsia="黑体"/>
                <w:sz w:val="18"/>
                <w:szCs w:val="18"/>
                <w:lang w:val="en-US" w:eastAsia="zh-CN"/>
              </w:rPr>
              <w:t>5</w:t>
            </w:r>
          </w:p>
        </w:tc>
        <w:tc>
          <w:tcPr>
            <w:tcW w:w="1724" w:type="dxa"/>
            <w:gridSpan w:val="2"/>
            <w:vAlign w:val="center"/>
          </w:tcPr>
          <w:p>
            <w:pPr>
              <w:pStyle w:val="23"/>
              <w:ind w:left="42" w:leftChars="20" w:right="-105" w:rightChars="-50"/>
              <w:jc w:val="both"/>
              <w:rPr>
                <w:rFonts w:ascii="黑体" w:hAnsi="黑体" w:eastAsia="黑体"/>
                <w:b/>
                <w:sz w:val="15"/>
                <w:lang w:eastAsia="en-US"/>
              </w:rPr>
            </w:pPr>
            <w:r>
              <w:rPr>
                <w:rFonts w:ascii="黑体" w:hAnsi="黑体" w:eastAsia="黑体"/>
                <w:b/>
                <w:sz w:val="15"/>
                <w:lang w:eastAsia="en-US"/>
              </w:rPr>
              <w:t>所占比例（%）</w:t>
            </w:r>
          </w:p>
        </w:tc>
        <w:tc>
          <w:tcPr>
            <w:tcW w:w="2721" w:type="dxa"/>
            <w:gridSpan w:val="4"/>
            <w:vAlign w:val="center"/>
          </w:tcPr>
          <w:p>
            <w:pPr>
              <w:pStyle w:val="23"/>
              <w:jc w:val="center"/>
              <w:rPr>
                <w:rFonts w:hint="default" w:ascii="黑体" w:hAnsi="黑体" w:eastAsia="黑体"/>
                <w:sz w:val="18"/>
                <w:szCs w:val="18"/>
                <w:lang w:val="en-US" w:eastAsia="zh-CN"/>
              </w:rPr>
            </w:pPr>
            <w:r>
              <w:rPr>
                <w:rFonts w:hint="eastAsia" w:ascii="黑体" w:hAnsi="黑体" w:eastAsia="黑体"/>
                <w:sz w:val="18"/>
                <w:szCs w:val="18"/>
                <w:lang w:val="en-US" w:eastAsia="zh-CN"/>
              </w:rPr>
              <w:t>0.06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283" w:type="dxa"/>
            <w:vMerge w:val="continue"/>
            <w:tcBorders>
              <w:top w:val="nil"/>
            </w:tcBorders>
          </w:tcPr>
          <w:p>
            <w:pPr>
              <w:autoSpaceDE w:val="0"/>
              <w:autoSpaceDN w:val="0"/>
              <w:ind w:left="42" w:leftChars="20"/>
              <w:rPr>
                <w:rFonts w:ascii="黑体" w:hAnsi="黑体" w:eastAsia="黑体" w:cstheme="minorBidi"/>
                <w:b/>
                <w:sz w:val="2"/>
                <w:szCs w:val="2"/>
                <w:lang w:eastAsia="en-US"/>
              </w:rPr>
            </w:pPr>
          </w:p>
        </w:tc>
        <w:tc>
          <w:tcPr>
            <w:tcW w:w="1837" w:type="dxa"/>
            <w:gridSpan w:val="3"/>
            <w:vAlign w:val="center"/>
          </w:tcPr>
          <w:p>
            <w:pPr>
              <w:pStyle w:val="23"/>
              <w:ind w:left="42" w:leftChars="20" w:right="-105" w:rightChars="-50"/>
              <w:jc w:val="both"/>
              <w:rPr>
                <w:rFonts w:ascii="黑体" w:hAnsi="黑体" w:eastAsia="黑体"/>
                <w:b/>
                <w:sz w:val="15"/>
                <w:lang w:eastAsia="en-US"/>
              </w:rPr>
            </w:pPr>
            <w:r>
              <w:rPr>
                <w:rFonts w:ascii="黑体" w:hAnsi="黑体" w:eastAsia="黑体"/>
                <w:b/>
                <w:sz w:val="15"/>
                <w:lang w:eastAsia="en-US"/>
              </w:rPr>
              <w:t>实际总投资（万元）</w:t>
            </w:r>
          </w:p>
        </w:tc>
        <w:tc>
          <w:tcPr>
            <w:tcW w:w="4125" w:type="dxa"/>
            <w:gridSpan w:val="5"/>
            <w:vAlign w:val="center"/>
          </w:tcPr>
          <w:p>
            <w:pPr>
              <w:pStyle w:val="23"/>
              <w:jc w:val="center"/>
              <w:rPr>
                <w:rFonts w:hint="default" w:ascii="黑体" w:hAnsi="黑体" w:eastAsia="黑体"/>
                <w:sz w:val="18"/>
                <w:szCs w:val="18"/>
                <w:lang w:val="en-US" w:eastAsia="zh-CN"/>
              </w:rPr>
            </w:pPr>
            <w:r>
              <w:rPr>
                <w:rFonts w:hint="eastAsia" w:ascii="黑体" w:hAnsi="黑体" w:eastAsia="黑体"/>
                <w:sz w:val="18"/>
                <w:szCs w:val="18"/>
                <w:lang w:val="en-US" w:eastAsia="zh-CN"/>
              </w:rPr>
              <w:t>8000</w:t>
            </w:r>
          </w:p>
        </w:tc>
        <w:tc>
          <w:tcPr>
            <w:tcW w:w="1693" w:type="dxa"/>
            <w:gridSpan w:val="4"/>
            <w:vAlign w:val="center"/>
          </w:tcPr>
          <w:p>
            <w:pPr>
              <w:pStyle w:val="23"/>
              <w:spacing w:line="249" w:lineRule="exact"/>
              <w:ind w:left="42" w:leftChars="20" w:right="-105" w:rightChars="-50"/>
              <w:jc w:val="both"/>
              <w:rPr>
                <w:rFonts w:ascii="黑体" w:hAnsi="黑体" w:eastAsia="黑体"/>
                <w:b/>
                <w:sz w:val="15"/>
                <w:lang w:eastAsia="en-US"/>
              </w:rPr>
            </w:pPr>
            <w:r>
              <w:rPr>
                <w:rFonts w:hint="eastAsia" w:ascii="黑体" w:hAnsi="黑体" w:eastAsia="黑体" w:cs="宋体"/>
                <w:b/>
                <w:sz w:val="15"/>
                <w:lang w:eastAsia="en-US"/>
              </w:rPr>
              <w:t>实际环保投资（万元）</w:t>
            </w:r>
          </w:p>
        </w:tc>
        <w:tc>
          <w:tcPr>
            <w:tcW w:w="3112" w:type="dxa"/>
            <w:gridSpan w:val="3"/>
            <w:vAlign w:val="center"/>
          </w:tcPr>
          <w:p>
            <w:pPr>
              <w:pStyle w:val="23"/>
              <w:jc w:val="center"/>
              <w:rPr>
                <w:rFonts w:hint="default" w:ascii="黑体" w:hAnsi="黑体" w:eastAsia="黑体"/>
                <w:sz w:val="18"/>
                <w:szCs w:val="18"/>
                <w:lang w:val="en-US" w:eastAsia="zh-CN"/>
              </w:rPr>
            </w:pPr>
            <w:r>
              <w:rPr>
                <w:rFonts w:hint="eastAsia" w:ascii="黑体" w:hAnsi="黑体" w:eastAsia="黑体"/>
                <w:sz w:val="18"/>
                <w:szCs w:val="18"/>
                <w:lang w:val="en-US" w:eastAsia="zh-CN"/>
              </w:rPr>
              <w:t>5</w:t>
            </w:r>
          </w:p>
        </w:tc>
        <w:tc>
          <w:tcPr>
            <w:tcW w:w="1724" w:type="dxa"/>
            <w:gridSpan w:val="2"/>
            <w:vAlign w:val="center"/>
          </w:tcPr>
          <w:p>
            <w:pPr>
              <w:pStyle w:val="23"/>
              <w:ind w:left="42" w:leftChars="20" w:right="-105" w:rightChars="-50"/>
              <w:jc w:val="both"/>
              <w:rPr>
                <w:rFonts w:ascii="黑体" w:hAnsi="黑体" w:eastAsia="黑体"/>
                <w:b/>
                <w:sz w:val="15"/>
                <w:lang w:eastAsia="en-US"/>
              </w:rPr>
            </w:pPr>
            <w:r>
              <w:rPr>
                <w:rFonts w:ascii="黑体" w:hAnsi="黑体" w:eastAsia="黑体"/>
                <w:b/>
                <w:sz w:val="15"/>
                <w:lang w:eastAsia="en-US"/>
              </w:rPr>
              <w:t>所占比例（%）</w:t>
            </w:r>
          </w:p>
        </w:tc>
        <w:tc>
          <w:tcPr>
            <w:tcW w:w="2721" w:type="dxa"/>
            <w:gridSpan w:val="4"/>
            <w:vAlign w:val="center"/>
          </w:tcPr>
          <w:p>
            <w:pPr>
              <w:pStyle w:val="23"/>
              <w:jc w:val="center"/>
              <w:rPr>
                <w:rFonts w:hint="default" w:ascii="黑体" w:hAnsi="黑体" w:eastAsia="黑体"/>
                <w:sz w:val="18"/>
                <w:szCs w:val="18"/>
                <w:lang w:val="en-US" w:eastAsia="zh-CN"/>
              </w:rPr>
            </w:pPr>
            <w:r>
              <w:rPr>
                <w:rFonts w:hint="eastAsia" w:ascii="黑体" w:hAnsi="黑体" w:eastAsia="黑体"/>
                <w:sz w:val="18"/>
                <w:szCs w:val="18"/>
                <w:lang w:val="en-US" w:eastAsia="zh-CN"/>
              </w:rPr>
              <w:t>0.06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0" w:hRule="atLeast"/>
        </w:trPr>
        <w:tc>
          <w:tcPr>
            <w:tcW w:w="283" w:type="dxa"/>
            <w:vMerge w:val="continue"/>
            <w:tcBorders>
              <w:top w:val="nil"/>
            </w:tcBorders>
          </w:tcPr>
          <w:p>
            <w:pPr>
              <w:autoSpaceDE w:val="0"/>
              <w:autoSpaceDN w:val="0"/>
              <w:ind w:left="42" w:leftChars="20"/>
              <w:rPr>
                <w:rFonts w:ascii="黑体" w:hAnsi="黑体" w:eastAsia="黑体" w:cstheme="minorBidi"/>
                <w:b/>
                <w:sz w:val="2"/>
                <w:szCs w:val="2"/>
                <w:lang w:eastAsia="en-US"/>
              </w:rPr>
            </w:pPr>
          </w:p>
        </w:tc>
        <w:tc>
          <w:tcPr>
            <w:tcW w:w="1837" w:type="dxa"/>
            <w:gridSpan w:val="3"/>
            <w:vAlign w:val="center"/>
          </w:tcPr>
          <w:p>
            <w:pPr>
              <w:pStyle w:val="23"/>
              <w:ind w:left="42" w:leftChars="20" w:right="-105" w:rightChars="-50"/>
              <w:jc w:val="both"/>
              <w:rPr>
                <w:rFonts w:ascii="黑体" w:hAnsi="黑体" w:eastAsia="黑体"/>
                <w:b/>
                <w:sz w:val="15"/>
                <w:lang w:eastAsia="en-US"/>
              </w:rPr>
            </w:pPr>
            <w:r>
              <w:rPr>
                <w:rFonts w:ascii="黑体" w:hAnsi="黑体" w:eastAsia="黑体"/>
                <w:b/>
                <w:sz w:val="15"/>
                <w:lang w:eastAsia="en-US"/>
              </w:rPr>
              <w:t>废水治理（万元）</w:t>
            </w:r>
          </w:p>
        </w:tc>
        <w:tc>
          <w:tcPr>
            <w:tcW w:w="852" w:type="dxa"/>
            <w:vAlign w:val="center"/>
          </w:tcPr>
          <w:p>
            <w:pPr>
              <w:pStyle w:val="23"/>
              <w:ind w:left="42" w:leftChars="20" w:right="-105" w:rightChars="-50"/>
              <w:jc w:val="center"/>
              <w:rPr>
                <w:rFonts w:hint="default" w:ascii="黑体" w:hAnsi="黑体" w:eastAsia="黑体"/>
                <w:sz w:val="15"/>
                <w:lang w:val="en-US" w:eastAsia="zh-CN"/>
              </w:rPr>
            </w:pPr>
            <w:r>
              <w:rPr>
                <w:rFonts w:hint="eastAsia" w:ascii="黑体" w:hAnsi="黑体" w:eastAsia="黑体"/>
                <w:sz w:val="15"/>
                <w:lang w:val="en-US" w:eastAsia="zh-CN"/>
              </w:rPr>
              <w:t>2</w:t>
            </w:r>
          </w:p>
        </w:tc>
        <w:tc>
          <w:tcPr>
            <w:tcW w:w="1281" w:type="dxa"/>
            <w:gridSpan w:val="2"/>
            <w:vAlign w:val="center"/>
          </w:tcPr>
          <w:p>
            <w:pPr>
              <w:pStyle w:val="23"/>
              <w:spacing w:line="249" w:lineRule="exact"/>
              <w:ind w:left="42" w:leftChars="20" w:right="-210" w:rightChars="-100"/>
              <w:jc w:val="both"/>
              <w:rPr>
                <w:rFonts w:ascii="黑体" w:hAnsi="黑体" w:eastAsia="黑体"/>
                <w:b w:val="0"/>
                <w:bCs/>
                <w:color w:val="auto"/>
                <w:sz w:val="15"/>
                <w:lang w:eastAsia="en-US"/>
              </w:rPr>
            </w:pPr>
            <w:r>
              <w:rPr>
                <w:rFonts w:hint="eastAsia" w:ascii="黑体" w:hAnsi="黑体" w:eastAsia="黑体" w:cs="宋体"/>
                <w:b w:val="0"/>
                <w:bCs/>
                <w:color w:val="auto"/>
                <w:sz w:val="15"/>
                <w:lang w:eastAsia="en-US"/>
              </w:rPr>
              <w:t>废气治理（万元）</w:t>
            </w:r>
          </w:p>
        </w:tc>
        <w:tc>
          <w:tcPr>
            <w:tcW w:w="998" w:type="dxa"/>
            <w:vAlign w:val="center"/>
          </w:tcPr>
          <w:p>
            <w:pPr>
              <w:pStyle w:val="23"/>
              <w:ind w:left="42" w:leftChars="20" w:right="-105" w:rightChars="-50"/>
              <w:jc w:val="center"/>
              <w:rPr>
                <w:rFonts w:hint="default" w:ascii="黑体" w:hAnsi="黑体" w:eastAsia="黑体"/>
                <w:b w:val="0"/>
                <w:bCs/>
                <w:color w:val="auto"/>
                <w:sz w:val="15"/>
                <w:lang w:val="en-US" w:eastAsia="zh-CN"/>
              </w:rPr>
            </w:pPr>
            <w:r>
              <w:rPr>
                <w:rFonts w:hint="eastAsia" w:ascii="黑体" w:hAnsi="黑体" w:eastAsia="黑体"/>
                <w:b w:val="0"/>
                <w:bCs/>
                <w:color w:val="auto"/>
                <w:sz w:val="18"/>
                <w:szCs w:val="18"/>
                <w:lang w:val="en-US" w:eastAsia="zh-CN"/>
              </w:rPr>
              <w:t>0</w:t>
            </w:r>
          </w:p>
        </w:tc>
        <w:tc>
          <w:tcPr>
            <w:tcW w:w="1585" w:type="dxa"/>
            <w:gridSpan w:val="2"/>
            <w:vAlign w:val="center"/>
          </w:tcPr>
          <w:p>
            <w:pPr>
              <w:pStyle w:val="23"/>
              <w:ind w:left="42" w:leftChars="20" w:right="-105" w:rightChars="-50"/>
              <w:jc w:val="both"/>
              <w:rPr>
                <w:rFonts w:ascii="黑体" w:hAnsi="黑体" w:eastAsia="黑体"/>
                <w:b w:val="0"/>
                <w:bCs/>
                <w:color w:val="auto"/>
                <w:sz w:val="15"/>
                <w:lang w:eastAsia="en-US"/>
              </w:rPr>
            </w:pPr>
            <w:r>
              <w:rPr>
                <w:rFonts w:ascii="黑体" w:hAnsi="黑体" w:eastAsia="黑体"/>
                <w:b w:val="0"/>
                <w:bCs/>
                <w:color w:val="auto"/>
                <w:sz w:val="15"/>
                <w:lang w:eastAsia="en-US"/>
              </w:rPr>
              <w:t>噪声治理（万元）</w:t>
            </w:r>
          </w:p>
        </w:tc>
        <w:tc>
          <w:tcPr>
            <w:tcW w:w="961" w:type="dxa"/>
            <w:gridSpan w:val="2"/>
            <w:vAlign w:val="center"/>
          </w:tcPr>
          <w:p>
            <w:pPr>
              <w:pStyle w:val="23"/>
              <w:ind w:left="42" w:leftChars="20" w:right="-105" w:rightChars="-50"/>
              <w:jc w:val="center"/>
              <w:rPr>
                <w:rFonts w:hint="default" w:ascii="黑体" w:hAnsi="黑体" w:eastAsia="黑体"/>
                <w:b w:val="0"/>
                <w:bCs/>
                <w:color w:val="auto"/>
                <w:sz w:val="15"/>
                <w:lang w:val="en-US" w:eastAsia="zh-CN"/>
              </w:rPr>
            </w:pPr>
            <w:r>
              <w:rPr>
                <w:rFonts w:hint="eastAsia" w:ascii="Times New Roman" w:hAnsi="Times New Roman" w:eastAsia="黑体" w:cs="Times New Roman"/>
                <w:b w:val="0"/>
                <w:bCs/>
                <w:color w:val="auto"/>
                <w:sz w:val="18"/>
                <w:szCs w:val="18"/>
                <w:lang w:val="en-US" w:eastAsia="zh-CN"/>
              </w:rPr>
              <w:t>1</w:t>
            </w:r>
          </w:p>
        </w:tc>
        <w:tc>
          <w:tcPr>
            <w:tcW w:w="2138" w:type="dxa"/>
            <w:gridSpan w:val="3"/>
            <w:vAlign w:val="center"/>
          </w:tcPr>
          <w:p>
            <w:pPr>
              <w:pStyle w:val="23"/>
              <w:ind w:left="42" w:leftChars="20" w:right="-105" w:rightChars="-50"/>
              <w:jc w:val="both"/>
              <w:rPr>
                <w:rFonts w:hint="default" w:ascii="黑体" w:hAnsi="黑体" w:eastAsia="黑体"/>
                <w:b w:val="0"/>
                <w:bCs/>
                <w:color w:val="auto"/>
                <w:sz w:val="15"/>
                <w:lang w:val="en-US" w:eastAsia="en-US"/>
              </w:rPr>
            </w:pPr>
            <w:r>
              <w:rPr>
                <w:rFonts w:ascii="黑体" w:hAnsi="黑体" w:eastAsia="黑体"/>
                <w:b w:val="0"/>
                <w:bCs/>
                <w:color w:val="auto"/>
                <w:sz w:val="15"/>
                <w:lang w:eastAsia="en-US"/>
              </w:rPr>
              <w:t>固体废物治理（万元）</w:t>
            </w:r>
          </w:p>
        </w:tc>
        <w:tc>
          <w:tcPr>
            <w:tcW w:w="1115" w:type="dxa"/>
            <w:vAlign w:val="center"/>
          </w:tcPr>
          <w:p>
            <w:pPr>
              <w:pStyle w:val="23"/>
              <w:ind w:left="42" w:leftChars="20" w:right="-105" w:rightChars="-50"/>
              <w:jc w:val="center"/>
              <w:rPr>
                <w:rFonts w:hint="default" w:ascii="黑体" w:hAnsi="黑体" w:eastAsia="黑体"/>
                <w:b w:val="0"/>
                <w:bCs/>
                <w:color w:val="auto"/>
                <w:sz w:val="15"/>
                <w:lang w:val="en-US" w:eastAsia="zh-CN"/>
              </w:rPr>
            </w:pPr>
            <w:r>
              <w:rPr>
                <w:rFonts w:hint="eastAsia" w:ascii="黑体" w:hAnsi="黑体" w:eastAsia="黑体"/>
                <w:b w:val="0"/>
                <w:bCs/>
                <w:color w:val="auto"/>
                <w:sz w:val="18"/>
                <w:szCs w:val="18"/>
                <w:lang w:val="en-US" w:eastAsia="zh-CN"/>
              </w:rPr>
              <w:t>1</w:t>
            </w:r>
          </w:p>
        </w:tc>
        <w:tc>
          <w:tcPr>
            <w:tcW w:w="1724" w:type="dxa"/>
            <w:gridSpan w:val="2"/>
            <w:vAlign w:val="center"/>
          </w:tcPr>
          <w:p>
            <w:pPr>
              <w:pStyle w:val="23"/>
              <w:ind w:left="42" w:leftChars="20" w:right="-105" w:rightChars="-50"/>
              <w:jc w:val="both"/>
              <w:rPr>
                <w:rFonts w:ascii="黑体" w:hAnsi="黑体" w:eastAsia="黑体"/>
                <w:b w:val="0"/>
                <w:bCs/>
                <w:color w:val="auto"/>
                <w:sz w:val="15"/>
                <w:lang w:eastAsia="en-US"/>
              </w:rPr>
            </w:pPr>
            <w:r>
              <w:rPr>
                <w:rFonts w:ascii="黑体" w:hAnsi="黑体" w:eastAsia="黑体"/>
                <w:b w:val="0"/>
                <w:bCs/>
                <w:color w:val="auto"/>
                <w:sz w:val="15"/>
                <w:lang w:eastAsia="en-US"/>
              </w:rPr>
              <w:t>绿化及生态（万元）</w:t>
            </w:r>
          </w:p>
        </w:tc>
        <w:tc>
          <w:tcPr>
            <w:tcW w:w="1284" w:type="dxa"/>
            <w:vAlign w:val="center"/>
          </w:tcPr>
          <w:p>
            <w:pPr>
              <w:pStyle w:val="23"/>
              <w:ind w:left="42" w:leftChars="20" w:right="-105" w:rightChars="-50"/>
              <w:jc w:val="center"/>
              <w:rPr>
                <w:rFonts w:hint="default" w:ascii="黑体" w:hAnsi="黑体" w:eastAsia="黑体"/>
                <w:b w:val="0"/>
                <w:bCs/>
                <w:color w:val="auto"/>
                <w:sz w:val="15"/>
                <w:lang w:val="en-US" w:eastAsia="zh-CN"/>
              </w:rPr>
            </w:pPr>
            <w:r>
              <w:rPr>
                <w:rFonts w:hint="eastAsia" w:ascii="黑体" w:hAnsi="黑体" w:eastAsia="黑体"/>
                <w:b w:val="0"/>
                <w:bCs/>
                <w:color w:val="auto"/>
                <w:sz w:val="15"/>
                <w:lang w:val="en-US" w:eastAsia="zh-CN"/>
              </w:rPr>
              <w:t>1</w:t>
            </w:r>
          </w:p>
        </w:tc>
        <w:tc>
          <w:tcPr>
            <w:tcW w:w="991" w:type="dxa"/>
            <w:gridSpan w:val="2"/>
            <w:vAlign w:val="center"/>
          </w:tcPr>
          <w:p>
            <w:pPr>
              <w:pStyle w:val="23"/>
              <w:ind w:left="42" w:leftChars="20" w:right="-105" w:rightChars="-50"/>
              <w:jc w:val="both"/>
              <w:rPr>
                <w:rFonts w:ascii="黑体" w:hAnsi="黑体" w:eastAsia="黑体"/>
                <w:b w:val="0"/>
                <w:bCs/>
                <w:color w:val="auto"/>
                <w:sz w:val="15"/>
                <w:lang w:eastAsia="en-US"/>
              </w:rPr>
            </w:pPr>
            <w:r>
              <w:rPr>
                <w:rFonts w:ascii="黑体" w:hAnsi="黑体" w:eastAsia="黑体"/>
                <w:b w:val="0"/>
                <w:bCs/>
                <w:color w:val="auto"/>
                <w:spacing w:val="-26"/>
                <w:sz w:val="15"/>
                <w:lang w:eastAsia="en-US"/>
              </w:rPr>
              <w:t>其他</w:t>
            </w:r>
            <w:r>
              <w:rPr>
                <w:rFonts w:ascii="黑体" w:hAnsi="黑体" w:eastAsia="黑体"/>
                <w:b w:val="0"/>
                <w:bCs/>
                <w:color w:val="auto"/>
                <w:sz w:val="15"/>
                <w:lang w:eastAsia="en-US"/>
              </w:rPr>
              <w:t>（</w:t>
            </w:r>
            <w:r>
              <w:rPr>
                <w:rFonts w:ascii="黑体" w:hAnsi="黑体" w:eastAsia="黑体"/>
                <w:b w:val="0"/>
                <w:bCs/>
                <w:color w:val="auto"/>
                <w:spacing w:val="-3"/>
                <w:sz w:val="15"/>
                <w:lang w:eastAsia="en-US"/>
              </w:rPr>
              <w:t>万元</w:t>
            </w:r>
            <w:r>
              <w:rPr>
                <w:rFonts w:ascii="黑体" w:hAnsi="黑体" w:eastAsia="黑体"/>
                <w:b w:val="0"/>
                <w:bCs/>
                <w:color w:val="auto"/>
                <w:sz w:val="15"/>
                <w:lang w:eastAsia="en-US"/>
              </w:rPr>
              <w:t>）</w:t>
            </w:r>
          </w:p>
        </w:tc>
        <w:tc>
          <w:tcPr>
            <w:tcW w:w="446" w:type="dxa"/>
            <w:vAlign w:val="center"/>
          </w:tcPr>
          <w:p>
            <w:pPr>
              <w:pStyle w:val="23"/>
              <w:jc w:val="center"/>
              <w:rPr>
                <w:rFonts w:ascii="黑体" w:hAnsi="黑体" w:eastAsia="黑体"/>
                <w:b w:val="0"/>
                <w:bCs/>
                <w:color w:val="auto"/>
                <w:sz w:val="15"/>
                <w:lang w:eastAsia="en-US"/>
              </w:rPr>
            </w:pPr>
            <w:r>
              <w:rPr>
                <w:rFonts w:ascii="Times New Roman" w:hAnsi="Times New Roman" w:eastAsia="黑体" w:cs="Times New Roman"/>
                <w:b w:val="0"/>
                <w:bCs/>
                <w:color w:val="auto"/>
                <w:sz w:val="15"/>
                <w:lang w:eastAsia="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283" w:type="dxa"/>
            <w:vMerge w:val="continue"/>
            <w:tcBorders>
              <w:top w:val="nil"/>
            </w:tcBorders>
          </w:tcPr>
          <w:p>
            <w:pPr>
              <w:autoSpaceDE w:val="0"/>
              <w:autoSpaceDN w:val="0"/>
              <w:ind w:left="42" w:leftChars="20"/>
              <w:rPr>
                <w:rFonts w:ascii="黑体" w:hAnsi="黑体" w:eastAsia="黑体" w:cstheme="minorBidi"/>
                <w:b/>
                <w:sz w:val="2"/>
                <w:szCs w:val="2"/>
                <w:lang w:eastAsia="en-US"/>
              </w:rPr>
            </w:pPr>
          </w:p>
        </w:tc>
        <w:tc>
          <w:tcPr>
            <w:tcW w:w="1837" w:type="dxa"/>
            <w:gridSpan w:val="3"/>
            <w:vAlign w:val="center"/>
          </w:tcPr>
          <w:p>
            <w:pPr>
              <w:pStyle w:val="23"/>
              <w:spacing w:line="222" w:lineRule="exact"/>
              <w:ind w:left="42" w:leftChars="20" w:right="-105" w:rightChars="-50"/>
              <w:jc w:val="both"/>
              <w:rPr>
                <w:rFonts w:ascii="黑体" w:hAnsi="黑体" w:eastAsia="黑体"/>
                <w:b/>
                <w:sz w:val="15"/>
                <w:lang w:eastAsia="en-US"/>
              </w:rPr>
            </w:pPr>
            <w:r>
              <w:rPr>
                <w:rFonts w:ascii="黑体" w:hAnsi="黑体" w:eastAsia="黑体"/>
                <w:b/>
                <w:sz w:val="15"/>
                <w:lang w:eastAsia="en-US"/>
              </w:rPr>
              <w:t>新增废水处理设施能力</w:t>
            </w:r>
          </w:p>
        </w:tc>
        <w:tc>
          <w:tcPr>
            <w:tcW w:w="5677" w:type="dxa"/>
            <w:gridSpan w:val="8"/>
            <w:vAlign w:val="center"/>
          </w:tcPr>
          <w:p>
            <w:pPr>
              <w:pStyle w:val="23"/>
              <w:spacing w:line="168" w:lineRule="exact"/>
              <w:ind w:left="42" w:leftChars="20" w:right="-105" w:rightChars="-50"/>
              <w:jc w:val="center"/>
              <w:rPr>
                <w:rFonts w:ascii="黑体" w:hAnsi="黑体" w:eastAsia="黑体"/>
                <w:b w:val="0"/>
                <w:bCs/>
                <w:color w:val="auto"/>
                <w:sz w:val="15"/>
                <w:lang w:val="en-US" w:eastAsia="en-US"/>
              </w:rPr>
            </w:pPr>
            <w:r>
              <w:rPr>
                <w:rFonts w:hint="eastAsia" w:ascii="黑体" w:hAnsi="黑体" w:eastAsia="黑体"/>
                <w:b w:val="0"/>
                <w:bCs/>
                <w:color w:val="auto"/>
                <w:sz w:val="15"/>
                <w:lang w:val="en-US" w:eastAsia="en-US"/>
              </w:rPr>
              <w:t>/</w:t>
            </w:r>
          </w:p>
        </w:tc>
        <w:tc>
          <w:tcPr>
            <w:tcW w:w="2138" w:type="dxa"/>
            <w:gridSpan w:val="3"/>
            <w:vAlign w:val="center"/>
          </w:tcPr>
          <w:p>
            <w:pPr>
              <w:pStyle w:val="23"/>
              <w:spacing w:line="222" w:lineRule="exact"/>
              <w:ind w:left="42" w:leftChars="20" w:right="-105" w:rightChars="-50"/>
              <w:jc w:val="both"/>
              <w:rPr>
                <w:rFonts w:ascii="黑体" w:hAnsi="黑体" w:eastAsia="黑体"/>
                <w:b w:val="0"/>
                <w:bCs/>
                <w:color w:val="auto"/>
                <w:sz w:val="15"/>
                <w:lang w:eastAsia="en-US"/>
              </w:rPr>
            </w:pPr>
            <w:r>
              <w:rPr>
                <w:rFonts w:ascii="黑体" w:hAnsi="黑体" w:eastAsia="黑体"/>
                <w:b w:val="0"/>
                <w:bCs/>
                <w:color w:val="auto"/>
                <w:sz w:val="15"/>
                <w:lang w:eastAsia="en-US"/>
              </w:rPr>
              <w:t>新增废气处理设施能力</w:t>
            </w:r>
          </w:p>
        </w:tc>
        <w:tc>
          <w:tcPr>
            <w:tcW w:w="1115" w:type="dxa"/>
            <w:vAlign w:val="center"/>
          </w:tcPr>
          <w:p>
            <w:pPr>
              <w:pStyle w:val="23"/>
              <w:spacing w:line="168" w:lineRule="exact"/>
              <w:ind w:left="42" w:leftChars="20" w:right="-105" w:rightChars="-50"/>
              <w:jc w:val="center"/>
              <w:rPr>
                <w:rFonts w:ascii="黑体" w:hAnsi="黑体" w:eastAsia="黑体"/>
                <w:b w:val="0"/>
                <w:bCs/>
                <w:color w:val="auto"/>
                <w:sz w:val="15"/>
                <w:lang w:eastAsia="en-US"/>
              </w:rPr>
            </w:pPr>
            <w:r>
              <w:rPr>
                <w:rFonts w:ascii="Times New Roman" w:hAnsi="Times New Roman" w:eastAsia="黑体" w:cs="Times New Roman"/>
                <w:b w:val="0"/>
                <w:bCs/>
                <w:color w:val="auto"/>
                <w:sz w:val="15"/>
                <w:lang w:eastAsia="en-US"/>
              </w:rPr>
              <w:t>/</w:t>
            </w:r>
          </w:p>
        </w:tc>
        <w:tc>
          <w:tcPr>
            <w:tcW w:w="1724" w:type="dxa"/>
            <w:gridSpan w:val="2"/>
            <w:vAlign w:val="center"/>
          </w:tcPr>
          <w:p>
            <w:pPr>
              <w:pStyle w:val="23"/>
              <w:spacing w:line="222" w:lineRule="exact"/>
              <w:ind w:left="42" w:leftChars="20" w:right="-105" w:rightChars="-50"/>
              <w:jc w:val="both"/>
              <w:rPr>
                <w:rFonts w:ascii="黑体" w:hAnsi="黑体" w:eastAsia="黑体"/>
                <w:b w:val="0"/>
                <w:bCs/>
                <w:color w:val="auto"/>
                <w:sz w:val="15"/>
                <w:lang w:eastAsia="en-US"/>
              </w:rPr>
            </w:pPr>
            <w:r>
              <w:rPr>
                <w:rFonts w:ascii="黑体" w:hAnsi="黑体" w:eastAsia="黑体"/>
                <w:b w:val="0"/>
                <w:bCs/>
                <w:color w:val="auto"/>
                <w:sz w:val="15"/>
                <w:lang w:eastAsia="en-US"/>
              </w:rPr>
              <w:t>年平均工作时（h/a）</w:t>
            </w:r>
          </w:p>
        </w:tc>
        <w:tc>
          <w:tcPr>
            <w:tcW w:w="2721" w:type="dxa"/>
            <w:gridSpan w:val="4"/>
            <w:vAlign w:val="center"/>
          </w:tcPr>
          <w:p>
            <w:pPr>
              <w:pStyle w:val="23"/>
              <w:spacing w:line="168" w:lineRule="exact"/>
              <w:ind w:left="42" w:leftChars="20" w:right="-105" w:rightChars="-50"/>
              <w:jc w:val="center"/>
              <w:rPr>
                <w:rFonts w:ascii="黑体" w:hAnsi="黑体" w:eastAsia="黑体"/>
                <w:b w:val="0"/>
                <w:bCs/>
                <w:color w:val="auto"/>
                <w:sz w:val="18"/>
                <w:szCs w:val="18"/>
                <w:lang w:eastAsia="en-US"/>
              </w:rPr>
            </w:pPr>
            <w:r>
              <w:rPr>
                <w:rFonts w:hint="eastAsia" w:ascii="黑体" w:hAnsi="黑体" w:eastAsia="黑体"/>
                <w:b w:val="0"/>
                <w:bCs/>
                <w:color w:val="auto"/>
                <w:sz w:val="18"/>
                <w:szCs w:val="18"/>
                <w:lang w:eastAsia="en-US"/>
              </w:rPr>
              <w:t>8760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2120" w:type="dxa"/>
            <w:gridSpan w:val="4"/>
            <w:vAlign w:val="center"/>
          </w:tcPr>
          <w:p>
            <w:pPr>
              <w:pStyle w:val="23"/>
              <w:spacing w:line="232" w:lineRule="exact"/>
              <w:ind w:left="42" w:leftChars="20" w:right="-105" w:rightChars="-50"/>
              <w:jc w:val="both"/>
              <w:rPr>
                <w:rFonts w:ascii="黑体" w:hAnsi="黑体" w:eastAsia="黑体"/>
                <w:b/>
                <w:sz w:val="15"/>
                <w:lang w:eastAsia="en-US"/>
              </w:rPr>
            </w:pPr>
            <w:r>
              <w:rPr>
                <w:rFonts w:ascii="黑体" w:hAnsi="黑体" w:eastAsia="黑体"/>
                <w:b/>
                <w:sz w:val="15"/>
                <w:lang w:eastAsia="en-US"/>
              </w:rPr>
              <w:t>运营单位</w:t>
            </w:r>
          </w:p>
        </w:tc>
        <w:tc>
          <w:tcPr>
            <w:tcW w:w="4125" w:type="dxa"/>
            <w:gridSpan w:val="5"/>
            <w:vAlign w:val="center"/>
          </w:tcPr>
          <w:p>
            <w:pPr>
              <w:pStyle w:val="23"/>
              <w:spacing w:line="232" w:lineRule="exact"/>
              <w:ind w:left="42" w:leftChars="20" w:right="-105" w:rightChars="-50"/>
              <w:jc w:val="center"/>
              <w:rPr>
                <w:rFonts w:ascii="黑体" w:hAnsi="黑体" w:eastAsia="黑体"/>
                <w:b/>
                <w:sz w:val="15"/>
                <w:lang w:eastAsia="en-US"/>
              </w:rPr>
            </w:pPr>
            <w:r>
              <w:rPr>
                <w:rFonts w:hint="eastAsia" w:ascii="Times New Roman" w:hAnsi="Times New Roman" w:eastAsia="黑体" w:cs="Times New Roman"/>
                <w:sz w:val="15"/>
                <w:lang w:eastAsia="en-US"/>
              </w:rPr>
              <w:t>重庆乐仁汽车电子有限公司</w:t>
            </w:r>
          </w:p>
        </w:tc>
        <w:tc>
          <w:tcPr>
            <w:tcW w:w="3690" w:type="dxa"/>
            <w:gridSpan w:val="6"/>
            <w:vAlign w:val="center"/>
          </w:tcPr>
          <w:p>
            <w:pPr>
              <w:pStyle w:val="23"/>
              <w:spacing w:line="232" w:lineRule="exact"/>
              <w:ind w:left="42" w:leftChars="20" w:right="-105" w:rightChars="-50"/>
              <w:jc w:val="both"/>
              <w:rPr>
                <w:rFonts w:ascii="黑体" w:hAnsi="黑体" w:eastAsia="黑体"/>
                <w:b/>
                <w:sz w:val="15"/>
                <w:lang w:eastAsia="en-US"/>
              </w:rPr>
            </w:pPr>
            <w:r>
              <w:rPr>
                <w:rFonts w:ascii="黑体" w:hAnsi="黑体" w:eastAsia="黑体"/>
                <w:b/>
                <w:sz w:val="15"/>
                <w:lang w:eastAsia="en-US"/>
              </w:rPr>
              <w:t>运营单位社会统一信用代码（或组织机构代码）</w:t>
            </w:r>
          </w:p>
        </w:tc>
        <w:tc>
          <w:tcPr>
            <w:tcW w:w="2015" w:type="dxa"/>
            <w:gridSpan w:val="2"/>
            <w:vAlign w:val="center"/>
          </w:tcPr>
          <w:p>
            <w:pPr>
              <w:pStyle w:val="23"/>
              <w:ind w:left="42" w:leftChars="20" w:right="-105" w:rightChars="-50"/>
              <w:jc w:val="center"/>
              <w:rPr>
                <w:rFonts w:ascii="黑体" w:hAnsi="黑体" w:eastAsia="黑体"/>
                <w:b/>
                <w:sz w:val="15"/>
                <w:lang w:eastAsia="en-US"/>
              </w:rPr>
            </w:pPr>
            <w:r>
              <w:rPr>
                <w:rFonts w:hint="eastAsia" w:ascii="Times New Roman" w:hAnsi="Times New Roman" w:eastAsia="黑体" w:cs="Times New Roman"/>
                <w:sz w:val="15"/>
                <w:lang w:eastAsia="en-US"/>
              </w:rPr>
              <w:t>91500155MA61BKL66K</w:t>
            </w:r>
          </w:p>
        </w:tc>
        <w:tc>
          <w:tcPr>
            <w:tcW w:w="824" w:type="dxa"/>
            <w:vAlign w:val="center"/>
          </w:tcPr>
          <w:p>
            <w:pPr>
              <w:pStyle w:val="23"/>
              <w:spacing w:line="232" w:lineRule="exact"/>
              <w:ind w:left="42" w:leftChars="20" w:right="-105" w:rightChars="-50"/>
              <w:jc w:val="both"/>
              <w:rPr>
                <w:rFonts w:ascii="黑体" w:hAnsi="黑体" w:eastAsia="黑体"/>
                <w:b/>
                <w:sz w:val="15"/>
                <w:lang w:eastAsia="en-US"/>
              </w:rPr>
            </w:pPr>
            <w:r>
              <w:rPr>
                <w:rFonts w:ascii="黑体" w:hAnsi="黑体" w:eastAsia="黑体"/>
                <w:b/>
                <w:sz w:val="15"/>
                <w:lang w:eastAsia="en-US"/>
              </w:rPr>
              <w:t>验收时间</w:t>
            </w:r>
          </w:p>
        </w:tc>
        <w:tc>
          <w:tcPr>
            <w:tcW w:w="2721" w:type="dxa"/>
            <w:gridSpan w:val="4"/>
            <w:vAlign w:val="center"/>
          </w:tcPr>
          <w:p>
            <w:pPr>
              <w:pStyle w:val="23"/>
              <w:ind w:right="-105" w:rightChars="-50"/>
              <w:jc w:val="center"/>
              <w:rPr>
                <w:rFonts w:hint="default" w:ascii="黑体" w:hAnsi="黑体" w:eastAsia="黑体"/>
                <w:b/>
                <w:sz w:val="18"/>
                <w:szCs w:val="18"/>
                <w:lang w:val="en-US" w:eastAsia="zh-CN"/>
              </w:rPr>
            </w:pPr>
            <w:r>
              <w:rPr>
                <w:rFonts w:hint="eastAsia" w:ascii="黑体" w:hAnsi="黑体" w:eastAsia="黑体"/>
                <w:sz w:val="18"/>
                <w:szCs w:val="18"/>
                <w:lang w:eastAsia="en-US"/>
              </w:rPr>
              <w:t>20</w:t>
            </w:r>
            <w:r>
              <w:rPr>
                <w:rFonts w:hint="eastAsia" w:ascii="黑体" w:hAnsi="黑体" w:eastAsia="黑体"/>
                <w:sz w:val="18"/>
                <w:szCs w:val="18"/>
                <w:lang w:val="en-US" w:eastAsia="zh-CN"/>
              </w:rPr>
              <w:t>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0" w:hRule="atLeast"/>
        </w:trPr>
        <w:tc>
          <w:tcPr>
            <w:tcW w:w="567" w:type="dxa"/>
            <w:gridSpan w:val="2"/>
            <w:vMerge w:val="restart"/>
            <w:vAlign w:val="center"/>
          </w:tcPr>
          <w:p>
            <w:pPr>
              <w:pStyle w:val="23"/>
              <w:spacing w:line="240" w:lineRule="exact"/>
              <w:ind w:left="63" w:leftChars="30" w:right="63" w:rightChars="30"/>
              <w:jc w:val="center"/>
              <w:rPr>
                <w:rFonts w:ascii="黑体" w:hAnsi="黑体" w:eastAsia="黑体"/>
                <w:b/>
                <w:sz w:val="15"/>
                <w:lang w:eastAsia="en-US"/>
              </w:rPr>
            </w:pPr>
            <w:r>
              <w:rPr>
                <w:rFonts w:ascii="黑体" w:hAnsi="黑体" w:eastAsia="黑体"/>
                <w:b/>
                <w:sz w:val="15"/>
                <w:lang w:eastAsia="en-US"/>
              </w:rPr>
              <w:t>污染物排放达标与总量控制</w:t>
            </w:r>
          </w:p>
          <w:p>
            <w:pPr>
              <w:pStyle w:val="23"/>
              <w:spacing w:line="240" w:lineRule="exact"/>
              <w:ind w:left="63" w:leftChars="30" w:right="63" w:rightChars="30"/>
              <w:jc w:val="center"/>
              <w:rPr>
                <w:rFonts w:ascii="黑体" w:hAnsi="黑体" w:eastAsia="黑体"/>
                <w:b/>
                <w:sz w:val="15"/>
                <w:lang w:eastAsia="en-US"/>
              </w:rPr>
            </w:pPr>
            <w:r>
              <w:rPr>
                <w:rFonts w:ascii="黑体" w:hAnsi="黑体" w:eastAsia="黑体"/>
                <w:b/>
                <w:sz w:val="15"/>
                <w:lang w:eastAsia="en-US"/>
              </w:rPr>
              <w:t>（工业建设项目祥填）</w:t>
            </w:r>
          </w:p>
        </w:tc>
        <w:tc>
          <w:tcPr>
            <w:tcW w:w="1553" w:type="dxa"/>
            <w:gridSpan w:val="2"/>
            <w:vAlign w:val="center"/>
          </w:tcPr>
          <w:p>
            <w:pPr>
              <w:pStyle w:val="23"/>
              <w:ind w:left="42" w:leftChars="20"/>
              <w:jc w:val="both"/>
              <w:rPr>
                <w:rFonts w:ascii="黑体" w:hAnsi="黑体" w:eastAsia="黑体"/>
                <w:b/>
                <w:sz w:val="6"/>
                <w:lang w:eastAsia="en-US"/>
              </w:rPr>
            </w:pPr>
          </w:p>
          <w:p>
            <w:pPr>
              <w:pStyle w:val="23"/>
              <w:ind w:left="42" w:leftChars="20"/>
              <w:jc w:val="both"/>
              <w:rPr>
                <w:rFonts w:ascii="黑体" w:hAnsi="黑体" w:eastAsia="黑体"/>
                <w:b/>
                <w:sz w:val="15"/>
                <w:lang w:eastAsia="en-US"/>
              </w:rPr>
            </w:pPr>
            <w:r>
              <w:rPr>
                <w:rFonts w:ascii="黑体" w:hAnsi="黑体" w:eastAsia="黑体"/>
                <w:b/>
                <w:sz w:val="15"/>
                <w:lang w:eastAsia="en-US"/>
              </w:rPr>
              <w:t>污染物</w:t>
            </w:r>
          </w:p>
        </w:tc>
        <w:tc>
          <w:tcPr>
            <w:tcW w:w="852" w:type="dxa"/>
            <w:vAlign w:val="center"/>
          </w:tcPr>
          <w:p>
            <w:pPr>
              <w:pStyle w:val="23"/>
              <w:spacing w:line="240" w:lineRule="exact"/>
              <w:ind w:left="42" w:leftChars="20" w:right="42" w:rightChars="20"/>
              <w:rPr>
                <w:rFonts w:ascii="黑体" w:hAnsi="黑体" w:eastAsia="黑体"/>
                <w:b/>
                <w:sz w:val="15"/>
                <w:lang w:eastAsia="en-US"/>
              </w:rPr>
            </w:pPr>
            <w:r>
              <w:rPr>
                <w:rFonts w:ascii="黑体" w:hAnsi="黑体" w:eastAsia="黑体"/>
                <w:b/>
                <w:sz w:val="15"/>
                <w:lang w:eastAsia="en-US"/>
              </w:rPr>
              <w:t>原有排放量（1）</w:t>
            </w:r>
          </w:p>
        </w:tc>
        <w:tc>
          <w:tcPr>
            <w:tcW w:w="1145" w:type="dxa"/>
            <w:vAlign w:val="center"/>
          </w:tcPr>
          <w:p>
            <w:pPr>
              <w:pStyle w:val="23"/>
              <w:spacing w:line="240" w:lineRule="exact"/>
              <w:ind w:left="42" w:leftChars="20" w:right="42" w:rightChars="20"/>
              <w:rPr>
                <w:rFonts w:ascii="黑体" w:hAnsi="黑体" w:eastAsia="黑体"/>
                <w:b/>
                <w:sz w:val="15"/>
                <w:lang w:eastAsia="en-US"/>
              </w:rPr>
            </w:pPr>
            <w:r>
              <w:rPr>
                <w:rFonts w:ascii="黑体" w:hAnsi="黑体" w:eastAsia="黑体"/>
                <w:b/>
                <w:sz w:val="15"/>
                <w:lang w:eastAsia="en-US"/>
              </w:rPr>
              <w:t>本期工程实际排放浓度（2）</w:t>
            </w:r>
          </w:p>
        </w:tc>
        <w:tc>
          <w:tcPr>
            <w:tcW w:w="1134" w:type="dxa"/>
            <w:gridSpan w:val="2"/>
            <w:vAlign w:val="center"/>
          </w:tcPr>
          <w:p>
            <w:pPr>
              <w:pStyle w:val="23"/>
              <w:spacing w:line="240" w:lineRule="exact"/>
              <w:ind w:left="42" w:leftChars="20" w:right="42" w:rightChars="20"/>
              <w:rPr>
                <w:rFonts w:ascii="黑体" w:hAnsi="黑体" w:eastAsia="黑体"/>
                <w:b/>
                <w:sz w:val="15"/>
                <w:lang w:eastAsia="en-US"/>
              </w:rPr>
            </w:pPr>
            <w:r>
              <w:rPr>
                <w:rFonts w:ascii="黑体" w:hAnsi="黑体" w:eastAsia="黑体"/>
                <w:b/>
                <w:sz w:val="15"/>
                <w:lang w:eastAsia="en-US"/>
              </w:rPr>
              <w:t>本期工程允许排放浓度（3）</w:t>
            </w:r>
          </w:p>
        </w:tc>
        <w:tc>
          <w:tcPr>
            <w:tcW w:w="994" w:type="dxa"/>
            <w:vAlign w:val="center"/>
          </w:tcPr>
          <w:p>
            <w:pPr>
              <w:pStyle w:val="23"/>
              <w:spacing w:line="240" w:lineRule="exact"/>
              <w:ind w:left="42" w:leftChars="20" w:right="42" w:rightChars="20"/>
              <w:rPr>
                <w:rFonts w:ascii="黑体" w:hAnsi="黑体" w:eastAsia="黑体"/>
                <w:b/>
                <w:sz w:val="15"/>
                <w:lang w:eastAsia="en-US"/>
              </w:rPr>
            </w:pPr>
            <w:r>
              <w:rPr>
                <w:rFonts w:ascii="黑体" w:hAnsi="黑体" w:eastAsia="黑体"/>
                <w:b/>
                <w:sz w:val="15"/>
                <w:lang w:eastAsia="en-US"/>
              </w:rPr>
              <w:t>本期工程产生量（4）</w:t>
            </w:r>
          </w:p>
        </w:tc>
        <w:tc>
          <w:tcPr>
            <w:tcW w:w="1424" w:type="dxa"/>
            <w:gridSpan w:val="2"/>
            <w:vAlign w:val="center"/>
          </w:tcPr>
          <w:p>
            <w:pPr>
              <w:pStyle w:val="23"/>
              <w:spacing w:line="240" w:lineRule="exact"/>
              <w:ind w:left="42" w:leftChars="20" w:right="42" w:rightChars="20"/>
              <w:rPr>
                <w:rFonts w:ascii="黑体" w:hAnsi="黑体" w:eastAsia="黑体"/>
                <w:b/>
                <w:sz w:val="15"/>
                <w:lang w:eastAsia="en-US"/>
              </w:rPr>
            </w:pPr>
            <w:r>
              <w:rPr>
                <w:rFonts w:ascii="黑体" w:hAnsi="黑体" w:eastAsia="黑体"/>
                <w:b/>
                <w:sz w:val="15"/>
                <w:lang w:eastAsia="en-US"/>
              </w:rPr>
              <w:t>本期工程自身削减量（5）</w:t>
            </w:r>
          </w:p>
        </w:tc>
        <w:tc>
          <w:tcPr>
            <w:tcW w:w="1133" w:type="dxa"/>
            <w:gridSpan w:val="3"/>
            <w:vAlign w:val="center"/>
          </w:tcPr>
          <w:p>
            <w:pPr>
              <w:pStyle w:val="23"/>
              <w:spacing w:line="240" w:lineRule="exact"/>
              <w:ind w:left="42" w:leftChars="20" w:right="42" w:rightChars="20"/>
              <w:rPr>
                <w:rFonts w:ascii="黑体" w:hAnsi="黑体" w:eastAsia="黑体"/>
                <w:b/>
                <w:sz w:val="15"/>
                <w:lang w:eastAsia="en-US"/>
              </w:rPr>
            </w:pPr>
            <w:r>
              <w:rPr>
                <w:rFonts w:ascii="黑体" w:hAnsi="黑体" w:eastAsia="黑体"/>
                <w:b/>
                <w:sz w:val="15"/>
                <w:lang w:eastAsia="en-US"/>
              </w:rPr>
              <w:t>本期工程实际排放量（6）</w:t>
            </w:r>
          </w:p>
        </w:tc>
        <w:tc>
          <w:tcPr>
            <w:tcW w:w="1133" w:type="dxa"/>
            <w:vAlign w:val="center"/>
          </w:tcPr>
          <w:p>
            <w:pPr>
              <w:pStyle w:val="23"/>
              <w:spacing w:line="240" w:lineRule="exact"/>
              <w:ind w:left="42" w:leftChars="20" w:right="42" w:rightChars="20"/>
              <w:rPr>
                <w:rFonts w:ascii="黑体" w:hAnsi="黑体" w:eastAsia="黑体"/>
                <w:b/>
                <w:sz w:val="15"/>
                <w:lang w:eastAsia="en-US"/>
              </w:rPr>
            </w:pPr>
            <w:r>
              <w:rPr>
                <w:rFonts w:ascii="黑体" w:hAnsi="黑体" w:eastAsia="黑体"/>
                <w:b/>
                <w:sz w:val="15"/>
                <w:lang w:eastAsia="en-US"/>
              </w:rPr>
              <w:t>本期工程核定排放总量（7）</w:t>
            </w:r>
          </w:p>
        </w:tc>
        <w:tc>
          <w:tcPr>
            <w:tcW w:w="1115" w:type="dxa"/>
            <w:vAlign w:val="center"/>
          </w:tcPr>
          <w:p>
            <w:pPr>
              <w:pStyle w:val="23"/>
              <w:spacing w:line="240" w:lineRule="exact"/>
              <w:ind w:left="42" w:leftChars="20"/>
              <w:rPr>
                <w:rFonts w:ascii="黑体" w:hAnsi="黑体" w:eastAsia="黑体"/>
                <w:b/>
                <w:sz w:val="15"/>
                <w:lang w:eastAsia="en-US"/>
              </w:rPr>
            </w:pPr>
            <w:r>
              <w:rPr>
                <w:rFonts w:ascii="黑体" w:hAnsi="黑体" w:eastAsia="黑体"/>
                <w:b/>
                <w:spacing w:val="-1"/>
                <w:sz w:val="15"/>
                <w:lang w:eastAsia="en-US"/>
              </w:rPr>
              <w:t>本期工程</w:t>
            </w:r>
            <w:r>
              <w:rPr>
                <w:rFonts w:ascii="黑体" w:hAnsi="黑体" w:eastAsia="黑体"/>
                <w:b/>
                <w:spacing w:val="-3"/>
                <w:sz w:val="15"/>
                <w:lang w:eastAsia="en-US"/>
              </w:rPr>
              <w:t>“</w:t>
            </w:r>
            <w:r>
              <w:rPr>
                <w:rFonts w:ascii="黑体" w:hAnsi="黑体" w:eastAsia="黑体"/>
                <w:b/>
                <w:sz w:val="15"/>
                <w:lang w:eastAsia="en-US"/>
              </w:rPr>
              <w:t>以新带老</w:t>
            </w:r>
            <w:r>
              <w:rPr>
                <w:rFonts w:ascii="黑体" w:hAnsi="黑体" w:eastAsia="黑体"/>
                <w:b/>
                <w:spacing w:val="-3"/>
                <w:sz w:val="15"/>
                <w:lang w:eastAsia="en-US"/>
              </w:rPr>
              <w:t>”</w:t>
            </w:r>
            <w:r>
              <w:rPr>
                <w:rFonts w:ascii="黑体" w:hAnsi="黑体" w:eastAsia="黑体"/>
                <w:b/>
                <w:spacing w:val="-20"/>
                <w:sz w:val="15"/>
                <w:lang w:eastAsia="en-US"/>
              </w:rPr>
              <w:t>削减量</w:t>
            </w:r>
            <w:r>
              <w:rPr>
                <w:rFonts w:ascii="黑体" w:hAnsi="黑体" w:eastAsia="黑体"/>
                <w:b/>
                <w:sz w:val="15"/>
                <w:lang w:eastAsia="en-US"/>
              </w:rPr>
              <w:t>（8）</w:t>
            </w:r>
          </w:p>
        </w:tc>
        <w:tc>
          <w:tcPr>
            <w:tcW w:w="900" w:type="dxa"/>
            <w:vAlign w:val="center"/>
          </w:tcPr>
          <w:p>
            <w:pPr>
              <w:pStyle w:val="23"/>
              <w:spacing w:line="240" w:lineRule="exact"/>
              <w:ind w:left="42" w:leftChars="20" w:right="42" w:rightChars="20"/>
              <w:rPr>
                <w:rFonts w:ascii="黑体" w:hAnsi="黑体" w:eastAsia="黑体"/>
                <w:b/>
                <w:sz w:val="15"/>
                <w:lang w:eastAsia="en-US"/>
              </w:rPr>
            </w:pPr>
            <w:r>
              <w:rPr>
                <w:rFonts w:ascii="黑体" w:hAnsi="黑体" w:eastAsia="黑体"/>
                <w:b/>
                <w:sz w:val="15"/>
                <w:lang w:eastAsia="en-US"/>
              </w:rPr>
              <w:t>全厂实际排放总量（9）</w:t>
            </w:r>
          </w:p>
        </w:tc>
        <w:tc>
          <w:tcPr>
            <w:tcW w:w="824" w:type="dxa"/>
            <w:vAlign w:val="center"/>
          </w:tcPr>
          <w:p>
            <w:pPr>
              <w:pStyle w:val="23"/>
              <w:spacing w:line="240" w:lineRule="exact"/>
              <w:ind w:left="42" w:leftChars="20" w:right="42" w:rightChars="20"/>
              <w:rPr>
                <w:rFonts w:ascii="黑体" w:hAnsi="黑体" w:eastAsia="黑体"/>
                <w:b/>
                <w:sz w:val="15"/>
                <w:lang w:eastAsia="en-US"/>
              </w:rPr>
            </w:pPr>
            <w:r>
              <w:rPr>
                <w:rFonts w:ascii="黑体" w:hAnsi="黑体" w:eastAsia="黑体"/>
                <w:b/>
                <w:sz w:val="15"/>
                <w:lang w:eastAsia="en-US"/>
              </w:rPr>
              <w:t>全厂核定排放总量（10）</w:t>
            </w:r>
          </w:p>
        </w:tc>
        <w:tc>
          <w:tcPr>
            <w:tcW w:w="1704" w:type="dxa"/>
            <w:gridSpan w:val="2"/>
            <w:vAlign w:val="center"/>
          </w:tcPr>
          <w:p>
            <w:pPr>
              <w:pStyle w:val="23"/>
              <w:spacing w:line="240" w:lineRule="exact"/>
              <w:ind w:left="42" w:leftChars="20" w:right="42" w:rightChars="20"/>
              <w:rPr>
                <w:rFonts w:ascii="黑体" w:hAnsi="黑体" w:eastAsia="黑体"/>
                <w:b/>
                <w:sz w:val="15"/>
                <w:lang w:eastAsia="en-US"/>
              </w:rPr>
            </w:pPr>
            <w:r>
              <w:rPr>
                <w:rFonts w:ascii="黑体" w:hAnsi="黑体" w:eastAsia="黑体"/>
                <w:b/>
                <w:sz w:val="15"/>
                <w:lang w:eastAsia="en-US"/>
              </w:rPr>
              <w:t>区域平衡替代削减量（11）</w:t>
            </w:r>
          </w:p>
        </w:tc>
        <w:tc>
          <w:tcPr>
            <w:tcW w:w="1017" w:type="dxa"/>
            <w:gridSpan w:val="2"/>
            <w:vAlign w:val="center"/>
          </w:tcPr>
          <w:p>
            <w:pPr>
              <w:pStyle w:val="23"/>
              <w:spacing w:line="240" w:lineRule="exact"/>
              <w:ind w:left="42" w:leftChars="20" w:right="42" w:rightChars="20"/>
              <w:rPr>
                <w:rFonts w:ascii="黑体" w:hAnsi="黑体" w:eastAsia="黑体"/>
                <w:b/>
                <w:sz w:val="15"/>
                <w:lang w:eastAsia="en-US"/>
              </w:rPr>
            </w:pPr>
            <w:r>
              <w:rPr>
                <w:rFonts w:ascii="黑体" w:hAnsi="黑体" w:eastAsia="黑体"/>
                <w:b/>
                <w:sz w:val="15"/>
                <w:lang w:eastAsia="en-US"/>
              </w:rPr>
              <w:t>排放增减量</w:t>
            </w:r>
          </w:p>
          <w:p>
            <w:pPr>
              <w:pStyle w:val="23"/>
              <w:spacing w:line="240" w:lineRule="exact"/>
              <w:ind w:left="42" w:leftChars="20" w:right="42" w:rightChars="20"/>
              <w:rPr>
                <w:rFonts w:ascii="黑体" w:hAnsi="黑体" w:eastAsia="黑体"/>
                <w:b/>
                <w:sz w:val="15"/>
                <w:lang w:eastAsia="en-US"/>
              </w:rPr>
            </w:pPr>
            <w:r>
              <w:rPr>
                <w:rFonts w:ascii="黑体" w:hAnsi="黑体" w:eastAsia="黑体"/>
                <w:b/>
                <w:sz w:val="15"/>
                <w:lang w:eastAsia="en-US"/>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567" w:type="dxa"/>
            <w:gridSpan w:val="2"/>
            <w:vMerge w:val="continue"/>
            <w:tcBorders>
              <w:top w:val="nil"/>
            </w:tcBorders>
            <w:vAlign w:val="center"/>
          </w:tcPr>
          <w:p>
            <w:pPr>
              <w:autoSpaceDE w:val="0"/>
              <w:autoSpaceDN w:val="0"/>
              <w:ind w:left="42" w:leftChars="20"/>
              <w:rPr>
                <w:rFonts w:ascii="黑体" w:hAnsi="黑体" w:eastAsia="黑体" w:cstheme="minorBidi"/>
                <w:b/>
                <w:sz w:val="2"/>
                <w:szCs w:val="2"/>
                <w:lang w:eastAsia="en-US"/>
              </w:rPr>
            </w:pPr>
          </w:p>
        </w:tc>
        <w:tc>
          <w:tcPr>
            <w:tcW w:w="1553" w:type="dxa"/>
            <w:gridSpan w:val="2"/>
            <w:vAlign w:val="center"/>
          </w:tcPr>
          <w:p>
            <w:pPr>
              <w:pStyle w:val="23"/>
              <w:spacing w:line="241" w:lineRule="exact"/>
              <w:ind w:left="42" w:leftChars="20"/>
              <w:jc w:val="both"/>
              <w:rPr>
                <w:rFonts w:ascii="黑体" w:hAnsi="黑体" w:eastAsia="黑体"/>
                <w:b/>
                <w:sz w:val="15"/>
                <w:lang w:eastAsia="en-US"/>
              </w:rPr>
            </w:pPr>
          </w:p>
        </w:tc>
        <w:tc>
          <w:tcPr>
            <w:tcW w:w="852" w:type="dxa"/>
            <w:vAlign w:val="center"/>
          </w:tcPr>
          <w:p>
            <w:pPr>
              <w:pStyle w:val="23"/>
              <w:ind w:left="42" w:leftChars="20" w:right="105" w:rightChars="50"/>
              <w:jc w:val="both"/>
              <w:rPr>
                <w:rFonts w:ascii="黑体" w:hAnsi="黑体" w:eastAsia="黑体"/>
                <w:b/>
                <w:sz w:val="15"/>
                <w:lang w:eastAsia="en-US"/>
              </w:rPr>
            </w:pPr>
          </w:p>
        </w:tc>
        <w:tc>
          <w:tcPr>
            <w:tcW w:w="1145" w:type="dxa"/>
            <w:vAlign w:val="center"/>
          </w:tcPr>
          <w:p>
            <w:pPr>
              <w:pStyle w:val="23"/>
              <w:ind w:left="42" w:leftChars="20" w:right="105" w:rightChars="50"/>
              <w:jc w:val="both"/>
              <w:rPr>
                <w:rFonts w:ascii="黑体" w:hAnsi="黑体" w:eastAsia="黑体"/>
                <w:b/>
                <w:sz w:val="15"/>
                <w:lang w:eastAsia="en-US"/>
              </w:rPr>
            </w:pPr>
          </w:p>
        </w:tc>
        <w:tc>
          <w:tcPr>
            <w:tcW w:w="1134" w:type="dxa"/>
            <w:gridSpan w:val="2"/>
            <w:vAlign w:val="center"/>
          </w:tcPr>
          <w:p>
            <w:pPr>
              <w:pStyle w:val="23"/>
              <w:ind w:left="42" w:leftChars="20" w:right="105" w:rightChars="50"/>
              <w:jc w:val="both"/>
              <w:rPr>
                <w:rFonts w:ascii="黑体" w:hAnsi="黑体" w:eastAsia="黑体"/>
                <w:b/>
                <w:sz w:val="15"/>
                <w:lang w:eastAsia="en-US"/>
              </w:rPr>
            </w:pPr>
          </w:p>
        </w:tc>
        <w:tc>
          <w:tcPr>
            <w:tcW w:w="994" w:type="dxa"/>
            <w:vAlign w:val="center"/>
          </w:tcPr>
          <w:p>
            <w:pPr>
              <w:pStyle w:val="23"/>
              <w:ind w:left="42" w:leftChars="20" w:right="105" w:rightChars="50"/>
              <w:jc w:val="both"/>
              <w:rPr>
                <w:rFonts w:ascii="黑体" w:hAnsi="黑体" w:eastAsia="黑体"/>
                <w:b/>
                <w:sz w:val="15"/>
                <w:lang w:eastAsia="en-US"/>
              </w:rPr>
            </w:pPr>
          </w:p>
        </w:tc>
        <w:tc>
          <w:tcPr>
            <w:tcW w:w="1424" w:type="dxa"/>
            <w:gridSpan w:val="2"/>
            <w:vAlign w:val="center"/>
          </w:tcPr>
          <w:p>
            <w:pPr>
              <w:pStyle w:val="23"/>
              <w:ind w:left="42" w:leftChars="20" w:right="105" w:rightChars="50"/>
              <w:jc w:val="both"/>
              <w:rPr>
                <w:rFonts w:ascii="黑体" w:hAnsi="黑体" w:eastAsia="黑体"/>
                <w:b/>
                <w:sz w:val="15"/>
                <w:lang w:eastAsia="en-US"/>
              </w:rPr>
            </w:pPr>
          </w:p>
        </w:tc>
        <w:tc>
          <w:tcPr>
            <w:tcW w:w="1133" w:type="dxa"/>
            <w:gridSpan w:val="3"/>
            <w:vAlign w:val="center"/>
          </w:tcPr>
          <w:p>
            <w:pPr>
              <w:pStyle w:val="23"/>
              <w:ind w:left="42" w:leftChars="20" w:right="105" w:rightChars="50"/>
              <w:jc w:val="both"/>
              <w:rPr>
                <w:rFonts w:ascii="黑体" w:hAnsi="黑体" w:eastAsia="黑体"/>
                <w:b/>
                <w:sz w:val="15"/>
                <w:lang w:eastAsia="en-US"/>
              </w:rPr>
            </w:pPr>
          </w:p>
        </w:tc>
        <w:tc>
          <w:tcPr>
            <w:tcW w:w="1133" w:type="dxa"/>
            <w:vAlign w:val="center"/>
          </w:tcPr>
          <w:p>
            <w:pPr>
              <w:pStyle w:val="23"/>
              <w:ind w:left="42" w:leftChars="20" w:right="105" w:rightChars="50"/>
              <w:jc w:val="both"/>
              <w:rPr>
                <w:rFonts w:ascii="黑体" w:hAnsi="黑体" w:eastAsia="黑体"/>
                <w:b/>
                <w:sz w:val="15"/>
                <w:lang w:eastAsia="en-US"/>
              </w:rPr>
            </w:pPr>
          </w:p>
        </w:tc>
        <w:tc>
          <w:tcPr>
            <w:tcW w:w="1115" w:type="dxa"/>
            <w:vAlign w:val="center"/>
          </w:tcPr>
          <w:p>
            <w:pPr>
              <w:pStyle w:val="23"/>
              <w:ind w:left="42" w:leftChars="20" w:right="105" w:rightChars="50"/>
              <w:jc w:val="both"/>
              <w:rPr>
                <w:rFonts w:ascii="黑体" w:hAnsi="黑体" w:eastAsia="黑体"/>
                <w:b/>
                <w:sz w:val="15"/>
                <w:lang w:eastAsia="en-US"/>
              </w:rPr>
            </w:pPr>
          </w:p>
        </w:tc>
        <w:tc>
          <w:tcPr>
            <w:tcW w:w="900" w:type="dxa"/>
            <w:vAlign w:val="center"/>
          </w:tcPr>
          <w:p>
            <w:pPr>
              <w:pStyle w:val="23"/>
              <w:ind w:left="42" w:leftChars="20" w:right="105" w:rightChars="50"/>
              <w:jc w:val="both"/>
              <w:rPr>
                <w:rFonts w:ascii="黑体" w:hAnsi="黑体" w:eastAsia="黑体"/>
                <w:b/>
                <w:sz w:val="15"/>
                <w:lang w:eastAsia="en-US"/>
              </w:rPr>
            </w:pPr>
          </w:p>
        </w:tc>
        <w:tc>
          <w:tcPr>
            <w:tcW w:w="824" w:type="dxa"/>
            <w:vAlign w:val="center"/>
          </w:tcPr>
          <w:p>
            <w:pPr>
              <w:pStyle w:val="23"/>
              <w:ind w:left="42" w:leftChars="20" w:right="105" w:rightChars="50"/>
              <w:jc w:val="both"/>
              <w:rPr>
                <w:rFonts w:ascii="黑体" w:hAnsi="黑体" w:eastAsia="黑体"/>
                <w:b/>
                <w:sz w:val="15"/>
                <w:lang w:eastAsia="en-US"/>
              </w:rPr>
            </w:pPr>
          </w:p>
        </w:tc>
        <w:tc>
          <w:tcPr>
            <w:tcW w:w="1704" w:type="dxa"/>
            <w:gridSpan w:val="2"/>
            <w:vAlign w:val="center"/>
          </w:tcPr>
          <w:p>
            <w:pPr>
              <w:pStyle w:val="23"/>
              <w:ind w:left="42" w:leftChars="20" w:right="105" w:rightChars="50"/>
              <w:jc w:val="both"/>
              <w:rPr>
                <w:rFonts w:ascii="黑体" w:hAnsi="黑体" w:eastAsia="黑体"/>
                <w:b/>
                <w:sz w:val="15"/>
                <w:lang w:eastAsia="en-US"/>
              </w:rPr>
            </w:pPr>
          </w:p>
        </w:tc>
        <w:tc>
          <w:tcPr>
            <w:tcW w:w="1017" w:type="dxa"/>
            <w:gridSpan w:val="2"/>
            <w:vAlign w:val="center"/>
          </w:tcPr>
          <w:p>
            <w:pPr>
              <w:pStyle w:val="23"/>
              <w:ind w:left="42" w:leftChars="20" w:right="105" w:rightChars="50"/>
              <w:jc w:val="both"/>
              <w:rPr>
                <w:rFonts w:ascii="黑体" w:hAnsi="黑体" w:eastAsia="黑体"/>
                <w:sz w:val="15"/>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567" w:type="dxa"/>
            <w:gridSpan w:val="2"/>
            <w:vMerge w:val="continue"/>
            <w:tcBorders>
              <w:top w:val="nil"/>
            </w:tcBorders>
            <w:vAlign w:val="center"/>
          </w:tcPr>
          <w:p>
            <w:pPr>
              <w:autoSpaceDE w:val="0"/>
              <w:autoSpaceDN w:val="0"/>
              <w:ind w:left="42" w:leftChars="20"/>
              <w:rPr>
                <w:rFonts w:ascii="黑体" w:hAnsi="黑体" w:eastAsia="黑体" w:cstheme="minorBidi"/>
                <w:b/>
                <w:sz w:val="2"/>
                <w:szCs w:val="2"/>
                <w:lang w:eastAsia="en-US"/>
              </w:rPr>
            </w:pPr>
          </w:p>
        </w:tc>
        <w:tc>
          <w:tcPr>
            <w:tcW w:w="1553" w:type="dxa"/>
            <w:gridSpan w:val="2"/>
            <w:vAlign w:val="center"/>
          </w:tcPr>
          <w:p>
            <w:pPr>
              <w:pStyle w:val="23"/>
              <w:spacing w:line="220" w:lineRule="exact"/>
              <w:ind w:left="42" w:leftChars="20"/>
              <w:jc w:val="both"/>
              <w:rPr>
                <w:rFonts w:ascii="黑体" w:hAnsi="黑体" w:eastAsia="黑体"/>
                <w:b/>
                <w:sz w:val="15"/>
                <w:lang w:eastAsia="en-US"/>
              </w:rPr>
            </w:pPr>
          </w:p>
        </w:tc>
        <w:tc>
          <w:tcPr>
            <w:tcW w:w="852" w:type="dxa"/>
            <w:vAlign w:val="center"/>
          </w:tcPr>
          <w:p>
            <w:pPr>
              <w:pStyle w:val="23"/>
              <w:spacing w:line="168" w:lineRule="exact"/>
              <w:ind w:left="42" w:leftChars="20"/>
              <w:jc w:val="both"/>
              <w:rPr>
                <w:rFonts w:ascii="黑体" w:hAnsi="黑体" w:eastAsia="黑体"/>
                <w:b/>
                <w:sz w:val="15"/>
                <w:lang w:eastAsia="en-US"/>
              </w:rPr>
            </w:pPr>
          </w:p>
        </w:tc>
        <w:tc>
          <w:tcPr>
            <w:tcW w:w="1145" w:type="dxa"/>
            <w:vAlign w:val="center"/>
          </w:tcPr>
          <w:p>
            <w:pPr>
              <w:pStyle w:val="23"/>
              <w:spacing w:line="168" w:lineRule="exact"/>
              <w:ind w:left="42" w:leftChars="20"/>
              <w:jc w:val="both"/>
              <w:rPr>
                <w:rFonts w:ascii="黑体" w:hAnsi="黑体" w:eastAsia="黑体"/>
                <w:b/>
                <w:sz w:val="15"/>
                <w:lang w:eastAsia="en-US"/>
              </w:rPr>
            </w:pPr>
          </w:p>
        </w:tc>
        <w:tc>
          <w:tcPr>
            <w:tcW w:w="1134" w:type="dxa"/>
            <w:gridSpan w:val="2"/>
            <w:vAlign w:val="center"/>
          </w:tcPr>
          <w:p>
            <w:pPr>
              <w:pStyle w:val="23"/>
              <w:spacing w:line="168" w:lineRule="exact"/>
              <w:ind w:left="42" w:leftChars="20"/>
              <w:jc w:val="both"/>
              <w:rPr>
                <w:rFonts w:ascii="黑体" w:hAnsi="黑体" w:eastAsia="黑体"/>
                <w:b/>
                <w:sz w:val="15"/>
                <w:lang w:eastAsia="en-US"/>
              </w:rPr>
            </w:pPr>
          </w:p>
        </w:tc>
        <w:tc>
          <w:tcPr>
            <w:tcW w:w="994" w:type="dxa"/>
            <w:vAlign w:val="center"/>
          </w:tcPr>
          <w:p>
            <w:pPr>
              <w:pStyle w:val="23"/>
              <w:spacing w:line="168" w:lineRule="exact"/>
              <w:ind w:left="42" w:leftChars="20"/>
              <w:jc w:val="both"/>
              <w:rPr>
                <w:rFonts w:ascii="黑体" w:hAnsi="黑体" w:eastAsia="黑体"/>
                <w:b/>
                <w:sz w:val="15"/>
                <w:lang w:eastAsia="en-US"/>
              </w:rPr>
            </w:pPr>
          </w:p>
        </w:tc>
        <w:tc>
          <w:tcPr>
            <w:tcW w:w="1424" w:type="dxa"/>
            <w:gridSpan w:val="2"/>
            <w:vAlign w:val="center"/>
          </w:tcPr>
          <w:p>
            <w:pPr>
              <w:pStyle w:val="23"/>
              <w:spacing w:line="168" w:lineRule="exact"/>
              <w:ind w:left="42" w:leftChars="20"/>
              <w:jc w:val="both"/>
              <w:rPr>
                <w:rFonts w:ascii="黑体" w:hAnsi="黑体" w:eastAsia="黑体"/>
                <w:b/>
                <w:sz w:val="15"/>
                <w:lang w:eastAsia="en-US"/>
              </w:rPr>
            </w:pPr>
          </w:p>
        </w:tc>
        <w:tc>
          <w:tcPr>
            <w:tcW w:w="1133" w:type="dxa"/>
            <w:gridSpan w:val="3"/>
            <w:vAlign w:val="center"/>
          </w:tcPr>
          <w:p>
            <w:pPr>
              <w:pStyle w:val="23"/>
              <w:spacing w:line="168" w:lineRule="exact"/>
              <w:ind w:left="42" w:leftChars="20"/>
              <w:jc w:val="both"/>
              <w:rPr>
                <w:rFonts w:ascii="黑体" w:hAnsi="黑体" w:eastAsia="黑体"/>
                <w:b/>
                <w:sz w:val="15"/>
                <w:lang w:eastAsia="en-US"/>
              </w:rPr>
            </w:pPr>
          </w:p>
        </w:tc>
        <w:tc>
          <w:tcPr>
            <w:tcW w:w="1133" w:type="dxa"/>
            <w:vAlign w:val="center"/>
          </w:tcPr>
          <w:p>
            <w:pPr>
              <w:pStyle w:val="23"/>
              <w:spacing w:line="168" w:lineRule="exact"/>
              <w:ind w:left="42" w:leftChars="20"/>
              <w:jc w:val="both"/>
              <w:rPr>
                <w:rFonts w:ascii="黑体" w:hAnsi="黑体" w:eastAsia="黑体"/>
                <w:b/>
                <w:sz w:val="15"/>
                <w:lang w:eastAsia="en-US"/>
              </w:rPr>
            </w:pPr>
          </w:p>
        </w:tc>
        <w:tc>
          <w:tcPr>
            <w:tcW w:w="1115" w:type="dxa"/>
            <w:vAlign w:val="center"/>
          </w:tcPr>
          <w:p>
            <w:pPr>
              <w:pStyle w:val="23"/>
              <w:spacing w:line="168" w:lineRule="exact"/>
              <w:ind w:left="42" w:leftChars="20"/>
              <w:jc w:val="both"/>
              <w:rPr>
                <w:rFonts w:ascii="黑体" w:hAnsi="黑体" w:eastAsia="黑体"/>
                <w:b/>
                <w:sz w:val="15"/>
                <w:lang w:eastAsia="en-US"/>
              </w:rPr>
            </w:pPr>
          </w:p>
        </w:tc>
        <w:tc>
          <w:tcPr>
            <w:tcW w:w="900" w:type="dxa"/>
            <w:vAlign w:val="center"/>
          </w:tcPr>
          <w:p>
            <w:pPr>
              <w:pStyle w:val="23"/>
              <w:spacing w:line="168" w:lineRule="exact"/>
              <w:ind w:left="42" w:leftChars="20"/>
              <w:jc w:val="both"/>
              <w:rPr>
                <w:rFonts w:ascii="黑体" w:hAnsi="黑体" w:eastAsia="黑体"/>
                <w:b/>
                <w:sz w:val="15"/>
                <w:lang w:eastAsia="en-US"/>
              </w:rPr>
            </w:pPr>
          </w:p>
        </w:tc>
        <w:tc>
          <w:tcPr>
            <w:tcW w:w="824" w:type="dxa"/>
            <w:vAlign w:val="center"/>
          </w:tcPr>
          <w:p>
            <w:pPr>
              <w:pStyle w:val="23"/>
              <w:ind w:left="42" w:leftChars="20"/>
              <w:jc w:val="both"/>
              <w:rPr>
                <w:rFonts w:ascii="黑体" w:hAnsi="黑体" w:eastAsia="黑体"/>
                <w:b/>
                <w:sz w:val="14"/>
                <w:lang w:eastAsia="en-US"/>
              </w:rPr>
            </w:pPr>
          </w:p>
        </w:tc>
        <w:tc>
          <w:tcPr>
            <w:tcW w:w="1704" w:type="dxa"/>
            <w:gridSpan w:val="2"/>
            <w:vAlign w:val="center"/>
          </w:tcPr>
          <w:p>
            <w:pPr>
              <w:pStyle w:val="23"/>
              <w:ind w:left="42" w:leftChars="20"/>
              <w:jc w:val="both"/>
              <w:rPr>
                <w:rFonts w:ascii="黑体" w:hAnsi="黑体" w:eastAsia="黑体"/>
                <w:b/>
                <w:sz w:val="14"/>
                <w:lang w:eastAsia="en-US"/>
              </w:rPr>
            </w:pPr>
          </w:p>
        </w:tc>
        <w:tc>
          <w:tcPr>
            <w:tcW w:w="1017" w:type="dxa"/>
            <w:gridSpan w:val="2"/>
            <w:vAlign w:val="center"/>
          </w:tcPr>
          <w:p>
            <w:pPr>
              <w:pStyle w:val="23"/>
              <w:ind w:left="42" w:leftChars="20"/>
              <w:jc w:val="both"/>
              <w:rPr>
                <w:rFonts w:ascii="黑体" w:hAnsi="黑体" w:eastAsia="黑体"/>
                <w:sz w:val="1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567" w:type="dxa"/>
            <w:gridSpan w:val="2"/>
            <w:vMerge w:val="continue"/>
            <w:tcBorders>
              <w:top w:val="nil"/>
            </w:tcBorders>
            <w:vAlign w:val="center"/>
          </w:tcPr>
          <w:p>
            <w:pPr>
              <w:autoSpaceDE w:val="0"/>
              <w:autoSpaceDN w:val="0"/>
              <w:ind w:left="42" w:leftChars="20"/>
              <w:rPr>
                <w:rFonts w:ascii="黑体" w:hAnsi="黑体" w:eastAsia="黑体" w:cstheme="minorBidi"/>
                <w:b/>
                <w:sz w:val="2"/>
                <w:szCs w:val="2"/>
                <w:lang w:eastAsia="en-US"/>
              </w:rPr>
            </w:pPr>
          </w:p>
        </w:tc>
        <w:tc>
          <w:tcPr>
            <w:tcW w:w="1553" w:type="dxa"/>
            <w:gridSpan w:val="2"/>
            <w:vAlign w:val="center"/>
          </w:tcPr>
          <w:p>
            <w:pPr>
              <w:pStyle w:val="23"/>
              <w:spacing w:line="220" w:lineRule="exact"/>
              <w:ind w:left="42" w:leftChars="20"/>
              <w:jc w:val="both"/>
              <w:rPr>
                <w:rFonts w:ascii="黑体" w:hAnsi="黑体" w:eastAsia="黑体"/>
                <w:b/>
                <w:sz w:val="15"/>
                <w:lang w:eastAsia="en-US"/>
              </w:rPr>
            </w:pPr>
          </w:p>
        </w:tc>
        <w:tc>
          <w:tcPr>
            <w:tcW w:w="852" w:type="dxa"/>
            <w:vAlign w:val="center"/>
          </w:tcPr>
          <w:p>
            <w:pPr>
              <w:pStyle w:val="23"/>
              <w:ind w:left="42" w:leftChars="20"/>
              <w:jc w:val="both"/>
              <w:rPr>
                <w:rFonts w:ascii="黑体" w:hAnsi="黑体" w:eastAsia="黑体"/>
                <w:b/>
                <w:sz w:val="14"/>
                <w:lang w:eastAsia="en-US"/>
              </w:rPr>
            </w:pPr>
          </w:p>
        </w:tc>
        <w:tc>
          <w:tcPr>
            <w:tcW w:w="1145" w:type="dxa"/>
            <w:vAlign w:val="center"/>
          </w:tcPr>
          <w:p>
            <w:pPr>
              <w:pStyle w:val="23"/>
              <w:ind w:left="42" w:leftChars="20"/>
              <w:jc w:val="both"/>
              <w:rPr>
                <w:rFonts w:ascii="黑体" w:hAnsi="黑体" w:eastAsia="黑体"/>
                <w:b/>
                <w:sz w:val="14"/>
                <w:lang w:eastAsia="en-US"/>
              </w:rPr>
            </w:pPr>
          </w:p>
        </w:tc>
        <w:tc>
          <w:tcPr>
            <w:tcW w:w="1134" w:type="dxa"/>
            <w:gridSpan w:val="2"/>
            <w:vAlign w:val="center"/>
          </w:tcPr>
          <w:p>
            <w:pPr>
              <w:pStyle w:val="23"/>
              <w:ind w:left="42" w:leftChars="20"/>
              <w:jc w:val="both"/>
              <w:rPr>
                <w:rFonts w:ascii="黑体" w:hAnsi="黑体" w:eastAsia="黑体"/>
                <w:b/>
                <w:sz w:val="14"/>
                <w:lang w:eastAsia="en-US"/>
              </w:rPr>
            </w:pPr>
          </w:p>
        </w:tc>
        <w:tc>
          <w:tcPr>
            <w:tcW w:w="994" w:type="dxa"/>
            <w:vAlign w:val="center"/>
          </w:tcPr>
          <w:p>
            <w:pPr>
              <w:pStyle w:val="23"/>
              <w:ind w:left="42" w:leftChars="20"/>
              <w:jc w:val="both"/>
              <w:rPr>
                <w:rFonts w:ascii="黑体" w:hAnsi="黑体" w:eastAsia="黑体"/>
                <w:b/>
                <w:sz w:val="14"/>
                <w:lang w:eastAsia="en-US"/>
              </w:rPr>
            </w:pPr>
          </w:p>
        </w:tc>
        <w:tc>
          <w:tcPr>
            <w:tcW w:w="1424" w:type="dxa"/>
            <w:gridSpan w:val="2"/>
            <w:vAlign w:val="center"/>
          </w:tcPr>
          <w:p>
            <w:pPr>
              <w:pStyle w:val="23"/>
              <w:ind w:left="42" w:leftChars="20"/>
              <w:jc w:val="both"/>
              <w:rPr>
                <w:rFonts w:ascii="黑体" w:hAnsi="黑体" w:eastAsia="黑体"/>
                <w:b/>
                <w:sz w:val="14"/>
                <w:lang w:eastAsia="en-US"/>
              </w:rPr>
            </w:pPr>
          </w:p>
        </w:tc>
        <w:tc>
          <w:tcPr>
            <w:tcW w:w="1133" w:type="dxa"/>
            <w:gridSpan w:val="3"/>
            <w:vAlign w:val="center"/>
          </w:tcPr>
          <w:p>
            <w:pPr>
              <w:pStyle w:val="23"/>
              <w:ind w:left="42" w:leftChars="20"/>
              <w:jc w:val="both"/>
              <w:rPr>
                <w:rFonts w:ascii="黑体" w:hAnsi="黑体" w:eastAsia="黑体"/>
                <w:b/>
                <w:sz w:val="14"/>
                <w:lang w:eastAsia="en-US"/>
              </w:rPr>
            </w:pPr>
          </w:p>
        </w:tc>
        <w:tc>
          <w:tcPr>
            <w:tcW w:w="1133" w:type="dxa"/>
            <w:vAlign w:val="center"/>
          </w:tcPr>
          <w:p>
            <w:pPr>
              <w:pStyle w:val="23"/>
              <w:ind w:left="42" w:leftChars="20"/>
              <w:jc w:val="both"/>
              <w:rPr>
                <w:rFonts w:ascii="黑体" w:hAnsi="黑体" w:eastAsia="黑体"/>
                <w:b/>
                <w:sz w:val="14"/>
                <w:lang w:eastAsia="en-US"/>
              </w:rPr>
            </w:pPr>
          </w:p>
        </w:tc>
        <w:tc>
          <w:tcPr>
            <w:tcW w:w="1115" w:type="dxa"/>
            <w:vAlign w:val="center"/>
          </w:tcPr>
          <w:p>
            <w:pPr>
              <w:pStyle w:val="23"/>
              <w:ind w:left="42" w:leftChars="20"/>
              <w:jc w:val="both"/>
              <w:rPr>
                <w:rFonts w:ascii="黑体" w:hAnsi="黑体" w:eastAsia="黑体"/>
                <w:b/>
                <w:sz w:val="14"/>
                <w:lang w:eastAsia="en-US"/>
              </w:rPr>
            </w:pPr>
          </w:p>
        </w:tc>
        <w:tc>
          <w:tcPr>
            <w:tcW w:w="900" w:type="dxa"/>
            <w:vAlign w:val="center"/>
          </w:tcPr>
          <w:p>
            <w:pPr>
              <w:pStyle w:val="23"/>
              <w:ind w:left="42" w:leftChars="20"/>
              <w:jc w:val="both"/>
              <w:rPr>
                <w:rFonts w:ascii="黑体" w:hAnsi="黑体" w:eastAsia="黑体"/>
                <w:b/>
                <w:sz w:val="14"/>
                <w:lang w:eastAsia="en-US"/>
              </w:rPr>
            </w:pPr>
          </w:p>
        </w:tc>
        <w:tc>
          <w:tcPr>
            <w:tcW w:w="824" w:type="dxa"/>
            <w:vAlign w:val="center"/>
          </w:tcPr>
          <w:p>
            <w:pPr>
              <w:pStyle w:val="23"/>
              <w:ind w:left="42" w:leftChars="20"/>
              <w:jc w:val="both"/>
              <w:rPr>
                <w:rFonts w:ascii="黑体" w:hAnsi="黑体" w:eastAsia="黑体"/>
                <w:b/>
                <w:sz w:val="14"/>
                <w:lang w:eastAsia="en-US"/>
              </w:rPr>
            </w:pPr>
          </w:p>
        </w:tc>
        <w:tc>
          <w:tcPr>
            <w:tcW w:w="1704" w:type="dxa"/>
            <w:gridSpan w:val="2"/>
            <w:vAlign w:val="center"/>
          </w:tcPr>
          <w:p>
            <w:pPr>
              <w:pStyle w:val="23"/>
              <w:ind w:left="42" w:leftChars="20"/>
              <w:jc w:val="both"/>
              <w:rPr>
                <w:rFonts w:ascii="黑体" w:hAnsi="黑体" w:eastAsia="黑体"/>
                <w:b/>
                <w:sz w:val="14"/>
                <w:lang w:eastAsia="en-US"/>
              </w:rPr>
            </w:pPr>
          </w:p>
        </w:tc>
        <w:tc>
          <w:tcPr>
            <w:tcW w:w="1017" w:type="dxa"/>
            <w:gridSpan w:val="2"/>
            <w:vAlign w:val="center"/>
          </w:tcPr>
          <w:p>
            <w:pPr>
              <w:pStyle w:val="23"/>
              <w:ind w:left="42" w:leftChars="20"/>
              <w:jc w:val="both"/>
              <w:rPr>
                <w:rFonts w:ascii="黑体" w:hAnsi="黑体" w:eastAsia="黑体"/>
                <w:sz w:val="1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567" w:type="dxa"/>
            <w:gridSpan w:val="2"/>
            <w:vMerge w:val="continue"/>
            <w:tcBorders>
              <w:top w:val="nil"/>
            </w:tcBorders>
            <w:vAlign w:val="center"/>
          </w:tcPr>
          <w:p>
            <w:pPr>
              <w:autoSpaceDE w:val="0"/>
              <w:autoSpaceDN w:val="0"/>
              <w:ind w:left="42" w:leftChars="20"/>
              <w:rPr>
                <w:rFonts w:ascii="黑体" w:hAnsi="黑体" w:eastAsia="黑体" w:cstheme="minorBidi"/>
                <w:b/>
                <w:sz w:val="2"/>
                <w:szCs w:val="2"/>
                <w:lang w:eastAsia="en-US"/>
              </w:rPr>
            </w:pPr>
          </w:p>
        </w:tc>
        <w:tc>
          <w:tcPr>
            <w:tcW w:w="1553" w:type="dxa"/>
            <w:gridSpan w:val="2"/>
            <w:vAlign w:val="center"/>
          </w:tcPr>
          <w:p>
            <w:pPr>
              <w:pStyle w:val="23"/>
              <w:spacing w:line="220" w:lineRule="exact"/>
              <w:ind w:left="42" w:leftChars="20"/>
              <w:jc w:val="both"/>
              <w:rPr>
                <w:rFonts w:ascii="黑体" w:hAnsi="黑体" w:eastAsia="黑体"/>
                <w:b/>
                <w:sz w:val="15"/>
                <w:lang w:eastAsia="en-US"/>
              </w:rPr>
            </w:pPr>
          </w:p>
        </w:tc>
        <w:tc>
          <w:tcPr>
            <w:tcW w:w="852" w:type="dxa"/>
            <w:vAlign w:val="center"/>
          </w:tcPr>
          <w:p>
            <w:pPr>
              <w:pStyle w:val="23"/>
              <w:ind w:left="42" w:leftChars="20"/>
              <w:jc w:val="both"/>
              <w:rPr>
                <w:rFonts w:ascii="黑体" w:hAnsi="黑体" w:eastAsia="黑体"/>
                <w:b/>
                <w:sz w:val="14"/>
                <w:lang w:eastAsia="en-US"/>
              </w:rPr>
            </w:pPr>
          </w:p>
        </w:tc>
        <w:tc>
          <w:tcPr>
            <w:tcW w:w="1145" w:type="dxa"/>
            <w:vAlign w:val="center"/>
          </w:tcPr>
          <w:p>
            <w:pPr>
              <w:pStyle w:val="23"/>
              <w:ind w:left="42" w:leftChars="20"/>
              <w:jc w:val="both"/>
              <w:rPr>
                <w:rFonts w:ascii="黑体" w:hAnsi="黑体" w:eastAsia="黑体"/>
                <w:b/>
                <w:sz w:val="14"/>
                <w:lang w:eastAsia="en-US"/>
              </w:rPr>
            </w:pPr>
          </w:p>
        </w:tc>
        <w:tc>
          <w:tcPr>
            <w:tcW w:w="1134" w:type="dxa"/>
            <w:gridSpan w:val="2"/>
            <w:vAlign w:val="center"/>
          </w:tcPr>
          <w:p>
            <w:pPr>
              <w:pStyle w:val="23"/>
              <w:ind w:left="42" w:leftChars="20"/>
              <w:jc w:val="both"/>
              <w:rPr>
                <w:rFonts w:ascii="黑体" w:hAnsi="黑体" w:eastAsia="黑体"/>
                <w:b/>
                <w:sz w:val="14"/>
                <w:lang w:eastAsia="en-US"/>
              </w:rPr>
            </w:pPr>
          </w:p>
        </w:tc>
        <w:tc>
          <w:tcPr>
            <w:tcW w:w="994" w:type="dxa"/>
            <w:vAlign w:val="center"/>
          </w:tcPr>
          <w:p>
            <w:pPr>
              <w:pStyle w:val="23"/>
              <w:ind w:left="42" w:leftChars="20"/>
              <w:jc w:val="both"/>
              <w:rPr>
                <w:rFonts w:ascii="黑体" w:hAnsi="黑体" w:eastAsia="黑体"/>
                <w:b/>
                <w:sz w:val="14"/>
                <w:lang w:eastAsia="en-US"/>
              </w:rPr>
            </w:pPr>
          </w:p>
        </w:tc>
        <w:tc>
          <w:tcPr>
            <w:tcW w:w="1424" w:type="dxa"/>
            <w:gridSpan w:val="2"/>
            <w:vAlign w:val="center"/>
          </w:tcPr>
          <w:p>
            <w:pPr>
              <w:pStyle w:val="23"/>
              <w:ind w:left="42" w:leftChars="20"/>
              <w:jc w:val="both"/>
              <w:rPr>
                <w:rFonts w:ascii="黑体" w:hAnsi="黑体" w:eastAsia="黑体"/>
                <w:b/>
                <w:sz w:val="14"/>
                <w:lang w:eastAsia="en-US"/>
              </w:rPr>
            </w:pPr>
          </w:p>
        </w:tc>
        <w:tc>
          <w:tcPr>
            <w:tcW w:w="1133" w:type="dxa"/>
            <w:gridSpan w:val="3"/>
            <w:vAlign w:val="center"/>
          </w:tcPr>
          <w:p>
            <w:pPr>
              <w:pStyle w:val="23"/>
              <w:ind w:left="42" w:leftChars="20"/>
              <w:jc w:val="both"/>
              <w:rPr>
                <w:rFonts w:ascii="黑体" w:hAnsi="黑体" w:eastAsia="黑体"/>
                <w:b/>
                <w:sz w:val="14"/>
                <w:lang w:eastAsia="en-US"/>
              </w:rPr>
            </w:pPr>
          </w:p>
        </w:tc>
        <w:tc>
          <w:tcPr>
            <w:tcW w:w="1133" w:type="dxa"/>
            <w:vAlign w:val="center"/>
          </w:tcPr>
          <w:p>
            <w:pPr>
              <w:pStyle w:val="23"/>
              <w:ind w:left="42" w:leftChars="20"/>
              <w:jc w:val="both"/>
              <w:rPr>
                <w:rFonts w:ascii="黑体" w:hAnsi="黑体" w:eastAsia="黑体"/>
                <w:b/>
                <w:sz w:val="14"/>
                <w:lang w:eastAsia="en-US"/>
              </w:rPr>
            </w:pPr>
          </w:p>
        </w:tc>
        <w:tc>
          <w:tcPr>
            <w:tcW w:w="1115" w:type="dxa"/>
            <w:vAlign w:val="center"/>
          </w:tcPr>
          <w:p>
            <w:pPr>
              <w:pStyle w:val="23"/>
              <w:ind w:left="42" w:leftChars="20"/>
              <w:jc w:val="both"/>
              <w:rPr>
                <w:rFonts w:ascii="黑体" w:hAnsi="黑体" w:eastAsia="黑体"/>
                <w:b/>
                <w:sz w:val="14"/>
                <w:lang w:eastAsia="en-US"/>
              </w:rPr>
            </w:pPr>
          </w:p>
        </w:tc>
        <w:tc>
          <w:tcPr>
            <w:tcW w:w="900" w:type="dxa"/>
            <w:vAlign w:val="center"/>
          </w:tcPr>
          <w:p>
            <w:pPr>
              <w:pStyle w:val="23"/>
              <w:ind w:left="42" w:leftChars="20"/>
              <w:jc w:val="both"/>
              <w:rPr>
                <w:rFonts w:ascii="黑体" w:hAnsi="黑体" w:eastAsia="黑体"/>
                <w:b/>
                <w:sz w:val="14"/>
                <w:lang w:eastAsia="en-US"/>
              </w:rPr>
            </w:pPr>
          </w:p>
        </w:tc>
        <w:tc>
          <w:tcPr>
            <w:tcW w:w="824" w:type="dxa"/>
            <w:vAlign w:val="center"/>
          </w:tcPr>
          <w:p>
            <w:pPr>
              <w:pStyle w:val="23"/>
              <w:ind w:left="42" w:leftChars="20"/>
              <w:jc w:val="both"/>
              <w:rPr>
                <w:rFonts w:ascii="黑体" w:hAnsi="黑体" w:eastAsia="黑体"/>
                <w:b/>
                <w:sz w:val="14"/>
                <w:lang w:eastAsia="en-US"/>
              </w:rPr>
            </w:pPr>
          </w:p>
        </w:tc>
        <w:tc>
          <w:tcPr>
            <w:tcW w:w="1704" w:type="dxa"/>
            <w:gridSpan w:val="2"/>
            <w:vAlign w:val="center"/>
          </w:tcPr>
          <w:p>
            <w:pPr>
              <w:pStyle w:val="23"/>
              <w:ind w:left="42" w:leftChars="20"/>
              <w:jc w:val="both"/>
              <w:rPr>
                <w:rFonts w:ascii="黑体" w:hAnsi="黑体" w:eastAsia="黑体"/>
                <w:b/>
                <w:sz w:val="14"/>
                <w:lang w:eastAsia="en-US"/>
              </w:rPr>
            </w:pPr>
          </w:p>
        </w:tc>
        <w:tc>
          <w:tcPr>
            <w:tcW w:w="1017" w:type="dxa"/>
            <w:gridSpan w:val="2"/>
            <w:vAlign w:val="center"/>
          </w:tcPr>
          <w:p>
            <w:pPr>
              <w:pStyle w:val="23"/>
              <w:ind w:left="42" w:leftChars="20"/>
              <w:jc w:val="both"/>
              <w:rPr>
                <w:rFonts w:ascii="黑体" w:hAnsi="黑体" w:eastAsia="黑体"/>
                <w:sz w:val="1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0" w:hRule="atLeast"/>
        </w:trPr>
        <w:tc>
          <w:tcPr>
            <w:tcW w:w="567" w:type="dxa"/>
            <w:gridSpan w:val="2"/>
            <w:vMerge w:val="continue"/>
            <w:tcBorders>
              <w:top w:val="nil"/>
            </w:tcBorders>
            <w:vAlign w:val="center"/>
          </w:tcPr>
          <w:p>
            <w:pPr>
              <w:autoSpaceDE w:val="0"/>
              <w:autoSpaceDN w:val="0"/>
              <w:ind w:left="42" w:leftChars="20"/>
              <w:rPr>
                <w:rFonts w:ascii="黑体" w:hAnsi="黑体" w:eastAsia="黑体" w:cstheme="minorBidi"/>
                <w:b/>
                <w:sz w:val="2"/>
                <w:szCs w:val="2"/>
                <w:lang w:eastAsia="en-US"/>
              </w:rPr>
            </w:pPr>
          </w:p>
        </w:tc>
        <w:tc>
          <w:tcPr>
            <w:tcW w:w="1553" w:type="dxa"/>
            <w:gridSpan w:val="2"/>
            <w:vAlign w:val="center"/>
          </w:tcPr>
          <w:p>
            <w:pPr>
              <w:pStyle w:val="23"/>
              <w:spacing w:line="222" w:lineRule="exact"/>
              <w:ind w:left="42" w:leftChars="20"/>
              <w:jc w:val="both"/>
              <w:rPr>
                <w:rFonts w:ascii="黑体" w:hAnsi="黑体" w:eastAsia="黑体"/>
                <w:b/>
                <w:sz w:val="15"/>
                <w:lang w:eastAsia="en-US"/>
              </w:rPr>
            </w:pPr>
          </w:p>
        </w:tc>
        <w:tc>
          <w:tcPr>
            <w:tcW w:w="852" w:type="dxa"/>
            <w:vAlign w:val="center"/>
          </w:tcPr>
          <w:p>
            <w:pPr>
              <w:pStyle w:val="23"/>
              <w:ind w:left="42" w:leftChars="20"/>
              <w:jc w:val="both"/>
              <w:rPr>
                <w:rFonts w:ascii="黑体" w:hAnsi="黑体" w:eastAsia="黑体"/>
                <w:b/>
                <w:sz w:val="14"/>
                <w:lang w:eastAsia="en-US"/>
              </w:rPr>
            </w:pPr>
          </w:p>
        </w:tc>
        <w:tc>
          <w:tcPr>
            <w:tcW w:w="1145" w:type="dxa"/>
            <w:vAlign w:val="center"/>
          </w:tcPr>
          <w:p>
            <w:pPr>
              <w:pStyle w:val="23"/>
              <w:ind w:left="42" w:leftChars="20"/>
              <w:jc w:val="both"/>
              <w:rPr>
                <w:rFonts w:ascii="黑体" w:hAnsi="黑体" w:eastAsia="黑体"/>
                <w:b/>
                <w:sz w:val="14"/>
                <w:lang w:eastAsia="en-US"/>
              </w:rPr>
            </w:pPr>
          </w:p>
        </w:tc>
        <w:tc>
          <w:tcPr>
            <w:tcW w:w="1134" w:type="dxa"/>
            <w:gridSpan w:val="2"/>
            <w:vAlign w:val="center"/>
          </w:tcPr>
          <w:p>
            <w:pPr>
              <w:pStyle w:val="23"/>
              <w:ind w:left="42" w:leftChars="20"/>
              <w:jc w:val="both"/>
              <w:rPr>
                <w:rFonts w:ascii="黑体" w:hAnsi="黑体" w:eastAsia="黑体"/>
                <w:b/>
                <w:sz w:val="14"/>
                <w:lang w:eastAsia="en-US"/>
              </w:rPr>
            </w:pPr>
          </w:p>
        </w:tc>
        <w:tc>
          <w:tcPr>
            <w:tcW w:w="994" w:type="dxa"/>
            <w:vAlign w:val="center"/>
          </w:tcPr>
          <w:p>
            <w:pPr>
              <w:pStyle w:val="23"/>
              <w:ind w:left="42" w:leftChars="20"/>
              <w:jc w:val="both"/>
              <w:rPr>
                <w:rFonts w:ascii="黑体" w:hAnsi="黑体" w:eastAsia="黑体"/>
                <w:b/>
                <w:sz w:val="14"/>
                <w:lang w:eastAsia="en-US"/>
              </w:rPr>
            </w:pPr>
          </w:p>
        </w:tc>
        <w:tc>
          <w:tcPr>
            <w:tcW w:w="1424" w:type="dxa"/>
            <w:gridSpan w:val="2"/>
            <w:vAlign w:val="center"/>
          </w:tcPr>
          <w:p>
            <w:pPr>
              <w:pStyle w:val="23"/>
              <w:ind w:left="42" w:leftChars="20"/>
              <w:jc w:val="both"/>
              <w:rPr>
                <w:rFonts w:ascii="黑体" w:hAnsi="黑体" w:eastAsia="黑体"/>
                <w:b/>
                <w:sz w:val="14"/>
                <w:lang w:eastAsia="en-US"/>
              </w:rPr>
            </w:pPr>
          </w:p>
        </w:tc>
        <w:tc>
          <w:tcPr>
            <w:tcW w:w="1133" w:type="dxa"/>
            <w:gridSpan w:val="3"/>
            <w:vAlign w:val="center"/>
          </w:tcPr>
          <w:p>
            <w:pPr>
              <w:pStyle w:val="23"/>
              <w:ind w:left="42" w:leftChars="20"/>
              <w:jc w:val="both"/>
              <w:rPr>
                <w:rFonts w:ascii="黑体" w:hAnsi="黑体" w:eastAsia="黑体"/>
                <w:b/>
                <w:sz w:val="14"/>
                <w:lang w:eastAsia="en-US"/>
              </w:rPr>
            </w:pPr>
          </w:p>
        </w:tc>
        <w:tc>
          <w:tcPr>
            <w:tcW w:w="1133" w:type="dxa"/>
            <w:vAlign w:val="center"/>
          </w:tcPr>
          <w:p>
            <w:pPr>
              <w:pStyle w:val="23"/>
              <w:ind w:left="42" w:leftChars="20"/>
              <w:jc w:val="both"/>
              <w:rPr>
                <w:rFonts w:ascii="黑体" w:hAnsi="黑体" w:eastAsia="黑体"/>
                <w:b/>
                <w:sz w:val="14"/>
                <w:lang w:eastAsia="en-US"/>
              </w:rPr>
            </w:pPr>
          </w:p>
        </w:tc>
        <w:tc>
          <w:tcPr>
            <w:tcW w:w="1115" w:type="dxa"/>
            <w:vAlign w:val="center"/>
          </w:tcPr>
          <w:p>
            <w:pPr>
              <w:pStyle w:val="23"/>
              <w:ind w:left="42" w:leftChars="20"/>
              <w:jc w:val="both"/>
              <w:rPr>
                <w:rFonts w:ascii="黑体" w:hAnsi="黑体" w:eastAsia="黑体"/>
                <w:b/>
                <w:sz w:val="14"/>
                <w:lang w:eastAsia="en-US"/>
              </w:rPr>
            </w:pPr>
          </w:p>
        </w:tc>
        <w:tc>
          <w:tcPr>
            <w:tcW w:w="900" w:type="dxa"/>
            <w:vAlign w:val="center"/>
          </w:tcPr>
          <w:p>
            <w:pPr>
              <w:pStyle w:val="23"/>
              <w:ind w:left="42" w:leftChars="20"/>
              <w:jc w:val="both"/>
              <w:rPr>
                <w:rFonts w:ascii="黑体" w:hAnsi="黑体" w:eastAsia="黑体"/>
                <w:b/>
                <w:sz w:val="14"/>
                <w:lang w:eastAsia="en-US"/>
              </w:rPr>
            </w:pPr>
          </w:p>
        </w:tc>
        <w:tc>
          <w:tcPr>
            <w:tcW w:w="824" w:type="dxa"/>
            <w:vAlign w:val="center"/>
          </w:tcPr>
          <w:p>
            <w:pPr>
              <w:pStyle w:val="23"/>
              <w:ind w:left="42" w:leftChars="20"/>
              <w:jc w:val="both"/>
              <w:rPr>
                <w:rFonts w:ascii="黑体" w:hAnsi="黑体" w:eastAsia="黑体"/>
                <w:b/>
                <w:sz w:val="14"/>
                <w:lang w:eastAsia="en-US"/>
              </w:rPr>
            </w:pPr>
          </w:p>
        </w:tc>
        <w:tc>
          <w:tcPr>
            <w:tcW w:w="1704" w:type="dxa"/>
            <w:gridSpan w:val="2"/>
            <w:vAlign w:val="center"/>
          </w:tcPr>
          <w:p>
            <w:pPr>
              <w:pStyle w:val="23"/>
              <w:ind w:left="42" w:leftChars="20"/>
              <w:jc w:val="both"/>
              <w:rPr>
                <w:rFonts w:ascii="黑体" w:hAnsi="黑体" w:eastAsia="黑体"/>
                <w:b/>
                <w:sz w:val="14"/>
                <w:lang w:eastAsia="en-US"/>
              </w:rPr>
            </w:pPr>
          </w:p>
        </w:tc>
        <w:tc>
          <w:tcPr>
            <w:tcW w:w="1017" w:type="dxa"/>
            <w:gridSpan w:val="2"/>
            <w:vAlign w:val="center"/>
          </w:tcPr>
          <w:p>
            <w:pPr>
              <w:pStyle w:val="23"/>
              <w:ind w:left="42" w:leftChars="20"/>
              <w:jc w:val="both"/>
              <w:rPr>
                <w:rFonts w:ascii="黑体" w:hAnsi="黑体" w:eastAsia="黑体"/>
                <w:sz w:val="1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567" w:type="dxa"/>
            <w:gridSpan w:val="2"/>
            <w:vMerge w:val="continue"/>
            <w:tcBorders>
              <w:top w:val="nil"/>
            </w:tcBorders>
            <w:vAlign w:val="center"/>
          </w:tcPr>
          <w:p>
            <w:pPr>
              <w:autoSpaceDE w:val="0"/>
              <w:autoSpaceDN w:val="0"/>
              <w:ind w:left="42" w:leftChars="20"/>
              <w:rPr>
                <w:rFonts w:ascii="黑体" w:hAnsi="黑体" w:eastAsia="黑体" w:cstheme="minorBidi"/>
                <w:b/>
                <w:sz w:val="2"/>
                <w:szCs w:val="2"/>
                <w:lang w:eastAsia="en-US"/>
              </w:rPr>
            </w:pPr>
          </w:p>
        </w:tc>
        <w:tc>
          <w:tcPr>
            <w:tcW w:w="1553" w:type="dxa"/>
            <w:gridSpan w:val="2"/>
            <w:vAlign w:val="center"/>
          </w:tcPr>
          <w:p>
            <w:pPr>
              <w:pStyle w:val="23"/>
              <w:spacing w:line="220" w:lineRule="exact"/>
              <w:ind w:left="42" w:leftChars="20"/>
              <w:jc w:val="both"/>
              <w:rPr>
                <w:rFonts w:ascii="黑体" w:hAnsi="黑体" w:eastAsia="黑体"/>
                <w:b/>
                <w:sz w:val="15"/>
                <w:lang w:eastAsia="en-US"/>
              </w:rPr>
            </w:pPr>
          </w:p>
        </w:tc>
        <w:tc>
          <w:tcPr>
            <w:tcW w:w="852" w:type="dxa"/>
            <w:vAlign w:val="center"/>
          </w:tcPr>
          <w:p>
            <w:pPr>
              <w:pStyle w:val="23"/>
              <w:ind w:left="42" w:leftChars="20"/>
              <w:jc w:val="both"/>
              <w:rPr>
                <w:rFonts w:ascii="黑体" w:hAnsi="黑体" w:eastAsia="黑体"/>
                <w:b/>
                <w:sz w:val="14"/>
                <w:lang w:eastAsia="en-US"/>
              </w:rPr>
            </w:pPr>
          </w:p>
        </w:tc>
        <w:tc>
          <w:tcPr>
            <w:tcW w:w="1145" w:type="dxa"/>
            <w:vAlign w:val="center"/>
          </w:tcPr>
          <w:p>
            <w:pPr>
              <w:pStyle w:val="23"/>
              <w:ind w:left="42" w:leftChars="20"/>
              <w:jc w:val="both"/>
              <w:rPr>
                <w:rFonts w:ascii="黑体" w:hAnsi="黑体" w:eastAsia="黑体"/>
                <w:b/>
                <w:sz w:val="14"/>
                <w:lang w:eastAsia="en-US"/>
              </w:rPr>
            </w:pPr>
          </w:p>
        </w:tc>
        <w:tc>
          <w:tcPr>
            <w:tcW w:w="1134" w:type="dxa"/>
            <w:gridSpan w:val="2"/>
            <w:vAlign w:val="center"/>
          </w:tcPr>
          <w:p>
            <w:pPr>
              <w:pStyle w:val="23"/>
              <w:ind w:left="42" w:leftChars="20"/>
              <w:jc w:val="both"/>
              <w:rPr>
                <w:rFonts w:ascii="黑体" w:hAnsi="黑体" w:eastAsia="黑体"/>
                <w:b/>
                <w:sz w:val="14"/>
                <w:lang w:eastAsia="en-US"/>
              </w:rPr>
            </w:pPr>
          </w:p>
        </w:tc>
        <w:tc>
          <w:tcPr>
            <w:tcW w:w="994" w:type="dxa"/>
            <w:vAlign w:val="center"/>
          </w:tcPr>
          <w:p>
            <w:pPr>
              <w:pStyle w:val="23"/>
              <w:ind w:left="42" w:leftChars="20"/>
              <w:jc w:val="both"/>
              <w:rPr>
                <w:rFonts w:ascii="黑体" w:hAnsi="黑体" w:eastAsia="黑体"/>
                <w:b/>
                <w:sz w:val="14"/>
                <w:lang w:eastAsia="en-US"/>
              </w:rPr>
            </w:pPr>
          </w:p>
        </w:tc>
        <w:tc>
          <w:tcPr>
            <w:tcW w:w="1424" w:type="dxa"/>
            <w:gridSpan w:val="2"/>
            <w:vAlign w:val="center"/>
          </w:tcPr>
          <w:p>
            <w:pPr>
              <w:pStyle w:val="23"/>
              <w:ind w:left="42" w:leftChars="20"/>
              <w:jc w:val="both"/>
              <w:rPr>
                <w:rFonts w:ascii="黑体" w:hAnsi="黑体" w:eastAsia="黑体"/>
                <w:b/>
                <w:sz w:val="14"/>
                <w:lang w:eastAsia="en-US"/>
              </w:rPr>
            </w:pPr>
          </w:p>
        </w:tc>
        <w:tc>
          <w:tcPr>
            <w:tcW w:w="1133" w:type="dxa"/>
            <w:gridSpan w:val="3"/>
            <w:vAlign w:val="center"/>
          </w:tcPr>
          <w:p>
            <w:pPr>
              <w:pStyle w:val="23"/>
              <w:ind w:left="42" w:leftChars="20"/>
              <w:jc w:val="both"/>
              <w:rPr>
                <w:rFonts w:ascii="黑体" w:hAnsi="黑体" w:eastAsia="黑体"/>
                <w:b/>
                <w:sz w:val="14"/>
                <w:lang w:eastAsia="en-US"/>
              </w:rPr>
            </w:pPr>
          </w:p>
        </w:tc>
        <w:tc>
          <w:tcPr>
            <w:tcW w:w="1133" w:type="dxa"/>
            <w:vAlign w:val="center"/>
          </w:tcPr>
          <w:p>
            <w:pPr>
              <w:pStyle w:val="23"/>
              <w:ind w:left="42" w:leftChars="20"/>
              <w:jc w:val="both"/>
              <w:rPr>
                <w:rFonts w:ascii="黑体" w:hAnsi="黑体" w:eastAsia="黑体"/>
                <w:b/>
                <w:sz w:val="14"/>
                <w:lang w:eastAsia="en-US"/>
              </w:rPr>
            </w:pPr>
          </w:p>
        </w:tc>
        <w:tc>
          <w:tcPr>
            <w:tcW w:w="1115" w:type="dxa"/>
            <w:vAlign w:val="center"/>
          </w:tcPr>
          <w:p>
            <w:pPr>
              <w:pStyle w:val="23"/>
              <w:ind w:left="42" w:leftChars="20"/>
              <w:jc w:val="both"/>
              <w:rPr>
                <w:rFonts w:ascii="黑体" w:hAnsi="黑体" w:eastAsia="黑体"/>
                <w:b/>
                <w:sz w:val="14"/>
                <w:lang w:eastAsia="en-US"/>
              </w:rPr>
            </w:pPr>
          </w:p>
        </w:tc>
        <w:tc>
          <w:tcPr>
            <w:tcW w:w="900" w:type="dxa"/>
            <w:vAlign w:val="center"/>
          </w:tcPr>
          <w:p>
            <w:pPr>
              <w:pStyle w:val="23"/>
              <w:ind w:left="42" w:leftChars="20"/>
              <w:jc w:val="both"/>
              <w:rPr>
                <w:rFonts w:ascii="黑体" w:hAnsi="黑体" w:eastAsia="黑体"/>
                <w:b/>
                <w:sz w:val="14"/>
                <w:lang w:eastAsia="en-US"/>
              </w:rPr>
            </w:pPr>
          </w:p>
        </w:tc>
        <w:tc>
          <w:tcPr>
            <w:tcW w:w="824" w:type="dxa"/>
            <w:vAlign w:val="center"/>
          </w:tcPr>
          <w:p>
            <w:pPr>
              <w:pStyle w:val="23"/>
              <w:ind w:left="42" w:leftChars="20"/>
              <w:jc w:val="both"/>
              <w:rPr>
                <w:rFonts w:ascii="黑体" w:hAnsi="黑体" w:eastAsia="黑体"/>
                <w:b/>
                <w:sz w:val="14"/>
                <w:lang w:eastAsia="en-US"/>
              </w:rPr>
            </w:pPr>
          </w:p>
        </w:tc>
        <w:tc>
          <w:tcPr>
            <w:tcW w:w="1704" w:type="dxa"/>
            <w:gridSpan w:val="2"/>
            <w:vAlign w:val="center"/>
          </w:tcPr>
          <w:p>
            <w:pPr>
              <w:pStyle w:val="23"/>
              <w:ind w:left="42" w:leftChars="20"/>
              <w:jc w:val="both"/>
              <w:rPr>
                <w:rFonts w:ascii="黑体" w:hAnsi="黑体" w:eastAsia="黑体"/>
                <w:b/>
                <w:sz w:val="14"/>
                <w:lang w:eastAsia="en-US"/>
              </w:rPr>
            </w:pPr>
          </w:p>
        </w:tc>
        <w:tc>
          <w:tcPr>
            <w:tcW w:w="1017" w:type="dxa"/>
            <w:gridSpan w:val="2"/>
            <w:vAlign w:val="center"/>
          </w:tcPr>
          <w:p>
            <w:pPr>
              <w:pStyle w:val="23"/>
              <w:ind w:left="42" w:leftChars="20"/>
              <w:jc w:val="both"/>
              <w:rPr>
                <w:rFonts w:ascii="黑体" w:hAnsi="黑体" w:eastAsia="黑体"/>
                <w:sz w:val="1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567" w:type="dxa"/>
            <w:gridSpan w:val="2"/>
            <w:vMerge w:val="continue"/>
            <w:tcBorders>
              <w:top w:val="nil"/>
            </w:tcBorders>
            <w:vAlign w:val="center"/>
          </w:tcPr>
          <w:p>
            <w:pPr>
              <w:autoSpaceDE w:val="0"/>
              <w:autoSpaceDN w:val="0"/>
              <w:ind w:left="42" w:leftChars="20"/>
              <w:rPr>
                <w:rFonts w:ascii="黑体" w:hAnsi="黑体" w:eastAsia="黑体" w:cstheme="minorBidi"/>
                <w:b/>
                <w:sz w:val="2"/>
                <w:szCs w:val="2"/>
                <w:lang w:eastAsia="en-US"/>
              </w:rPr>
            </w:pPr>
          </w:p>
        </w:tc>
        <w:tc>
          <w:tcPr>
            <w:tcW w:w="1553" w:type="dxa"/>
            <w:gridSpan w:val="2"/>
            <w:vAlign w:val="center"/>
          </w:tcPr>
          <w:p>
            <w:pPr>
              <w:pStyle w:val="23"/>
              <w:spacing w:line="220" w:lineRule="exact"/>
              <w:ind w:left="42" w:leftChars="20"/>
              <w:jc w:val="both"/>
              <w:rPr>
                <w:rFonts w:ascii="黑体" w:hAnsi="黑体" w:eastAsia="黑体"/>
                <w:b/>
                <w:sz w:val="15"/>
                <w:lang w:eastAsia="en-US"/>
              </w:rPr>
            </w:pPr>
          </w:p>
        </w:tc>
        <w:tc>
          <w:tcPr>
            <w:tcW w:w="852" w:type="dxa"/>
            <w:vAlign w:val="center"/>
          </w:tcPr>
          <w:p>
            <w:pPr>
              <w:pStyle w:val="23"/>
              <w:ind w:left="42" w:leftChars="20"/>
              <w:jc w:val="both"/>
              <w:rPr>
                <w:rFonts w:ascii="黑体" w:hAnsi="黑体" w:eastAsia="黑体"/>
                <w:b/>
                <w:sz w:val="14"/>
                <w:lang w:eastAsia="en-US"/>
              </w:rPr>
            </w:pPr>
          </w:p>
        </w:tc>
        <w:tc>
          <w:tcPr>
            <w:tcW w:w="1145" w:type="dxa"/>
            <w:vAlign w:val="center"/>
          </w:tcPr>
          <w:p>
            <w:pPr>
              <w:pStyle w:val="23"/>
              <w:ind w:left="42" w:leftChars="20"/>
              <w:jc w:val="both"/>
              <w:rPr>
                <w:rFonts w:ascii="黑体" w:hAnsi="黑体" w:eastAsia="黑体"/>
                <w:b/>
                <w:sz w:val="14"/>
                <w:lang w:eastAsia="en-US"/>
              </w:rPr>
            </w:pPr>
          </w:p>
        </w:tc>
        <w:tc>
          <w:tcPr>
            <w:tcW w:w="1134" w:type="dxa"/>
            <w:gridSpan w:val="2"/>
            <w:vAlign w:val="center"/>
          </w:tcPr>
          <w:p>
            <w:pPr>
              <w:pStyle w:val="23"/>
              <w:ind w:left="42" w:leftChars="20"/>
              <w:jc w:val="both"/>
              <w:rPr>
                <w:rFonts w:ascii="黑体" w:hAnsi="黑体" w:eastAsia="黑体"/>
                <w:b/>
                <w:sz w:val="14"/>
                <w:lang w:eastAsia="en-US"/>
              </w:rPr>
            </w:pPr>
          </w:p>
        </w:tc>
        <w:tc>
          <w:tcPr>
            <w:tcW w:w="994" w:type="dxa"/>
            <w:vAlign w:val="center"/>
          </w:tcPr>
          <w:p>
            <w:pPr>
              <w:pStyle w:val="23"/>
              <w:ind w:left="42" w:leftChars="20"/>
              <w:jc w:val="both"/>
              <w:rPr>
                <w:rFonts w:ascii="黑体" w:hAnsi="黑体" w:eastAsia="黑体"/>
                <w:b/>
                <w:sz w:val="14"/>
                <w:lang w:eastAsia="en-US"/>
              </w:rPr>
            </w:pPr>
          </w:p>
        </w:tc>
        <w:tc>
          <w:tcPr>
            <w:tcW w:w="1424" w:type="dxa"/>
            <w:gridSpan w:val="2"/>
            <w:vAlign w:val="center"/>
          </w:tcPr>
          <w:p>
            <w:pPr>
              <w:pStyle w:val="23"/>
              <w:ind w:left="42" w:leftChars="20"/>
              <w:jc w:val="both"/>
              <w:rPr>
                <w:rFonts w:ascii="黑体" w:hAnsi="黑体" w:eastAsia="黑体"/>
                <w:b/>
                <w:sz w:val="14"/>
                <w:lang w:eastAsia="en-US"/>
              </w:rPr>
            </w:pPr>
          </w:p>
        </w:tc>
        <w:tc>
          <w:tcPr>
            <w:tcW w:w="1133" w:type="dxa"/>
            <w:gridSpan w:val="3"/>
            <w:vAlign w:val="center"/>
          </w:tcPr>
          <w:p>
            <w:pPr>
              <w:pStyle w:val="23"/>
              <w:ind w:left="42" w:leftChars="20"/>
              <w:jc w:val="both"/>
              <w:rPr>
                <w:rFonts w:ascii="黑体" w:hAnsi="黑体" w:eastAsia="黑体"/>
                <w:b/>
                <w:sz w:val="14"/>
                <w:lang w:eastAsia="en-US"/>
              </w:rPr>
            </w:pPr>
          </w:p>
        </w:tc>
        <w:tc>
          <w:tcPr>
            <w:tcW w:w="1133" w:type="dxa"/>
            <w:vAlign w:val="center"/>
          </w:tcPr>
          <w:p>
            <w:pPr>
              <w:pStyle w:val="23"/>
              <w:ind w:left="42" w:leftChars="20"/>
              <w:jc w:val="both"/>
              <w:rPr>
                <w:rFonts w:ascii="黑体" w:hAnsi="黑体" w:eastAsia="黑体"/>
                <w:b/>
                <w:sz w:val="14"/>
                <w:lang w:eastAsia="en-US"/>
              </w:rPr>
            </w:pPr>
          </w:p>
        </w:tc>
        <w:tc>
          <w:tcPr>
            <w:tcW w:w="1115" w:type="dxa"/>
            <w:vAlign w:val="center"/>
          </w:tcPr>
          <w:p>
            <w:pPr>
              <w:pStyle w:val="23"/>
              <w:ind w:left="42" w:leftChars="20"/>
              <w:jc w:val="both"/>
              <w:rPr>
                <w:rFonts w:ascii="黑体" w:hAnsi="黑体" w:eastAsia="黑体"/>
                <w:b/>
                <w:sz w:val="14"/>
                <w:lang w:eastAsia="en-US"/>
              </w:rPr>
            </w:pPr>
          </w:p>
        </w:tc>
        <w:tc>
          <w:tcPr>
            <w:tcW w:w="900" w:type="dxa"/>
            <w:vAlign w:val="center"/>
          </w:tcPr>
          <w:p>
            <w:pPr>
              <w:pStyle w:val="23"/>
              <w:ind w:left="42" w:leftChars="20"/>
              <w:jc w:val="both"/>
              <w:rPr>
                <w:rFonts w:ascii="黑体" w:hAnsi="黑体" w:eastAsia="黑体"/>
                <w:b/>
                <w:sz w:val="14"/>
                <w:lang w:eastAsia="en-US"/>
              </w:rPr>
            </w:pPr>
          </w:p>
        </w:tc>
        <w:tc>
          <w:tcPr>
            <w:tcW w:w="824" w:type="dxa"/>
            <w:vAlign w:val="center"/>
          </w:tcPr>
          <w:p>
            <w:pPr>
              <w:pStyle w:val="23"/>
              <w:ind w:left="42" w:leftChars="20"/>
              <w:jc w:val="both"/>
              <w:rPr>
                <w:rFonts w:ascii="黑体" w:hAnsi="黑体" w:eastAsia="黑体"/>
                <w:b/>
                <w:sz w:val="14"/>
                <w:lang w:eastAsia="en-US"/>
              </w:rPr>
            </w:pPr>
          </w:p>
        </w:tc>
        <w:tc>
          <w:tcPr>
            <w:tcW w:w="1704" w:type="dxa"/>
            <w:gridSpan w:val="2"/>
            <w:vAlign w:val="center"/>
          </w:tcPr>
          <w:p>
            <w:pPr>
              <w:pStyle w:val="23"/>
              <w:ind w:left="42" w:leftChars="20"/>
              <w:jc w:val="both"/>
              <w:rPr>
                <w:rFonts w:ascii="黑体" w:hAnsi="黑体" w:eastAsia="黑体"/>
                <w:b/>
                <w:sz w:val="14"/>
                <w:lang w:eastAsia="en-US"/>
              </w:rPr>
            </w:pPr>
          </w:p>
        </w:tc>
        <w:tc>
          <w:tcPr>
            <w:tcW w:w="1017" w:type="dxa"/>
            <w:gridSpan w:val="2"/>
            <w:vAlign w:val="center"/>
          </w:tcPr>
          <w:p>
            <w:pPr>
              <w:pStyle w:val="23"/>
              <w:ind w:left="42" w:leftChars="20"/>
              <w:jc w:val="both"/>
              <w:rPr>
                <w:rFonts w:ascii="黑体" w:hAnsi="黑体" w:eastAsia="黑体"/>
                <w:sz w:val="1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567" w:type="dxa"/>
            <w:gridSpan w:val="2"/>
            <w:vMerge w:val="continue"/>
            <w:tcBorders>
              <w:top w:val="nil"/>
            </w:tcBorders>
            <w:vAlign w:val="center"/>
          </w:tcPr>
          <w:p>
            <w:pPr>
              <w:autoSpaceDE w:val="0"/>
              <w:autoSpaceDN w:val="0"/>
              <w:ind w:left="42" w:leftChars="20"/>
              <w:rPr>
                <w:rFonts w:ascii="黑体" w:hAnsi="黑体" w:eastAsia="黑体" w:cstheme="minorBidi"/>
                <w:b/>
                <w:sz w:val="2"/>
                <w:szCs w:val="2"/>
                <w:lang w:eastAsia="en-US"/>
              </w:rPr>
            </w:pPr>
          </w:p>
        </w:tc>
        <w:tc>
          <w:tcPr>
            <w:tcW w:w="993" w:type="dxa"/>
            <w:vMerge w:val="restart"/>
            <w:vAlign w:val="center"/>
          </w:tcPr>
          <w:p>
            <w:pPr>
              <w:pStyle w:val="23"/>
              <w:spacing w:line="240" w:lineRule="exact"/>
              <w:ind w:left="42" w:leftChars="20" w:right="42" w:rightChars="20"/>
              <w:jc w:val="both"/>
              <w:rPr>
                <w:rFonts w:ascii="黑体" w:hAnsi="黑体" w:eastAsia="黑体"/>
                <w:b/>
                <w:sz w:val="15"/>
                <w:lang w:eastAsia="en-US"/>
              </w:rPr>
            </w:pPr>
            <w:r>
              <w:rPr>
                <w:rFonts w:hint="eastAsia" w:ascii="黑体" w:hAnsi="黑体" w:eastAsia="黑体" w:cs="宋体"/>
                <w:b/>
                <w:sz w:val="15"/>
                <w:lang w:eastAsia="en-US"/>
              </w:rPr>
              <w:t>与项目有关的其他特征污染物</w:t>
            </w:r>
          </w:p>
        </w:tc>
        <w:tc>
          <w:tcPr>
            <w:tcW w:w="560" w:type="dxa"/>
            <w:vAlign w:val="center"/>
          </w:tcPr>
          <w:p>
            <w:pPr>
              <w:pStyle w:val="23"/>
              <w:ind w:left="42" w:leftChars="20"/>
              <w:jc w:val="both"/>
              <w:rPr>
                <w:rFonts w:ascii="黑体" w:hAnsi="黑体" w:eastAsia="黑体"/>
                <w:b/>
                <w:sz w:val="14"/>
                <w:lang w:eastAsia="en-US"/>
              </w:rPr>
            </w:pPr>
          </w:p>
        </w:tc>
        <w:tc>
          <w:tcPr>
            <w:tcW w:w="852" w:type="dxa"/>
            <w:vAlign w:val="center"/>
          </w:tcPr>
          <w:p>
            <w:pPr>
              <w:pStyle w:val="23"/>
              <w:ind w:left="42" w:leftChars="20"/>
              <w:jc w:val="both"/>
              <w:rPr>
                <w:rFonts w:ascii="黑体" w:hAnsi="黑体" w:eastAsia="黑体"/>
                <w:b/>
                <w:sz w:val="14"/>
                <w:lang w:eastAsia="en-US"/>
              </w:rPr>
            </w:pPr>
          </w:p>
        </w:tc>
        <w:tc>
          <w:tcPr>
            <w:tcW w:w="1145" w:type="dxa"/>
            <w:vAlign w:val="center"/>
          </w:tcPr>
          <w:p>
            <w:pPr>
              <w:pStyle w:val="23"/>
              <w:ind w:left="42" w:leftChars="20"/>
              <w:jc w:val="both"/>
              <w:rPr>
                <w:rFonts w:ascii="黑体" w:hAnsi="黑体" w:eastAsia="黑体"/>
                <w:b/>
                <w:sz w:val="14"/>
                <w:lang w:eastAsia="en-US"/>
              </w:rPr>
            </w:pPr>
          </w:p>
        </w:tc>
        <w:tc>
          <w:tcPr>
            <w:tcW w:w="1134" w:type="dxa"/>
            <w:gridSpan w:val="2"/>
            <w:vAlign w:val="center"/>
          </w:tcPr>
          <w:p>
            <w:pPr>
              <w:pStyle w:val="23"/>
              <w:ind w:left="42" w:leftChars="20"/>
              <w:jc w:val="both"/>
              <w:rPr>
                <w:rFonts w:ascii="黑体" w:hAnsi="黑体" w:eastAsia="黑体"/>
                <w:b/>
                <w:sz w:val="14"/>
                <w:lang w:eastAsia="en-US"/>
              </w:rPr>
            </w:pPr>
          </w:p>
        </w:tc>
        <w:tc>
          <w:tcPr>
            <w:tcW w:w="994" w:type="dxa"/>
            <w:vAlign w:val="center"/>
          </w:tcPr>
          <w:p>
            <w:pPr>
              <w:pStyle w:val="23"/>
              <w:ind w:left="42" w:leftChars="20"/>
              <w:jc w:val="both"/>
              <w:rPr>
                <w:rFonts w:ascii="黑体" w:hAnsi="黑体" w:eastAsia="黑体"/>
                <w:b/>
                <w:sz w:val="14"/>
                <w:lang w:eastAsia="en-US"/>
              </w:rPr>
            </w:pPr>
          </w:p>
        </w:tc>
        <w:tc>
          <w:tcPr>
            <w:tcW w:w="1424" w:type="dxa"/>
            <w:gridSpan w:val="2"/>
            <w:vAlign w:val="center"/>
          </w:tcPr>
          <w:p>
            <w:pPr>
              <w:pStyle w:val="23"/>
              <w:ind w:left="42" w:leftChars="20"/>
              <w:jc w:val="both"/>
              <w:rPr>
                <w:rFonts w:ascii="黑体" w:hAnsi="黑体" w:eastAsia="黑体"/>
                <w:b/>
                <w:sz w:val="14"/>
                <w:lang w:eastAsia="en-US"/>
              </w:rPr>
            </w:pPr>
          </w:p>
        </w:tc>
        <w:tc>
          <w:tcPr>
            <w:tcW w:w="1133" w:type="dxa"/>
            <w:gridSpan w:val="3"/>
            <w:vAlign w:val="center"/>
          </w:tcPr>
          <w:p>
            <w:pPr>
              <w:pStyle w:val="23"/>
              <w:ind w:left="42" w:leftChars="20"/>
              <w:jc w:val="both"/>
              <w:rPr>
                <w:rFonts w:ascii="黑体" w:hAnsi="黑体" w:eastAsia="黑体"/>
                <w:b/>
                <w:sz w:val="14"/>
                <w:lang w:eastAsia="en-US"/>
              </w:rPr>
            </w:pPr>
          </w:p>
        </w:tc>
        <w:tc>
          <w:tcPr>
            <w:tcW w:w="1133" w:type="dxa"/>
            <w:vAlign w:val="center"/>
          </w:tcPr>
          <w:p>
            <w:pPr>
              <w:pStyle w:val="23"/>
              <w:ind w:left="42" w:leftChars="20"/>
              <w:jc w:val="both"/>
              <w:rPr>
                <w:rFonts w:ascii="黑体" w:hAnsi="黑体" w:eastAsia="黑体"/>
                <w:b/>
                <w:sz w:val="14"/>
                <w:lang w:eastAsia="en-US"/>
              </w:rPr>
            </w:pPr>
          </w:p>
        </w:tc>
        <w:tc>
          <w:tcPr>
            <w:tcW w:w="1115" w:type="dxa"/>
            <w:vAlign w:val="center"/>
          </w:tcPr>
          <w:p>
            <w:pPr>
              <w:pStyle w:val="23"/>
              <w:ind w:left="42" w:leftChars="20"/>
              <w:jc w:val="both"/>
              <w:rPr>
                <w:rFonts w:ascii="黑体" w:hAnsi="黑体" w:eastAsia="黑体"/>
                <w:b/>
                <w:sz w:val="14"/>
                <w:lang w:eastAsia="en-US"/>
              </w:rPr>
            </w:pPr>
          </w:p>
        </w:tc>
        <w:tc>
          <w:tcPr>
            <w:tcW w:w="900" w:type="dxa"/>
            <w:vAlign w:val="center"/>
          </w:tcPr>
          <w:p>
            <w:pPr>
              <w:pStyle w:val="23"/>
              <w:ind w:left="42" w:leftChars="20"/>
              <w:jc w:val="both"/>
              <w:rPr>
                <w:rFonts w:ascii="黑体" w:hAnsi="黑体" w:eastAsia="黑体"/>
                <w:b/>
                <w:sz w:val="14"/>
                <w:lang w:eastAsia="en-US"/>
              </w:rPr>
            </w:pPr>
          </w:p>
        </w:tc>
        <w:tc>
          <w:tcPr>
            <w:tcW w:w="824" w:type="dxa"/>
            <w:vAlign w:val="center"/>
          </w:tcPr>
          <w:p>
            <w:pPr>
              <w:pStyle w:val="23"/>
              <w:ind w:left="42" w:leftChars="20"/>
              <w:jc w:val="both"/>
              <w:rPr>
                <w:rFonts w:ascii="黑体" w:hAnsi="黑体" w:eastAsia="黑体"/>
                <w:b/>
                <w:sz w:val="14"/>
                <w:lang w:eastAsia="en-US"/>
              </w:rPr>
            </w:pPr>
          </w:p>
        </w:tc>
        <w:tc>
          <w:tcPr>
            <w:tcW w:w="1704" w:type="dxa"/>
            <w:gridSpan w:val="2"/>
            <w:vAlign w:val="center"/>
          </w:tcPr>
          <w:p>
            <w:pPr>
              <w:pStyle w:val="23"/>
              <w:ind w:left="42" w:leftChars="20"/>
              <w:jc w:val="both"/>
              <w:rPr>
                <w:rFonts w:ascii="黑体" w:hAnsi="黑体" w:eastAsia="黑体"/>
                <w:b/>
                <w:sz w:val="14"/>
                <w:lang w:eastAsia="en-US"/>
              </w:rPr>
            </w:pPr>
          </w:p>
        </w:tc>
        <w:tc>
          <w:tcPr>
            <w:tcW w:w="1017" w:type="dxa"/>
            <w:gridSpan w:val="2"/>
            <w:vAlign w:val="center"/>
          </w:tcPr>
          <w:p>
            <w:pPr>
              <w:pStyle w:val="23"/>
              <w:ind w:left="42" w:leftChars="20"/>
              <w:jc w:val="both"/>
              <w:rPr>
                <w:rFonts w:ascii="黑体" w:hAnsi="黑体" w:eastAsia="黑体"/>
                <w:sz w:val="1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567" w:type="dxa"/>
            <w:gridSpan w:val="2"/>
            <w:vMerge w:val="continue"/>
            <w:tcBorders>
              <w:top w:val="nil"/>
            </w:tcBorders>
            <w:vAlign w:val="center"/>
          </w:tcPr>
          <w:p>
            <w:pPr>
              <w:autoSpaceDE w:val="0"/>
              <w:autoSpaceDN w:val="0"/>
              <w:ind w:left="42" w:leftChars="20"/>
              <w:rPr>
                <w:rFonts w:ascii="黑体" w:hAnsi="黑体" w:eastAsia="黑体" w:cstheme="minorBidi"/>
                <w:b/>
                <w:sz w:val="2"/>
                <w:szCs w:val="2"/>
                <w:lang w:eastAsia="en-US"/>
              </w:rPr>
            </w:pPr>
          </w:p>
        </w:tc>
        <w:tc>
          <w:tcPr>
            <w:tcW w:w="993" w:type="dxa"/>
            <w:vMerge w:val="continue"/>
            <w:tcBorders>
              <w:top w:val="nil"/>
            </w:tcBorders>
            <w:vAlign w:val="center"/>
          </w:tcPr>
          <w:p>
            <w:pPr>
              <w:autoSpaceDE w:val="0"/>
              <w:autoSpaceDN w:val="0"/>
              <w:ind w:left="42" w:leftChars="20"/>
              <w:rPr>
                <w:rFonts w:ascii="黑体" w:hAnsi="黑体" w:eastAsia="黑体" w:cstheme="minorBidi"/>
                <w:b/>
                <w:sz w:val="2"/>
                <w:szCs w:val="2"/>
                <w:lang w:eastAsia="en-US"/>
              </w:rPr>
            </w:pPr>
          </w:p>
        </w:tc>
        <w:tc>
          <w:tcPr>
            <w:tcW w:w="560" w:type="dxa"/>
            <w:tcBorders>
              <w:bottom w:val="single" w:color="auto" w:sz="4" w:space="0"/>
            </w:tcBorders>
            <w:vAlign w:val="center"/>
          </w:tcPr>
          <w:p>
            <w:pPr>
              <w:pStyle w:val="23"/>
              <w:ind w:left="42" w:leftChars="20"/>
              <w:jc w:val="both"/>
              <w:rPr>
                <w:rFonts w:ascii="黑体" w:hAnsi="黑体" w:eastAsia="黑体"/>
                <w:b/>
                <w:sz w:val="14"/>
                <w:lang w:eastAsia="en-US"/>
              </w:rPr>
            </w:pPr>
          </w:p>
        </w:tc>
        <w:tc>
          <w:tcPr>
            <w:tcW w:w="852" w:type="dxa"/>
            <w:vAlign w:val="center"/>
          </w:tcPr>
          <w:p>
            <w:pPr>
              <w:pStyle w:val="23"/>
              <w:ind w:left="42" w:leftChars="20"/>
              <w:jc w:val="both"/>
              <w:rPr>
                <w:rFonts w:ascii="黑体" w:hAnsi="黑体" w:eastAsia="黑体"/>
                <w:b/>
                <w:sz w:val="14"/>
                <w:lang w:eastAsia="en-US"/>
              </w:rPr>
            </w:pPr>
          </w:p>
        </w:tc>
        <w:tc>
          <w:tcPr>
            <w:tcW w:w="1145" w:type="dxa"/>
            <w:vAlign w:val="center"/>
          </w:tcPr>
          <w:p>
            <w:pPr>
              <w:pStyle w:val="23"/>
              <w:ind w:left="42" w:leftChars="20"/>
              <w:jc w:val="both"/>
              <w:rPr>
                <w:rFonts w:ascii="黑体" w:hAnsi="黑体" w:eastAsia="黑体"/>
                <w:b/>
                <w:sz w:val="14"/>
                <w:lang w:eastAsia="en-US"/>
              </w:rPr>
            </w:pPr>
          </w:p>
        </w:tc>
        <w:tc>
          <w:tcPr>
            <w:tcW w:w="1134" w:type="dxa"/>
            <w:gridSpan w:val="2"/>
            <w:vAlign w:val="center"/>
          </w:tcPr>
          <w:p>
            <w:pPr>
              <w:pStyle w:val="23"/>
              <w:ind w:left="42" w:leftChars="20"/>
              <w:jc w:val="both"/>
              <w:rPr>
                <w:rFonts w:ascii="黑体" w:hAnsi="黑体" w:eastAsia="黑体"/>
                <w:b/>
                <w:sz w:val="14"/>
                <w:lang w:eastAsia="en-US"/>
              </w:rPr>
            </w:pPr>
          </w:p>
        </w:tc>
        <w:tc>
          <w:tcPr>
            <w:tcW w:w="994" w:type="dxa"/>
            <w:vAlign w:val="center"/>
          </w:tcPr>
          <w:p>
            <w:pPr>
              <w:pStyle w:val="23"/>
              <w:ind w:left="42" w:leftChars="20"/>
              <w:jc w:val="both"/>
              <w:rPr>
                <w:rFonts w:ascii="黑体" w:hAnsi="黑体" w:eastAsia="黑体"/>
                <w:b/>
                <w:sz w:val="14"/>
                <w:lang w:eastAsia="en-US"/>
              </w:rPr>
            </w:pPr>
          </w:p>
        </w:tc>
        <w:tc>
          <w:tcPr>
            <w:tcW w:w="1424" w:type="dxa"/>
            <w:gridSpan w:val="2"/>
            <w:vAlign w:val="center"/>
          </w:tcPr>
          <w:p>
            <w:pPr>
              <w:pStyle w:val="23"/>
              <w:ind w:left="42" w:leftChars="20"/>
              <w:jc w:val="both"/>
              <w:rPr>
                <w:rFonts w:ascii="黑体" w:hAnsi="黑体" w:eastAsia="黑体"/>
                <w:b/>
                <w:sz w:val="14"/>
                <w:lang w:eastAsia="en-US"/>
              </w:rPr>
            </w:pPr>
          </w:p>
        </w:tc>
        <w:tc>
          <w:tcPr>
            <w:tcW w:w="1133" w:type="dxa"/>
            <w:gridSpan w:val="3"/>
            <w:vAlign w:val="center"/>
          </w:tcPr>
          <w:p>
            <w:pPr>
              <w:pStyle w:val="23"/>
              <w:ind w:left="42" w:leftChars="20"/>
              <w:jc w:val="both"/>
              <w:rPr>
                <w:rFonts w:ascii="黑体" w:hAnsi="黑体" w:eastAsia="黑体"/>
                <w:b/>
                <w:sz w:val="14"/>
                <w:lang w:eastAsia="en-US"/>
              </w:rPr>
            </w:pPr>
          </w:p>
        </w:tc>
        <w:tc>
          <w:tcPr>
            <w:tcW w:w="1133" w:type="dxa"/>
            <w:vAlign w:val="center"/>
          </w:tcPr>
          <w:p>
            <w:pPr>
              <w:pStyle w:val="23"/>
              <w:ind w:left="42" w:leftChars="20"/>
              <w:jc w:val="both"/>
              <w:rPr>
                <w:rFonts w:ascii="黑体" w:hAnsi="黑体" w:eastAsia="黑体"/>
                <w:b/>
                <w:sz w:val="14"/>
                <w:lang w:eastAsia="en-US"/>
              </w:rPr>
            </w:pPr>
          </w:p>
        </w:tc>
        <w:tc>
          <w:tcPr>
            <w:tcW w:w="1115" w:type="dxa"/>
            <w:vAlign w:val="center"/>
          </w:tcPr>
          <w:p>
            <w:pPr>
              <w:pStyle w:val="23"/>
              <w:ind w:left="42" w:leftChars="20"/>
              <w:jc w:val="both"/>
              <w:rPr>
                <w:rFonts w:ascii="黑体" w:hAnsi="黑体" w:eastAsia="黑体"/>
                <w:b/>
                <w:sz w:val="14"/>
                <w:lang w:eastAsia="en-US"/>
              </w:rPr>
            </w:pPr>
          </w:p>
        </w:tc>
        <w:tc>
          <w:tcPr>
            <w:tcW w:w="900" w:type="dxa"/>
            <w:vAlign w:val="center"/>
          </w:tcPr>
          <w:p>
            <w:pPr>
              <w:pStyle w:val="23"/>
              <w:ind w:left="42" w:leftChars="20"/>
              <w:jc w:val="both"/>
              <w:rPr>
                <w:rFonts w:ascii="黑体" w:hAnsi="黑体" w:eastAsia="黑体"/>
                <w:b/>
                <w:sz w:val="14"/>
                <w:lang w:eastAsia="en-US"/>
              </w:rPr>
            </w:pPr>
          </w:p>
        </w:tc>
        <w:tc>
          <w:tcPr>
            <w:tcW w:w="824" w:type="dxa"/>
            <w:vAlign w:val="center"/>
          </w:tcPr>
          <w:p>
            <w:pPr>
              <w:pStyle w:val="23"/>
              <w:ind w:left="42" w:leftChars="20"/>
              <w:jc w:val="both"/>
              <w:rPr>
                <w:rFonts w:ascii="黑体" w:hAnsi="黑体" w:eastAsia="黑体"/>
                <w:b/>
                <w:sz w:val="14"/>
                <w:lang w:eastAsia="en-US"/>
              </w:rPr>
            </w:pPr>
          </w:p>
        </w:tc>
        <w:tc>
          <w:tcPr>
            <w:tcW w:w="1704" w:type="dxa"/>
            <w:gridSpan w:val="2"/>
            <w:vAlign w:val="center"/>
          </w:tcPr>
          <w:p>
            <w:pPr>
              <w:pStyle w:val="23"/>
              <w:ind w:left="42" w:leftChars="20"/>
              <w:jc w:val="both"/>
              <w:rPr>
                <w:rFonts w:ascii="黑体" w:hAnsi="黑体" w:eastAsia="黑体"/>
                <w:b/>
                <w:sz w:val="14"/>
                <w:lang w:eastAsia="en-US"/>
              </w:rPr>
            </w:pPr>
          </w:p>
        </w:tc>
        <w:tc>
          <w:tcPr>
            <w:tcW w:w="1017" w:type="dxa"/>
            <w:gridSpan w:val="2"/>
            <w:vAlign w:val="center"/>
          </w:tcPr>
          <w:p>
            <w:pPr>
              <w:pStyle w:val="23"/>
              <w:ind w:left="42" w:leftChars="20"/>
              <w:jc w:val="both"/>
              <w:rPr>
                <w:rFonts w:ascii="黑体" w:hAnsi="黑体" w:eastAsia="黑体"/>
                <w:sz w:val="1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0" w:hRule="atLeast"/>
        </w:trPr>
        <w:tc>
          <w:tcPr>
            <w:tcW w:w="567" w:type="dxa"/>
            <w:gridSpan w:val="2"/>
            <w:vMerge w:val="continue"/>
            <w:tcBorders>
              <w:top w:val="nil"/>
            </w:tcBorders>
            <w:vAlign w:val="center"/>
          </w:tcPr>
          <w:p>
            <w:pPr>
              <w:autoSpaceDE w:val="0"/>
              <w:autoSpaceDN w:val="0"/>
              <w:ind w:left="42" w:leftChars="20"/>
              <w:rPr>
                <w:rFonts w:ascii="黑体" w:hAnsi="黑体" w:eastAsia="黑体" w:cstheme="minorBidi"/>
                <w:sz w:val="2"/>
                <w:szCs w:val="2"/>
                <w:lang w:eastAsia="en-US"/>
              </w:rPr>
            </w:pPr>
          </w:p>
        </w:tc>
        <w:tc>
          <w:tcPr>
            <w:tcW w:w="993" w:type="dxa"/>
            <w:vMerge w:val="continue"/>
            <w:tcBorders>
              <w:top w:val="nil"/>
              <w:right w:val="single" w:color="auto" w:sz="4" w:space="0"/>
            </w:tcBorders>
            <w:vAlign w:val="center"/>
          </w:tcPr>
          <w:p>
            <w:pPr>
              <w:autoSpaceDE w:val="0"/>
              <w:autoSpaceDN w:val="0"/>
              <w:ind w:left="42" w:leftChars="20"/>
              <w:rPr>
                <w:rFonts w:ascii="黑体" w:hAnsi="黑体" w:eastAsia="黑体" w:cstheme="minorBidi"/>
                <w:sz w:val="2"/>
                <w:szCs w:val="2"/>
                <w:lang w:eastAsia="en-US"/>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23"/>
              <w:ind w:left="42" w:leftChars="20"/>
              <w:jc w:val="both"/>
              <w:rPr>
                <w:rFonts w:ascii="黑体" w:hAnsi="黑体" w:eastAsia="黑体"/>
                <w:sz w:val="14"/>
                <w:lang w:eastAsia="en-US"/>
              </w:rPr>
            </w:pPr>
          </w:p>
        </w:tc>
        <w:tc>
          <w:tcPr>
            <w:tcW w:w="852" w:type="dxa"/>
            <w:tcBorders>
              <w:left w:val="single" w:color="auto" w:sz="4" w:space="0"/>
            </w:tcBorders>
            <w:vAlign w:val="center"/>
          </w:tcPr>
          <w:p>
            <w:pPr>
              <w:pStyle w:val="23"/>
              <w:ind w:left="42" w:leftChars="20"/>
              <w:jc w:val="both"/>
              <w:rPr>
                <w:rFonts w:ascii="黑体" w:hAnsi="黑体" w:eastAsia="黑体"/>
                <w:sz w:val="14"/>
                <w:lang w:eastAsia="en-US"/>
              </w:rPr>
            </w:pPr>
          </w:p>
        </w:tc>
        <w:tc>
          <w:tcPr>
            <w:tcW w:w="1145" w:type="dxa"/>
            <w:vAlign w:val="center"/>
          </w:tcPr>
          <w:p>
            <w:pPr>
              <w:pStyle w:val="23"/>
              <w:ind w:left="42" w:leftChars="20"/>
              <w:jc w:val="both"/>
              <w:rPr>
                <w:rFonts w:ascii="黑体" w:hAnsi="黑体" w:eastAsia="黑体"/>
                <w:sz w:val="14"/>
                <w:lang w:eastAsia="en-US"/>
              </w:rPr>
            </w:pPr>
          </w:p>
        </w:tc>
        <w:tc>
          <w:tcPr>
            <w:tcW w:w="1134" w:type="dxa"/>
            <w:gridSpan w:val="2"/>
            <w:vAlign w:val="center"/>
          </w:tcPr>
          <w:p>
            <w:pPr>
              <w:pStyle w:val="23"/>
              <w:ind w:left="42" w:leftChars="20"/>
              <w:jc w:val="both"/>
              <w:rPr>
                <w:rFonts w:ascii="黑体" w:hAnsi="黑体" w:eastAsia="黑体"/>
                <w:sz w:val="14"/>
                <w:lang w:eastAsia="en-US"/>
              </w:rPr>
            </w:pPr>
          </w:p>
        </w:tc>
        <w:tc>
          <w:tcPr>
            <w:tcW w:w="994" w:type="dxa"/>
            <w:vAlign w:val="center"/>
          </w:tcPr>
          <w:p>
            <w:pPr>
              <w:pStyle w:val="23"/>
              <w:ind w:left="42" w:leftChars="20"/>
              <w:jc w:val="both"/>
              <w:rPr>
                <w:rFonts w:ascii="黑体" w:hAnsi="黑体" w:eastAsia="黑体"/>
                <w:sz w:val="14"/>
                <w:lang w:eastAsia="en-US"/>
              </w:rPr>
            </w:pPr>
          </w:p>
        </w:tc>
        <w:tc>
          <w:tcPr>
            <w:tcW w:w="1424" w:type="dxa"/>
            <w:gridSpan w:val="2"/>
            <w:vAlign w:val="center"/>
          </w:tcPr>
          <w:p>
            <w:pPr>
              <w:pStyle w:val="23"/>
              <w:ind w:left="42" w:leftChars="20"/>
              <w:jc w:val="both"/>
              <w:rPr>
                <w:rFonts w:ascii="黑体" w:hAnsi="黑体" w:eastAsia="黑体"/>
                <w:sz w:val="14"/>
                <w:lang w:eastAsia="en-US"/>
              </w:rPr>
            </w:pPr>
          </w:p>
        </w:tc>
        <w:tc>
          <w:tcPr>
            <w:tcW w:w="1133" w:type="dxa"/>
            <w:gridSpan w:val="3"/>
            <w:vAlign w:val="center"/>
          </w:tcPr>
          <w:p>
            <w:pPr>
              <w:pStyle w:val="23"/>
              <w:ind w:left="42" w:leftChars="20"/>
              <w:jc w:val="both"/>
              <w:rPr>
                <w:rFonts w:ascii="黑体" w:hAnsi="黑体" w:eastAsia="黑体"/>
                <w:sz w:val="14"/>
                <w:lang w:eastAsia="en-US"/>
              </w:rPr>
            </w:pPr>
          </w:p>
        </w:tc>
        <w:tc>
          <w:tcPr>
            <w:tcW w:w="1133" w:type="dxa"/>
            <w:vAlign w:val="center"/>
          </w:tcPr>
          <w:p>
            <w:pPr>
              <w:pStyle w:val="23"/>
              <w:ind w:left="42" w:leftChars="20"/>
              <w:jc w:val="both"/>
              <w:rPr>
                <w:rFonts w:ascii="黑体" w:hAnsi="黑体" w:eastAsia="黑体"/>
                <w:sz w:val="14"/>
                <w:lang w:eastAsia="en-US"/>
              </w:rPr>
            </w:pPr>
          </w:p>
        </w:tc>
        <w:tc>
          <w:tcPr>
            <w:tcW w:w="1115" w:type="dxa"/>
            <w:vAlign w:val="center"/>
          </w:tcPr>
          <w:p>
            <w:pPr>
              <w:pStyle w:val="23"/>
              <w:ind w:left="42" w:leftChars="20"/>
              <w:jc w:val="both"/>
              <w:rPr>
                <w:rFonts w:ascii="黑体" w:hAnsi="黑体" w:eastAsia="黑体"/>
                <w:sz w:val="14"/>
                <w:lang w:eastAsia="en-US"/>
              </w:rPr>
            </w:pPr>
          </w:p>
        </w:tc>
        <w:tc>
          <w:tcPr>
            <w:tcW w:w="900" w:type="dxa"/>
            <w:vAlign w:val="center"/>
          </w:tcPr>
          <w:p>
            <w:pPr>
              <w:pStyle w:val="23"/>
              <w:ind w:left="42" w:leftChars="20"/>
              <w:jc w:val="both"/>
              <w:rPr>
                <w:rFonts w:ascii="黑体" w:hAnsi="黑体" w:eastAsia="黑体"/>
                <w:sz w:val="14"/>
                <w:lang w:eastAsia="en-US"/>
              </w:rPr>
            </w:pPr>
          </w:p>
        </w:tc>
        <w:tc>
          <w:tcPr>
            <w:tcW w:w="824" w:type="dxa"/>
            <w:vAlign w:val="center"/>
          </w:tcPr>
          <w:p>
            <w:pPr>
              <w:pStyle w:val="23"/>
              <w:ind w:left="42" w:leftChars="20"/>
              <w:jc w:val="both"/>
              <w:rPr>
                <w:rFonts w:ascii="黑体" w:hAnsi="黑体" w:eastAsia="黑体"/>
                <w:sz w:val="14"/>
                <w:lang w:eastAsia="en-US"/>
              </w:rPr>
            </w:pPr>
          </w:p>
        </w:tc>
        <w:tc>
          <w:tcPr>
            <w:tcW w:w="1704" w:type="dxa"/>
            <w:gridSpan w:val="2"/>
            <w:vAlign w:val="center"/>
          </w:tcPr>
          <w:p>
            <w:pPr>
              <w:pStyle w:val="23"/>
              <w:ind w:left="42" w:leftChars="20"/>
              <w:jc w:val="both"/>
              <w:rPr>
                <w:rFonts w:ascii="黑体" w:hAnsi="黑体" w:eastAsia="黑体"/>
                <w:sz w:val="14"/>
                <w:lang w:eastAsia="en-US"/>
              </w:rPr>
            </w:pPr>
          </w:p>
        </w:tc>
        <w:tc>
          <w:tcPr>
            <w:tcW w:w="1017" w:type="dxa"/>
            <w:gridSpan w:val="2"/>
            <w:vAlign w:val="center"/>
          </w:tcPr>
          <w:p>
            <w:pPr>
              <w:pStyle w:val="23"/>
              <w:ind w:left="42" w:leftChars="20"/>
              <w:jc w:val="both"/>
              <w:rPr>
                <w:rFonts w:ascii="黑体" w:hAnsi="黑体" w:eastAsia="黑体"/>
                <w:sz w:val="14"/>
                <w:lang w:eastAsia="en-US"/>
              </w:rPr>
            </w:pPr>
          </w:p>
        </w:tc>
      </w:tr>
    </w:tbl>
    <w:p>
      <w:pPr>
        <w:spacing w:line="560" w:lineRule="exact"/>
        <w:rPr>
          <w:b/>
          <w:sz w:val="24"/>
        </w:rPr>
        <w:sectPr>
          <w:footerReference r:id="rId5" w:type="default"/>
          <w:pgSz w:w="16838" w:h="11906" w:orient="landscape"/>
          <w:pgMar w:top="1800" w:right="1440" w:bottom="1800" w:left="1440" w:header="851" w:footer="992" w:gutter="0"/>
          <w:pgNumType w:fmt="decimal" w:start="1"/>
          <w:cols w:space="425" w:num="1"/>
          <w:docGrid w:type="lines" w:linePitch="312" w:charSpace="0"/>
        </w:sectPr>
      </w:pPr>
    </w:p>
    <w:p>
      <w:pPr>
        <w:spacing w:line="560" w:lineRule="exact"/>
        <w:rPr>
          <w:b/>
          <w:sz w:val="24"/>
        </w:rPr>
      </w:pPr>
      <w:r>
        <w:rPr>
          <w:b/>
          <w:sz w:val="24"/>
        </w:rPr>
        <w:t>附表：</w:t>
      </w:r>
    </w:p>
    <w:p>
      <w:pPr>
        <w:spacing w:line="560" w:lineRule="exact"/>
        <w:ind w:firstLine="480" w:firstLineChars="200"/>
        <w:rPr>
          <w:sz w:val="24"/>
        </w:rPr>
      </w:pPr>
      <w:r>
        <w:rPr>
          <w:sz w:val="24"/>
        </w:rPr>
        <w:t>建设项目工程竣工环境保护</w:t>
      </w:r>
      <w:r>
        <w:rPr>
          <w:rFonts w:hint="eastAsia"/>
          <w:sz w:val="24"/>
        </w:rPr>
        <w:t>“</w:t>
      </w:r>
      <w:r>
        <w:rPr>
          <w:sz w:val="24"/>
        </w:rPr>
        <w:t>三同时</w:t>
      </w:r>
      <w:r>
        <w:rPr>
          <w:rFonts w:hint="eastAsia"/>
          <w:sz w:val="24"/>
        </w:rPr>
        <w:t>”</w:t>
      </w:r>
      <w:r>
        <w:rPr>
          <w:sz w:val="24"/>
        </w:rPr>
        <w:t>验收登记表。</w:t>
      </w:r>
    </w:p>
    <w:p>
      <w:pPr>
        <w:spacing w:line="560" w:lineRule="exact"/>
        <w:rPr>
          <w:b/>
          <w:sz w:val="24"/>
        </w:rPr>
      </w:pPr>
      <w:r>
        <w:rPr>
          <w:b/>
          <w:sz w:val="24"/>
        </w:rPr>
        <w:t>附图：</w:t>
      </w:r>
    </w:p>
    <w:p>
      <w:pPr>
        <w:spacing w:line="520" w:lineRule="exact"/>
        <w:ind w:firstLine="480" w:firstLineChars="200"/>
        <w:rPr>
          <w:sz w:val="24"/>
        </w:rPr>
      </w:pPr>
      <w:r>
        <w:rPr>
          <w:rFonts w:hint="eastAsia"/>
          <w:sz w:val="24"/>
        </w:rPr>
        <w:t>1</w:t>
      </w:r>
      <w:r>
        <w:rPr>
          <w:sz w:val="24"/>
        </w:rPr>
        <w:t>、</w:t>
      </w:r>
      <w:r>
        <w:rPr>
          <w:rFonts w:hint="eastAsia"/>
          <w:sz w:val="24"/>
        </w:rPr>
        <w:t>地理位置图；</w:t>
      </w:r>
    </w:p>
    <w:p>
      <w:pPr>
        <w:spacing w:line="520" w:lineRule="exact"/>
        <w:ind w:firstLine="480" w:firstLineChars="200"/>
        <w:rPr>
          <w:sz w:val="24"/>
        </w:rPr>
      </w:pPr>
      <w:r>
        <w:rPr>
          <w:rFonts w:hint="eastAsia"/>
          <w:sz w:val="24"/>
        </w:rPr>
        <w:t>2、</w:t>
      </w:r>
      <w:r>
        <w:rPr>
          <w:rFonts w:hint="eastAsia"/>
          <w:sz w:val="24"/>
          <w:lang w:eastAsia="zh-CN"/>
        </w:rPr>
        <w:t>总</w:t>
      </w:r>
      <w:r>
        <w:rPr>
          <w:rFonts w:hint="eastAsia"/>
          <w:sz w:val="24"/>
        </w:rPr>
        <w:t>平面布置图；</w:t>
      </w:r>
    </w:p>
    <w:p>
      <w:pPr>
        <w:spacing w:line="520" w:lineRule="exact"/>
        <w:ind w:firstLine="480" w:firstLineChars="200"/>
        <w:rPr>
          <w:sz w:val="24"/>
        </w:rPr>
      </w:pPr>
      <w:r>
        <w:rPr>
          <w:rFonts w:hint="eastAsia"/>
          <w:sz w:val="24"/>
        </w:rPr>
        <w:t>3、</w:t>
      </w:r>
      <w:r>
        <w:rPr>
          <w:rFonts w:hint="eastAsia"/>
          <w:sz w:val="24"/>
          <w:lang w:eastAsia="zh-CN"/>
        </w:rPr>
        <w:t>楼层平面布置图</w:t>
      </w:r>
      <w:r>
        <w:rPr>
          <w:rFonts w:hint="eastAsia"/>
          <w:sz w:val="24"/>
        </w:rPr>
        <w:t>；</w:t>
      </w:r>
    </w:p>
    <w:p>
      <w:pPr>
        <w:spacing w:line="520" w:lineRule="exact"/>
        <w:ind w:firstLine="480" w:firstLineChars="200"/>
        <w:rPr>
          <w:sz w:val="24"/>
        </w:rPr>
      </w:pPr>
      <w:r>
        <w:rPr>
          <w:rFonts w:hint="eastAsia"/>
          <w:sz w:val="24"/>
        </w:rPr>
        <w:t>4、</w:t>
      </w:r>
      <w:r>
        <w:rPr>
          <w:rFonts w:hint="eastAsia"/>
          <w:sz w:val="24"/>
          <w:lang w:eastAsia="zh-CN"/>
        </w:rPr>
        <w:t>土地规划图</w:t>
      </w:r>
      <w:r>
        <w:rPr>
          <w:rFonts w:hint="eastAsia"/>
          <w:sz w:val="24"/>
        </w:rPr>
        <w:t>。</w:t>
      </w:r>
    </w:p>
    <w:p>
      <w:pPr>
        <w:spacing w:line="560" w:lineRule="exact"/>
        <w:rPr>
          <w:sz w:val="24"/>
        </w:rPr>
      </w:pPr>
      <w:r>
        <w:rPr>
          <w:b/>
          <w:sz w:val="24"/>
        </w:rPr>
        <w:t>附件：</w:t>
      </w:r>
    </w:p>
    <w:p>
      <w:pPr>
        <w:spacing w:line="520" w:lineRule="exact"/>
        <w:ind w:firstLine="480" w:firstLineChars="200"/>
        <w:rPr>
          <w:sz w:val="24"/>
        </w:rPr>
      </w:pPr>
      <w:r>
        <w:rPr>
          <w:rFonts w:hint="eastAsia"/>
          <w:sz w:val="24"/>
          <w:lang w:val="en-US" w:eastAsia="zh-CN"/>
        </w:rPr>
        <w:t>1</w:t>
      </w:r>
      <w:r>
        <w:rPr>
          <w:sz w:val="24"/>
        </w:rPr>
        <w:t>、《</w:t>
      </w:r>
      <w:r>
        <w:rPr>
          <w:rFonts w:hint="eastAsia"/>
          <w:sz w:val="24"/>
        </w:rPr>
        <w:t>重庆市建设项目环境影响评价文件批准书</w:t>
      </w:r>
      <w:r>
        <w:rPr>
          <w:sz w:val="24"/>
        </w:rPr>
        <w:t>》（</w:t>
      </w:r>
      <w:r>
        <w:rPr>
          <w:rFonts w:hint="eastAsia"/>
          <w:sz w:val="24"/>
        </w:rPr>
        <w:t>渝（</w:t>
      </w:r>
      <w:r>
        <w:rPr>
          <w:rFonts w:hint="eastAsia"/>
          <w:sz w:val="24"/>
          <w:lang w:eastAsia="zh-CN"/>
        </w:rPr>
        <w:t>梁</w:t>
      </w:r>
      <w:r>
        <w:rPr>
          <w:rFonts w:hint="eastAsia"/>
          <w:sz w:val="24"/>
        </w:rPr>
        <w:t>）环准</w:t>
      </w:r>
      <w:r>
        <w:rPr>
          <w:sz w:val="24"/>
        </w:rPr>
        <w:t>﹝20</w:t>
      </w:r>
      <w:r>
        <w:rPr>
          <w:rFonts w:hint="eastAsia"/>
          <w:sz w:val="24"/>
          <w:lang w:val="en-US" w:eastAsia="zh-CN"/>
        </w:rPr>
        <w:t>21</w:t>
      </w:r>
      <w:r>
        <w:rPr>
          <w:sz w:val="24"/>
        </w:rPr>
        <w:t>﹞</w:t>
      </w:r>
      <w:r>
        <w:rPr>
          <w:rFonts w:hint="eastAsia"/>
          <w:sz w:val="24"/>
          <w:lang w:val="en-US" w:eastAsia="zh-CN"/>
        </w:rPr>
        <w:t>013</w:t>
      </w:r>
      <w:r>
        <w:rPr>
          <w:sz w:val="24"/>
        </w:rPr>
        <w:t>号）；</w:t>
      </w:r>
    </w:p>
    <w:p>
      <w:pPr>
        <w:spacing w:line="520" w:lineRule="exact"/>
        <w:ind w:firstLine="480" w:firstLineChars="200"/>
        <w:rPr>
          <w:rFonts w:hint="eastAsia"/>
          <w:sz w:val="24"/>
          <w:lang w:eastAsia="zh-CN"/>
        </w:rPr>
      </w:pPr>
      <w:r>
        <w:rPr>
          <w:rFonts w:hint="eastAsia"/>
          <w:sz w:val="24"/>
          <w:lang w:val="en-US" w:eastAsia="zh-CN"/>
        </w:rPr>
        <w:t>2</w:t>
      </w:r>
      <w:r>
        <w:rPr>
          <w:rFonts w:hint="eastAsia"/>
          <w:sz w:val="24"/>
        </w:rPr>
        <w:t>、重庆新晨环境监测有限公司（报告编号：</w:t>
      </w:r>
      <w:r>
        <w:rPr>
          <w:rFonts w:hint="eastAsia"/>
          <w:sz w:val="24"/>
          <w:lang w:eastAsia="zh-CN"/>
        </w:rPr>
        <w:t>新晨（检）字</w:t>
      </w:r>
      <w:r>
        <w:rPr>
          <w:rFonts w:hint="eastAsia"/>
          <w:sz w:val="24"/>
        </w:rPr>
        <w:t>【20</w:t>
      </w:r>
      <w:r>
        <w:rPr>
          <w:rFonts w:hint="eastAsia"/>
          <w:sz w:val="24"/>
          <w:lang w:val="en-US" w:eastAsia="zh-CN"/>
        </w:rPr>
        <w:t>21</w:t>
      </w:r>
      <w:r>
        <w:rPr>
          <w:rFonts w:hint="eastAsia"/>
          <w:sz w:val="24"/>
        </w:rPr>
        <w:t>】第</w:t>
      </w:r>
      <w:r>
        <w:rPr>
          <w:rFonts w:hint="eastAsia"/>
          <w:sz w:val="24"/>
          <w:lang w:val="en-US" w:eastAsia="zh-CN"/>
        </w:rPr>
        <w:t>090</w:t>
      </w:r>
      <w:r>
        <w:rPr>
          <w:rFonts w:hint="eastAsia"/>
          <w:sz w:val="24"/>
        </w:rPr>
        <w:t>号）</w:t>
      </w:r>
      <w:r>
        <w:rPr>
          <w:rFonts w:hint="eastAsia"/>
          <w:sz w:val="24"/>
          <w:lang w:eastAsia="zh-CN"/>
        </w:rPr>
        <w:t>；</w:t>
      </w:r>
    </w:p>
    <w:p>
      <w:pPr>
        <w:pStyle w:val="17"/>
        <w:rPr>
          <w:rFonts w:hint="eastAsia"/>
          <w:sz w:val="24"/>
          <w:lang w:val="en-US" w:eastAsia="zh-CN"/>
        </w:rPr>
      </w:pPr>
      <w:r>
        <w:rPr>
          <w:rFonts w:hint="eastAsia"/>
          <w:sz w:val="24"/>
          <w:lang w:val="en-US" w:eastAsia="zh-CN"/>
        </w:rPr>
        <w:t>3、备案证；</w:t>
      </w:r>
    </w:p>
    <w:p>
      <w:pPr>
        <w:pStyle w:val="17"/>
        <w:rPr>
          <w:rFonts w:hint="default"/>
          <w:sz w:val="24"/>
          <w:lang w:val="en-US" w:eastAsia="zh-CN"/>
        </w:rPr>
      </w:pPr>
      <w:r>
        <w:rPr>
          <w:rFonts w:hint="eastAsia"/>
          <w:sz w:val="24"/>
          <w:lang w:val="en-US" w:eastAsia="zh-CN"/>
        </w:rPr>
        <w:t>4、营业执照。</w:t>
      </w:r>
    </w:p>
    <w:p>
      <w:pPr>
        <w:ind w:firstLine="480"/>
        <w:rPr>
          <w:sz w:val="24"/>
        </w:rPr>
      </w:pPr>
    </w:p>
    <w:p>
      <w:pPr>
        <w:jc w:val="left"/>
        <w:rPr>
          <w:rFonts w:hint="default" w:ascii="宋体" w:hAnsi="宋体" w:eastAsia="宋体" w:cs="宋体"/>
          <w:b/>
          <w:color w:val="000000"/>
          <w:kern w:val="0"/>
          <w:sz w:val="28"/>
          <w:szCs w:val="28"/>
          <w:lang w:val="en-US" w:eastAsia="zh-CN" w:bidi="ar"/>
        </w:rPr>
      </w:pPr>
    </w:p>
    <w:sectPr>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Noto Sans Mono CJK JP Regular">
    <w:altName w:val="Arial"/>
    <w:panose1 w:val="00000000000000000000"/>
    <w:charset w:val="00"/>
    <w:family w:val="swiss"/>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Batang"/>
    <w:panose1 w:val="020B0606020202030204"/>
    <w:charset w:val="00"/>
    <w:family w:val="swiss"/>
    <w:pitch w:val="default"/>
    <w:sig w:usb0="00000000" w:usb1="00000000" w:usb2="00000000" w:usb3="00000000" w:csb0="2000009F" w:csb1="DFD70000"/>
  </w:font>
  <w:font w:name="Batang">
    <w:panose1 w:val="02030600000101010101"/>
    <w:charset w:val="81"/>
    <w:family w:val="auto"/>
    <w:pitch w:val="default"/>
    <w:sig w:usb0="B00002AF" w:usb1="69D77CFB" w:usb2="00000030" w:usb3="00000000" w:csb0="4008009F" w:csb1="DFD70000"/>
  </w:font>
  <w:font w:name="华文新魏">
    <w:altName w:val="宋体"/>
    <w:panose1 w:val="0201080004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395FB"/>
    <w:multiLevelType w:val="singleLevel"/>
    <w:tmpl w:val="9B1395FB"/>
    <w:lvl w:ilvl="0" w:tentative="0">
      <w:start w:val="1"/>
      <w:numFmt w:val="decimal"/>
      <w:suff w:val="nothing"/>
      <w:lvlText w:val="（%1）"/>
      <w:lvlJc w:val="left"/>
    </w:lvl>
  </w:abstractNum>
  <w:abstractNum w:abstractNumId="1">
    <w:nsid w:val="AE56E12D"/>
    <w:multiLevelType w:val="singleLevel"/>
    <w:tmpl w:val="AE56E12D"/>
    <w:lvl w:ilvl="0" w:tentative="0">
      <w:start w:val="1"/>
      <w:numFmt w:val="decimal"/>
      <w:suff w:val="nothing"/>
      <w:lvlText w:val="%1、"/>
      <w:lvlJc w:val="left"/>
      <w:pPr>
        <w:ind w:left="240"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566FDE"/>
    <w:rsid w:val="0072091C"/>
    <w:rsid w:val="009B5189"/>
    <w:rsid w:val="00C63A89"/>
    <w:rsid w:val="01DD615C"/>
    <w:rsid w:val="03CC21D6"/>
    <w:rsid w:val="04145FFB"/>
    <w:rsid w:val="07F91AAB"/>
    <w:rsid w:val="09370205"/>
    <w:rsid w:val="0ADB3274"/>
    <w:rsid w:val="0D590032"/>
    <w:rsid w:val="0D610683"/>
    <w:rsid w:val="112770D2"/>
    <w:rsid w:val="13B25396"/>
    <w:rsid w:val="13EE5FC7"/>
    <w:rsid w:val="14155DD6"/>
    <w:rsid w:val="155520AD"/>
    <w:rsid w:val="167F61C6"/>
    <w:rsid w:val="177E3B74"/>
    <w:rsid w:val="19B71503"/>
    <w:rsid w:val="1B495D13"/>
    <w:rsid w:val="227A344C"/>
    <w:rsid w:val="276C3A71"/>
    <w:rsid w:val="291C15D7"/>
    <w:rsid w:val="2C001BDA"/>
    <w:rsid w:val="2C25719B"/>
    <w:rsid w:val="2F764BEE"/>
    <w:rsid w:val="2FAD5185"/>
    <w:rsid w:val="343E6558"/>
    <w:rsid w:val="34BF5430"/>
    <w:rsid w:val="37310321"/>
    <w:rsid w:val="39E03316"/>
    <w:rsid w:val="3AD84DCB"/>
    <w:rsid w:val="3D9850B1"/>
    <w:rsid w:val="3FD807B0"/>
    <w:rsid w:val="40265065"/>
    <w:rsid w:val="44650AE7"/>
    <w:rsid w:val="45BA2E48"/>
    <w:rsid w:val="49B23A8B"/>
    <w:rsid w:val="4BAB4A81"/>
    <w:rsid w:val="4C0F42CC"/>
    <w:rsid w:val="4C8040B9"/>
    <w:rsid w:val="4C8C76A0"/>
    <w:rsid w:val="4CC73B6A"/>
    <w:rsid w:val="4E8B0364"/>
    <w:rsid w:val="534D1B28"/>
    <w:rsid w:val="536E196B"/>
    <w:rsid w:val="53E62856"/>
    <w:rsid w:val="541B1FD1"/>
    <w:rsid w:val="543160E1"/>
    <w:rsid w:val="54566FDE"/>
    <w:rsid w:val="54D77E2A"/>
    <w:rsid w:val="581B7A86"/>
    <w:rsid w:val="586510F1"/>
    <w:rsid w:val="5A482750"/>
    <w:rsid w:val="5C0572AE"/>
    <w:rsid w:val="5E6D2B17"/>
    <w:rsid w:val="5F8E0286"/>
    <w:rsid w:val="5FC4097A"/>
    <w:rsid w:val="62417101"/>
    <w:rsid w:val="62FF7EAF"/>
    <w:rsid w:val="633F121A"/>
    <w:rsid w:val="63401DEE"/>
    <w:rsid w:val="639F7A00"/>
    <w:rsid w:val="63A33BB5"/>
    <w:rsid w:val="658F37ED"/>
    <w:rsid w:val="659E66AA"/>
    <w:rsid w:val="681C5CC6"/>
    <w:rsid w:val="6D5A4ACF"/>
    <w:rsid w:val="6E8768D3"/>
    <w:rsid w:val="710E3584"/>
    <w:rsid w:val="717A6BFC"/>
    <w:rsid w:val="71982FDA"/>
    <w:rsid w:val="72703176"/>
    <w:rsid w:val="72FA61F1"/>
    <w:rsid w:val="73D24414"/>
    <w:rsid w:val="74280B0F"/>
    <w:rsid w:val="74467CB0"/>
    <w:rsid w:val="755C0535"/>
    <w:rsid w:val="77E078AB"/>
    <w:rsid w:val="7B2D69B4"/>
    <w:rsid w:val="7C8C5324"/>
    <w:rsid w:val="7DBB03A2"/>
    <w:rsid w:val="7DBB78EB"/>
    <w:rsid w:val="7DD47904"/>
    <w:rsid w:val="7DE55B90"/>
    <w:rsid w:val="7ED14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8" w:lineRule="auto"/>
      <w:outlineLvl w:val="0"/>
    </w:pPr>
    <w:rPr>
      <w:b/>
      <w:bCs/>
      <w:kern w:val="44"/>
      <w:sz w:val="32"/>
      <w:szCs w:val="44"/>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Normal Indent"/>
    <w:basedOn w:val="1"/>
    <w:next w:val="1"/>
    <w:qFormat/>
    <w:uiPriority w:val="0"/>
    <w:pPr>
      <w:ind w:firstLine="420" w:firstLineChars="200"/>
    </w:pPr>
  </w:style>
  <w:style w:type="paragraph" w:styleId="6">
    <w:name w:val="Body Text Indent"/>
    <w:basedOn w:val="1"/>
    <w:qFormat/>
    <w:uiPriority w:val="0"/>
    <w:pPr>
      <w:spacing w:after="120"/>
      <w:ind w:left="420" w:leftChars="200"/>
    </w:p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next w:val="1"/>
    <w:qFormat/>
    <w:uiPriority w:val="0"/>
    <w:pPr>
      <w:widowControl/>
      <w:spacing w:after="120" w:line="480" w:lineRule="auto"/>
      <w:jc w:val="left"/>
    </w:pPr>
    <w:rPr>
      <w:kern w:val="0"/>
      <w:sz w:val="24"/>
    </w:rPr>
  </w:style>
  <w:style w:type="paragraph" w:styleId="11">
    <w:name w:val="Normal (Web)"/>
    <w:basedOn w:val="1"/>
    <w:qFormat/>
    <w:uiPriority w:val="99"/>
    <w:pPr>
      <w:widowControl/>
      <w:spacing w:before="100" w:beforeAutospacing="1" w:after="100" w:afterAutospacing="1"/>
      <w:jc w:val="left"/>
    </w:pPr>
    <w:rPr>
      <w:rFonts w:ascii="宋体" w:hAnsi="宋体"/>
      <w:kern w:val="0"/>
      <w:sz w:val="24"/>
      <w:szCs w:val="20"/>
    </w:rPr>
  </w:style>
  <w:style w:type="paragraph" w:styleId="12">
    <w:name w:val="Body Text First Indent"/>
    <w:basedOn w:val="2"/>
    <w:qFormat/>
    <w:uiPriority w:val="0"/>
    <w:pPr>
      <w:autoSpaceDE w:val="0"/>
      <w:autoSpaceDN w:val="0"/>
      <w:adjustRightInd w:val="0"/>
      <w:spacing w:line="360" w:lineRule="auto"/>
      <w:ind w:firstLine="420" w:firstLineChars="100"/>
      <w:textAlignment w:val="baseline"/>
    </w:pPr>
    <w:rPr>
      <w:rFonts w:ascii="Calibri" w:hAnsi="Calibri"/>
      <w:kern w:val="0"/>
      <w:sz w:val="24"/>
      <w:szCs w:val="20"/>
    </w:rPr>
  </w:style>
  <w:style w:type="paragraph" w:styleId="13">
    <w:name w:val="Body Text First Indent 2"/>
    <w:basedOn w:val="6"/>
    <w:next w:val="12"/>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样式 正文缩进正文缩进2正文缩进 Char Char正文缩进 Char Char Char Char正文缩进 Char ..."/>
    <w:basedOn w:val="5"/>
    <w:qFormat/>
    <w:uiPriority w:val="0"/>
    <w:pPr>
      <w:spacing w:line="360" w:lineRule="auto"/>
      <w:ind w:firstLine="200"/>
    </w:pPr>
    <w:rPr>
      <w:rFonts w:cs="宋体"/>
      <w:sz w:val="24"/>
    </w:rPr>
  </w:style>
  <w:style w:type="paragraph" w:customStyle="1" w:styleId="18">
    <w:name w:val="表中文字"/>
    <w:basedOn w:val="1"/>
    <w:qFormat/>
    <w:uiPriority w:val="0"/>
    <w:pPr>
      <w:adjustRightInd w:val="0"/>
      <w:snapToGrid w:val="0"/>
      <w:jc w:val="center"/>
    </w:pPr>
    <w:rPr>
      <w:rFonts w:eastAsia="仿宋_GB2312"/>
      <w:szCs w:val="21"/>
    </w:rPr>
  </w:style>
  <w:style w:type="paragraph" w:styleId="19">
    <w:name w:val="List Paragraph"/>
    <w:basedOn w:val="1"/>
    <w:qFormat/>
    <w:uiPriority w:val="34"/>
    <w:pPr>
      <w:ind w:firstLine="420" w:firstLineChars="200"/>
    </w:pPr>
    <w:rPr>
      <w:szCs w:val="20"/>
    </w:rPr>
  </w:style>
  <w:style w:type="paragraph" w:customStyle="1" w:styleId="20">
    <w:name w:val="表格"/>
    <w:basedOn w:val="1"/>
    <w:qFormat/>
    <w:uiPriority w:val="0"/>
    <w:pPr>
      <w:spacing w:line="360" w:lineRule="exact"/>
    </w:pPr>
    <w:rPr>
      <w:rFonts w:asciiTheme="minorHAnsi" w:hAnsiTheme="minorHAnsi" w:eastAsiaTheme="minorEastAsia" w:cstheme="minorBidi"/>
      <w:sz w:val="24"/>
      <w:szCs w:val="22"/>
    </w:rPr>
  </w:style>
  <w:style w:type="paragraph" w:customStyle="1" w:styleId="21">
    <w:name w:val="250/1"/>
    <w:basedOn w:val="22"/>
    <w:qFormat/>
    <w:uiPriority w:val="0"/>
    <w:pPr>
      <w:spacing w:line="480" w:lineRule="auto"/>
    </w:pPr>
    <w:rPr>
      <w:rFonts w:cs="宋体"/>
      <w:szCs w:val="20"/>
    </w:rPr>
  </w:style>
  <w:style w:type="paragraph" w:customStyle="1" w:styleId="22">
    <w:name w:val="样式 标题 1 +"/>
    <w:basedOn w:val="3"/>
    <w:qFormat/>
    <w:uiPriority w:val="0"/>
    <w:rPr>
      <w:kern w:val="0"/>
    </w:rPr>
  </w:style>
  <w:style w:type="paragraph" w:customStyle="1" w:styleId="23">
    <w:name w:val="Table Paragraph"/>
    <w:basedOn w:val="1"/>
    <w:qFormat/>
    <w:uiPriority w:val="1"/>
    <w:pPr>
      <w:autoSpaceDE w:val="0"/>
      <w:autoSpaceDN w:val="0"/>
      <w:jc w:val="left"/>
    </w:pPr>
    <w:rPr>
      <w:rFonts w:ascii="Noto Sans Mono CJK JP Regular" w:hAnsi="Noto Sans Mono CJK JP Regular" w:eastAsia="Noto Sans Mono CJK JP Regular" w:cs="Noto Sans Mono CJK JP Regular"/>
      <w:kern w:val="0"/>
      <w:sz w:val="22"/>
      <w:szCs w:val="22"/>
      <w:lang w:val="zh-CN" w:bidi="zh-CN"/>
    </w:rPr>
  </w:style>
  <w:style w:type="table" w:customStyle="1" w:styleId="24">
    <w:name w:val="Table Normal"/>
    <w:unhideWhenUsed/>
    <w:qFormat/>
    <w:uiPriority w:val="2"/>
    <w:pPr>
      <w:widowControl w:val="0"/>
      <w:autoSpaceDE w:val="0"/>
      <w:autoSpaceDN w:val="0"/>
    </w:pPr>
    <w:rPr>
      <w:rFonts w:eastAsiaTheme="minorEastAsia"/>
      <w:sz w:val="22"/>
      <w:szCs w:val="22"/>
      <w:lang w:eastAsia="en-US"/>
    </w:rPr>
    <w:tblPr>
      <w:tblCellMar>
        <w:top w:w="0" w:type="dxa"/>
        <w:left w:w="0" w:type="dxa"/>
        <w:bottom w:w="0" w:type="dxa"/>
        <w:right w:w="0" w:type="dxa"/>
      </w:tblCellMar>
    </w:tblPr>
  </w:style>
  <w:style w:type="paragraph" w:customStyle="1" w:styleId="25">
    <w:name w:val="表格文字"/>
    <w:basedOn w:val="1"/>
    <w:next w:val="1"/>
    <w:qFormat/>
    <w:uiPriority w:val="0"/>
    <w:pPr>
      <w:spacing w:line="300" w:lineRule="exact"/>
      <w:jc w:val="center"/>
    </w:pPr>
    <w:rPr>
      <w:snapToGrid w:val="0"/>
      <w:color w:val="000000"/>
      <w:kern w:val="24"/>
      <w:szCs w:val="20"/>
    </w:rPr>
  </w:style>
  <w:style w:type="paragraph" w:customStyle="1" w:styleId="26">
    <w:name w:val="纯文本1"/>
    <w:basedOn w:val="1"/>
    <w:qFormat/>
    <w:uiPriority w:val="0"/>
    <w:pPr>
      <w:autoSpaceDE w:val="0"/>
      <w:autoSpaceDN w:val="0"/>
    </w:pPr>
    <w:rPr>
      <w:rFonts w:ascii="宋体" w:hAnsi="Courier New"/>
      <w:kern w:val="0"/>
      <w:sz w:val="24"/>
      <w:szCs w:val="20"/>
    </w:rPr>
  </w:style>
  <w:style w:type="paragraph" w:customStyle="1" w:styleId="27">
    <w:name w:val="样式1"/>
    <w:basedOn w:val="1"/>
    <w:qFormat/>
    <w:uiPriority w:val="0"/>
    <w:pPr>
      <w:jc w:val="center"/>
    </w:pPr>
    <w:rPr>
      <w:bCs/>
      <w:sz w:val="48"/>
    </w:rPr>
  </w:style>
  <w:style w:type="paragraph" w:customStyle="1" w:styleId="28">
    <w:name w:val="样式 13 磅 行距: 固定值 23 磅 首行缩进:  2 字符"/>
    <w:basedOn w:val="1"/>
    <w:qFormat/>
    <w:uiPriority w:val="0"/>
    <w:pPr>
      <w:spacing w:line="460" w:lineRule="exact"/>
      <w:ind w:firstLine="520" w:firstLineChars="200"/>
    </w:pPr>
    <w:rPr>
      <w:kern w:val="0"/>
      <w:sz w:val="26"/>
      <w:szCs w:val="20"/>
    </w:rPr>
  </w:style>
  <w:style w:type="paragraph" w:customStyle="1" w:styleId="29">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30">
    <w:name w:val="bw1"/>
    <w:basedOn w:val="1"/>
    <w:qFormat/>
    <w:uiPriority w:val="0"/>
    <w:pPr>
      <w:adjustRightInd w:val="0"/>
      <w:snapToGrid w:val="0"/>
      <w:spacing w:line="240" w:lineRule="atLeast"/>
      <w:ind w:left="6" w:right="6"/>
      <w:jc w:val="center"/>
    </w:pPr>
    <w:rPr>
      <w:rFonts w:ascii="Arial Narrow" w:hAnsi="Arial Narrow" w:eastAsia="楷体_GB2312"/>
      <w:color w:val="000000"/>
      <w:spacing w:val="-2"/>
      <w:w w:val="90"/>
      <w:sz w:val="20"/>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2019-07-18T06:48:00Z</dcterms:created>
  <dc:creator>猫性</dc:creator>
  <cp:lastModifiedBy>Administrator</cp:lastModifiedBy>
  <dcterms:modified xsi:type="dcterms:W3CDTF">2022-01-17T02:10:20Z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21881874F91648ED940F164BBA9C80FC</vt:lpwstr>
  </property>
</Properties>
</file>