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Times New Roman" w:eastAsiaTheme="minorEastAsia"/>
          <w:color w:val="000000" w:themeColor="text1"/>
          <w:sz w:val="28"/>
          <w14:textFill>
            <w14:solidFill>
              <w14:schemeClr w14:val="tx1"/>
            </w14:solidFill>
          </w14:textFill>
        </w:rPr>
      </w:pPr>
    </w:p>
    <w:p>
      <w:pPr>
        <w:jc w:val="center"/>
        <w:rPr>
          <w:rFonts w:cs="Times New Roman" w:eastAsiaTheme="minorEastAsia"/>
          <w:color w:val="000000" w:themeColor="text1"/>
          <w:sz w:val="28"/>
          <w14:textFill>
            <w14:solidFill>
              <w14:schemeClr w14:val="tx1"/>
            </w14:solidFill>
          </w14:textFill>
        </w:rPr>
      </w:pPr>
    </w:p>
    <w:p>
      <w:pPr>
        <w:jc w:val="center"/>
        <w:rPr>
          <w:rFonts w:cs="Times New Roman" w:eastAsiaTheme="minorEastAsia"/>
          <w:color w:val="000000" w:themeColor="text1"/>
          <w:sz w:val="28"/>
          <w14:textFill>
            <w14:solidFill>
              <w14:schemeClr w14:val="tx1"/>
            </w14:solidFill>
          </w14:textFill>
        </w:rPr>
      </w:pP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重庆市万州区启豪套装门厂</w:t>
      </w:r>
    </w:p>
    <w:p>
      <w:pPr>
        <w:jc w:val="center"/>
        <w:rPr>
          <w:rFonts w:hint="eastAsia" w:ascii="宋体" w:hAnsi="宋体" w:cs="宋体"/>
          <w:b/>
          <w:color w:val="000000" w:themeColor="text1"/>
          <w:spacing w:val="-6"/>
          <w:kern w:val="2"/>
          <w:sz w:val="48"/>
          <w:szCs w:val="48"/>
          <w:lang w:eastAsia="zh-CN"/>
          <w14:textFill>
            <w14:solidFill>
              <w14:schemeClr w14:val="tx1"/>
            </w14:solidFill>
          </w14:textFill>
        </w:rPr>
      </w:pPr>
      <w:r>
        <w:rPr>
          <w:rFonts w:hint="eastAsia" w:ascii="宋体" w:hAnsi="宋体" w:cs="宋体"/>
          <w:b/>
          <w:color w:val="000000" w:themeColor="text1"/>
          <w:spacing w:val="-6"/>
          <w:kern w:val="2"/>
          <w:sz w:val="48"/>
          <w:szCs w:val="48"/>
          <w:lang w:eastAsia="zh-CN"/>
          <w14:textFill>
            <w14:solidFill>
              <w14:schemeClr w14:val="tx1"/>
            </w14:solidFill>
          </w14:textFill>
        </w:rPr>
        <w:t>套装门生产项目</w:t>
      </w:r>
    </w:p>
    <w:p>
      <w:pPr>
        <w:jc w:val="center"/>
        <w:rPr>
          <w:rFonts w:ascii="宋体" w:hAnsi="宋体" w:cs="宋体"/>
          <w:b/>
          <w:sz w:val="48"/>
          <w:szCs w:val="48"/>
        </w:rPr>
      </w:pPr>
      <w:r>
        <w:rPr>
          <w:rFonts w:ascii="宋体" w:hAnsi="宋体" w:cs="宋体"/>
          <w:b/>
          <w:color w:val="000000" w:themeColor="text1"/>
          <w:spacing w:val="-6"/>
          <w:kern w:val="2"/>
          <w:sz w:val="48"/>
          <w:szCs w:val="48"/>
          <w14:textFill>
            <w14:solidFill>
              <w14:schemeClr w14:val="tx1"/>
            </w14:solidFill>
          </w14:textFill>
        </w:rPr>
        <w:t>竣工环境保护验收监测报告</w:t>
      </w:r>
    </w:p>
    <w:p>
      <w:pPr>
        <w:jc w:val="cente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rPr>
          <w:rFonts w:cs="Times New Roman" w:eastAsiaTheme="minorEastAsia"/>
          <w:color w:val="000000" w:themeColor="text1"/>
          <w:sz w:val="28"/>
          <w14:textFill>
            <w14:solidFill>
              <w14:schemeClr w14:val="tx1"/>
            </w14:solidFill>
          </w14:textFill>
        </w:rPr>
      </w:pPr>
    </w:p>
    <w:p>
      <w:pPr>
        <w:ind w:firstLine="1400" w:firstLineChars="500"/>
        <w:rPr>
          <w:rFonts w:cs="Times New Roman" w:eastAsiaTheme="minorEastAsia"/>
          <w:color w:val="000000" w:themeColor="text1"/>
          <w:sz w:val="28"/>
          <w14:textFill>
            <w14:solidFill>
              <w14:schemeClr w14:val="tx1"/>
            </w14:solidFill>
          </w14:textFill>
        </w:rPr>
      </w:pP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r>
        <w:rPr>
          <w:rFonts w:cs="Times New Roman" w:eastAsiaTheme="minorEastAsia"/>
          <w:color w:val="000000" w:themeColor="text1"/>
          <w:sz w:val="28"/>
          <w14:textFill>
            <w14:solidFill>
              <w14:schemeClr w14:val="tx1"/>
            </w14:solidFill>
          </w14:textFill>
        </w:rPr>
        <w:tab/>
      </w:r>
    </w:p>
    <w:p>
      <w:pPr>
        <w:ind w:firstLine="1400" w:firstLineChars="500"/>
        <w:rPr>
          <w:rFonts w:cs="Times New Roman" w:eastAsiaTheme="minorEastAsia"/>
          <w:color w:val="000000" w:themeColor="text1"/>
          <w:sz w:val="28"/>
          <w14:textFill>
            <w14:solidFill>
              <w14:schemeClr w14:val="tx1"/>
            </w14:solidFill>
          </w14:textFill>
        </w:rPr>
      </w:pPr>
    </w:p>
    <w:p>
      <w:pPr>
        <w:ind w:firstLine="1405" w:firstLineChars="500"/>
        <w:rPr>
          <w:rFonts w:cs="Times New Roman" w:eastAsiaTheme="minorEastAsia"/>
          <w:b/>
          <w:bCs/>
          <w:color w:val="000000" w:themeColor="text1"/>
          <w:sz w:val="28"/>
          <w14:textFill>
            <w14:solidFill>
              <w14:schemeClr w14:val="tx1"/>
            </w14:solidFill>
          </w14:textFill>
        </w:rPr>
      </w:pPr>
    </w:p>
    <w:p>
      <w:pPr>
        <w:pStyle w:val="2"/>
        <w:rPr>
          <w:rFonts w:cs="Times New Roman" w:eastAsiaTheme="minorEastAsia"/>
          <w:b/>
          <w:bCs/>
          <w:color w:val="000000" w:themeColor="text1"/>
          <w:sz w:val="28"/>
          <w14:textFill>
            <w14:solidFill>
              <w14:schemeClr w14:val="tx1"/>
            </w14:solidFill>
          </w14:textFill>
        </w:rPr>
      </w:pPr>
    </w:p>
    <w:p>
      <w:pPr>
        <w:pStyle w:val="2"/>
        <w:rPr>
          <w:rFonts w:cs="Times New Roman" w:eastAsiaTheme="minorEastAsia"/>
          <w:b/>
          <w:bCs/>
          <w:color w:val="000000" w:themeColor="text1"/>
          <w:sz w:val="28"/>
          <w14:textFill>
            <w14:solidFill>
              <w14:schemeClr w14:val="tx1"/>
            </w14:solidFill>
          </w14:textFill>
        </w:rPr>
      </w:pPr>
    </w:p>
    <w:tbl>
      <w:tblPr>
        <w:tblStyle w:val="23"/>
        <w:tblW w:w="847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43"/>
        <w:gridCol w:w="572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jc w:val="center"/>
        </w:trPr>
        <w:tc>
          <w:tcPr>
            <w:tcW w:w="2743" w:type="dxa"/>
            <w:vAlign w:val="center"/>
          </w:tcPr>
          <w:p>
            <w:pPr>
              <w:widowControl w:val="0"/>
              <w:ind w:firstLine="964" w:firstLineChars="300"/>
              <w:jc w:val="both"/>
              <w:rPr>
                <w:rFonts w:ascii="宋体" w:hAnsi="宋体" w:cs="宋体"/>
                <w:b/>
                <w:color w:val="000000" w:themeColor="text1"/>
                <w:kern w:val="2"/>
                <w:sz w:val="32"/>
                <w:szCs w:val="24"/>
                <w14:textFill>
                  <w14:solidFill>
                    <w14:schemeClr w14:val="tx1"/>
                  </w14:solidFill>
                </w14:textFill>
              </w:rPr>
            </w:pPr>
            <w:r>
              <w:rPr>
                <w:rFonts w:hint="eastAsia" w:ascii="宋体" w:hAnsi="宋体" w:cs="宋体"/>
                <w:b/>
                <w:color w:val="000000" w:themeColor="text1"/>
                <w:kern w:val="2"/>
                <w:sz w:val="32"/>
                <w:szCs w:val="24"/>
                <w14:textFill>
                  <w14:solidFill>
                    <w14:schemeClr w14:val="tx1"/>
                  </w14:solidFill>
                </w14:textFill>
              </w:rPr>
              <w:t>建设单位：</w:t>
            </w:r>
          </w:p>
        </w:tc>
        <w:tc>
          <w:tcPr>
            <w:tcW w:w="5728" w:type="dxa"/>
            <w:vAlign w:val="center"/>
          </w:tcPr>
          <w:p>
            <w:pPr>
              <w:widowControl w:val="0"/>
              <w:jc w:val="both"/>
              <w:rPr>
                <w:rFonts w:hint="default" w:ascii="宋体" w:hAnsi="宋体" w:eastAsia="宋体" w:cs="宋体"/>
                <w:b/>
                <w:color w:val="000000" w:themeColor="text1"/>
                <w:kern w:val="2"/>
                <w:sz w:val="32"/>
                <w:szCs w:val="24"/>
                <w:lang w:val="en-US" w:eastAsia="zh-CN"/>
                <w14:textFill>
                  <w14:solidFill>
                    <w14:schemeClr w14:val="tx1"/>
                  </w14:solidFill>
                </w14:textFill>
              </w:rPr>
            </w:pPr>
            <w:r>
              <w:rPr>
                <w:rFonts w:hint="eastAsia" w:ascii="宋体" w:hAnsi="宋体" w:cs="宋体"/>
                <w:b/>
                <w:color w:val="000000" w:themeColor="text1"/>
                <w:kern w:val="2"/>
                <w:sz w:val="32"/>
                <w:szCs w:val="24"/>
                <w:lang w:eastAsia="zh-CN"/>
                <w14:textFill>
                  <w14:solidFill>
                    <w14:schemeClr w14:val="tx1"/>
                  </w14:solidFill>
                </w14:textFill>
              </w:rPr>
              <w:t>重庆市万州区启豪套装门厂</w:t>
            </w:r>
            <w:r>
              <w:rPr>
                <w:rFonts w:hint="eastAsia" w:ascii="宋体" w:hAnsi="宋体" w:cs="宋体"/>
                <w:b/>
                <w:color w:val="000000" w:themeColor="text1"/>
                <w:kern w:val="2"/>
                <w:sz w:val="32"/>
                <w:szCs w:val="24"/>
                <w:lang w:val="en-US" w:eastAsia="zh-CN"/>
                <w14:textFill>
                  <w14:solidFill>
                    <w14:schemeClr w14:val="tx1"/>
                  </w14:solidFill>
                </w14:textFill>
              </w:rPr>
              <w:t xml:space="preserve">      </w:t>
            </w:r>
          </w:p>
        </w:tc>
      </w:tr>
    </w:tbl>
    <w:p>
      <w:pPr>
        <w:ind w:firstLine="1405" w:firstLineChars="500"/>
        <w:rPr>
          <w:rFonts w:cs="Times New Roman" w:eastAsiaTheme="minorEastAsia"/>
          <w:b/>
          <w:bCs/>
          <w:color w:val="000000" w:themeColor="text1"/>
          <w:sz w:val="28"/>
          <w14:textFill>
            <w14:solidFill>
              <w14:schemeClr w14:val="tx1"/>
            </w14:solidFill>
          </w14:textFill>
        </w:rPr>
      </w:pPr>
    </w:p>
    <w:p>
      <w:pPr>
        <w:ind w:firstLine="2891" w:firstLineChars="900"/>
        <w:jc w:val="both"/>
        <w:rPr>
          <w:rFonts w:ascii="宋体" w:hAnsi="宋体" w:cs="宋体"/>
          <w:b/>
          <w:color w:val="000000" w:themeColor="text1"/>
          <w:kern w:val="2"/>
          <w:sz w:val="32"/>
          <w:szCs w:val="24"/>
          <w14:textFill>
            <w14:solidFill>
              <w14:schemeClr w14:val="tx1"/>
            </w14:solidFill>
          </w14:textFill>
        </w:rPr>
      </w:pPr>
      <w:r>
        <w:rPr>
          <w:rFonts w:ascii="宋体" w:hAnsi="宋体" w:cs="宋体"/>
          <w:b/>
          <w:color w:val="000000" w:themeColor="text1"/>
          <w:kern w:val="2"/>
          <w:sz w:val="32"/>
          <w:szCs w:val="24"/>
          <w14:textFill>
            <w14:solidFill>
              <w14:schemeClr w14:val="tx1"/>
            </w14:solidFill>
          </w14:textFill>
        </w:rPr>
        <w:t>二〇二</w:t>
      </w:r>
      <w:r>
        <w:rPr>
          <w:rFonts w:hint="eastAsia" w:ascii="宋体" w:hAnsi="宋体" w:cs="宋体"/>
          <w:b/>
          <w:color w:val="000000" w:themeColor="text1"/>
          <w:kern w:val="2"/>
          <w:sz w:val="32"/>
          <w:szCs w:val="24"/>
          <w:lang w:val="en-US" w:eastAsia="zh-CN"/>
          <w14:textFill>
            <w14:solidFill>
              <w14:schemeClr w14:val="tx1"/>
            </w14:solidFill>
          </w14:textFill>
        </w:rPr>
        <w:t>二</w:t>
      </w:r>
      <w:r>
        <w:rPr>
          <w:rFonts w:ascii="宋体" w:hAnsi="宋体" w:cs="宋体"/>
          <w:b/>
          <w:color w:val="000000" w:themeColor="text1"/>
          <w:kern w:val="2"/>
          <w:sz w:val="32"/>
          <w:szCs w:val="24"/>
          <w14:textFill>
            <w14:solidFill>
              <w14:schemeClr w14:val="tx1"/>
            </w14:solidFill>
          </w14:textFill>
        </w:rPr>
        <w:t>年</w:t>
      </w:r>
      <w:r>
        <w:rPr>
          <w:rFonts w:hint="eastAsia" w:ascii="宋体" w:hAnsi="宋体" w:cs="宋体"/>
          <w:b/>
          <w:color w:val="000000" w:themeColor="text1"/>
          <w:kern w:val="2"/>
          <w:sz w:val="32"/>
          <w:szCs w:val="24"/>
          <w:lang w:eastAsia="zh-CN"/>
          <w14:textFill>
            <w14:solidFill>
              <w14:schemeClr w14:val="tx1"/>
            </w14:solidFill>
          </w14:textFill>
        </w:rPr>
        <w:t>五</w:t>
      </w:r>
      <w:r>
        <w:rPr>
          <w:rFonts w:ascii="宋体" w:hAnsi="宋体" w:cs="宋体"/>
          <w:b/>
          <w:color w:val="000000" w:themeColor="text1"/>
          <w:kern w:val="2"/>
          <w:sz w:val="32"/>
          <w:szCs w:val="24"/>
          <w14:textFill>
            <w14:solidFill>
              <w14:schemeClr w14:val="tx1"/>
            </w14:solidFill>
          </w14:textFill>
        </w:rPr>
        <w:t>月</w:t>
      </w:r>
    </w:p>
    <w:p>
      <w:pPr>
        <w:jc w:val="center"/>
        <w:rPr>
          <w:rFonts w:ascii="宋体" w:hAnsi="宋体" w:cs="宋体"/>
          <w:b/>
          <w:color w:val="000000" w:themeColor="text1"/>
          <w:kern w:val="2"/>
          <w:sz w:val="32"/>
          <w:szCs w:val="24"/>
          <w14:textFill>
            <w14:solidFill>
              <w14:schemeClr w14:val="tx1"/>
            </w14:solidFill>
          </w14:textFill>
        </w:rPr>
      </w:pPr>
    </w:p>
    <w:p>
      <w:pPr>
        <w:pStyle w:val="2"/>
        <w:rPr>
          <w:rFonts w:ascii="宋体" w:hAnsi="宋体" w:cs="宋体"/>
          <w:b/>
          <w:color w:val="000000" w:themeColor="text1"/>
          <w:kern w:val="2"/>
          <w:sz w:val="32"/>
          <w:szCs w:val="24"/>
          <w14:textFill>
            <w14:solidFill>
              <w14:schemeClr w14:val="tx1"/>
            </w14:solidFill>
          </w14:textFill>
        </w:rPr>
      </w:pPr>
    </w:p>
    <w:p>
      <w:pPr>
        <w:pStyle w:val="2"/>
        <w:rPr>
          <w:rFonts w:ascii="宋体" w:hAnsi="宋体" w:cs="宋体"/>
          <w:b/>
          <w:color w:val="000000" w:themeColor="text1"/>
          <w:kern w:val="2"/>
          <w:sz w:val="32"/>
          <w:szCs w:val="24"/>
          <w14:textFill>
            <w14:solidFill>
              <w14:schemeClr w14:val="tx1"/>
            </w14:solidFill>
          </w14:textFill>
        </w:rPr>
      </w:pPr>
    </w:p>
    <w:p>
      <w:pPr>
        <w:jc w:val="center"/>
        <w:rPr>
          <w:rFonts w:ascii="宋体" w:hAnsi="宋体" w:cs="宋体"/>
          <w:b/>
          <w:color w:val="000000" w:themeColor="text1"/>
          <w:kern w:val="2"/>
          <w:sz w:val="32"/>
          <w:szCs w:val="24"/>
          <w14:textFill>
            <w14:solidFill>
              <w14:schemeClr w14:val="tx1"/>
            </w14:solidFill>
          </w14:textFill>
        </w:rPr>
      </w:pPr>
    </w:p>
    <w:p>
      <w:pPr>
        <w:rPr>
          <w:rFonts w:hint="eastAsia" w:cs="Times New Roman" w:eastAsiaTheme="minorEastAsia"/>
          <w:b/>
          <w:bCs/>
          <w:color w:val="000000" w:themeColor="text1"/>
          <w:sz w:val="28"/>
          <w:szCs w:val="28"/>
          <w:lang w:eastAsia="zh-CN"/>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建设单位：</w:t>
      </w:r>
      <w:r>
        <w:rPr>
          <w:rFonts w:hint="eastAsia" w:cs="Times New Roman" w:eastAsiaTheme="minorEastAsia"/>
          <w:b/>
          <w:bCs/>
          <w:color w:val="000000" w:themeColor="text1"/>
          <w:sz w:val="28"/>
          <w:szCs w:val="28"/>
          <w:lang w:eastAsia="zh-CN"/>
          <w14:textFill>
            <w14:solidFill>
              <w14:schemeClr w14:val="tx1"/>
            </w14:solidFill>
          </w14:textFill>
        </w:rPr>
        <w:t>重庆市万州区启豪套装门厂</w:t>
      </w:r>
    </w:p>
    <w:p>
      <w:pPr>
        <w:rPr>
          <w:rFonts w:cs="Times New Roman" w:eastAsiaTheme="minorEastAsia"/>
          <w:color w:val="000000" w:themeColor="text1"/>
          <w:sz w:val="32"/>
          <w14:textFill>
            <w14:solidFill>
              <w14:schemeClr w14:val="tx1"/>
            </w14:solidFill>
          </w14:textFill>
        </w:rPr>
      </w:pPr>
      <w:r>
        <w:rPr>
          <w:rFonts w:hint="eastAsia" w:cs="Times New Roman" w:eastAsiaTheme="minorEastAsia"/>
          <w:b/>
          <w:bCs/>
          <w:color w:val="000000" w:themeColor="text1"/>
          <w:sz w:val="28"/>
          <w:szCs w:val="28"/>
          <w14:textFill>
            <w14:solidFill>
              <w14:schemeClr w14:val="tx1"/>
            </w14:solidFill>
          </w14:textFill>
        </w:rPr>
        <w:t>法人代表：</w:t>
      </w:r>
      <w:r>
        <w:rPr>
          <w:rFonts w:hint="eastAsia" w:cs="Times New Roman" w:eastAsiaTheme="minorEastAsia"/>
          <w:b/>
          <w:bCs/>
          <w:color w:val="000000" w:themeColor="text1"/>
          <w:sz w:val="28"/>
          <w:szCs w:val="28"/>
          <w:lang w:eastAsia="zh-CN"/>
          <w14:textFill>
            <w14:solidFill>
              <w14:schemeClr w14:val="tx1"/>
            </w14:solidFill>
          </w14:textFill>
        </w:rPr>
        <w:t>邱隆兵</w:t>
      </w:r>
    </w:p>
    <w:p>
      <w:pPr>
        <w:rPr>
          <w:rFonts w:hint="eastAsia" w:eastAsia="宋体"/>
          <w:b/>
          <w:bCs/>
          <w:sz w:val="28"/>
          <w:szCs w:val="28"/>
          <w:lang w:eastAsia="zh-CN"/>
        </w:rPr>
      </w:pPr>
      <w:r>
        <w:rPr>
          <w:rFonts w:hint="eastAsia"/>
          <w:b/>
          <w:bCs/>
          <w:sz w:val="28"/>
          <w:szCs w:val="28"/>
        </w:rPr>
        <w:t>项目负责人：</w:t>
      </w:r>
      <w:r>
        <w:rPr>
          <w:rFonts w:hint="eastAsia"/>
          <w:b/>
          <w:bCs/>
          <w:sz w:val="28"/>
          <w:szCs w:val="28"/>
          <w:lang w:eastAsia="zh-CN"/>
        </w:rPr>
        <w:t>邱隆兵</w:t>
      </w:r>
      <w:r>
        <w:rPr>
          <w:rFonts w:hint="eastAsia"/>
          <w:b/>
          <w:bCs/>
          <w:sz w:val="28"/>
          <w:szCs w:val="28"/>
          <w:lang w:val="en-US" w:eastAsia="zh-CN"/>
        </w:rPr>
        <w:t xml:space="preserve"> </w:t>
      </w:r>
    </w:p>
    <w:p>
      <w:pPr>
        <w:rPr>
          <w:rFonts w:cs="Times New Roman" w:eastAsiaTheme="minorEastAsia"/>
          <w:b/>
          <w:color w:val="000000" w:themeColor="text1"/>
          <w:sz w:val="28"/>
          <w14:textFill>
            <w14:solidFill>
              <w14:schemeClr w14:val="tx1"/>
            </w14:solidFill>
          </w14:textFill>
        </w:rPr>
      </w:pPr>
    </w:p>
    <w:p>
      <w:pPr>
        <w:rPr>
          <w:rFonts w:cs="Times New Roman" w:eastAsiaTheme="minorEastAsia"/>
          <w:b/>
          <w:color w:val="000000" w:themeColor="text1"/>
          <w:sz w:val="28"/>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jc w:val="both"/>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p>
      <w:pPr>
        <w:pStyle w:val="9"/>
        <w:rPr>
          <w:rFonts w:cs="Times New Roman" w:eastAsiaTheme="minorEastAsia"/>
          <w:color w:val="000000" w:themeColor="text1"/>
          <w:sz w:val="26"/>
          <w:szCs w:val="26"/>
          <w14:textFill>
            <w14:solidFill>
              <w14:schemeClr w14:val="tx1"/>
            </w14:solidFill>
          </w14:textFill>
        </w:rPr>
      </w:pPr>
    </w:p>
    <w:tbl>
      <w:tblPr>
        <w:tblStyle w:val="22"/>
        <w:tblW w:w="9464" w:type="dxa"/>
        <w:tblInd w:w="0" w:type="dxa"/>
        <w:tblLayout w:type="fixed"/>
        <w:tblCellMar>
          <w:top w:w="0" w:type="dxa"/>
          <w:left w:w="108" w:type="dxa"/>
          <w:bottom w:w="0" w:type="dxa"/>
          <w:right w:w="108" w:type="dxa"/>
        </w:tblCellMar>
      </w:tblPr>
      <w:tblGrid>
        <w:gridCol w:w="9464"/>
      </w:tblGrid>
      <w:tr>
        <w:tblPrEx>
          <w:tblCellMar>
            <w:top w:w="0" w:type="dxa"/>
            <w:left w:w="108" w:type="dxa"/>
            <w:bottom w:w="0" w:type="dxa"/>
            <w:right w:w="108" w:type="dxa"/>
          </w:tblCellMar>
        </w:tblPrEx>
        <w:trPr>
          <w:trHeight w:val="680" w:hRule="atLeast"/>
        </w:trPr>
        <w:tc>
          <w:tcPr>
            <w:tcW w:w="9464" w:type="dxa"/>
            <w:noWrap w:val="0"/>
            <w:vAlign w:val="top"/>
          </w:tcPr>
          <w:p>
            <w:pPr>
              <w:spacing w:line="500" w:lineRule="exact"/>
              <w:ind w:left="1224" w:hanging="1229" w:hangingChars="510"/>
              <w:rPr>
                <w:rFonts w:hint="eastAsia" w:ascii="宋体" w:hAnsi="宋体" w:eastAsia="宋体"/>
                <w:sz w:val="24"/>
                <w:szCs w:val="24"/>
                <w:lang w:eastAsia="zh-CN"/>
              </w:rPr>
            </w:pPr>
            <w:r>
              <w:rPr>
                <w:rFonts w:hint="eastAsia" w:ascii="宋体" w:hAnsi="宋体" w:eastAsia="宋体"/>
                <w:b/>
                <w:bCs/>
                <w:sz w:val="24"/>
                <w:szCs w:val="24"/>
              </w:rPr>
              <w:t>建设单位</w:t>
            </w:r>
            <w:r>
              <w:rPr>
                <w:rFonts w:hint="eastAsia" w:ascii="宋体" w:hAnsi="宋体" w:eastAsia="宋体"/>
                <w:sz w:val="24"/>
                <w:szCs w:val="24"/>
              </w:rPr>
              <w:t>:</w:t>
            </w:r>
            <w:r>
              <w:rPr>
                <w:rFonts w:hint="eastAsia" w:ascii="宋体" w:hAnsi="宋体" w:eastAsia="宋体"/>
                <w:b/>
                <w:sz w:val="24"/>
                <w:szCs w:val="24"/>
              </w:rPr>
              <w:t xml:space="preserve"> </w:t>
            </w:r>
            <w:r>
              <w:rPr>
                <w:rFonts w:hint="eastAsia" w:cs="微软雅黑"/>
                <w:color w:val="000000"/>
                <w:kern w:val="0"/>
                <w:szCs w:val="24"/>
                <w:lang w:eastAsia="zh-CN"/>
              </w:rPr>
              <w:t>重庆市万州区启豪套装门厂（盖章）</w:t>
            </w:r>
          </w:p>
        </w:tc>
      </w:tr>
      <w:tr>
        <w:tblPrEx>
          <w:tblCellMar>
            <w:top w:w="0" w:type="dxa"/>
            <w:left w:w="108" w:type="dxa"/>
            <w:bottom w:w="0" w:type="dxa"/>
            <w:right w:w="108" w:type="dxa"/>
          </w:tblCellMar>
        </w:tblPrEx>
        <w:trPr>
          <w:trHeight w:val="680" w:hRule="atLeast"/>
        </w:trPr>
        <w:tc>
          <w:tcPr>
            <w:tcW w:w="9464" w:type="dxa"/>
            <w:noWrap w:val="0"/>
            <w:vAlign w:val="center"/>
          </w:tcPr>
          <w:p>
            <w:pPr>
              <w:spacing w:line="500" w:lineRule="exact"/>
              <w:ind w:right="120" w:rightChars="50"/>
              <w:rPr>
                <w:rFonts w:hint="default" w:ascii="宋体" w:hAnsi="宋体" w:eastAsia="宋体"/>
                <w:sz w:val="24"/>
                <w:szCs w:val="24"/>
                <w:lang w:val="en-US" w:eastAsia="zh-CN"/>
              </w:rPr>
            </w:pPr>
            <w:r>
              <w:rPr>
                <w:rFonts w:hint="eastAsia" w:ascii="宋体" w:hAnsi="宋体" w:eastAsia="宋体"/>
                <w:b/>
                <w:bCs/>
                <w:sz w:val="24"/>
                <w:szCs w:val="24"/>
                <w:lang w:eastAsia="zh-CN"/>
              </w:rPr>
              <w:t>电</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话：</w:t>
            </w:r>
            <w:r>
              <w:rPr>
                <w:rFonts w:hint="eastAsia"/>
                <w:bCs/>
              </w:rPr>
              <w:t>13012333912</w:t>
            </w:r>
          </w:p>
        </w:tc>
      </w:tr>
      <w:tr>
        <w:tblPrEx>
          <w:tblCellMar>
            <w:top w:w="0" w:type="dxa"/>
            <w:left w:w="108" w:type="dxa"/>
            <w:bottom w:w="0" w:type="dxa"/>
            <w:right w:w="108" w:type="dxa"/>
          </w:tblCellMar>
        </w:tblPrEx>
        <w:trPr>
          <w:trHeight w:val="680" w:hRule="atLeast"/>
        </w:trPr>
        <w:tc>
          <w:tcPr>
            <w:tcW w:w="9464" w:type="dxa"/>
            <w:noWrap w:val="0"/>
            <w:vAlign w:val="center"/>
          </w:tcPr>
          <w:p>
            <w:pPr>
              <w:spacing w:line="500" w:lineRule="exact"/>
              <w:rPr>
                <w:rFonts w:ascii="宋体" w:hAnsi="宋体" w:eastAsia="宋体"/>
                <w:sz w:val="24"/>
                <w:szCs w:val="24"/>
              </w:rPr>
            </w:pPr>
            <w:r>
              <w:rPr>
                <w:rFonts w:hint="eastAsia" w:ascii="宋体" w:hAnsi="宋体" w:eastAsia="宋体"/>
                <w:b/>
                <w:bCs/>
                <w:sz w:val="24"/>
                <w:szCs w:val="24"/>
                <w:lang w:eastAsia="zh-CN"/>
              </w:rPr>
              <w:t>邮</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编：</w:t>
            </w:r>
            <w:r>
              <w:rPr>
                <w:rFonts w:hint="default"/>
                <w:bCs/>
              </w:rPr>
              <w:t>40</w:t>
            </w:r>
            <w:r>
              <w:rPr>
                <w:rFonts w:hint="eastAsia"/>
                <w:bCs/>
                <w:lang w:val="en-US" w:eastAsia="zh-CN"/>
              </w:rPr>
              <w:t>40</w:t>
            </w:r>
            <w:r>
              <w:rPr>
                <w:rFonts w:hint="default"/>
                <w:bCs/>
              </w:rPr>
              <w:t>00</w:t>
            </w:r>
          </w:p>
        </w:tc>
      </w:tr>
      <w:tr>
        <w:tblPrEx>
          <w:tblCellMar>
            <w:top w:w="0" w:type="dxa"/>
            <w:left w:w="108" w:type="dxa"/>
            <w:bottom w:w="0" w:type="dxa"/>
            <w:right w:w="108" w:type="dxa"/>
          </w:tblCellMar>
        </w:tblPrEx>
        <w:trPr>
          <w:trHeight w:val="680" w:hRule="atLeast"/>
        </w:trPr>
        <w:tc>
          <w:tcPr>
            <w:tcW w:w="9464" w:type="dxa"/>
            <w:noWrap w:val="0"/>
            <w:vAlign w:val="top"/>
          </w:tcPr>
          <w:p>
            <w:pPr>
              <w:spacing w:line="500" w:lineRule="exact"/>
              <w:ind w:left="1101" w:hanging="1106" w:hangingChars="459"/>
              <w:rPr>
                <w:rFonts w:hint="default" w:ascii="宋体" w:hAnsi="宋体" w:eastAsia="宋体"/>
                <w:sz w:val="24"/>
                <w:szCs w:val="24"/>
                <w:lang w:val="en-US" w:eastAsia="zh-CN"/>
              </w:rPr>
            </w:pPr>
            <w:r>
              <w:rPr>
                <w:rFonts w:hint="eastAsia" w:ascii="宋体" w:hAnsi="宋体" w:eastAsia="宋体"/>
                <w:b/>
                <w:bCs/>
                <w:sz w:val="24"/>
                <w:szCs w:val="24"/>
                <w:lang w:eastAsia="zh-CN"/>
              </w:rPr>
              <w:t>地</w:t>
            </w:r>
            <w:r>
              <w:rPr>
                <w:rFonts w:hint="eastAsia" w:ascii="宋体" w:hAnsi="宋体" w:eastAsia="宋体"/>
                <w:b/>
                <w:bCs/>
                <w:sz w:val="24"/>
                <w:szCs w:val="24"/>
                <w:lang w:val="en-US" w:eastAsia="zh-CN"/>
              </w:rPr>
              <w:t xml:space="preserve">    </w:t>
            </w:r>
            <w:r>
              <w:rPr>
                <w:rFonts w:hint="eastAsia" w:ascii="宋体" w:hAnsi="宋体" w:eastAsia="宋体"/>
                <w:b/>
                <w:bCs/>
                <w:sz w:val="24"/>
                <w:szCs w:val="24"/>
                <w:lang w:eastAsia="zh-CN"/>
              </w:rPr>
              <w:t>址：</w:t>
            </w:r>
            <w:r>
              <w:rPr>
                <w:rFonts w:hint="eastAsia" w:ascii="宋体" w:hAnsi="宋体" w:eastAsia="宋体"/>
                <w:b w:val="0"/>
                <w:bCs w:val="0"/>
                <w:sz w:val="24"/>
                <w:szCs w:val="24"/>
                <w:lang w:eastAsia="zh-CN"/>
              </w:rPr>
              <w:t>重庆市</w:t>
            </w:r>
            <w:r>
              <w:rPr>
                <w:rFonts w:hint="default" w:ascii="宋体" w:hAnsi="宋体" w:eastAsia="宋体"/>
                <w:b w:val="0"/>
                <w:bCs w:val="0"/>
                <w:sz w:val="24"/>
                <w:szCs w:val="24"/>
              </w:rPr>
              <w:t>万州区天城镇董家居委会1组80号</w:t>
            </w:r>
          </w:p>
        </w:tc>
      </w:tr>
    </w:tbl>
    <w:p>
      <w:pPr>
        <w:ind w:firstLine="520" w:firstLineChars="200"/>
        <w:jc w:val="both"/>
        <w:rPr>
          <w:rFonts w:cs="Times New Roman" w:eastAsiaTheme="minorEastAsia"/>
          <w:color w:val="000000" w:themeColor="text1"/>
          <w:sz w:val="26"/>
          <w:szCs w:val="26"/>
          <w14:textFill>
            <w14:solidFill>
              <w14:schemeClr w14:val="tx1"/>
            </w14:solidFill>
          </w14:textFill>
        </w:rPr>
      </w:pPr>
    </w:p>
    <w:p>
      <w:pPr>
        <w:rPr>
          <w:rFonts w:cs="Times New Roman" w:eastAsiaTheme="minorEastAsia"/>
          <w:b/>
          <w:color w:val="000000" w:themeColor="text1"/>
          <w:sz w:val="21"/>
          <w:szCs w:val="21"/>
          <w14:textFill>
            <w14:solidFill>
              <w14:schemeClr w14:val="tx1"/>
            </w14:solidFill>
          </w14:textFill>
        </w:rPr>
        <w:sectPr>
          <w:footerReference r:id="rId5" w:type="default"/>
          <w:footerReference r:id="rId6" w:type="even"/>
          <w:pgSz w:w="11907" w:h="16840"/>
          <w:pgMar w:top="1701" w:right="1587" w:bottom="1587" w:left="1587" w:header="284" w:footer="851" w:gutter="0"/>
          <w:pgNumType w:start="2"/>
          <w:cols w:space="720" w:num="1"/>
          <w:docGrid w:linePitch="299" w:charSpace="0"/>
        </w:sectPr>
      </w:pPr>
    </w:p>
    <w:p>
      <w:pPr>
        <w:pStyle w:val="17"/>
        <w:tabs>
          <w:tab w:val="right" w:leader="dot" w:pos="9680"/>
        </w:tabs>
        <w:ind w:firstLine="522"/>
        <w:jc w:val="center"/>
        <w:rPr>
          <w:rFonts w:ascii="Times New Roman" w:hAnsi="Times New Roman" w:cs="Times New Roman" w:eastAsiaTheme="minorEastAsia"/>
          <w:b/>
          <w:color w:val="000000" w:themeColor="text1"/>
          <w:sz w:val="26"/>
          <w:szCs w:val="26"/>
          <w14:textFill>
            <w14:solidFill>
              <w14:schemeClr w14:val="tx1"/>
            </w14:solidFill>
          </w14:textFill>
        </w:rPr>
      </w:pPr>
      <w:r>
        <w:rPr>
          <w:rFonts w:ascii="Times New Roman" w:hAnsi="Times New Roman" w:cs="Times New Roman" w:eastAsiaTheme="minorEastAsia"/>
          <w:b/>
          <w:color w:val="000000" w:themeColor="text1"/>
          <w:sz w:val="26"/>
          <w:szCs w:val="26"/>
          <w14:textFill>
            <w14:solidFill>
              <w14:schemeClr w14:val="tx1"/>
            </w14:solidFill>
          </w14:textFill>
        </w:rPr>
        <w:t>目  录</w:t>
      </w:r>
    </w:p>
    <w:p>
      <w:pPr>
        <w:pStyle w:val="17"/>
        <w:tabs>
          <w:tab w:val="right" w:leader="dot" w:pos="8788"/>
        </w:tabs>
      </w:pP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begin"/>
      </w:r>
      <w:r>
        <w:rPr>
          <w:rFonts w:hint="eastAsia" w:asciiTheme="majorEastAsia" w:hAnsiTheme="majorEastAsia" w:eastAsiaTheme="majorEastAsia" w:cstheme="majorEastAsia"/>
          <w:color w:val="000000" w:themeColor="text1"/>
          <w:sz w:val="28"/>
          <w:szCs w:val="28"/>
          <w14:textFill>
            <w14:solidFill>
              <w14:schemeClr w14:val="tx1"/>
            </w14:solidFill>
          </w14:textFill>
        </w:rPr>
        <w:instrText xml:space="preserve"> TOC \o "1-2" \h \z \u </w:instrText>
      </w:r>
      <w:r>
        <w:rPr>
          <w:rFonts w:hint="eastAsia" w:asciiTheme="majorEastAsia" w:hAnsiTheme="majorEastAsia" w:eastAsiaTheme="majorEastAsia" w:cstheme="majorEastAsia"/>
          <w:color w:val="000000" w:themeColor="text1"/>
          <w:sz w:val="28"/>
          <w:szCs w:val="28"/>
          <w14:textFill>
            <w14:solidFill>
              <w14:schemeClr w14:val="tx1"/>
            </w14:solidFill>
          </w14:textFill>
        </w:rPr>
        <w:fldChar w:fldCharType="separate"/>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_Toc4333 </w:instrText>
      </w:r>
      <w:r>
        <w:rPr>
          <w:rFonts w:hint="eastAsia" w:asciiTheme="majorEastAsia" w:hAnsiTheme="majorEastAsia" w:eastAsiaTheme="majorEastAsia" w:cstheme="majorEastAsia"/>
          <w:szCs w:val="28"/>
        </w:rPr>
        <w:fldChar w:fldCharType="separate"/>
      </w:r>
      <w:r>
        <w:t>1 项目概况</w:t>
      </w:r>
      <w:r>
        <w:tab/>
      </w:r>
      <w:r>
        <w:fldChar w:fldCharType="begin"/>
      </w:r>
      <w:r>
        <w:instrText xml:space="preserve"> PAGEREF _Toc4333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_Toc7141 </w:instrText>
      </w:r>
      <w:r>
        <w:rPr>
          <w:rFonts w:hint="eastAsia" w:asciiTheme="majorEastAsia" w:hAnsiTheme="majorEastAsia" w:eastAsiaTheme="majorEastAsia" w:cstheme="majorEastAsia"/>
          <w:szCs w:val="28"/>
        </w:rPr>
        <w:fldChar w:fldCharType="separate"/>
      </w:r>
      <w:r>
        <w:rPr>
          <w:rFonts w:hint="default"/>
        </w:rPr>
        <w:t xml:space="preserve">1.1 </w:t>
      </w:r>
      <w:r>
        <w:t>项目基本情况</w:t>
      </w:r>
      <w:r>
        <w:tab/>
      </w:r>
      <w:r>
        <w:fldChar w:fldCharType="begin"/>
      </w:r>
      <w:r>
        <w:instrText xml:space="preserve"> PAGEREF _Toc7141 \h </w:instrText>
      </w:r>
      <w:r>
        <w:fldChar w:fldCharType="separate"/>
      </w:r>
      <w:r>
        <w:t>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_Toc17192 </w:instrText>
      </w:r>
      <w:r>
        <w:rPr>
          <w:rFonts w:hint="eastAsia" w:asciiTheme="majorEastAsia" w:hAnsiTheme="majorEastAsia" w:eastAsiaTheme="majorEastAsia" w:cstheme="majorEastAsia"/>
          <w:szCs w:val="28"/>
        </w:rPr>
        <w:fldChar w:fldCharType="separate"/>
      </w:r>
      <w:r>
        <w:rPr>
          <w:rFonts w:hint="default" w:cs="Times New Roman" w:eastAsiaTheme="minorEastAsia"/>
          <w:snapToGrid w:val="0"/>
          <w:szCs w:val="24"/>
        </w:rPr>
        <w:t xml:space="preserve">1.2 </w:t>
      </w:r>
      <w:r>
        <w:rPr>
          <w:rFonts w:hint="eastAsia"/>
          <w:szCs w:val="24"/>
        </w:rPr>
        <w:t>验收工作由来及工作程序</w:t>
      </w:r>
      <w:r>
        <w:tab/>
      </w:r>
      <w:r>
        <w:fldChar w:fldCharType="begin"/>
      </w:r>
      <w:r>
        <w:instrText xml:space="preserve"> PAGEREF _Toc17192 \h </w:instrText>
      </w:r>
      <w:r>
        <w:fldChar w:fldCharType="separate"/>
      </w:r>
      <w:r>
        <w:t>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_Toc4049 </w:instrText>
      </w:r>
      <w:r>
        <w:rPr>
          <w:rFonts w:hint="eastAsia" w:asciiTheme="majorEastAsia" w:hAnsiTheme="majorEastAsia" w:eastAsiaTheme="majorEastAsia" w:cstheme="majorEastAsia"/>
          <w:szCs w:val="28"/>
        </w:rPr>
        <w:fldChar w:fldCharType="separate"/>
      </w:r>
      <w:r>
        <w:rPr>
          <w:rFonts w:hint="default"/>
        </w:rPr>
        <w:t xml:space="preserve">1.3 </w:t>
      </w:r>
      <w:r>
        <w:rPr>
          <w:rFonts w:hint="eastAsia"/>
        </w:rPr>
        <w:t>验收范围与内容</w:t>
      </w:r>
      <w:r>
        <w:tab/>
      </w:r>
      <w:r>
        <w:fldChar w:fldCharType="begin"/>
      </w:r>
      <w:r>
        <w:instrText xml:space="preserve"> PAGEREF _Toc4049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_Toc20911 </w:instrText>
      </w:r>
      <w:r>
        <w:rPr>
          <w:rFonts w:hint="eastAsia" w:asciiTheme="majorEastAsia" w:hAnsiTheme="majorEastAsia" w:eastAsiaTheme="majorEastAsia" w:cstheme="majorEastAsia"/>
          <w:szCs w:val="28"/>
        </w:rPr>
        <w:fldChar w:fldCharType="separate"/>
      </w:r>
      <w:r>
        <w:rPr>
          <w:rFonts w:hint="default"/>
        </w:rPr>
        <w:t xml:space="preserve">1.4 </w:t>
      </w:r>
      <w:r>
        <w:rPr>
          <w:rFonts w:hint="eastAsia"/>
        </w:rPr>
        <w:t>致谢</w:t>
      </w:r>
      <w:r>
        <w:tab/>
      </w:r>
      <w:r>
        <w:fldChar w:fldCharType="begin"/>
      </w:r>
      <w:r>
        <w:instrText xml:space="preserve"> PAGEREF _Toc20911 \h </w:instrText>
      </w:r>
      <w:r>
        <w:fldChar w:fldCharType="separate"/>
      </w:r>
      <w:r>
        <w:t>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_Toc1782 </w:instrText>
      </w:r>
      <w:r>
        <w:rPr>
          <w:rFonts w:hint="eastAsia" w:asciiTheme="majorEastAsia" w:hAnsiTheme="majorEastAsia" w:eastAsiaTheme="majorEastAsia" w:cstheme="majorEastAsia"/>
          <w:szCs w:val="28"/>
        </w:rPr>
        <w:fldChar w:fldCharType="separate"/>
      </w:r>
      <w:r>
        <w:t>2 验收依据</w:t>
      </w:r>
      <w:r>
        <w:tab/>
      </w:r>
      <w:r>
        <w:fldChar w:fldCharType="begin"/>
      </w:r>
      <w:r>
        <w:instrText xml:space="preserve"> PAGEREF _Toc1782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_Toc24363 </w:instrText>
      </w:r>
      <w:r>
        <w:rPr>
          <w:rFonts w:hint="eastAsia" w:asciiTheme="majorEastAsia" w:hAnsiTheme="majorEastAsia" w:eastAsiaTheme="majorEastAsia" w:cstheme="majorEastAsia"/>
          <w:szCs w:val="28"/>
        </w:rPr>
        <w:fldChar w:fldCharType="separate"/>
      </w:r>
      <w:r>
        <w:t xml:space="preserve">2.1 </w:t>
      </w:r>
      <w:r>
        <w:rPr>
          <w:rFonts w:hint="eastAsia"/>
        </w:rPr>
        <w:t>环境保护有关法规、政策</w:t>
      </w:r>
      <w:r>
        <w:tab/>
      </w:r>
      <w:r>
        <w:fldChar w:fldCharType="begin"/>
      </w:r>
      <w:r>
        <w:instrText xml:space="preserve"> PAGEREF _Toc24363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_Toc29794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2.</w:t>
      </w:r>
      <w:r>
        <w:rPr>
          <w:rFonts w:hint="eastAsia" w:cs="Times New Roman" w:eastAsiaTheme="minorEastAsia"/>
          <w:snapToGrid w:val="0"/>
          <w:lang w:val="en-US" w:eastAsia="zh-CN"/>
        </w:rPr>
        <w:t>2</w:t>
      </w:r>
      <w:r>
        <w:rPr>
          <w:rFonts w:cs="Times New Roman" w:eastAsiaTheme="minorEastAsia"/>
          <w:snapToGrid w:val="0"/>
        </w:rPr>
        <w:t xml:space="preserve"> </w:t>
      </w:r>
      <w:r>
        <w:rPr>
          <w:rFonts w:hint="eastAsia" w:cs="Times New Roman" w:eastAsiaTheme="minorEastAsia"/>
          <w:snapToGrid w:val="0"/>
        </w:rPr>
        <w:t>建设项目竣工环境保护验收技术规范</w:t>
      </w:r>
      <w:r>
        <w:tab/>
      </w:r>
      <w:r>
        <w:fldChar w:fldCharType="begin"/>
      </w:r>
      <w:r>
        <w:instrText xml:space="preserve"> PAGEREF _Toc29794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_Toc2412 </w:instrText>
      </w:r>
      <w:r>
        <w:rPr>
          <w:rFonts w:hint="eastAsia" w:asciiTheme="majorEastAsia" w:hAnsiTheme="majorEastAsia" w:eastAsiaTheme="majorEastAsia" w:cstheme="majorEastAsia"/>
          <w:szCs w:val="28"/>
        </w:rPr>
        <w:fldChar w:fldCharType="separate"/>
      </w:r>
      <w:r>
        <w:rPr>
          <w:rFonts w:ascii="Times New Roman" w:hAnsi="Times New Roman" w:cs="Times New Roman" w:eastAsiaTheme="minorEastAsia"/>
          <w:snapToGrid w:val="0"/>
        </w:rPr>
        <w:t>2.</w:t>
      </w:r>
      <w:r>
        <w:rPr>
          <w:rFonts w:hint="eastAsia" w:ascii="Times New Roman" w:hAnsi="Times New Roman" w:cs="Times New Roman" w:eastAsiaTheme="minorEastAsia"/>
          <w:snapToGrid w:val="0"/>
          <w:lang w:val="en-US" w:eastAsia="zh-CN"/>
        </w:rPr>
        <w:t>3</w:t>
      </w:r>
      <w:r>
        <w:rPr>
          <w:rFonts w:ascii="Times New Roman" w:hAnsi="Times New Roman" w:cs="Times New Roman" w:eastAsiaTheme="minorEastAsia"/>
          <w:snapToGrid w:val="0"/>
        </w:rPr>
        <w:t xml:space="preserve"> 建设项目</w:t>
      </w:r>
      <w:r>
        <w:rPr>
          <w:rFonts w:hint="eastAsia" w:ascii="Times New Roman" w:hAnsi="Times New Roman" w:cs="Times New Roman" w:eastAsiaTheme="minorEastAsia"/>
          <w:snapToGrid w:val="0"/>
        </w:rPr>
        <w:t>环境影响报告表</w:t>
      </w:r>
      <w:r>
        <w:rPr>
          <w:rFonts w:ascii="Times New Roman" w:hAnsi="Times New Roman" w:cs="Times New Roman" w:eastAsiaTheme="minorEastAsia"/>
          <w:snapToGrid w:val="0"/>
        </w:rPr>
        <w:t>及审批部门审批决定</w:t>
      </w:r>
      <w:r>
        <w:tab/>
      </w:r>
      <w:r>
        <w:fldChar w:fldCharType="begin"/>
      </w:r>
      <w:r>
        <w:instrText xml:space="preserve"> PAGEREF _Toc2412 \h </w:instrText>
      </w:r>
      <w:r>
        <w:fldChar w:fldCharType="separate"/>
      </w:r>
      <w:r>
        <w:t>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_Toc433 </w:instrText>
      </w:r>
      <w:r>
        <w:rPr>
          <w:rFonts w:hint="eastAsia" w:asciiTheme="majorEastAsia" w:hAnsiTheme="majorEastAsia" w:eastAsiaTheme="majorEastAsia" w:cstheme="majorEastAsia"/>
          <w:szCs w:val="28"/>
        </w:rPr>
        <w:fldChar w:fldCharType="separate"/>
      </w:r>
      <w:r>
        <w:t>3 项目建设情况</w:t>
      </w:r>
      <w:r>
        <w:tab/>
      </w:r>
      <w:r>
        <w:fldChar w:fldCharType="begin"/>
      </w:r>
      <w:r>
        <w:instrText xml:space="preserve"> PAGEREF _Toc433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_Toc4709 </w:instrText>
      </w:r>
      <w:r>
        <w:rPr>
          <w:rFonts w:hint="eastAsia" w:asciiTheme="majorEastAsia" w:hAnsiTheme="majorEastAsia" w:eastAsiaTheme="majorEastAsia" w:cstheme="majorEastAsia"/>
          <w:szCs w:val="28"/>
        </w:rPr>
        <w:fldChar w:fldCharType="separate"/>
      </w:r>
      <w:r>
        <w:t>3.1 地理位置及平面布置</w:t>
      </w:r>
      <w:r>
        <w:tab/>
      </w:r>
      <w:r>
        <w:fldChar w:fldCharType="begin"/>
      </w:r>
      <w:r>
        <w:instrText xml:space="preserve"> PAGEREF _Toc4709 \h </w:instrText>
      </w:r>
      <w:r>
        <w:fldChar w:fldCharType="separate"/>
      </w:r>
      <w:r>
        <w:t>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_Toc21679 </w:instrText>
      </w:r>
      <w:r>
        <w:rPr>
          <w:rFonts w:hint="eastAsia" w:asciiTheme="majorEastAsia" w:hAnsiTheme="majorEastAsia" w:eastAsiaTheme="majorEastAsia" w:cstheme="majorEastAsia"/>
          <w:szCs w:val="28"/>
        </w:rPr>
        <w:fldChar w:fldCharType="separate"/>
      </w:r>
      <w:r>
        <w:rPr>
          <w:rFonts w:cs="Times New Roman" w:eastAsiaTheme="minorEastAsia"/>
          <w:snapToGrid w:val="0"/>
        </w:rPr>
        <w:t>3.2 建设内容基本情况</w:t>
      </w:r>
      <w:r>
        <w:tab/>
      </w:r>
      <w:r>
        <w:fldChar w:fldCharType="begin"/>
      </w:r>
      <w:r>
        <w:instrText xml:space="preserve"> PAGEREF _Toc21679 \h </w:instrText>
      </w:r>
      <w:r>
        <w:fldChar w:fldCharType="separate"/>
      </w:r>
      <w:r>
        <w:t>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_Toc19921 </w:instrText>
      </w:r>
      <w:r>
        <w:rPr>
          <w:rFonts w:hint="eastAsia" w:asciiTheme="majorEastAsia" w:hAnsiTheme="majorEastAsia" w:eastAsiaTheme="majorEastAsia" w:cstheme="majorEastAsia"/>
          <w:szCs w:val="28"/>
        </w:rPr>
        <w:fldChar w:fldCharType="separate"/>
      </w:r>
      <w:r>
        <w:t>3.3 主要原辅材料</w:t>
      </w:r>
      <w:r>
        <w:tab/>
      </w:r>
      <w:r>
        <w:fldChar w:fldCharType="begin"/>
      </w:r>
      <w:r>
        <w:instrText xml:space="preserve"> PAGEREF _Toc19921 \h </w:instrText>
      </w:r>
      <w:r>
        <w:fldChar w:fldCharType="separate"/>
      </w:r>
      <w:r>
        <w:t>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_Toc2781 </w:instrText>
      </w:r>
      <w:r>
        <w:rPr>
          <w:rFonts w:hint="eastAsia" w:asciiTheme="majorEastAsia" w:hAnsiTheme="majorEastAsia" w:eastAsiaTheme="majorEastAsia" w:cstheme="majorEastAsia"/>
          <w:szCs w:val="28"/>
        </w:rPr>
        <w:fldChar w:fldCharType="separate"/>
      </w:r>
      <w:r>
        <w:t>3.4 主要生产设备</w:t>
      </w:r>
      <w:r>
        <w:tab/>
      </w:r>
      <w:r>
        <w:fldChar w:fldCharType="begin"/>
      </w:r>
      <w:r>
        <w:instrText xml:space="preserve"> PAGEREF _Toc2781 \h </w:instrText>
      </w:r>
      <w:r>
        <w:fldChar w:fldCharType="separate"/>
      </w:r>
      <w:r>
        <w:t>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_Toc24849 </w:instrText>
      </w:r>
      <w:r>
        <w:rPr>
          <w:rFonts w:hint="eastAsia" w:asciiTheme="majorEastAsia" w:hAnsiTheme="majorEastAsia" w:eastAsiaTheme="majorEastAsia" w:cstheme="majorEastAsia"/>
          <w:szCs w:val="28"/>
        </w:rPr>
        <w:fldChar w:fldCharType="separate"/>
      </w:r>
      <w:r>
        <w:rPr>
          <w:rFonts w:hint="eastAsia"/>
        </w:rPr>
        <w:t>3.5水源及水平衡</w:t>
      </w:r>
      <w:r>
        <w:tab/>
      </w:r>
      <w:r>
        <w:fldChar w:fldCharType="begin"/>
      </w:r>
      <w:r>
        <w:instrText xml:space="preserve"> PAGEREF _Toc24849 \h </w:instrText>
      </w:r>
      <w:r>
        <w:fldChar w:fldCharType="separate"/>
      </w:r>
      <w:r>
        <w:t>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_Toc25175 </w:instrText>
      </w:r>
      <w:r>
        <w:rPr>
          <w:rFonts w:hint="eastAsia" w:asciiTheme="majorEastAsia" w:hAnsiTheme="majorEastAsia" w:eastAsiaTheme="majorEastAsia" w:cstheme="majorEastAsia"/>
          <w:szCs w:val="28"/>
        </w:rPr>
        <w:fldChar w:fldCharType="separate"/>
      </w:r>
      <w:r>
        <w:t>3.</w:t>
      </w:r>
      <w:r>
        <w:rPr>
          <w:rFonts w:hint="eastAsia"/>
        </w:rPr>
        <w:t>6</w:t>
      </w:r>
      <w:r>
        <w:t xml:space="preserve"> 生产工艺</w:t>
      </w:r>
      <w:r>
        <w:tab/>
      </w:r>
      <w:r>
        <w:fldChar w:fldCharType="begin"/>
      </w:r>
      <w:r>
        <w:instrText xml:space="preserve"> PAGEREF _Toc25175 \h </w:instrText>
      </w:r>
      <w:r>
        <w:fldChar w:fldCharType="separate"/>
      </w:r>
      <w:r>
        <w:t>10</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_Toc3859 </w:instrText>
      </w:r>
      <w:r>
        <w:rPr>
          <w:rFonts w:hint="eastAsia" w:asciiTheme="majorEastAsia" w:hAnsiTheme="majorEastAsia" w:eastAsiaTheme="majorEastAsia" w:cstheme="majorEastAsia"/>
          <w:szCs w:val="28"/>
        </w:rPr>
        <w:fldChar w:fldCharType="separate"/>
      </w:r>
      <w:r>
        <w:rPr>
          <w:rFonts w:hint="eastAsia"/>
        </w:rPr>
        <w:t>3.7 项目变动情况</w:t>
      </w:r>
      <w:r>
        <w:tab/>
      </w:r>
      <w:r>
        <w:fldChar w:fldCharType="begin"/>
      </w:r>
      <w:r>
        <w:instrText xml:space="preserve"> PAGEREF _Toc3859 \h </w:instrText>
      </w:r>
      <w:r>
        <w:fldChar w:fldCharType="separate"/>
      </w:r>
      <w:r>
        <w:t>13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_Toc681 </w:instrText>
      </w:r>
      <w:r>
        <w:rPr>
          <w:rFonts w:hint="eastAsia" w:asciiTheme="majorEastAsia" w:hAnsiTheme="majorEastAsia" w:eastAsiaTheme="majorEastAsia" w:cstheme="majorEastAsia"/>
          <w:szCs w:val="28"/>
        </w:rPr>
        <w:fldChar w:fldCharType="separate"/>
      </w:r>
      <w:r>
        <w:t>4  环境保护设施</w:t>
      </w:r>
      <w:r>
        <w:tab/>
      </w:r>
      <w:r>
        <w:fldChar w:fldCharType="begin"/>
      </w:r>
      <w:r>
        <w:instrText xml:space="preserve"> PAGEREF _Toc681 \h </w:instrText>
      </w:r>
      <w:r>
        <w:fldChar w:fldCharType="separate"/>
      </w:r>
      <w:r>
        <w:t>14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_Toc22582 </w:instrText>
      </w:r>
      <w:r>
        <w:rPr>
          <w:rFonts w:hint="eastAsia" w:asciiTheme="majorEastAsia" w:hAnsiTheme="majorEastAsia" w:eastAsiaTheme="majorEastAsia" w:cstheme="majorEastAsia"/>
          <w:szCs w:val="28"/>
        </w:rPr>
        <w:fldChar w:fldCharType="separate"/>
      </w:r>
      <w:r>
        <w:t>4.1 污染物治理/处置设施</w:t>
      </w:r>
      <w:r>
        <w:tab/>
      </w:r>
      <w:r>
        <w:fldChar w:fldCharType="begin"/>
      </w:r>
      <w:r>
        <w:instrText xml:space="preserve"> PAGEREF _Toc22582 \h </w:instrText>
      </w:r>
      <w:r>
        <w:fldChar w:fldCharType="separate"/>
      </w:r>
      <w:r>
        <w:t>14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_Toc11672 </w:instrText>
      </w:r>
      <w:r>
        <w:rPr>
          <w:rFonts w:hint="eastAsia" w:asciiTheme="majorEastAsia" w:hAnsiTheme="majorEastAsia" w:eastAsiaTheme="majorEastAsia" w:cstheme="majorEastAsia"/>
          <w:szCs w:val="28"/>
        </w:rPr>
        <w:fldChar w:fldCharType="separate"/>
      </w:r>
      <w:r>
        <w:t>4.2 其他环保措施</w:t>
      </w:r>
      <w:r>
        <w:tab/>
      </w:r>
      <w:r>
        <w:fldChar w:fldCharType="begin"/>
      </w:r>
      <w:r>
        <w:instrText xml:space="preserve"> PAGEREF _Toc11672 \h </w:instrText>
      </w:r>
      <w:r>
        <w:fldChar w:fldCharType="separate"/>
      </w:r>
      <w:r>
        <w:t>16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_Toc13958 </w:instrText>
      </w:r>
      <w:r>
        <w:rPr>
          <w:rFonts w:hint="eastAsia" w:asciiTheme="majorEastAsia" w:hAnsiTheme="majorEastAsia" w:eastAsiaTheme="majorEastAsia" w:cstheme="majorEastAsia"/>
          <w:szCs w:val="28"/>
        </w:rPr>
        <w:fldChar w:fldCharType="separate"/>
      </w:r>
      <w:r>
        <w:t>4.3环保设施投资及“三同时”落实情况</w:t>
      </w:r>
      <w:r>
        <w:tab/>
      </w:r>
      <w:r>
        <w:fldChar w:fldCharType="begin"/>
      </w:r>
      <w:r>
        <w:instrText xml:space="preserve"> PAGEREF _Toc13958 \h </w:instrText>
      </w:r>
      <w:r>
        <w:fldChar w:fldCharType="separate"/>
      </w:r>
      <w:r>
        <w:t>17</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_Toc7916 </w:instrText>
      </w:r>
      <w:r>
        <w:rPr>
          <w:rFonts w:hint="eastAsia" w:asciiTheme="majorEastAsia" w:hAnsiTheme="majorEastAsia" w:eastAsiaTheme="majorEastAsia" w:cstheme="majorEastAsia"/>
          <w:szCs w:val="28"/>
        </w:rPr>
        <w:fldChar w:fldCharType="separate"/>
      </w:r>
      <w:r>
        <w:t>5 建设项目环评报告书的主要结论与建议及审批部门决定</w:t>
      </w:r>
      <w:r>
        <w:tab/>
      </w:r>
      <w:r>
        <w:fldChar w:fldCharType="begin"/>
      </w:r>
      <w:r>
        <w:instrText xml:space="preserve"> PAGEREF _Toc7916 \h </w:instrText>
      </w:r>
      <w:r>
        <w:fldChar w:fldCharType="separate"/>
      </w:r>
      <w:r>
        <w:t>19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_Toc16597 </w:instrText>
      </w:r>
      <w:r>
        <w:rPr>
          <w:rFonts w:hint="eastAsia" w:asciiTheme="majorEastAsia" w:hAnsiTheme="majorEastAsia" w:eastAsiaTheme="majorEastAsia" w:cstheme="majorEastAsia"/>
          <w:szCs w:val="28"/>
        </w:rPr>
        <w:fldChar w:fldCharType="separate"/>
      </w:r>
      <w:r>
        <w:t>5.1 建设项目环评报告书</w:t>
      </w:r>
      <w:r>
        <w:rPr>
          <w:rFonts w:hint="eastAsia"/>
          <w:lang w:eastAsia="zh-CN"/>
        </w:rPr>
        <w:t>（表）</w:t>
      </w:r>
      <w:r>
        <w:t>的主要结论与建议</w:t>
      </w:r>
      <w:r>
        <w:tab/>
      </w:r>
      <w:r>
        <w:fldChar w:fldCharType="begin"/>
      </w:r>
      <w:r>
        <w:instrText xml:space="preserve"> PAGEREF _Toc16597 \h </w:instrText>
      </w:r>
      <w:r>
        <w:fldChar w:fldCharType="separate"/>
      </w:r>
      <w:r>
        <w:t>19</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_Toc23479 </w:instrText>
      </w:r>
      <w:r>
        <w:rPr>
          <w:rFonts w:hint="eastAsia" w:asciiTheme="majorEastAsia" w:hAnsiTheme="majorEastAsia" w:eastAsiaTheme="majorEastAsia" w:cstheme="majorEastAsia"/>
          <w:szCs w:val="28"/>
        </w:rPr>
        <w:fldChar w:fldCharType="separate"/>
      </w:r>
      <w:r>
        <w:t>5.2 审批部门审批决定</w:t>
      </w:r>
      <w:r>
        <w:tab/>
      </w:r>
      <w:r>
        <w:fldChar w:fldCharType="begin"/>
      </w:r>
      <w:r>
        <w:instrText xml:space="preserve"> PAGEREF _Toc23479 \h </w:instrText>
      </w:r>
      <w:r>
        <w:fldChar w:fldCharType="separate"/>
      </w:r>
      <w:r>
        <w:t>21</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_Toc4972 </w:instrText>
      </w:r>
      <w:r>
        <w:rPr>
          <w:rFonts w:hint="eastAsia" w:asciiTheme="majorEastAsia" w:hAnsiTheme="majorEastAsia" w:eastAsiaTheme="majorEastAsia" w:cstheme="majorEastAsia"/>
          <w:szCs w:val="28"/>
        </w:rPr>
        <w:fldChar w:fldCharType="separate"/>
      </w:r>
      <w:r>
        <w:t>6 验收执行标准</w:t>
      </w:r>
      <w:r>
        <w:tab/>
      </w:r>
      <w:r>
        <w:fldChar w:fldCharType="begin"/>
      </w:r>
      <w:r>
        <w:instrText xml:space="preserve"> PAGEREF _Toc4972 \h </w:instrText>
      </w:r>
      <w:r>
        <w:fldChar w:fldCharType="separate"/>
      </w:r>
      <w:r>
        <w:t>23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_Toc29873 </w:instrText>
      </w:r>
      <w:r>
        <w:rPr>
          <w:rFonts w:hint="eastAsia" w:asciiTheme="majorEastAsia" w:hAnsiTheme="majorEastAsia" w:eastAsiaTheme="majorEastAsia" w:cstheme="majorEastAsia"/>
          <w:szCs w:val="28"/>
        </w:rPr>
        <w:fldChar w:fldCharType="separate"/>
      </w:r>
      <w:r>
        <w:t>6.1 废气排放执行标准</w:t>
      </w:r>
      <w:r>
        <w:tab/>
      </w:r>
      <w:r>
        <w:fldChar w:fldCharType="begin"/>
      </w:r>
      <w:r>
        <w:instrText xml:space="preserve"> PAGEREF _Toc29873 \h </w:instrText>
      </w:r>
      <w:r>
        <w:fldChar w:fldCharType="separate"/>
      </w:r>
      <w:r>
        <w:t>23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_Toc4967 </w:instrText>
      </w:r>
      <w:r>
        <w:rPr>
          <w:rFonts w:hint="eastAsia" w:asciiTheme="majorEastAsia" w:hAnsiTheme="majorEastAsia" w:eastAsiaTheme="majorEastAsia" w:cstheme="majorEastAsia"/>
          <w:szCs w:val="28"/>
        </w:rPr>
        <w:fldChar w:fldCharType="separate"/>
      </w:r>
      <w:r>
        <w:t>6.2  噪声执行标准</w:t>
      </w:r>
      <w:r>
        <w:tab/>
      </w:r>
      <w:r>
        <w:fldChar w:fldCharType="begin"/>
      </w:r>
      <w:r>
        <w:instrText xml:space="preserve"> PAGEREF _Toc4967 \h </w:instrText>
      </w:r>
      <w:r>
        <w:fldChar w:fldCharType="separate"/>
      </w:r>
      <w:r>
        <w:t>23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_Toc7330 </w:instrText>
      </w:r>
      <w:r>
        <w:rPr>
          <w:rFonts w:hint="eastAsia" w:asciiTheme="majorEastAsia" w:hAnsiTheme="majorEastAsia" w:eastAsiaTheme="majorEastAsia" w:cstheme="majorEastAsia"/>
          <w:szCs w:val="28"/>
        </w:rPr>
        <w:fldChar w:fldCharType="separate"/>
      </w:r>
      <w:r>
        <w:rPr>
          <w:rFonts w:hint="eastAsia"/>
        </w:rPr>
        <w:t>6.</w:t>
      </w:r>
      <w:r>
        <w:rPr>
          <w:rFonts w:hint="eastAsia"/>
          <w:lang w:val="en-US" w:eastAsia="zh-CN"/>
        </w:rPr>
        <w:t>3</w:t>
      </w:r>
      <w:r>
        <w:rPr>
          <w:rFonts w:hint="eastAsia"/>
        </w:rPr>
        <w:t>固体废物污染管控标准要求</w:t>
      </w:r>
      <w:r>
        <w:tab/>
      </w:r>
      <w:r>
        <w:fldChar w:fldCharType="begin"/>
      </w:r>
      <w:r>
        <w:instrText xml:space="preserve"> PAGEREF _Toc7330 \h </w:instrText>
      </w:r>
      <w:r>
        <w:fldChar w:fldCharType="separate"/>
      </w:r>
      <w:r>
        <w:t>23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_Toc2570 </w:instrText>
      </w:r>
      <w:r>
        <w:rPr>
          <w:rFonts w:hint="eastAsia" w:asciiTheme="majorEastAsia" w:hAnsiTheme="majorEastAsia" w:eastAsiaTheme="majorEastAsia" w:cstheme="majorEastAsia"/>
          <w:szCs w:val="28"/>
        </w:rPr>
        <w:fldChar w:fldCharType="separate"/>
      </w:r>
      <w:r>
        <w:t>7 验收监测内容</w:t>
      </w:r>
      <w:r>
        <w:tab/>
      </w:r>
      <w:r>
        <w:fldChar w:fldCharType="begin"/>
      </w:r>
      <w:r>
        <w:instrText xml:space="preserve"> PAGEREF _Toc2570 \h </w:instrText>
      </w:r>
      <w:r>
        <w:fldChar w:fldCharType="separate"/>
      </w:r>
      <w:r>
        <w:t>24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_Toc15091 </w:instrText>
      </w:r>
      <w:r>
        <w:rPr>
          <w:rFonts w:hint="eastAsia" w:asciiTheme="majorEastAsia" w:hAnsiTheme="majorEastAsia" w:eastAsiaTheme="majorEastAsia" w:cstheme="majorEastAsia"/>
          <w:szCs w:val="28"/>
        </w:rPr>
        <w:fldChar w:fldCharType="separate"/>
      </w:r>
      <w:r>
        <w:rPr>
          <w:rFonts w:hint="eastAsia"/>
        </w:rPr>
        <w:t>7.1验收监测内容</w:t>
      </w:r>
      <w:r>
        <w:tab/>
      </w:r>
      <w:r>
        <w:fldChar w:fldCharType="begin"/>
      </w:r>
      <w:r>
        <w:instrText xml:space="preserve"> PAGEREF _Toc15091 \h </w:instrText>
      </w:r>
      <w:r>
        <w:fldChar w:fldCharType="separate"/>
      </w:r>
      <w:r>
        <w:t>24</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_Toc16263 </w:instrText>
      </w:r>
      <w:r>
        <w:rPr>
          <w:rFonts w:hint="eastAsia" w:asciiTheme="majorEastAsia" w:hAnsiTheme="majorEastAsia" w:eastAsiaTheme="majorEastAsia" w:cstheme="majorEastAsia"/>
          <w:szCs w:val="28"/>
        </w:rPr>
        <w:fldChar w:fldCharType="separate"/>
      </w:r>
      <w:r>
        <w:t>8 质量保证及质量控制</w:t>
      </w:r>
      <w:r>
        <w:tab/>
      </w:r>
      <w:r>
        <w:fldChar w:fldCharType="begin"/>
      </w:r>
      <w:r>
        <w:instrText xml:space="preserve"> PAGEREF _Toc16263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_Toc9173 </w:instrText>
      </w:r>
      <w:r>
        <w:rPr>
          <w:rFonts w:hint="eastAsia" w:asciiTheme="majorEastAsia" w:hAnsiTheme="majorEastAsia" w:eastAsiaTheme="majorEastAsia" w:cstheme="majorEastAsia"/>
          <w:szCs w:val="28"/>
        </w:rPr>
        <w:fldChar w:fldCharType="separate"/>
      </w:r>
      <w:r>
        <w:t>8.1</w:t>
      </w:r>
      <w:r>
        <w:rPr>
          <w:rFonts w:hint="eastAsia"/>
        </w:rPr>
        <w:t>监测分析方法与监测依据</w:t>
      </w:r>
      <w:r>
        <w:tab/>
      </w:r>
      <w:r>
        <w:fldChar w:fldCharType="begin"/>
      </w:r>
      <w:r>
        <w:instrText xml:space="preserve"> PAGEREF _Toc9173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_Toc14594 </w:instrText>
      </w:r>
      <w:r>
        <w:rPr>
          <w:rFonts w:hint="eastAsia" w:asciiTheme="majorEastAsia" w:hAnsiTheme="majorEastAsia" w:eastAsiaTheme="majorEastAsia" w:cstheme="majorEastAsia"/>
          <w:szCs w:val="28"/>
        </w:rPr>
        <w:fldChar w:fldCharType="separate"/>
      </w:r>
      <w:r>
        <w:t>8.2监测仪器</w:t>
      </w:r>
      <w:r>
        <w:tab/>
      </w:r>
      <w:r>
        <w:fldChar w:fldCharType="begin"/>
      </w:r>
      <w:r>
        <w:instrText xml:space="preserve"> PAGEREF _Toc14594 \h </w:instrText>
      </w:r>
      <w:r>
        <w:fldChar w:fldCharType="separate"/>
      </w:r>
      <w:r>
        <w:t>25</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_Toc10917 </w:instrText>
      </w:r>
      <w:r>
        <w:rPr>
          <w:rFonts w:hint="eastAsia" w:asciiTheme="majorEastAsia" w:hAnsiTheme="majorEastAsia" w:eastAsiaTheme="majorEastAsia" w:cstheme="majorEastAsia"/>
          <w:szCs w:val="28"/>
        </w:rPr>
        <w:fldChar w:fldCharType="separate"/>
      </w:r>
      <w:r>
        <w:rPr>
          <w:rFonts w:hint="eastAsia"/>
        </w:rPr>
        <w:t>8.3 质量保证</w:t>
      </w:r>
      <w:r>
        <w:tab/>
      </w:r>
      <w:r>
        <w:fldChar w:fldCharType="begin"/>
      </w:r>
      <w:r>
        <w:instrText xml:space="preserve"> PAGEREF _Toc10917 \h </w:instrText>
      </w:r>
      <w:r>
        <w:fldChar w:fldCharType="separate"/>
      </w:r>
      <w:r>
        <w:t>26</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_Toc8182 </w:instrText>
      </w:r>
      <w:r>
        <w:rPr>
          <w:rFonts w:hint="eastAsia" w:asciiTheme="majorEastAsia" w:hAnsiTheme="majorEastAsia" w:eastAsiaTheme="majorEastAsia" w:cstheme="majorEastAsia"/>
          <w:szCs w:val="28"/>
        </w:rPr>
        <w:fldChar w:fldCharType="separate"/>
      </w:r>
      <w:r>
        <w:t>9 验收监测结果</w:t>
      </w:r>
      <w:r>
        <w:tab/>
      </w:r>
      <w:r>
        <w:fldChar w:fldCharType="begin"/>
      </w:r>
      <w:r>
        <w:instrText xml:space="preserve"> PAGEREF _Toc8182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_Toc4760 </w:instrText>
      </w:r>
      <w:r>
        <w:rPr>
          <w:rFonts w:hint="eastAsia" w:asciiTheme="majorEastAsia" w:hAnsiTheme="majorEastAsia" w:eastAsiaTheme="majorEastAsia" w:cstheme="majorEastAsia"/>
          <w:szCs w:val="28"/>
        </w:rPr>
        <w:fldChar w:fldCharType="separate"/>
      </w:r>
      <w:r>
        <w:t>9.1生产工况</w:t>
      </w:r>
      <w:r>
        <w:tab/>
      </w:r>
      <w:r>
        <w:fldChar w:fldCharType="begin"/>
      </w:r>
      <w:r>
        <w:instrText xml:space="preserve"> PAGEREF _Toc4760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_Toc12500 </w:instrText>
      </w:r>
      <w:r>
        <w:rPr>
          <w:rFonts w:hint="eastAsia" w:asciiTheme="majorEastAsia" w:hAnsiTheme="majorEastAsia" w:eastAsiaTheme="majorEastAsia" w:cstheme="majorEastAsia"/>
          <w:szCs w:val="28"/>
        </w:rPr>
        <w:fldChar w:fldCharType="separate"/>
      </w:r>
      <w:r>
        <w:t>9.2 环境保护设施调试效果</w:t>
      </w:r>
      <w:r>
        <w:tab/>
      </w:r>
      <w:r>
        <w:fldChar w:fldCharType="begin"/>
      </w:r>
      <w:r>
        <w:instrText xml:space="preserve"> PAGEREF _Toc12500 \h </w:instrText>
      </w:r>
      <w:r>
        <w:fldChar w:fldCharType="separate"/>
      </w:r>
      <w:r>
        <w:t>28</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_Toc31099 </w:instrText>
      </w:r>
      <w:r>
        <w:rPr>
          <w:rFonts w:hint="eastAsia" w:asciiTheme="majorEastAsia" w:hAnsiTheme="majorEastAsia" w:eastAsiaTheme="majorEastAsia" w:cstheme="majorEastAsia"/>
          <w:szCs w:val="28"/>
        </w:rPr>
        <w:fldChar w:fldCharType="separate"/>
      </w:r>
      <w:r>
        <w:rPr>
          <w:rFonts w:hint="eastAsia"/>
        </w:rPr>
        <w:t>10验收监测结论</w:t>
      </w:r>
      <w:r>
        <w:tab/>
      </w:r>
      <w:r>
        <w:fldChar w:fldCharType="begin"/>
      </w:r>
      <w:r>
        <w:instrText xml:space="preserve"> PAGEREF _Toc31099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_Toc8548 </w:instrText>
      </w:r>
      <w:r>
        <w:rPr>
          <w:rFonts w:hint="eastAsia" w:asciiTheme="majorEastAsia" w:hAnsiTheme="majorEastAsia" w:eastAsiaTheme="majorEastAsia" w:cstheme="majorEastAsia"/>
          <w:szCs w:val="28"/>
        </w:rPr>
        <w:fldChar w:fldCharType="separate"/>
      </w:r>
      <w:r>
        <w:t>10.1 环境保护设施调试效果</w:t>
      </w:r>
      <w:r>
        <w:tab/>
      </w:r>
      <w:r>
        <w:fldChar w:fldCharType="begin"/>
      </w:r>
      <w:r>
        <w:instrText xml:space="preserve"> PAGEREF _Toc8548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_Toc31520 </w:instrText>
      </w:r>
      <w:r>
        <w:rPr>
          <w:rFonts w:hint="eastAsia" w:asciiTheme="majorEastAsia" w:hAnsiTheme="majorEastAsia" w:eastAsiaTheme="majorEastAsia" w:cstheme="majorEastAsia"/>
          <w:szCs w:val="28"/>
        </w:rPr>
        <w:fldChar w:fldCharType="separate"/>
      </w:r>
      <w:r>
        <w:t>10.2环境管理检查</w:t>
      </w:r>
      <w:r>
        <w:tab/>
      </w:r>
      <w:r>
        <w:fldChar w:fldCharType="begin"/>
      </w:r>
      <w:r>
        <w:instrText xml:space="preserve"> PAGEREF _Toc31520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_Toc15542 </w:instrText>
      </w:r>
      <w:r>
        <w:rPr>
          <w:rFonts w:hint="eastAsia" w:asciiTheme="majorEastAsia" w:hAnsiTheme="majorEastAsia" w:eastAsiaTheme="majorEastAsia" w:cstheme="majorEastAsia"/>
          <w:szCs w:val="28"/>
        </w:rPr>
        <w:fldChar w:fldCharType="separate"/>
      </w:r>
      <w:r>
        <w:t>10.</w:t>
      </w:r>
      <w:r>
        <w:rPr>
          <w:rFonts w:hint="eastAsia"/>
          <w:lang w:val="en-US" w:eastAsia="zh-CN"/>
        </w:rPr>
        <w:t>3</w:t>
      </w:r>
      <w:r>
        <w:t xml:space="preserve"> 综合结论</w:t>
      </w:r>
      <w:r>
        <w:tab/>
      </w:r>
      <w:r>
        <w:fldChar w:fldCharType="begin"/>
      </w:r>
      <w:r>
        <w:instrText xml:space="preserve"> PAGEREF _Toc15542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_Toc514 </w:instrText>
      </w:r>
      <w:r>
        <w:rPr>
          <w:rFonts w:hint="eastAsia" w:asciiTheme="majorEastAsia" w:hAnsiTheme="majorEastAsia" w:eastAsiaTheme="majorEastAsia" w:cstheme="majorEastAsia"/>
          <w:szCs w:val="28"/>
        </w:rPr>
        <w:fldChar w:fldCharType="separate"/>
      </w:r>
      <w:r>
        <w:t>10.</w:t>
      </w:r>
      <w:r>
        <w:rPr>
          <w:rFonts w:hint="eastAsia"/>
          <w:lang w:val="en-US" w:eastAsia="zh-CN"/>
        </w:rPr>
        <w:t>4</w:t>
      </w:r>
      <w:r>
        <w:t xml:space="preserve"> 建议与要求</w:t>
      </w:r>
      <w:r>
        <w:tab/>
      </w:r>
      <w:r>
        <w:fldChar w:fldCharType="begin"/>
      </w:r>
      <w:r>
        <w:instrText xml:space="preserve"> PAGEREF _Toc514 \h </w:instrText>
      </w:r>
      <w:r>
        <w:fldChar w:fldCharType="separate"/>
      </w:r>
      <w:r>
        <w:t>32</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7"/>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_Toc28832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 xml:space="preserve">1 </w:t>
      </w:r>
      <w:r>
        <w:t>附图附件</w:t>
      </w:r>
      <w:r>
        <w:tab/>
      </w:r>
      <w:r>
        <w:fldChar w:fldCharType="begin"/>
      </w:r>
      <w:r>
        <w:instrText xml:space="preserve"> PAGEREF _Toc28832 \h </w:instrText>
      </w:r>
      <w:r>
        <w:fldChar w:fldCharType="separate"/>
      </w:r>
      <w:r>
        <w:t>33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_Toc4913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1</w:t>
      </w:r>
      <w:r>
        <w:t>.1附图</w:t>
      </w:r>
      <w:r>
        <w:tab/>
      </w:r>
      <w:r>
        <w:fldChar w:fldCharType="begin"/>
      </w:r>
      <w:r>
        <w:instrText xml:space="preserve"> PAGEREF _Toc4913 \h </w:instrText>
      </w:r>
      <w:r>
        <w:fldChar w:fldCharType="separate"/>
      </w:r>
      <w:r>
        <w:t>33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pStyle w:val="18"/>
        <w:tabs>
          <w:tab w:val="right" w:leader="dot" w:pos="8788"/>
        </w:tabs>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begin"/>
      </w:r>
      <w:r>
        <w:rPr>
          <w:rFonts w:hint="eastAsia" w:asciiTheme="majorEastAsia" w:hAnsiTheme="majorEastAsia" w:eastAsiaTheme="majorEastAsia" w:cstheme="majorEastAsia"/>
          <w:szCs w:val="28"/>
        </w:rPr>
        <w:instrText xml:space="preserve"> HYPERLINK \l _Toc2389 </w:instrText>
      </w:r>
      <w:r>
        <w:rPr>
          <w:rFonts w:hint="eastAsia" w:asciiTheme="majorEastAsia" w:hAnsiTheme="majorEastAsia" w:eastAsiaTheme="majorEastAsia" w:cstheme="majorEastAsia"/>
          <w:szCs w:val="28"/>
        </w:rPr>
        <w:fldChar w:fldCharType="separate"/>
      </w:r>
      <w:r>
        <w:rPr>
          <w:rFonts w:hint="eastAsia"/>
        </w:rPr>
        <w:t>1</w:t>
      </w:r>
      <w:r>
        <w:rPr>
          <w:rFonts w:hint="eastAsia"/>
          <w:lang w:val="en-US" w:eastAsia="zh-CN"/>
        </w:rPr>
        <w:t>1</w:t>
      </w:r>
      <w:r>
        <w:t>.2附件</w:t>
      </w:r>
      <w:r>
        <w:tab/>
      </w:r>
      <w:r>
        <w:fldChar w:fldCharType="begin"/>
      </w:r>
      <w:r>
        <w:instrText xml:space="preserve"> PAGEREF _Toc2389 \h </w:instrText>
      </w:r>
      <w:r>
        <w:fldChar w:fldCharType="separate"/>
      </w:r>
      <w:r>
        <w:t>33</w:t>
      </w:r>
      <w:r>
        <w:fldChar w:fldCharType="end"/>
      </w: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p>
    <w:p>
      <w:pPr>
        <w:rPr>
          <w:rFonts w:cs="Times New Roman" w:eastAsiaTheme="minorEastAsia"/>
          <w:color w:val="000000" w:themeColor="text1"/>
          <w14:textFill>
            <w14:solidFill>
              <w14:schemeClr w14:val="tx1"/>
            </w14:solidFill>
          </w14:textFill>
        </w:rPr>
        <w:sectPr>
          <w:headerReference r:id="rId9" w:type="first"/>
          <w:footerReference r:id="rId12" w:type="first"/>
          <w:headerReference r:id="rId7" w:type="default"/>
          <w:footerReference r:id="rId10" w:type="default"/>
          <w:headerReference r:id="rId8" w:type="even"/>
          <w:footerReference r:id="rId11" w:type="even"/>
          <w:pgSz w:w="11850" w:h="16783"/>
          <w:pgMar w:top="1440" w:right="1531" w:bottom="1440" w:left="1531" w:header="851" w:footer="992" w:gutter="0"/>
          <w:pgNumType w:start="1"/>
          <w:cols w:space="0" w:num="1"/>
          <w:docGrid w:type="lines" w:linePitch="355" w:charSpace="0"/>
        </w:sectPr>
      </w:pPr>
      <w:r>
        <w:rPr>
          <w:rFonts w:hint="eastAsia" w:asciiTheme="majorEastAsia" w:hAnsiTheme="majorEastAsia" w:eastAsiaTheme="majorEastAsia" w:cstheme="majorEastAsia"/>
          <w:color w:val="000000" w:themeColor="text1"/>
          <w:szCs w:val="28"/>
          <w14:textFill>
            <w14:solidFill>
              <w14:schemeClr w14:val="tx1"/>
            </w14:solidFill>
          </w14:textFill>
        </w:rPr>
        <w:fldChar w:fldCharType="end"/>
      </w:r>
      <w:bookmarkStart w:id="141" w:name="_GoBack"/>
      <w:bookmarkEnd w:id="141"/>
    </w:p>
    <w:p>
      <w:pPr>
        <w:pStyle w:val="3"/>
      </w:pPr>
      <w:bookmarkStart w:id="0" w:name="_Toc497833555"/>
      <w:bookmarkStart w:id="1" w:name="_Toc4333"/>
      <w:bookmarkStart w:id="2" w:name="_Toc367196739"/>
      <w:r>
        <w:t xml:space="preserve">1 </w:t>
      </w:r>
      <w:bookmarkEnd w:id="0"/>
      <w:r>
        <w:t>项目概况</w:t>
      </w:r>
      <w:bookmarkEnd w:id="1"/>
    </w:p>
    <w:bookmarkEnd w:id="2"/>
    <w:p>
      <w:pPr>
        <w:pStyle w:val="4"/>
        <w:numPr>
          <w:ilvl w:val="1"/>
          <w:numId w:val="2"/>
        </w:numPr>
      </w:pPr>
      <w:bookmarkStart w:id="3" w:name="_Toc7141"/>
      <w:bookmarkStart w:id="4" w:name="_Toc367196741"/>
      <w:r>
        <w:t>项目基本情况</w:t>
      </w:r>
      <w:bookmarkEnd w:id="3"/>
    </w:p>
    <w:p>
      <w:pPr>
        <w:spacing w:line="360" w:lineRule="auto"/>
        <w:ind w:firstLine="480" w:firstLineChars="200"/>
        <w:rPr>
          <w:rFonts w:hint="eastAsia" w:cs="Times New Roman"/>
          <w:color w:val="auto"/>
          <w:sz w:val="24"/>
          <w:lang w:val="en-US" w:eastAsia="zh-CN"/>
        </w:rPr>
      </w:pPr>
      <w:r>
        <w:rPr>
          <w:rFonts w:hint="eastAsia" w:cs="Times New Roman"/>
          <w:color w:val="auto"/>
          <w:sz w:val="24"/>
          <w:lang w:val="en-US" w:eastAsia="zh-CN"/>
        </w:rPr>
        <w:t>重庆市万州区启豪套装门厂位于重庆市万州区天城镇董家居委会1组80号，租用厂房进行生产，年产套装门2300套，其中生态门（又名免漆门）1500套、油漆门800套。</w:t>
      </w:r>
    </w:p>
    <w:p>
      <w:pPr>
        <w:spacing w:line="360" w:lineRule="auto"/>
        <w:ind w:firstLine="480" w:firstLineChars="200"/>
        <w:rPr>
          <w:rFonts w:hint="eastAsia" w:ascii="Times New Roman" w:hAnsi="Times New Roman" w:cs="Times New Roman"/>
          <w:color w:val="auto"/>
          <w:sz w:val="24"/>
          <w:lang w:val="en-US" w:eastAsia="zh-CN"/>
        </w:rPr>
      </w:pPr>
      <w:r>
        <w:rPr>
          <w:rFonts w:hint="eastAsia" w:ascii="Times New Roman" w:hAnsi="Times New Roman" w:cs="Times New Roman"/>
          <w:color w:val="auto"/>
          <w:sz w:val="24"/>
          <w:lang w:val="en-US" w:eastAsia="zh-CN"/>
        </w:rPr>
        <w:t>201</w:t>
      </w:r>
      <w:r>
        <w:rPr>
          <w:rFonts w:hint="eastAsia" w:cs="Times New Roman"/>
          <w:color w:val="auto"/>
          <w:sz w:val="24"/>
          <w:lang w:val="en-US" w:eastAsia="zh-CN"/>
        </w:rPr>
        <w:t>9</w:t>
      </w:r>
      <w:r>
        <w:rPr>
          <w:rFonts w:hint="eastAsia" w:ascii="Times New Roman" w:hAnsi="Times New Roman" w:cs="Times New Roman"/>
          <w:color w:val="auto"/>
          <w:sz w:val="24"/>
          <w:lang w:val="en-US" w:eastAsia="zh-CN"/>
        </w:rPr>
        <w:t>年</w:t>
      </w:r>
      <w:r>
        <w:rPr>
          <w:rFonts w:hint="eastAsia" w:cs="Times New Roman"/>
          <w:color w:val="auto"/>
          <w:sz w:val="24"/>
          <w:lang w:val="en-US" w:eastAsia="zh-CN"/>
        </w:rPr>
        <w:t>6</w:t>
      </w:r>
      <w:r>
        <w:rPr>
          <w:rFonts w:hint="eastAsia" w:ascii="Times New Roman" w:hAnsi="Times New Roman" w:cs="Times New Roman"/>
          <w:color w:val="auto"/>
          <w:sz w:val="24"/>
          <w:lang w:val="en-US" w:eastAsia="zh-CN"/>
        </w:rPr>
        <w:t>月，</w:t>
      </w:r>
      <w:r>
        <w:rPr>
          <w:rFonts w:hint="eastAsia" w:cs="Times New Roman"/>
          <w:color w:val="auto"/>
          <w:sz w:val="24"/>
          <w:lang w:val="en-US" w:eastAsia="zh-CN"/>
        </w:rPr>
        <w:t>重庆市万州区启豪套装门厂</w:t>
      </w:r>
      <w:r>
        <w:rPr>
          <w:rFonts w:hint="eastAsia" w:ascii="Times New Roman" w:hAnsi="Times New Roman" w:cs="Times New Roman"/>
          <w:color w:val="auto"/>
          <w:sz w:val="24"/>
          <w:lang w:val="en-US" w:eastAsia="zh-CN"/>
        </w:rPr>
        <w:t>委托</w:t>
      </w:r>
      <w:r>
        <w:rPr>
          <w:rFonts w:hint="eastAsia" w:cs="Times New Roman"/>
          <w:color w:val="auto"/>
          <w:sz w:val="24"/>
          <w:lang w:val="en-US" w:eastAsia="zh-CN"/>
        </w:rPr>
        <w:t>江苏苏辰勘察设计研究院有限公司</w:t>
      </w:r>
      <w:r>
        <w:rPr>
          <w:rFonts w:hint="eastAsia" w:ascii="Times New Roman" w:hAnsi="Times New Roman" w:cs="Times New Roman"/>
          <w:color w:val="auto"/>
          <w:sz w:val="24"/>
          <w:lang w:val="en-US" w:eastAsia="zh-CN"/>
        </w:rPr>
        <w:t>编制完成了《</w:t>
      </w:r>
      <w:r>
        <w:rPr>
          <w:rFonts w:hint="eastAsia" w:cs="Times New Roman"/>
          <w:color w:val="auto"/>
          <w:sz w:val="24"/>
          <w:lang w:val="en-US" w:eastAsia="zh-CN"/>
        </w:rPr>
        <w:t>重庆市万州区启豪套装门厂套装门生产项目</w:t>
      </w:r>
      <w:r>
        <w:rPr>
          <w:rFonts w:hint="eastAsia" w:ascii="Times New Roman" w:hAnsi="Times New Roman" w:cs="Times New Roman"/>
          <w:color w:val="auto"/>
          <w:sz w:val="24"/>
          <w:lang w:val="en-US" w:eastAsia="zh-CN"/>
        </w:rPr>
        <w:t>环境影响报告表》。2019年0</w:t>
      </w:r>
      <w:r>
        <w:rPr>
          <w:rFonts w:hint="eastAsia" w:cs="Times New Roman"/>
          <w:color w:val="auto"/>
          <w:sz w:val="24"/>
          <w:lang w:val="en-US" w:eastAsia="zh-CN"/>
        </w:rPr>
        <w:t>7</w:t>
      </w:r>
      <w:r>
        <w:rPr>
          <w:rFonts w:hint="eastAsia" w:ascii="Times New Roman" w:hAnsi="Times New Roman" w:cs="Times New Roman"/>
          <w:color w:val="auto"/>
          <w:sz w:val="24"/>
          <w:lang w:val="en-US" w:eastAsia="zh-CN"/>
        </w:rPr>
        <w:t>月</w:t>
      </w:r>
      <w:r>
        <w:rPr>
          <w:rFonts w:hint="eastAsia" w:cs="Times New Roman"/>
          <w:color w:val="auto"/>
          <w:sz w:val="24"/>
          <w:lang w:val="en-US" w:eastAsia="zh-CN"/>
        </w:rPr>
        <w:t>26</w:t>
      </w:r>
      <w:r>
        <w:rPr>
          <w:rFonts w:hint="eastAsia" w:ascii="Times New Roman" w:hAnsi="Times New Roman" w:cs="Times New Roman"/>
          <w:color w:val="auto"/>
          <w:sz w:val="24"/>
          <w:lang w:val="en-US" w:eastAsia="zh-CN"/>
        </w:rPr>
        <w:t>日，重庆市</w:t>
      </w:r>
      <w:r>
        <w:rPr>
          <w:rFonts w:hint="eastAsia" w:cs="Times New Roman"/>
          <w:color w:val="auto"/>
          <w:sz w:val="24"/>
          <w:lang w:val="en-US" w:eastAsia="zh-CN"/>
        </w:rPr>
        <w:t>万州区</w:t>
      </w:r>
      <w:r>
        <w:rPr>
          <w:rFonts w:hint="eastAsia" w:ascii="Times New Roman" w:hAnsi="Times New Roman" w:cs="Times New Roman"/>
          <w:color w:val="auto"/>
          <w:sz w:val="24"/>
          <w:lang w:val="en-US" w:eastAsia="zh-CN"/>
        </w:rPr>
        <w:t>生态环境局以</w:t>
      </w:r>
      <w:r>
        <w:rPr>
          <w:rFonts w:hint="eastAsia" w:cs="Times New Roman"/>
          <w:color w:val="auto"/>
          <w:sz w:val="24"/>
          <w:lang w:val="en-US" w:eastAsia="zh-CN"/>
        </w:rPr>
        <w:t>渝（万）环准【2019】87号</w:t>
      </w:r>
      <w:r>
        <w:rPr>
          <w:rFonts w:hint="eastAsia" w:ascii="Times New Roman" w:hAnsi="Times New Roman" w:cs="Times New Roman"/>
          <w:color w:val="auto"/>
          <w:sz w:val="24"/>
          <w:lang w:val="en-US" w:eastAsia="zh-CN"/>
        </w:rPr>
        <w:t>文对该项目环境影响评估报告进行批复。</w:t>
      </w:r>
    </w:p>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cs="Times New Roman"/>
          <w:color w:val="auto"/>
          <w:sz w:val="24"/>
          <w:lang w:val="en-US" w:eastAsia="zh-CN"/>
        </w:rPr>
        <w:t>重庆市万州区启豪套装门厂套装门生产项目</w:t>
      </w:r>
      <w:r>
        <w:rPr>
          <w:rFonts w:hint="eastAsia" w:ascii="Times New Roman" w:hAnsi="Times New Roman" w:eastAsia="宋体" w:cs="Times New Roman"/>
          <w:color w:val="auto"/>
          <w:sz w:val="24"/>
          <w:lang w:val="en-US" w:eastAsia="zh-CN"/>
        </w:rPr>
        <w:t>于20</w:t>
      </w:r>
      <w:r>
        <w:rPr>
          <w:rFonts w:hint="eastAsia" w:cs="Times New Roman"/>
          <w:color w:val="auto"/>
          <w:sz w:val="24"/>
          <w:lang w:val="en-US" w:eastAsia="zh-CN"/>
        </w:rPr>
        <w:t>20</w:t>
      </w:r>
      <w:r>
        <w:rPr>
          <w:rFonts w:hint="eastAsia" w:ascii="Times New Roman" w:hAnsi="Times New Roman" w:eastAsia="宋体" w:cs="Times New Roman"/>
          <w:color w:val="auto"/>
          <w:sz w:val="24"/>
          <w:lang w:val="en-US" w:eastAsia="zh-CN"/>
        </w:rPr>
        <w:t>年06月开工建设，2021年0</w:t>
      </w:r>
      <w:r>
        <w:rPr>
          <w:rFonts w:hint="eastAsia" w:cs="Times New Roman"/>
          <w:color w:val="auto"/>
          <w:sz w:val="24"/>
          <w:lang w:val="en-US" w:eastAsia="zh-CN"/>
        </w:rPr>
        <w:t>7</w:t>
      </w:r>
      <w:r>
        <w:rPr>
          <w:rFonts w:hint="eastAsia" w:ascii="Times New Roman" w:hAnsi="Times New Roman" w:eastAsia="宋体" w:cs="Times New Roman"/>
          <w:color w:val="auto"/>
          <w:sz w:val="24"/>
          <w:lang w:val="en-US" w:eastAsia="zh-CN"/>
        </w:rPr>
        <w:t>月竣工。</w:t>
      </w:r>
    </w:p>
    <w:p>
      <w:pPr>
        <w:spacing w:line="360" w:lineRule="auto"/>
        <w:ind w:firstLine="480" w:firstLineChars="200"/>
        <w:rPr>
          <w:rFonts w:ascii="宋体" w:hAnsi="宋体" w:cs="宋体"/>
          <w:color w:val="auto"/>
          <w:szCs w:val="24"/>
        </w:rPr>
      </w:pPr>
      <w:r>
        <w:rPr>
          <w:rFonts w:hint="eastAsia" w:ascii="Times New Roman" w:hAnsi="Times New Roman" w:eastAsia="宋体" w:cs="Times New Roman"/>
          <w:color w:val="auto"/>
          <w:sz w:val="24"/>
          <w:lang w:val="en-US" w:eastAsia="zh-CN"/>
        </w:rPr>
        <w:t>根据《中华人民共和国环境保护法》、《建设项目环境保护管理条例》、《建设项目竣工环境保护验收管理办法》等有关规定，按照环境保护“三同时”制度要求，该建设项目必须进行竣工环境保护验收。为此，</w:t>
      </w:r>
      <w:r>
        <w:rPr>
          <w:rFonts w:hint="eastAsia" w:cs="Times New Roman"/>
          <w:color w:val="auto"/>
          <w:sz w:val="24"/>
          <w:lang w:val="en-US" w:eastAsia="zh-CN"/>
        </w:rPr>
        <w:t>重庆市万州区启豪套装门厂</w:t>
      </w:r>
      <w:r>
        <w:rPr>
          <w:rFonts w:hint="eastAsia" w:ascii="宋体" w:hAnsi="宋体" w:cs="宋体"/>
          <w:color w:val="auto"/>
          <w:szCs w:val="24"/>
        </w:rPr>
        <w:t>开展</w:t>
      </w:r>
      <w:r>
        <w:rPr>
          <w:rFonts w:hint="eastAsia" w:ascii="宋体" w:hAnsi="宋体" w:cs="宋体"/>
          <w:color w:val="auto"/>
          <w:szCs w:val="24"/>
          <w:lang w:eastAsia="zh-CN"/>
        </w:rPr>
        <w:t>重庆市万州区启豪套装门厂套装门生产项目</w:t>
      </w:r>
      <w:r>
        <w:rPr>
          <w:rFonts w:hint="eastAsia" w:ascii="宋体" w:hAnsi="宋体" w:cs="宋体"/>
          <w:color w:val="auto"/>
          <w:szCs w:val="24"/>
        </w:rPr>
        <w:t>竣工环境保护验收工作，并编制完成了《</w:t>
      </w:r>
      <w:r>
        <w:rPr>
          <w:rFonts w:hint="eastAsia" w:ascii="宋体" w:hAnsi="宋体" w:cs="宋体"/>
          <w:color w:val="auto"/>
          <w:szCs w:val="24"/>
          <w:lang w:eastAsia="zh-CN"/>
        </w:rPr>
        <w:t>重庆市万州区启豪套装门厂套装门生产项目</w:t>
      </w:r>
      <w:r>
        <w:rPr>
          <w:rFonts w:hint="eastAsia" w:ascii="宋体" w:hAnsi="宋体" w:cs="宋体"/>
          <w:color w:val="auto"/>
          <w:szCs w:val="24"/>
        </w:rPr>
        <w:t>竣工环境保护验收监测报告》。</w:t>
      </w:r>
    </w:p>
    <w:p>
      <w:pPr>
        <w:pStyle w:val="11"/>
      </w:pPr>
    </w:p>
    <w:p>
      <w:pPr>
        <w:pStyle w:val="11"/>
      </w:pPr>
    </w:p>
    <w:p>
      <w:pPr>
        <w:pStyle w:val="11"/>
      </w:pPr>
    </w:p>
    <w:p>
      <w:pPr>
        <w:pStyle w:val="11"/>
      </w:pPr>
    </w:p>
    <w:p>
      <w:pPr>
        <w:pStyle w:val="11"/>
      </w:pPr>
    </w:p>
    <w:p>
      <w:pPr>
        <w:pStyle w:val="11"/>
        <w:keepNext w:val="0"/>
        <w:keepLines w:val="0"/>
        <w:pageBreakBefore/>
        <w:widowControl/>
        <w:kinsoku/>
        <w:wordWrap/>
        <w:overflowPunct/>
        <w:topLinePunct w:val="0"/>
        <w:autoSpaceDE/>
        <w:autoSpaceDN/>
        <w:bidi w:val="0"/>
        <w:adjustRightInd w:val="0"/>
        <w:snapToGrid w:val="0"/>
        <w:textAlignment w:val="baseline"/>
      </w:pPr>
    </w:p>
    <w:p>
      <w:pPr>
        <w:ind w:firstLine="480" w:firstLineChars="200"/>
        <w:jc w:val="both"/>
        <w:rPr>
          <w:rFonts w:ascii="宋体" w:hAnsi="宋体" w:cs="宋体"/>
          <w:color w:val="000000" w:themeColor="text1"/>
          <w:szCs w:val="24"/>
          <w14:textFill>
            <w14:solidFill>
              <w14:schemeClr w14:val="tx1"/>
            </w14:solidFill>
          </w14:textFill>
        </w:rPr>
      </w:pPr>
      <w:r>
        <w:rPr>
          <w:rFonts w:hint="eastAsia" w:ascii="宋体" w:hAnsi="宋体" w:cs="宋体"/>
          <w:color w:val="000000" w:themeColor="text1"/>
          <w:szCs w:val="24"/>
          <w14:textFill>
            <w14:solidFill>
              <w14:schemeClr w14:val="tx1"/>
            </w14:solidFill>
          </w14:textFill>
        </w:rPr>
        <w:t>项目详细情况见表1-1。</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14:textFill>
            <w14:solidFill>
              <w14:schemeClr w14:val="tx1"/>
            </w14:solidFill>
          </w14:textFill>
        </w:rPr>
        <w:t>1-1</w:t>
      </w:r>
      <w:r>
        <w:rPr>
          <w:rFonts w:cs="Times New Roman" w:eastAsiaTheme="minorEastAsia"/>
          <w:b/>
          <w:bCs/>
          <w:color w:val="000000" w:themeColor="text1"/>
          <w:sz w:val="21"/>
          <w:szCs w:val="21"/>
          <w14:textFill>
            <w14:solidFill>
              <w14:schemeClr w14:val="tx1"/>
            </w14:solidFill>
          </w14:textFill>
        </w:rPr>
        <w:t xml:space="preserve">    验收项目</w:t>
      </w:r>
      <w:r>
        <w:rPr>
          <w:rFonts w:hint="eastAsia" w:cs="Times New Roman" w:eastAsiaTheme="minorEastAsia"/>
          <w:b/>
          <w:bCs/>
          <w:color w:val="000000" w:themeColor="text1"/>
          <w:sz w:val="21"/>
          <w:szCs w:val="21"/>
          <w14:textFill>
            <w14:solidFill>
              <w14:schemeClr w14:val="tx1"/>
            </w14:solidFill>
          </w14:textFill>
        </w:rPr>
        <w:t>详细情况一览表</w:t>
      </w:r>
    </w:p>
    <w:tbl>
      <w:tblPr>
        <w:tblStyle w:val="22"/>
        <w:tblW w:w="8966"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746"/>
        <w:gridCol w:w="1693"/>
        <w:gridCol w:w="75"/>
        <w:gridCol w:w="827"/>
        <w:gridCol w:w="911"/>
        <w:gridCol w:w="1414"/>
        <w:gridCol w:w="739"/>
        <w:gridCol w:w="622"/>
        <w:gridCol w:w="93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建设项目名称</w:t>
            </w:r>
          </w:p>
        </w:tc>
        <w:tc>
          <w:tcPr>
            <w:tcW w:w="7220" w:type="dxa"/>
            <w:gridSpan w:val="8"/>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套装门生产项目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eastAsia="zh-CN"/>
              </w:rPr>
              <w:t>建设</w:t>
            </w:r>
            <w:r>
              <w:rPr>
                <w:rFonts w:ascii="Times New Roman" w:hAnsi="Times New Roman" w:eastAsiaTheme="minorEastAsia"/>
                <w:kern w:val="2"/>
                <w:sz w:val="24"/>
                <w:szCs w:val="24"/>
              </w:rPr>
              <w:t>单位名称</w:t>
            </w:r>
          </w:p>
        </w:tc>
        <w:tc>
          <w:tcPr>
            <w:tcW w:w="7220" w:type="dxa"/>
            <w:gridSpan w:val="8"/>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重庆市万州区启豪套装门厂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建设地点</w:t>
            </w:r>
          </w:p>
        </w:tc>
        <w:tc>
          <w:tcPr>
            <w:tcW w:w="4920" w:type="dxa"/>
            <w:gridSpan w:val="5"/>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eastAsia="zh-CN"/>
              </w:rPr>
              <w:t>重庆市万州区天城镇董家居委会1组80号</w:t>
            </w:r>
          </w:p>
        </w:tc>
        <w:tc>
          <w:tcPr>
            <w:tcW w:w="739"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邮编</w:t>
            </w:r>
          </w:p>
        </w:tc>
        <w:tc>
          <w:tcPr>
            <w:tcW w:w="1561" w:type="dxa"/>
            <w:gridSpan w:val="2"/>
            <w:vAlign w:val="center"/>
          </w:tcPr>
          <w:p>
            <w:pPr>
              <w:pStyle w:val="36"/>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404000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联系人</w:t>
            </w:r>
          </w:p>
        </w:tc>
        <w:tc>
          <w:tcPr>
            <w:tcW w:w="2595" w:type="dxa"/>
            <w:gridSpan w:val="3"/>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rPr>
              <w:t>邱隆兵</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联系电话</w:t>
            </w:r>
          </w:p>
        </w:tc>
        <w:tc>
          <w:tcPr>
            <w:tcW w:w="2300" w:type="dxa"/>
            <w:gridSpan w:val="3"/>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手机：13012333912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建设项目性质</w:t>
            </w:r>
          </w:p>
        </w:tc>
        <w:tc>
          <w:tcPr>
            <w:tcW w:w="7220" w:type="dxa"/>
            <w:gridSpan w:val="8"/>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新建√     改扩建       技术改造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环评报告审批部门</w:t>
            </w:r>
          </w:p>
        </w:tc>
        <w:tc>
          <w:tcPr>
            <w:tcW w:w="1768" w:type="dxa"/>
            <w:gridSpan w:val="2"/>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重庆市万州区生态环境局</w:t>
            </w:r>
          </w:p>
        </w:tc>
        <w:tc>
          <w:tcPr>
            <w:tcW w:w="827" w:type="dxa"/>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文号</w:t>
            </w:r>
          </w:p>
        </w:tc>
        <w:tc>
          <w:tcPr>
            <w:tcW w:w="2325" w:type="dxa"/>
            <w:gridSpan w:val="2"/>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val="en-US" w:eastAsia="zh-CN"/>
              </w:rPr>
              <w:t>渝（万）环准【2019】87号</w:t>
            </w:r>
          </w:p>
        </w:tc>
        <w:tc>
          <w:tcPr>
            <w:tcW w:w="739" w:type="dxa"/>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时间</w:t>
            </w:r>
          </w:p>
        </w:tc>
        <w:tc>
          <w:tcPr>
            <w:tcW w:w="1561" w:type="dxa"/>
            <w:gridSpan w:val="2"/>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2019年07月26日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hint="eastAsia" w:ascii="Times New Roman" w:hAnsi="Times New Roman" w:eastAsiaTheme="minorEastAsia"/>
                <w:kern w:val="2"/>
                <w:sz w:val="24"/>
                <w:szCs w:val="24"/>
                <w:lang w:eastAsia="zh-CN"/>
              </w:rPr>
            </w:pPr>
            <w:r>
              <w:rPr>
                <w:rFonts w:ascii="Times New Roman" w:hAnsi="Times New Roman" w:eastAsiaTheme="minorEastAsia"/>
                <w:kern w:val="2"/>
                <w:sz w:val="24"/>
                <w:szCs w:val="24"/>
              </w:rPr>
              <w:t>环评报告</w:t>
            </w:r>
            <w:r>
              <w:rPr>
                <w:rFonts w:hint="eastAsia" w:ascii="Times New Roman" w:hAnsi="Times New Roman" w:eastAsiaTheme="minorEastAsia"/>
                <w:kern w:val="2"/>
                <w:sz w:val="24"/>
                <w:szCs w:val="24"/>
                <w:lang w:eastAsia="zh-CN"/>
              </w:rPr>
              <w:t>表</w:t>
            </w:r>
          </w:p>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编制单位</w:t>
            </w:r>
          </w:p>
        </w:tc>
        <w:tc>
          <w:tcPr>
            <w:tcW w:w="2595" w:type="dxa"/>
            <w:gridSpan w:val="3"/>
            <w:vAlign w:val="center"/>
          </w:tcPr>
          <w:p>
            <w:pPr>
              <w:pStyle w:val="36"/>
              <w:rPr>
                <w:rFonts w:hint="eastAsia" w:ascii="Times New Roman" w:hAnsi="Times New Roman" w:eastAsiaTheme="minorEastAsia"/>
                <w:kern w:val="2"/>
                <w:sz w:val="24"/>
                <w:szCs w:val="24"/>
                <w:lang w:eastAsia="zh-CN"/>
              </w:rPr>
            </w:pPr>
            <w:r>
              <w:rPr>
                <w:rFonts w:hint="eastAsia" w:ascii="Times New Roman" w:hAnsi="Times New Roman" w:eastAsiaTheme="minorEastAsia"/>
                <w:kern w:val="2"/>
                <w:sz w:val="24"/>
                <w:szCs w:val="24"/>
                <w:lang w:eastAsia="zh-CN"/>
              </w:rPr>
              <w:t>江苏苏辰勘察设计研究院有限公司</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环境监理单位</w:t>
            </w:r>
          </w:p>
        </w:tc>
        <w:tc>
          <w:tcPr>
            <w:tcW w:w="2300" w:type="dxa"/>
            <w:gridSpan w:val="3"/>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开工建设时间</w:t>
            </w:r>
          </w:p>
        </w:tc>
        <w:tc>
          <w:tcPr>
            <w:tcW w:w="2595" w:type="dxa"/>
            <w:gridSpan w:val="3"/>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rPr>
              <w:t>20</w:t>
            </w:r>
            <w:r>
              <w:rPr>
                <w:rFonts w:hint="eastAsia" w:ascii="Times New Roman" w:hAnsi="Times New Roman" w:eastAsiaTheme="minorEastAsia"/>
                <w:kern w:val="2"/>
                <w:sz w:val="24"/>
                <w:szCs w:val="24"/>
                <w:lang w:val="en-US" w:eastAsia="zh-CN"/>
              </w:rPr>
              <w:t>21</w:t>
            </w:r>
            <w:r>
              <w:rPr>
                <w:rFonts w:hint="eastAsia" w:ascii="Times New Roman" w:hAnsi="Times New Roman" w:eastAsiaTheme="minorEastAsia"/>
                <w:kern w:val="2"/>
                <w:sz w:val="24"/>
                <w:szCs w:val="24"/>
              </w:rPr>
              <w:t>年</w:t>
            </w:r>
            <w:r>
              <w:rPr>
                <w:rFonts w:hint="eastAsia" w:ascii="Times New Roman" w:hAnsi="Times New Roman" w:eastAsiaTheme="minorEastAsia"/>
                <w:kern w:val="2"/>
                <w:sz w:val="24"/>
                <w:szCs w:val="24"/>
                <w:lang w:val="en-US" w:eastAsia="zh-CN"/>
              </w:rPr>
              <w:t>06</w:t>
            </w:r>
            <w:r>
              <w:rPr>
                <w:rFonts w:hint="eastAsia" w:ascii="Times New Roman" w:hAnsi="Times New Roman" w:eastAsiaTheme="minorEastAsia"/>
                <w:kern w:val="2"/>
                <w:sz w:val="24"/>
                <w:szCs w:val="24"/>
              </w:rPr>
              <w:t>月</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投入试生产时间</w:t>
            </w:r>
          </w:p>
        </w:tc>
        <w:tc>
          <w:tcPr>
            <w:tcW w:w="2300" w:type="dxa"/>
            <w:gridSpan w:val="3"/>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color w:val="auto"/>
                <w:kern w:val="2"/>
                <w:sz w:val="24"/>
                <w:szCs w:val="24"/>
              </w:rPr>
              <w:t>20</w:t>
            </w:r>
            <w:r>
              <w:rPr>
                <w:rFonts w:hint="eastAsia" w:ascii="Times New Roman" w:hAnsi="Times New Roman" w:eastAsiaTheme="minorEastAsia"/>
                <w:color w:val="auto"/>
                <w:kern w:val="2"/>
                <w:sz w:val="24"/>
                <w:szCs w:val="24"/>
                <w:lang w:val="en-US" w:eastAsia="zh-CN"/>
              </w:rPr>
              <w:t>22</w:t>
            </w:r>
            <w:r>
              <w:rPr>
                <w:rFonts w:hint="eastAsia" w:ascii="Times New Roman" w:hAnsi="Times New Roman" w:eastAsiaTheme="minorEastAsia"/>
                <w:color w:val="auto"/>
                <w:kern w:val="2"/>
                <w:sz w:val="24"/>
                <w:szCs w:val="24"/>
              </w:rPr>
              <w:t>年</w:t>
            </w:r>
            <w:r>
              <w:rPr>
                <w:rFonts w:hint="eastAsia" w:ascii="Times New Roman" w:hAnsi="Times New Roman" w:eastAsiaTheme="minorEastAsia"/>
                <w:color w:val="auto"/>
                <w:kern w:val="2"/>
                <w:sz w:val="24"/>
                <w:szCs w:val="24"/>
                <w:lang w:val="en-US" w:eastAsia="zh-CN"/>
              </w:rPr>
              <w:t>05</w:t>
            </w:r>
            <w:r>
              <w:rPr>
                <w:rFonts w:hint="eastAsia" w:ascii="Times New Roman" w:hAnsi="Times New Roman" w:eastAsiaTheme="minorEastAsia"/>
                <w:color w:val="auto"/>
                <w:kern w:val="2"/>
                <w:sz w:val="24"/>
                <w:szCs w:val="24"/>
              </w:rPr>
              <w:t>月</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环保设施设计单位</w:t>
            </w:r>
          </w:p>
        </w:tc>
        <w:tc>
          <w:tcPr>
            <w:tcW w:w="2595" w:type="dxa"/>
            <w:gridSpan w:val="3"/>
            <w:vAlign w:val="center"/>
          </w:tcPr>
          <w:p>
            <w:pPr>
              <w:pStyle w:val="36"/>
              <w:rPr>
                <w:rFonts w:hint="eastAsia"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eastAsia="zh-CN"/>
              </w:rPr>
              <w:t>重庆市万州区启豪套装门厂</w:t>
            </w:r>
          </w:p>
        </w:tc>
        <w:tc>
          <w:tcPr>
            <w:tcW w:w="2325" w:type="dxa"/>
            <w:gridSpan w:val="2"/>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环保设施施工单位</w:t>
            </w:r>
          </w:p>
        </w:tc>
        <w:tc>
          <w:tcPr>
            <w:tcW w:w="2300" w:type="dxa"/>
            <w:gridSpan w:val="3"/>
            <w:vAlign w:val="center"/>
          </w:tcPr>
          <w:p>
            <w:pPr>
              <w:pStyle w:val="36"/>
              <w:rPr>
                <w:rFonts w:ascii="Times New Roman" w:hAnsi="Times New Roman" w:eastAsiaTheme="minorEastAsia"/>
                <w:color w:val="FF0000"/>
                <w:kern w:val="2"/>
                <w:sz w:val="24"/>
                <w:szCs w:val="24"/>
              </w:rPr>
            </w:pPr>
            <w:r>
              <w:rPr>
                <w:rFonts w:hint="eastAsia" w:ascii="Times New Roman" w:hAnsi="Times New Roman" w:eastAsiaTheme="minorEastAsia"/>
                <w:kern w:val="2"/>
                <w:sz w:val="24"/>
                <w:szCs w:val="24"/>
                <w:lang w:eastAsia="zh-CN"/>
              </w:rPr>
              <w:t>重庆市万州区启豪套装门厂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环评设计生产能力</w:t>
            </w:r>
          </w:p>
        </w:tc>
        <w:tc>
          <w:tcPr>
            <w:tcW w:w="7220" w:type="dxa"/>
            <w:gridSpan w:val="8"/>
            <w:vAlign w:val="center"/>
          </w:tcPr>
          <w:p>
            <w:pPr>
              <w:snapToGrid w:val="0"/>
              <w:jc w:val="both"/>
              <w:rPr>
                <w:rFonts w:hint="eastAsia" w:ascii="Times New Roman" w:hAnsi="Times New Roman" w:eastAsia="宋体"/>
                <w:kern w:val="2"/>
                <w:sz w:val="24"/>
                <w:szCs w:val="24"/>
                <w:lang w:eastAsia="zh-CN"/>
              </w:rPr>
            </w:pPr>
            <w:r>
              <w:rPr>
                <w:rFonts w:hint="eastAsia"/>
                <w:snapToGrid w:val="0"/>
                <w:kern w:val="0"/>
              </w:rPr>
              <w:t>年产套装门2300套</w:t>
            </w:r>
            <w:r>
              <w:rPr>
                <w:rFonts w:hint="eastAsia"/>
                <w:snapToGrid w:val="0"/>
                <w:kern w:val="0"/>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实际建设生产能力</w:t>
            </w:r>
          </w:p>
        </w:tc>
        <w:tc>
          <w:tcPr>
            <w:tcW w:w="7220" w:type="dxa"/>
            <w:gridSpan w:val="8"/>
            <w:vAlign w:val="center"/>
          </w:tcPr>
          <w:p>
            <w:pPr>
              <w:pStyle w:val="54"/>
              <w:snapToGrid w:val="0"/>
              <w:spacing w:line="480" w:lineRule="exact"/>
              <w:ind w:left="0" w:leftChars="0" w:firstLine="0" w:firstLineChars="0"/>
              <w:rPr>
                <w:rFonts w:hint="eastAsia" w:ascii="Times New Roman" w:hAnsi="Times New Roman" w:eastAsia="宋体"/>
                <w:kern w:val="2"/>
                <w:sz w:val="24"/>
                <w:szCs w:val="24"/>
                <w:lang w:eastAsia="zh-CN"/>
              </w:rPr>
            </w:pPr>
            <w:r>
              <w:rPr>
                <w:rFonts w:hint="eastAsia"/>
                <w:snapToGrid w:val="0"/>
                <w:kern w:val="0"/>
              </w:rPr>
              <w:t>年产套装门2300套</w:t>
            </w:r>
            <w:r>
              <w:rPr>
                <w:rFonts w:hint="eastAsia"/>
                <w:snapToGrid w:val="0"/>
                <w:kern w:val="0"/>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概算</w:t>
            </w:r>
          </w:p>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总投资</w:t>
            </w:r>
          </w:p>
        </w:tc>
        <w:tc>
          <w:tcPr>
            <w:tcW w:w="1693" w:type="dxa"/>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200万元</w:t>
            </w:r>
          </w:p>
        </w:tc>
        <w:tc>
          <w:tcPr>
            <w:tcW w:w="1813" w:type="dxa"/>
            <w:gridSpan w:val="3"/>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其中环保投资</w:t>
            </w:r>
          </w:p>
        </w:tc>
        <w:tc>
          <w:tcPr>
            <w:tcW w:w="1414" w:type="dxa"/>
            <w:vAlign w:val="center"/>
          </w:tcPr>
          <w:p>
            <w:pPr>
              <w:pStyle w:val="36"/>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42.5万元</w:t>
            </w:r>
          </w:p>
        </w:tc>
        <w:tc>
          <w:tcPr>
            <w:tcW w:w="1361" w:type="dxa"/>
            <w:gridSpan w:val="2"/>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比例</w:t>
            </w:r>
          </w:p>
        </w:tc>
        <w:tc>
          <w:tcPr>
            <w:tcW w:w="939" w:type="dxa"/>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21.3</w:t>
            </w:r>
            <w:r>
              <w:rPr>
                <w:rFonts w:hint="eastAsia" w:ascii="Times New Roman" w:hAnsi="Times New Roman" w:eastAsiaTheme="minorEastAsia"/>
                <w:kern w:val="2"/>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97" w:hRule="atLeast"/>
          <w:jc w:val="center"/>
        </w:trPr>
        <w:tc>
          <w:tcPr>
            <w:tcW w:w="1746" w:type="dxa"/>
            <w:vAlign w:val="center"/>
          </w:tcPr>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实际</w:t>
            </w:r>
          </w:p>
          <w:p>
            <w:pPr>
              <w:pStyle w:val="36"/>
              <w:rPr>
                <w:rFonts w:ascii="Times New Roman" w:hAnsi="Times New Roman" w:eastAsiaTheme="minorEastAsia"/>
                <w:kern w:val="2"/>
                <w:sz w:val="24"/>
                <w:szCs w:val="24"/>
              </w:rPr>
            </w:pPr>
            <w:r>
              <w:rPr>
                <w:rFonts w:ascii="Times New Roman" w:hAnsi="Times New Roman" w:eastAsiaTheme="minorEastAsia"/>
                <w:kern w:val="2"/>
                <w:sz w:val="24"/>
                <w:szCs w:val="24"/>
              </w:rPr>
              <w:t>总投资</w:t>
            </w:r>
          </w:p>
        </w:tc>
        <w:tc>
          <w:tcPr>
            <w:tcW w:w="1693" w:type="dxa"/>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200</w:t>
            </w:r>
            <w:r>
              <w:rPr>
                <w:rFonts w:hint="eastAsia" w:ascii="Times New Roman" w:hAnsi="Times New Roman" w:eastAsiaTheme="minorEastAsia"/>
                <w:kern w:val="2"/>
                <w:sz w:val="24"/>
                <w:szCs w:val="24"/>
              </w:rPr>
              <w:t>万元</w:t>
            </w:r>
          </w:p>
        </w:tc>
        <w:tc>
          <w:tcPr>
            <w:tcW w:w="1813" w:type="dxa"/>
            <w:gridSpan w:val="3"/>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其中环保投资</w:t>
            </w:r>
          </w:p>
        </w:tc>
        <w:tc>
          <w:tcPr>
            <w:tcW w:w="1414" w:type="dxa"/>
            <w:vAlign w:val="center"/>
          </w:tcPr>
          <w:p>
            <w:pPr>
              <w:pStyle w:val="36"/>
              <w:rPr>
                <w:rFonts w:hint="default" w:ascii="Times New Roman" w:hAnsi="Times New Roman" w:eastAsiaTheme="minorEastAsia"/>
                <w:kern w:val="2"/>
                <w:sz w:val="24"/>
                <w:szCs w:val="24"/>
                <w:lang w:val="en-US" w:eastAsia="zh-CN"/>
              </w:rPr>
            </w:pPr>
            <w:r>
              <w:rPr>
                <w:rFonts w:hint="eastAsia" w:ascii="Times New Roman" w:hAnsi="Times New Roman" w:eastAsiaTheme="minorEastAsia"/>
                <w:kern w:val="2"/>
                <w:sz w:val="24"/>
                <w:szCs w:val="24"/>
                <w:lang w:val="en-US" w:eastAsia="zh-CN"/>
              </w:rPr>
              <w:t>45万元</w:t>
            </w:r>
          </w:p>
        </w:tc>
        <w:tc>
          <w:tcPr>
            <w:tcW w:w="1361" w:type="dxa"/>
            <w:gridSpan w:val="2"/>
            <w:vAlign w:val="center"/>
          </w:tcPr>
          <w:p>
            <w:pPr>
              <w:pStyle w:val="36"/>
              <w:rPr>
                <w:rFonts w:hint="eastAsia" w:ascii="Times New Roman" w:hAnsi="Times New Roman" w:eastAsiaTheme="minorEastAsia"/>
                <w:kern w:val="2"/>
                <w:sz w:val="24"/>
                <w:szCs w:val="24"/>
              </w:rPr>
            </w:pPr>
            <w:r>
              <w:rPr>
                <w:rFonts w:hint="eastAsia" w:ascii="Times New Roman" w:hAnsi="Times New Roman" w:eastAsiaTheme="minorEastAsia"/>
                <w:kern w:val="2"/>
                <w:sz w:val="24"/>
                <w:szCs w:val="24"/>
              </w:rPr>
              <w:t>比例</w:t>
            </w:r>
          </w:p>
        </w:tc>
        <w:tc>
          <w:tcPr>
            <w:tcW w:w="939" w:type="dxa"/>
            <w:vAlign w:val="center"/>
          </w:tcPr>
          <w:p>
            <w:pPr>
              <w:pStyle w:val="36"/>
              <w:rPr>
                <w:rFonts w:ascii="Times New Roman" w:hAnsi="Times New Roman" w:eastAsiaTheme="minorEastAsia"/>
                <w:kern w:val="2"/>
                <w:sz w:val="24"/>
                <w:szCs w:val="24"/>
              </w:rPr>
            </w:pPr>
            <w:r>
              <w:rPr>
                <w:rFonts w:hint="eastAsia" w:ascii="Times New Roman" w:hAnsi="Times New Roman" w:eastAsiaTheme="minorEastAsia"/>
                <w:kern w:val="2"/>
                <w:sz w:val="24"/>
                <w:szCs w:val="24"/>
                <w:lang w:val="en-US" w:eastAsia="zh-CN"/>
              </w:rPr>
              <w:t>22.5</w:t>
            </w:r>
            <w:r>
              <w:rPr>
                <w:rFonts w:hint="eastAsia" w:ascii="Times New Roman" w:hAnsi="Times New Roman" w:eastAsiaTheme="minorEastAsia"/>
                <w:kern w:val="2"/>
                <w:sz w:val="24"/>
                <w:szCs w:val="24"/>
              </w:rPr>
              <w:t>%</w:t>
            </w:r>
          </w:p>
        </w:tc>
      </w:tr>
    </w:tbl>
    <w:p>
      <w:pPr>
        <w:pStyle w:val="4"/>
        <w:numPr>
          <w:ilvl w:val="1"/>
          <w:numId w:val="2"/>
        </w:numPr>
        <w:rPr>
          <w:rFonts w:cs="Times New Roman" w:eastAsiaTheme="minorEastAsia"/>
          <w:snapToGrid w:val="0"/>
          <w:color w:val="000000" w:themeColor="text1"/>
          <w:sz w:val="24"/>
          <w:szCs w:val="24"/>
          <w14:textFill>
            <w14:solidFill>
              <w14:schemeClr w14:val="tx1"/>
            </w14:solidFill>
          </w14:textFill>
        </w:rPr>
      </w:pPr>
      <w:bookmarkStart w:id="5" w:name="_Toc6234419"/>
      <w:bookmarkStart w:id="6" w:name="_Toc17192"/>
      <w:r>
        <w:rPr>
          <w:rFonts w:hint="eastAsia"/>
          <w:sz w:val="24"/>
          <w:szCs w:val="24"/>
        </w:rPr>
        <w:t>验收工作由来及工作程序</w:t>
      </w:r>
      <w:bookmarkEnd w:id="5"/>
      <w:bookmarkEnd w:id="6"/>
    </w:p>
    <w:p>
      <w:pPr>
        <w:ind w:firstLine="480" w:firstLineChars="200"/>
        <w:jc w:val="both"/>
        <w:rPr>
          <w:rFonts w:cs="Times New Roman" w:eastAsiaTheme="minorEastAsia"/>
          <w:color w:val="000000" w:themeColor="text1"/>
          <w:szCs w:val="24"/>
          <w14:textFill>
            <w14:solidFill>
              <w14:schemeClr w14:val="tx1"/>
            </w14:solidFill>
          </w14:textFill>
        </w:rPr>
      </w:pPr>
      <w:r>
        <w:rPr>
          <w:rFonts w:cs="Times New Roman" w:eastAsiaTheme="minorEastAsia"/>
          <w:color w:val="000000" w:themeColor="text1"/>
          <w:szCs w:val="24"/>
          <w14:textFill>
            <w14:solidFill>
              <w14:schemeClr w14:val="tx1"/>
            </w14:solidFill>
          </w14:textFill>
        </w:rPr>
        <w:t>根据《建设项目竣工环境保护验收暂行办法》（国环规环评[2017]4号）的规定</w:t>
      </w:r>
      <w:r>
        <w:rPr>
          <w:rFonts w:cs="Times New Roman" w:eastAsiaTheme="minorEastAsia"/>
          <w:szCs w:val="24"/>
        </w:rPr>
        <w:t>，</w:t>
      </w:r>
      <w:r>
        <w:rPr>
          <w:rFonts w:hint="eastAsia" w:cs="Times New Roman" w:eastAsiaTheme="minorEastAsia"/>
          <w:szCs w:val="24"/>
        </w:rPr>
        <w:t>该项目应开展</w:t>
      </w:r>
      <w:r>
        <w:rPr>
          <w:rFonts w:cs="Times New Roman" w:eastAsiaTheme="minorEastAsia"/>
          <w:szCs w:val="24"/>
        </w:rPr>
        <w:t>竣工环境保护验收</w:t>
      </w:r>
      <w:r>
        <w:rPr>
          <w:rFonts w:hint="eastAsia" w:cs="Times New Roman" w:eastAsiaTheme="minorEastAsia"/>
          <w:szCs w:val="24"/>
        </w:rPr>
        <w:t>，</w:t>
      </w:r>
      <w:r>
        <w:rPr>
          <w:rFonts w:hint="eastAsia" w:cs="Times New Roman" w:eastAsiaTheme="minorEastAsia"/>
          <w:szCs w:val="24"/>
          <w:lang w:eastAsia="zh-CN"/>
        </w:rPr>
        <w:t>重庆市万州区启豪套装门厂</w:t>
      </w:r>
      <w:r>
        <w:rPr>
          <w:rFonts w:cs="Times New Roman" w:eastAsiaTheme="minorEastAsia"/>
          <w:szCs w:val="24"/>
        </w:rPr>
        <w:t>对</w:t>
      </w:r>
      <w:r>
        <w:rPr>
          <w:rFonts w:hint="eastAsia" w:cs="Times New Roman" w:eastAsiaTheme="minorEastAsia"/>
          <w:szCs w:val="24"/>
        </w:rPr>
        <w:t>“</w:t>
      </w:r>
      <w:r>
        <w:rPr>
          <w:rFonts w:hint="eastAsia" w:cs="Times New Roman" w:eastAsiaTheme="minorEastAsia"/>
          <w:szCs w:val="24"/>
          <w:lang w:eastAsia="zh-CN"/>
        </w:rPr>
        <w:t>重庆市万州区启豪套装门厂套装门生产项目</w:t>
      </w:r>
      <w:r>
        <w:rPr>
          <w:rFonts w:hint="eastAsia" w:cs="Times New Roman" w:eastAsiaTheme="minorEastAsia"/>
          <w:color w:val="000000" w:themeColor="text1"/>
          <w:szCs w:val="24"/>
          <w14:textFill>
            <w14:solidFill>
              <w14:schemeClr w14:val="tx1"/>
            </w14:solidFill>
          </w14:textFill>
        </w:rPr>
        <w:t>”</w:t>
      </w:r>
      <w:r>
        <w:rPr>
          <w:rFonts w:cs="Times New Roman" w:eastAsiaTheme="minorEastAsia"/>
          <w:color w:val="000000" w:themeColor="text1"/>
          <w:szCs w:val="24"/>
          <w14:textFill>
            <w14:solidFill>
              <w14:schemeClr w14:val="tx1"/>
            </w14:solidFill>
          </w14:textFill>
        </w:rPr>
        <w:t>开展工程竣工环境保护验收报告编制工作。接受委托后，我公司组织专业技术人员对该项目进行了现场踏勘和资料调研工作，结合《</w:t>
      </w:r>
      <w:r>
        <w:rPr>
          <w:rFonts w:hint="eastAsia" w:cs="Times New Roman" w:eastAsiaTheme="minorEastAsia"/>
          <w:color w:val="000000" w:themeColor="text1"/>
          <w:szCs w:val="24"/>
          <w:lang w:eastAsia="zh-CN"/>
          <w14:textFill>
            <w14:solidFill>
              <w14:schemeClr w14:val="tx1"/>
            </w14:solidFill>
          </w14:textFill>
        </w:rPr>
        <w:t>重庆市万州区启豪套装门厂套装门生产项目</w:t>
      </w:r>
      <w:r>
        <w:rPr>
          <w:rFonts w:cs="Times New Roman" w:eastAsiaTheme="minorEastAsia"/>
          <w:color w:val="000000" w:themeColor="text1"/>
          <w:szCs w:val="24"/>
          <w14:textFill>
            <w14:solidFill>
              <w14:schemeClr w14:val="tx1"/>
            </w14:solidFill>
          </w14:textFill>
        </w:rPr>
        <w:t>项目环境影响报告</w:t>
      </w:r>
      <w:r>
        <w:rPr>
          <w:rFonts w:hint="eastAsia" w:cs="Times New Roman" w:eastAsiaTheme="minorEastAsia"/>
          <w:color w:val="000000" w:themeColor="text1"/>
          <w:szCs w:val="24"/>
          <w14:textFill>
            <w14:solidFill>
              <w14:schemeClr w14:val="tx1"/>
            </w14:solidFill>
          </w14:textFill>
        </w:rPr>
        <w:t>表</w:t>
      </w:r>
      <w:r>
        <w:rPr>
          <w:rFonts w:cs="Times New Roman" w:eastAsiaTheme="minorEastAsia"/>
          <w:color w:val="000000" w:themeColor="text1"/>
          <w:szCs w:val="24"/>
          <w14:textFill>
            <w14:solidFill>
              <w14:schemeClr w14:val="tx1"/>
            </w14:solidFill>
          </w14:textFill>
        </w:rPr>
        <w:t>》、</w:t>
      </w:r>
      <w:r>
        <w:rPr>
          <w:rFonts w:hint="eastAsia" w:cs="Times New Roman" w:eastAsiaTheme="minorEastAsia"/>
          <w:color w:val="000000" w:themeColor="text1"/>
          <w:szCs w:val="24"/>
          <w:lang w:eastAsia="zh-CN"/>
          <w14:textFill>
            <w14:solidFill>
              <w14:schemeClr w14:val="tx1"/>
            </w14:solidFill>
          </w14:textFill>
        </w:rPr>
        <w:t>渝（万）环准【2019】87号</w:t>
      </w:r>
      <w:r>
        <w:rPr>
          <w:rFonts w:cs="Times New Roman" w:eastAsiaTheme="minorEastAsia"/>
          <w:color w:val="000000" w:themeColor="text1"/>
          <w:szCs w:val="24"/>
          <w14:textFill>
            <w14:solidFill>
              <w14:schemeClr w14:val="tx1"/>
            </w14:solidFill>
          </w14:textFill>
        </w:rPr>
        <w:t>文，及相关文件、标准</w:t>
      </w:r>
      <w:r>
        <w:rPr>
          <w:rFonts w:hint="eastAsia" w:cs="Times New Roman" w:eastAsiaTheme="minorEastAsia"/>
          <w:color w:val="000000" w:themeColor="text1"/>
          <w:szCs w:val="24"/>
          <w14:textFill>
            <w14:solidFill>
              <w14:schemeClr w14:val="tx1"/>
            </w14:solidFill>
          </w14:textFill>
        </w:rPr>
        <w:t>和</w:t>
      </w:r>
      <w:r>
        <w:rPr>
          <w:rFonts w:cs="Times New Roman" w:eastAsiaTheme="minorEastAsia"/>
          <w:color w:val="000000" w:themeColor="text1"/>
          <w:szCs w:val="24"/>
          <w14:textFill>
            <w14:solidFill>
              <w14:schemeClr w14:val="tx1"/>
            </w14:solidFill>
          </w14:textFill>
        </w:rPr>
        <w:t>技术规范的要求</w:t>
      </w:r>
      <w:r>
        <w:rPr>
          <w:rFonts w:hint="eastAsia" w:cs="Times New Roman" w:eastAsiaTheme="minorEastAsia"/>
          <w:color w:val="000000" w:themeColor="text1"/>
          <w:szCs w:val="24"/>
          <w:lang w:eastAsia="zh-CN"/>
          <w14:textFill>
            <w14:solidFill>
              <w14:schemeClr w14:val="tx1"/>
            </w14:solidFill>
          </w14:textFill>
        </w:rPr>
        <w:t>，于20</w:t>
      </w:r>
      <w:r>
        <w:rPr>
          <w:rFonts w:hint="eastAsia" w:cs="Times New Roman" w:eastAsiaTheme="minorEastAsia"/>
          <w:color w:val="000000" w:themeColor="text1"/>
          <w:szCs w:val="24"/>
          <w:lang w:val="en-US" w:eastAsia="zh-CN"/>
          <w14:textFill>
            <w14:solidFill>
              <w14:schemeClr w14:val="tx1"/>
            </w14:solidFill>
          </w14:textFill>
        </w:rPr>
        <w:t>22</w:t>
      </w:r>
      <w:r>
        <w:rPr>
          <w:rFonts w:hint="eastAsia" w:cs="Times New Roman" w:eastAsiaTheme="minorEastAsia"/>
          <w:color w:val="000000" w:themeColor="text1"/>
          <w:szCs w:val="24"/>
          <w:lang w:eastAsia="zh-CN"/>
          <w14:textFill>
            <w14:solidFill>
              <w14:schemeClr w14:val="tx1"/>
            </w14:solidFill>
          </w14:textFill>
        </w:rPr>
        <w:t>年</w:t>
      </w:r>
      <w:r>
        <w:rPr>
          <w:rFonts w:hint="eastAsia" w:cs="Times New Roman" w:eastAsiaTheme="minorEastAsia"/>
          <w:color w:val="000000" w:themeColor="text1"/>
          <w:szCs w:val="24"/>
          <w:lang w:val="en-US" w:eastAsia="zh-CN"/>
          <w14:textFill>
            <w14:solidFill>
              <w14:schemeClr w14:val="tx1"/>
            </w14:solidFill>
          </w14:textFill>
        </w:rPr>
        <w:t>04</w:t>
      </w:r>
      <w:r>
        <w:rPr>
          <w:rFonts w:hint="eastAsia" w:cs="Times New Roman" w:eastAsiaTheme="minorEastAsia"/>
          <w:color w:val="000000" w:themeColor="text1"/>
          <w:szCs w:val="24"/>
          <w:lang w:eastAsia="zh-CN"/>
          <w14:textFill>
            <w14:solidFill>
              <w14:schemeClr w14:val="tx1"/>
            </w14:solidFill>
          </w14:textFill>
        </w:rPr>
        <w:t>月</w:t>
      </w:r>
      <w:r>
        <w:rPr>
          <w:rFonts w:hint="eastAsia" w:cs="Times New Roman" w:eastAsiaTheme="minorEastAsia"/>
          <w:color w:val="000000" w:themeColor="text1"/>
          <w:szCs w:val="24"/>
          <w:lang w:val="en-US" w:eastAsia="zh-CN"/>
          <w14:textFill>
            <w14:solidFill>
              <w14:schemeClr w14:val="tx1"/>
            </w14:solidFill>
          </w14:textFill>
        </w:rPr>
        <w:t>2</w:t>
      </w:r>
      <w:r>
        <w:rPr>
          <w:rFonts w:hint="eastAsia" w:cs="Times New Roman" w:eastAsiaTheme="minorEastAsia"/>
          <w:szCs w:val="24"/>
          <w:lang w:val="en-US" w:eastAsia="zh-CN"/>
        </w:rPr>
        <w:t>5</w:t>
      </w:r>
      <w:r>
        <w:rPr>
          <w:rFonts w:hint="eastAsia" w:cs="Times New Roman" w:eastAsiaTheme="minorEastAsia"/>
          <w:szCs w:val="24"/>
          <w:lang w:eastAsia="zh-CN"/>
        </w:rPr>
        <w:t>日编制完成了项目验收监测方案，并委</w:t>
      </w:r>
      <w:r>
        <w:rPr>
          <w:rFonts w:hint="eastAsia" w:cs="Times New Roman" w:eastAsiaTheme="minorEastAsia"/>
          <w:color w:val="000000" w:themeColor="text1"/>
          <w:szCs w:val="24"/>
          <w:lang w:val="en-US" w:eastAsia="zh-CN"/>
          <w14:textFill>
            <w14:solidFill>
              <w14:schemeClr w14:val="tx1"/>
            </w14:solidFill>
          </w14:textFill>
        </w:rPr>
        <w:t>托重庆厦美环保科技有限公司于2022年5月11日~5月18日对</w:t>
      </w:r>
      <w:r>
        <w:rPr>
          <w:rFonts w:hint="eastAsia" w:cs="Times New Roman" w:eastAsiaTheme="minorEastAsia"/>
          <w:szCs w:val="24"/>
          <w:lang w:eastAsia="zh-CN"/>
        </w:rPr>
        <w:t>该</w:t>
      </w:r>
      <w:r>
        <w:rPr>
          <w:rFonts w:hint="eastAsia" w:cs="Times New Roman" w:eastAsiaTheme="minorEastAsia"/>
          <w:color w:val="000000" w:themeColor="text1"/>
          <w:szCs w:val="24"/>
          <w:lang w:eastAsia="zh-CN"/>
          <w14:textFill>
            <w14:solidFill>
              <w14:schemeClr w14:val="tx1"/>
            </w14:solidFill>
          </w14:textFill>
        </w:rPr>
        <w:t>项目实施了竣工环保验收监测，最终根</w:t>
      </w:r>
      <w:r>
        <w:rPr>
          <w:rFonts w:cs="Times New Roman" w:eastAsiaTheme="minorEastAsia"/>
          <w:color w:val="000000" w:themeColor="text1"/>
          <w:szCs w:val="24"/>
          <w14:textFill>
            <w14:solidFill>
              <w14:schemeClr w14:val="tx1"/>
            </w14:solidFill>
          </w14:textFill>
        </w:rPr>
        <w:t>据企业提供的资料、现场踏勘情况、竣工验收监测结果、验收技术规范、环评报告、批复等相关要求，编制完成了《</w:t>
      </w:r>
      <w:r>
        <w:rPr>
          <w:rFonts w:hint="eastAsia" w:cs="Times New Roman" w:eastAsiaTheme="minorEastAsia"/>
          <w:color w:val="000000" w:themeColor="text1"/>
          <w:szCs w:val="24"/>
          <w:lang w:eastAsia="zh-CN"/>
          <w14:textFill>
            <w14:solidFill>
              <w14:schemeClr w14:val="tx1"/>
            </w14:solidFill>
          </w14:textFill>
        </w:rPr>
        <w:t>重庆市万州区启豪套装门厂套装门生产项目</w:t>
      </w:r>
      <w:r>
        <w:rPr>
          <w:rFonts w:cs="Times New Roman" w:eastAsiaTheme="minorEastAsia"/>
          <w:color w:val="000000" w:themeColor="text1"/>
          <w:szCs w:val="24"/>
          <w14:textFill>
            <w14:solidFill>
              <w14:schemeClr w14:val="tx1"/>
            </w14:solidFill>
          </w14:textFill>
        </w:rPr>
        <w:t>竣工环境保护验收监测报告》</w:t>
      </w:r>
      <w:r>
        <w:rPr>
          <w:rFonts w:hint="eastAsia" w:cs="Times New Roman" w:eastAsiaTheme="minorEastAsia"/>
          <w:color w:val="000000" w:themeColor="text1"/>
          <w:szCs w:val="24"/>
          <w14:textFill>
            <w14:solidFill>
              <w14:schemeClr w14:val="tx1"/>
            </w14:solidFill>
          </w14:textFill>
        </w:rPr>
        <w:t>。</w:t>
      </w:r>
    </w:p>
    <w:p>
      <w:pPr>
        <w:ind w:firstLine="480" w:firstLineChars="200"/>
        <w:jc w:val="both"/>
        <w:rPr>
          <w:rFonts w:cs="Times New Roman" w:eastAsiaTheme="minorEastAsia"/>
          <w:szCs w:val="24"/>
        </w:rPr>
      </w:pPr>
      <w:r>
        <w:rPr>
          <w:rFonts w:cs="Times New Roman" w:eastAsiaTheme="minorEastAsia"/>
          <w:szCs w:val="24"/>
        </w:rPr>
        <w:t>本次验收报告编制的工作程序见图</w:t>
      </w:r>
      <w:r>
        <w:rPr>
          <w:rFonts w:hint="eastAsia" w:cs="Times New Roman" w:eastAsiaTheme="minorEastAsia"/>
          <w:szCs w:val="24"/>
        </w:rPr>
        <w:t>1.1。</w:t>
      </w:r>
    </w:p>
    <w:p/>
    <w:p>
      <w:pPr>
        <w:rPr>
          <w:rFonts w:cs="Times New Roman" w:eastAsiaTheme="minorEastAsia"/>
          <w:color w:val="000000" w:themeColor="text1"/>
          <w:szCs w:val="26"/>
          <w14:textFill>
            <w14:solidFill>
              <w14:schemeClr w14:val="tx1"/>
            </w14:solidFill>
          </w14:textFill>
        </w:rPr>
      </w:pPr>
      <w:r>
        <w:drawing>
          <wp:inline distT="0" distB="0" distL="0" distR="0">
            <wp:extent cx="5555615" cy="5815965"/>
            <wp:effectExtent l="0" t="0" r="698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stretch>
                      <a:fillRect/>
                    </a:stretch>
                  </pic:blipFill>
                  <pic:spPr>
                    <a:xfrm>
                      <a:off x="0" y="0"/>
                      <a:ext cx="5555615" cy="5815965"/>
                    </a:xfrm>
                    <a:prstGeom prst="rect">
                      <a:avLst/>
                    </a:prstGeom>
                  </pic:spPr>
                </pic:pic>
              </a:graphicData>
            </a:graphic>
          </wp:inline>
        </w:drawing>
      </w:r>
    </w:p>
    <w:p>
      <w:pPr>
        <w:bidi w:val="0"/>
      </w:pPr>
    </w:p>
    <w:p>
      <w:pPr>
        <w:bidi w:val="0"/>
      </w:pPr>
    </w:p>
    <w:p>
      <w:r>
        <w:drawing>
          <wp:inline distT="0" distB="0" distL="0" distR="0">
            <wp:extent cx="5615305" cy="5521960"/>
            <wp:effectExtent l="0" t="0" r="825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stretch>
                      <a:fillRect/>
                    </a:stretch>
                  </pic:blipFill>
                  <pic:spPr>
                    <a:xfrm>
                      <a:off x="0" y="0"/>
                      <a:ext cx="5615305" cy="5521960"/>
                    </a:xfrm>
                    <a:prstGeom prst="rect">
                      <a:avLst/>
                    </a:prstGeom>
                  </pic:spPr>
                </pic:pic>
              </a:graphicData>
            </a:graphic>
          </wp:inline>
        </w:drawing>
      </w:r>
    </w:p>
    <w:p>
      <w:pPr>
        <w:spacing w:line="240" w:lineRule="auto"/>
        <w:jc w:val="center"/>
        <w:rPr>
          <w:b/>
          <w:bCs/>
          <w:sz w:val="21"/>
          <w:szCs w:val="21"/>
        </w:rPr>
      </w:pPr>
      <w:r>
        <w:rPr>
          <w:b/>
          <w:bCs/>
          <w:sz w:val="21"/>
          <w:szCs w:val="21"/>
        </w:rPr>
        <w:t>图1.1    验收报告编制的工作程序图</w:t>
      </w:r>
    </w:p>
    <w:p>
      <w:pPr>
        <w:pStyle w:val="4"/>
        <w:numPr>
          <w:ilvl w:val="1"/>
          <w:numId w:val="2"/>
        </w:numPr>
      </w:pPr>
      <w:bookmarkStart w:id="7" w:name="_Toc6234420"/>
      <w:r>
        <w:rPr>
          <w:rFonts w:hint="eastAsia"/>
        </w:rPr>
        <w:t xml:space="preserve"> </w:t>
      </w:r>
      <w:bookmarkStart w:id="8" w:name="_Toc4049"/>
      <w:r>
        <w:rPr>
          <w:rFonts w:hint="eastAsia"/>
        </w:rPr>
        <w:t>验收范围与内容</w:t>
      </w:r>
      <w:bookmarkEnd w:id="7"/>
      <w:bookmarkEnd w:id="8"/>
    </w:p>
    <w:p>
      <w:pPr>
        <w:ind w:firstLine="480" w:firstLineChars="200"/>
        <w:jc w:val="both"/>
        <w:rPr>
          <w:rFonts w:cs="Times New Roman" w:eastAsiaTheme="minorEastAsia"/>
          <w:szCs w:val="24"/>
        </w:rPr>
      </w:pPr>
      <w:r>
        <w:rPr>
          <w:rFonts w:hint="eastAsia" w:cs="Times New Roman" w:eastAsiaTheme="minorEastAsia"/>
          <w:szCs w:val="24"/>
        </w:rPr>
        <w:t>本次竣工环境保护验收范围为《</w:t>
      </w:r>
      <w:r>
        <w:rPr>
          <w:rFonts w:hint="eastAsia" w:cs="Times New Roman" w:eastAsiaTheme="minorEastAsia"/>
          <w:szCs w:val="24"/>
          <w:lang w:eastAsia="zh-CN"/>
        </w:rPr>
        <w:t>重庆市万州区启豪套装门厂套装门生产项目</w:t>
      </w:r>
      <w:r>
        <w:rPr>
          <w:rFonts w:hint="eastAsia" w:cs="Times New Roman" w:eastAsiaTheme="minorEastAsia"/>
          <w:szCs w:val="24"/>
        </w:rPr>
        <w:t>环境影响报告表》全部建设工程内容</w:t>
      </w:r>
      <w:r>
        <w:rPr>
          <w:rFonts w:cs="Times New Roman" w:eastAsiaTheme="minorEastAsia"/>
          <w:szCs w:val="24"/>
        </w:rPr>
        <w:t>。</w:t>
      </w:r>
    </w:p>
    <w:p>
      <w:pPr>
        <w:pStyle w:val="4"/>
        <w:numPr>
          <w:ilvl w:val="1"/>
          <w:numId w:val="2"/>
        </w:numPr>
      </w:pPr>
      <w:bookmarkStart w:id="9" w:name="_Toc6234421"/>
      <w:bookmarkStart w:id="10" w:name="_Toc20911"/>
      <w:bookmarkStart w:id="11" w:name="_Toc427855234"/>
      <w:bookmarkStart w:id="12" w:name="_Toc427855133"/>
      <w:r>
        <w:rPr>
          <w:rFonts w:hint="eastAsia"/>
        </w:rPr>
        <w:t>致谢</w:t>
      </w:r>
      <w:bookmarkEnd w:id="9"/>
      <w:bookmarkEnd w:id="10"/>
    </w:p>
    <w:bookmarkEnd w:id="11"/>
    <w:bookmarkEnd w:id="12"/>
    <w:p>
      <w:pPr>
        <w:ind w:firstLine="480" w:firstLineChars="200"/>
        <w:jc w:val="both"/>
        <w:rPr>
          <w:rFonts w:cs="Times New Roman" w:eastAsiaTheme="minorEastAsia"/>
          <w:sz w:val="26"/>
          <w:szCs w:val="26"/>
        </w:rPr>
      </w:pPr>
      <w:r>
        <w:rPr>
          <w:rFonts w:hint="eastAsia" w:cs="Times New Roman" w:eastAsiaTheme="minorEastAsia"/>
          <w:szCs w:val="24"/>
        </w:rPr>
        <w:t>该报告在编制过程中得到了</w:t>
      </w:r>
      <w:r>
        <w:rPr>
          <w:rFonts w:hint="eastAsia" w:cs="Times New Roman" w:eastAsiaTheme="minorEastAsia"/>
          <w:szCs w:val="24"/>
          <w:lang w:eastAsia="zh-CN"/>
        </w:rPr>
        <w:t>重庆市万州区生态环境局</w:t>
      </w:r>
      <w:r>
        <w:rPr>
          <w:rFonts w:hint="eastAsia" w:cs="Times New Roman" w:eastAsiaTheme="minorEastAsia"/>
          <w:szCs w:val="24"/>
        </w:rPr>
        <w:t>的大力支持，以及</w:t>
      </w:r>
      <w:r>
        <w:rPr>
          <w:rFonts w:hint="eastAsia" w:cs="Times New Roman" w:eastAsiaTheme="minorEastAsia"/>
          <w:szCs w:val="24"/>
          <w:lang w:eastAsia="zh-CN"/>
        </w:rPr>
        <w:t>重庆市万州区启豪套装门厂</w:t>
      </w:r>
      <w:r>
        <w:rPr>
          <w:rFonts w:hint="eastAsia" w:cs="Times New Roman" w:eastAsiaTheme="minorEastAsia"/>
          <w:szCs w:val="24"/>
        </w:rPr>
        <w:t>的密切配合，在此一并表示诚挚的谢意。</w:t>
      </w:r>
    </w:p>
    <w:p>
      <w:pPr>
        <w:ind w:firstLine="520" w:firstLineChars="200"/>
        <w:jc w:val="both"/>
        <w:rPr>
          <w:rFonts w:cs="Times New Roman" w:eastAsiaTheme="minorEastAsia"/>
          <w:color w:val="000000" w:themeColor="text1"/>
          <w:sz w:val="26"/>
          <w:szCs w:val="26"/>
          <w14:textFill>
            <w14:solidFill>
              <w14:schemeClr w14:val="tx1"/>
            </w14:solidFill>
          </w14:textFill>
        </w:rPr>
      </w:pPr>
    </w:p>
    <w:p>
      <w:pPr>
        <w:ind w:firstLine="520" w:firstLineChars="200"/>
        <w:jc w:val="both"/>
        <w:rPr>
          <w:rFonts w:cs="Times New Roman" w:eastAsiaTheme="minorEastAsia"/>
          <w:color w:val="000000" w:themeColor="text1"/>
          <w:sz w:val="26"/>
          <w:szCs w:val="26"/>
          <w14:textFill>
            <w14:solidFill>
              <w14:schemeClr w14:val="tx1"/>
            </w14:solidFill>
          </w14:textFill>
        </w:rPr>
      </w:pPr>
    </w:p>
    <w:p>
      <w:pPr>
        <w:widowControl w:val="0"/>
        <w:jc w:val="both"/>
        <w:rPr>
          <w:rFonts w:cs="Times New Roman" w:eastAsiaTheme="minorEastAsia"/>
          <w:color w:val="000000" w:themeColor="text1"/>
          <w:sz w:val="26"/>
          <w:szCs w:val="26"/>
          <w14:textFill>
            <w14:solidFill>
              <w14:schemeClr w14:val="tx1"/>
            </w14:solidFill>
          </w14:textFill>
        </w:rPr>
        <w:sectPr>
          <w:headerReference r:id="rId13" w:type="default"/>
          <w:footerReference r:id="rId14" w:type="default"/>
          <w:pgSz w:w="11906" w:h="16838"/>
          <w:pgMar w:top="1440" w:right="1531" w:bottom="1440" w:left="1531" w:header="1134" w:footer="992" w:gutter="0"/>
          <w:pgNumType w:start="1"/>
          <w:cols w:space="720" w:num="1"/>
          <w:docGrid w:linePitch="312" w:charSpace="0"/>
        </w:sectPr>
      </w:pPr>
    </w:p>
    <w:bookmarkEnd w:id="4"/>
    <w:p>
      <w:pPr>
        <w:pStyle w:val="3"/>
      </w:pPr>
      <w:bookmarkStart w:id="13" w:name="_Toc1782"/>
      <w:r>
        <w:t>2 验收依据</w:t>
      </w:r>
      <w:bookmarkEnd w:id="13"/>
    </w:p>
    <w:p>
      <w:pPr>
        <w:pStyle w:val="4"/>
      </w:pPr>
      <w:bookmarkStart w:id="14" w:name="_Toc25088"/>
      <w:bookmarkStart w:id="15" w:name="_Toc534643335"/>
      <w:bookmarkStart w:id="16" w:name="_Toc24363"/>
      <w:bookmarkStart w:id="17" w:name="_Toc8017"/>
      <w:r>
        <w:t xml:space="preserve">2.1 </w:t>
      </w:r>
      <w:bookmarkEnd w:id="14"/>
      <w:bookmarkEnd w:id="15"/>
      <w:r>
        <w:rPr>
          <w:rFonts w:hint="eastAsia"/>
        </w:rPr>
        <w:t>环境保护有关法规、政策</w:t>
      </w:r>
      <w:bookmarkEnd w:id="16"/>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（1）《中华人民共和国环境保护法》（2015年修订）；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（2）《中华人民共和国环境影响评价法》（201</w:t>
      </w:r>
      <w:r>
        <w:rPr>
          <w:rFonts w:hint="eastAsia" w:ascii="Times New Roman" w:hAnsi="Times New Roman" w:eastAsia="宋体" w:cs="Times New Roman"/>
          <w:color w:val="000000" w:themeColor="text1"/>
          <w:sz w:val="24"/>
          <w:szCs w:val="24"/>
          <w14:textFill>
            <w14:solidFill>
              <w14:schemeClr w14:val="tx1"/>
            </w14:solidFill>
          </w14:textFill>
        </w:rPr>
        <w:t>8</w:t>
      </w:r>
      <w:r>
        <w:rPr>
          <w:rFonts w:ascii="Times New Roman" w:hAnsi="Times New Roman" w:eastAsia="宋体" w:cs="Times New Roman"/>
          <w:color w:val="000000" w:themeColor="text1"/>
          <w:sz w:val="24"/>
          <w:szCs w:val="24"/>
          <w14:textFill>
            <w14:solidFill>
              <w14:schemeClr w14:val="tx1"/>
            </w14:solidFill>
          </w14:textFill>
        </w:rPr>
        <w:t>年修订）；</w:t>
      </w:r>
    </w:p>
    <w:p>
      <w:pPr>
        <w:spacing w:after="0" w:line="500" w:lineRule="exact"/>
        <w:ind w:firstLine="360" w:firstLineChars="150"/>
        <w:jc w:val="both"/>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（3）《中华人民共和国大气污染防治法》（2016年1月1日实施）；</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（4）《中华人民共和国水污染防治法》（20</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8年</w:t>
      </w:r>
      <w:r>
        <w:rPr>
          <w:rFonts w:hint="eastAsia" w:ascii="Times New Roman" w:hAnsi="Times New Roman" w:eastAsia="宋体" w:cs="Times New Roman"/>
          <w:color w:val="000000" w:themeColor="text1"/>
          <w:sz w:val="24"/>
          <w:szCs w:val="24"/>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月修订）；</w:t>
      </w:r>
    </w:p>
    <w:p>
      <w:pPr>
        <w:spacing w:after="0" w:line="500" w:lineRule="exact"/>
        <w:ind w:firstLine="360" w:firstLineChars="150"/>
        <w:jc w:val="both"/>
        <w:rPr>
          <w:rFonts w:hint="eastAsia"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（5）《中华人民共和国固体废物污染环境防治法》（20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9</w:t>
      </w:r>
      <w:r>
        <w:rPr>
          <w:rFonts w:ascii="Times New Roman" w:hAnsi="Times New Roman" w:eastAsia="宋体" w:cs="Times New Roman"/>
          <w:color w:val="000000" w:themeColor="text1"/>
          <w:sz w:val="24"/>
          <w:szCs w:val="24"/>
          <w14:textFill>
            <w14:solidFill>
              <w14:schemeClr w14:val="tx1"/>
            </w14:solidFill>
          </w14:textFill>
        </w:rPr>
        <w:t>月</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ascii="Times New Roman" w:hAnsi="Times New Roman" w:eastAsia="宋体" w:cs="Times New Roman"/>
          <w:color w:val="000000" w:themeColor="text1"/>
          <w:sz w:val="24"/>
          <w:szCs w:val="24"/>
          <w14:textFill>
            <w14:solidFill>
              <w14:schemeClr w14:val="tx1"/>
            </w14:solidFill>
          </w14:textFill>
        </w:rPr>
        <w:t>日</w:t>
      </w:r>
      <w:r>
        <w:rPr>
          <w:rFonts w:hint="eastAsia" w:ascii="Times New Roman" w:hAnsi="Times New Roman" w:eastAsia="宋体" w:cs="Times New Roman"/>
          <w:color w:val="000000" w:themeColor="text1"/>
          <w:sz w:val="24"/>
          <w:szCs w:val="24"/>
          <w:lang w:eastAsia="zh-CN"/>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w:t>
      </w:r>
    </w:p>
    <w:p>
      <w:pPr>
        <w:spacing w:after="0" w:line="500" w:lineRule="exact"/>
        <w:ind w:firstLine="360" w:firstLineChars="150"/>
        <w:jc w:val="both"/>
        <w:rPr>
          <w:rFonts w:cs="Tahoma"/>
          <w:color w:val="000000" w:themeColor="text1"/>
          <w:kern w:val="2"/>
          <w:szCs w:val="24"/>
          <w14:textFill>
            <w14:solidFill>
              <w14:schemeClr w14:val="tx1"/>
            </w14:solidFill>
          </w14:textFill>
        </w:rPr>
      </w:pPr>
      <w:r>
        <w:rPr>
          <w:rFonts w:ascii="Times New Roman" w:hAnsi="Times New Roman" w:eastAsia="宋体" w:cs="Times New Roman"/>
          <w:color w:val="000000" w:themeColor="text1"/>
          <w:sz w:val="24"/>
          <w:szCs w:val="24"/>
          <w14:textFill>
            <w14:solidFill>
              <w14:schemeClr w14:val="tx1"/>
            </w14:solidFill>
          </w14:textFill>
        </w:rPr>
        <w:t>（6）《中华人民共和国噪声污染防治法》（</w:t>
      </w:r>
      <w:r>
        <w:rPr>
          <w:rFonts w:hint="eastAsia" w:ascii="Times New Roman" w:hAnsi="Times New Roman" w:eastAsia="宋体" w:cs="Times New Roman"/>
          <w:color w:val="000000" w:themeColor="text1"/>
          <w:sz w:val="24"/>
          <w:szCs w:val="24"/>
          <w14:textFill>
            <w14:solidFill>
              <w14:schemeClr w14:val="tx1"/>
            </w14:solidFill>
          </w14:textFill>
        </w:rPr>
        <w:t>20</w:t>
      </w:r>
      <w:r>
        <w:rPr>
          <w:rFonts w:hint="eastAsia" w:cs="Times New Roman"/>
          <w:color w:val="000000" w:themeColor="text1"/>
          <w:sz w:val="24"/>
          <w:szCs w:val="24"/>
          <w:lang w:val="en-US" w:eastAsia="zh-CN"/>
          <w14:textFill>
            <w14:solidFill>
              <w14:schemeClr w14:val="tx1"/>
            </w14:solidFill>
          </w14:textFill>
        </w:rPr>
        <w:t>22</w:t>
      </w:r>
      <w:r>
        <w:rPr>
          <w:rFonts w:ascii="Times New Roman" w:hAnsi="Times New Roman" w:eastAsia="宋体" w:cs="Times New Roman"/>
          <w:color w:val="000000" w:themeColor="text1"/>
          <w:sz w:val="24"/>
          <w:szCs w:val="24"/>
          <w14:textFill>
            <w14:solidFill>
              <w14:schemeClr w14:val="tx1"/>
            </w14:solidFill>
          </w14:textFill>
        </w:rPr>
        <w:t>年）</w:t>
      </w:r>
      <w:r>
        <w:rPr>
          <w:rFonts w:hint="eastAsia" w:cs="Tahoma"/>
          <w:color w:val="000000" w:themeColor="text1"/>
          <w:kern w:val="2"/>
          <w:szCs w:val="24"/>
          <w14:textFill>
            <w14:solidFill>
              <w14:schemeClr w14:val="tx1"/>
            </w14:solidFill>
          </w14:textFill>
        </w:rPr>
        <w:t>。</w:t>
      </w:r>
    </w:p>
    <w:bookmarkEnd w:id="17"/>
    <w:p>
      <w:pPr>
        <w:pStyle w:val="4"/>
        <w:widowControl w:val="0"/>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18" w:name="_Toc29794"/>
      <w:r>
        <w:rPr>
          <w:rFonts w:cs="Times New Roman" w:eastAsiaTheme="minorEastAsia"/>
          <w:snapToGrid w:val="0"/>
          <w:color w:val="000000" w:themeColor="text1"/>
          <w:sz w:val="26"/>
          <w14:textFill>
            <w14:solidFill>
              <w14:schemeClr w14:val="tx1"/>
            </w14:solidFill>
          </w14:textFill>
        </w:rPr>
        <w:t>2.</w:t>
      </w:r>
      <w:r>
        <w:rPr>
          <w:rFonts w:hint="eastAsia" w:cs="Times New Roman" w:eastAsiaTheme="minorEastAsia"/>
          <w:snapToGrid w:val="0"/>
          <w:color w:val="000000" w:themeColor="text1"/>
          <w:sz w:val="26"/>
          <w:lang w:val="en-US" w:eastAsia="zh-CN"/>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w:t>
      </w:r>
      <w:r>
        <w:rPr>
          <w:rFonts w:hint="eastAsia" w:cs="Times New Roman" w:eastAsiaTheme="minorEastAsia"/>
          <w:snapToGrid w:val="0"/>
          <w:color w:val="000000" w:themeColor="text1"/>
          <w:sz w:val="26"/>
          <w14:textFill>
            <w14:solidFill>
              <w14:schemeClr w14:val="tx1"/>
            </w14:solidFill>
          </w14:textFill>
        </w:rPr>
        <w:t>建设项目竣工环境保护验收技术规范</w:t>
      </w:r>
      <w:bookmarkEnd w:id="18"/>
    </w:p>
    <w:p>
      <w:pPr>
        <w:ind w:firstLine="480" w:firstLineChars="200"/>
        <w:rPr>
          <w:rFonts w:hint="eastAsia"/>
        </w:rPr>
      </w:pPr>
      <w:r>
        <w:rPr>
          <w:rFonts w:hint="eastAsia"/>
        </w:rPr>
        <w:t>（1）《建设项目环境保护管理条例》（国务院令第</w:t>
      </w:r>
      <w:r>
        <w:rPr>
          <w:rFonts w:hint="eastAsia"/>
          <w:lang w:val="en-US" w:eastAsia="zh-CN"/>
        </w:rPr>
        <w:t>682</w:t>
      </w:r>
      <w:r>
        <w:rPr>
          <w:rFonts w:hint="eastAsia"/>
        </w:rPr>
        <w:t>号）；</w:t>
      </w:r>
    </w:p>
    <w:p>
      <w:pPr>
        <w:ind w:firstLine="480" w:firstLineChars="200"/>
        <w:rPr>
          <w:rFonts w:hint="eastAsia"/>
        </w:rPr>
      </w:pPr>
      <w:r>
        <w:rPr>
          <w:rFonts w:hint="eastAsia"/>
        </w:rPr>
        <w:t>（2）《建设项目竣工环境保护验收暂行办法》</w:t>
      </w:r>
      <w:r>
        <w:rPr>
          <w:rFonts w:hint="eastAsia"/>
          <w:lang w:eastAsia="zh-CN"/>
        </w:rPr>
        <w:t>（</w:t>
      </w:r>
      <w:r>
        <w:rPr>
          <w:rFonts w:hint="eastAsia"/>
        </w:rPr>
        <w:t>国环规环评〔2017〕4号</w:t>
      </w:r>
      <w:r>
        <w:rPr>
          <w:rFonts w:hint="eastAsia"/>
          <w:lang w:eastAsia="zh-CN"/>
        </w:rPr>
        <w:t>）</w:t>
      </w:r>
      <w:r>
        <w:rPr>
          <w:rFonts w:hint="eastAsia"/>
        </w:rPr>
        <w:t>；</w:t>
      </w:r>
    </w:p>
    <w:p>
      <w:pPr>
        <w:ind w:firstLine="480" w:firstLineChars="200"/>
        <w:rPr>
          <w:rFonts w:hint="eastAsia"/>
        </w:rPr>
      </w:pPr>
      <w:r>
        <w:rPr>
          <w:rFonts w:hint="eastAsia"/>
        </w:rPr>
        <w:t>（3）《建设项目环境影响评价分类管理名录》（2021年版）；</w:t>
      </w:r>
    </w:p>
    <w:p>
      <w:pPr>
        <w:ind w:firstLine="480" w:firstLineChars="200"/>
        <w:rPr>
          <w:rFonts w:hint="eastAsia"/>
        </w:rPr>
      </w:pPr>
      <w:r>
        <w:rPr>
          <w:rFonts w:hint="eastAsia"/>
        </w:rPr>
        <w:t>（4）《突发环境事件应急预案管理暂行办法》环发[2010]113号；</w:t>
      </w:r>
    </w:p>
    <w:p>
      <w:pPr>
        <w:ind w:firstLine="480" w:firstLineChars="200"/>
        <w:rPr>
          <w:rFonts w:hint="eastAsia"/>
        </w:rPr>
      </w:pPr>
      <w:r>
        <w:rPr>
          <w:rFonts w:hint="eastAsia"/>
        </w:rPr>
        <w:t>（5）《国务院关于印发水污染防治行动计划的通知》（国发[2015]17号）；</w:t>
      </w:r>
    </w:p>
    <w:p>
      <w:pPr>
        <w:ind w:firstLine="480" w:firstLineChars="200"/>
        <w:rPr>
          <w:rFonts w:hint="eastAsia"/>
        </w:rPr>
      </w:pPr>
      <w:r>
        <w:rPr>
          <w:rFonts w:hint="eastAsia"/>
        </w:rPr>
        <w:t>（6） 《建设项目竣工环境保护验收技术指南 污染影响类》</w:t>
      </w:r>
      <w:r>
        <w:rPr>
          <w:rFonts w:hint="eastAsia"/>
          <w:lang w:eastAsia="zh-CN"/>
        </w:rPr>
        <w:t>（</w:t>
      </w:r>
      <w:r>
        <w:rPr>
          <w:rFonts w:hint="eastAsia"/>
        </w:rPr>
        <w:t>生态环境部公告2018年 第9号</w:t>
      </w:r>
      <w:r>
        <w:rPr>
          <w:rFonts w:hint="eastAsia"/>
          <w:lang w:eastAsia="zh-CN"/>
        </w:rPr>
        <w:t>）</w:t>
      </w:r>
      <w:r>
        <w:rPr>
          <w:rFonts w:hint="eastAsia"/>
        </w:rPr>
        <w:t>。</w:t>
      </w:r>
    </w:p>
    <w:p>
      <w:pPr>
        <w:ind w:firstLine="480" w:firstLineChars="200"/>
        <w:rPr>
          <w:rFonts w:hint="eastAsia"/>
        </w:rPr>
      </w:pPr>
      <w:r>
        <w:rPr>
          <w:rFonts w:hint="eastAsia"/>
        </w:rPr>
        <w:t>（7）重庆市人民代表大会常务委员会公告[2010]第22号《重庆市环境保护条例》</w:t>
      </w:r>
      <w:r>
        <w:rPr>
          <w:rFonts w:hint="eastAsia"/>
          <w:lang w:eastAsia="zh-CN"/>
        </w:rPr>
        <w:t>（</w:t>
      </w:r>
      <w:r>
        <w:rPr>
          <w:rFonts w:hint="eastAsia"/>
        </w:rPr>
        <w:t>修正</w:t>
      </w:r>
      <w:r>
        <w:rPr>
          <w:rFonts w:hint="eastAsia"/>
          <w:lang w:eastAsia="zh-CN"/>
        </w:rPr>
        <w:t>）</w:t>
      </w:r>
      <w:r>
        <w:rPr>
          <w:rFonts w:hint="eastAsia"/>
        </w:rPr>
        <w:t>；</w:t>
      </w:r>
    </w:p>
    <w:p>
      <w:pPr>
        <w:ind w:firstLine="480" w:firstLineChars="200"/>
      </w:pPr>
      <w:r>
        <w:rPr>
          <w:rFonts w:hint="eastAsia"/>
        </w:rPr>
        <w:t>（8）重庆市人民政府第270号《重庆市环境噪声污染防治办法》</w:t>
      </w:r>
      <w:r>
        <w:t>。</w:t>
      </w:r>
    </w:p>
    <w:p>
      <w:pPr>
        <w:pStyle w:val="4"/>
        <w:widowControl w:val="0"/>
        <w:numPr>
          <w:ilvl w:val="1"/>
          <w:numId w:val="0"/>
        </w:numPr>
        <w:adjustRightInd/>
        <w:snapToGrid/>
        <w:textAlignment w:val="baseline"/>
        <w:rPr>
          <w:rFonts w:ascii="Times New Roman" w:hAnsi="Times New Roman" w:cs="Times New Roman" w:eastAsiaTheme="minorEastAsia"/>
          <w:snapToGrid w:val="0"/>
          <w:color w:val="000000" w:themeColor="text1"/>
          <w:sz w:val="26"/>
          <w14:textFill>
            <w14:solidFill>
              <w14:schemeClr w14:val="tx1"/>
            </w14:solidFill>
          </w14:textFill>
        </w:rPr>
      </w:pPr>
      <w:bookmarkStart w:id="19" w:name="_Toc2412"/>
      <w:r>
        <w:rPr>
          <w:rFonts w:ascii="Times New Roman" w:hAnsi="Times New Roman" w:cs="Times New Roman" w:eastAsiaTheme="minorEastAsia"/>
          <w:snapToGrid w:val="0"/>
          <w:color w:val="000000" w:themeColor="text1"/>
          <w:sz w:val="26"/>
          <w14:textFill>
            <w14:solidFill>
              <w14:schemeClr w14:val="tx1"/>
            </w14:solidFill>
          </w14:textFill>
        </w:rPr>
        <w:t>2.</w:t>
      </w:r>
      <w:r>
        <w:rPr>
          <w:rFonts w:hint="eastAsia" w:ascii="Times New Roman" w:hAnsi="Times New Roman" w:cs="Times New Roman" w:eastAsiaTheme="minorEastAsia"/>
          <w:snapToGrid w:val="0"/>
          <w:color w:val="000000" w:themeColor="text1"/>
          <w:sz w:val="26"/>
          <w:lang w:val="en-US" w:eastAsia="zh-CN"/>
          <w14:textFill>
            <w14:solidFill>
              <w14:schemeClr w14:val="tx1"/>
            </w14:solidFill>
          </w14:textFill>
        </w:rPr>
        <w:t>3</w:t>
      </w:r>
      <w:r>
        <w:rPr>
          <w:rFonts w:ascii="Times New Roman" w:hAnsi="Times New Roman" w:cs="Times New Roman" w:eastAsiaTheme="minorEastAsia"/>
          <w:snapToGrid w:val="0"/>
          <w:color w:val="000000" w:themeColor="text1"/>
          <w:sz w:val="26"/>
          <w14:textFill>
            <w14:solidFill>
              <w14:schemeClr w14:val="tx1"/>
            </w14:solidFill>
          </w14:textFill>
        </w:rPr>
        <w:t xml:space="preserve"> 建设项目</w:t>
      </w:r>
      <w:r>
        <w:rPr>
          <w:rFonts w:hint="eastAsia" w:ascii="Times New Roman" w:hAnsi="Times New Roman" w:cs="Times New Roman" w:eastAsiaTheme="minorEastAsia"/>
          <w:snapToGrid w:val="0"/>
          <w:color w:val="000000" w:themeColor="text1"/>
          <w:sz w:val="26"/>
          <w14:textFill>
            <w14:solidFill>
              <w14:schemeClr w14:val="tx1"/>
            </w14:solidFill>
          </w14:textFill>
        </w:rPr>
        <w:t>环境影响报告表</w:t>
      </w:r>
      <w:r>
        <w:rPr>
          <w:rFonts w:ascii="Times New Roman" w:hAnsi="Times New Roman" w:cs="Times New Roman" w:eastAsiaTheme="minorEastAsia"/>
          <w:snapToGrid w:val="0"/>
          <w:color w:val="000000" w:themeColor="text1"/>
          <w:sz w:val="26"/>
          <w14:textFill>
            <w14:solidFill>
              <w14:schemeClr w14:val="tx1"/>
            </w14:solidFill>
          </w14:textFill>
        </w:rPr>
        <w:t>及审批部门审批决定</w:t>
      </w:r>
      <w:bookmarkEnd w:id="19"/>
    </w:p>
    <w:p>
      <w:pPr>
        <w:ind w:firstLine="480" w:firstLineChars="200"/>
      </w:pPr>
      <w:r>
        <w:t>（1）《</w:t>
      </w:r>
      <w:r>
        <w:rPr>
          <w:rFonts w:hint="eastAsia"/>
          <w:lang w:eastAsia="zh-CN"/>
        </w:rPr>
        <w:t>重庆市万州区启豪套装门厂套装门生产项目</w:t>
      </w:r>
      <w:r>
        <w:t>环境影响报告</w:t>
      </w:r>
      <w:r>
        <w:rPr>
          <w:rFonts w:hint="eastAsia"/>
        </w:rPr>
        <w:t>表</w:t>
      </w:r>
      <w:r>
        <w:t>》（</w:t>
      </w:r>
      <w:r>
        <w:rPr>
          <w:rFonts w:hint="eastAsia"/>
          <w:lang w:eastAsia="zh-CN"/>
        </w:rPr>
        <w:t>江苏苏辰勘察设计研究院有限公司</w:t>
      </w:r>
      <w:r>
        <w:t>，</w:t>
      </w:r>
      <w:r>
        <w:rPr>
          <w:rFonts w:hint="eastAsia"/>
          <w:lang w:eastAsia="zh-CN"/>
        </w:rPr>
        <w:t>201</w:t>
      </w:r>
      <w:r>
        <w:rPr>
          <w:rFonts w:hint="eastAsia"/>
          <w:lang w:val="en-US" w:eastAsia="zh-CN"/>
        </w:rPr>
        <w:t>9</w:t>
      </w:r>
      <w:r>
        <w:rPr>
          <w:rFonts w:hint="eastAsia"/>
          <w:lang w:eastAsia="zh-CN"/>
        </w:rPr>
        <w:t>年</w:t>
      </w:r>
      <w:r>
        <w:rPr>
          <w:rFonts w:hint="eastAsia"/>
          <w:lang w:val="en-US" w:eastAsia="zh-CN"/>
        </w:rPr>
        <w:t>6</w:t>
      </w:r>
      <w:r>
        <w:rPr>
          <w:rFonts w:hint="eastAsia"/>
          <w:lang w:eastAsia="zh-CN"/>
        </w:rPr>
        <w:t>月</w:t>
      </w:r>
      <w:r>
        <w:t>）；</w:t>
      </w:r>
    </w:p>
    <w:p>
      <w:pPr>
        <w:ind w:firstLine="480" w:firstLineChars="200"/>
        <w:rPr>
          <w:rFonts w:hint="eastAsia" w:eastAsia="宋体"/>
          <w:lang w:eastAsia="zh-CN"/>
        </w:rPr>
      </w:pPr>
      <w:r>
        <w:t>（2）《重庆市建设项目环境影响评价文件批准书》（</w:t>
      </w:r>
      <w:r>
        <w:rPr>
          <w:rFonts w:hint="eastAsia"/>
          <w:lang w:eastAsia="zh-CN"/>
        </w:rPr>
        <w:t>渝（万）环准【2019】87号</w:t>
      </w:r>
      <w:r>
        <w:rPr>
          <w:rFonts w:hint="eastAsia"/>
        </w:rPr>
        <w:t>，</w:t>
      </w:r>
      <w:r>
        <w:rPr>
          <w:rFonts w:hint="eastAsia"/>
          <w:lang w:eastAsia="zh-CN"/>
        </w:rPr>
        <w:t>2019年0</w:t>
      </w:r>
      <w:r>
        <w:rPr>
          <w:rFonts w:hint="eastAsia"/>
          <w:lang w:val="en-US" w:eastAsia="zh-CN"/>
        </w:rPr>
        <w:t>7</w:t>
      </w:r>
      <w:r>
        <w:rPr>
          <w:rFonts w:hint="eastAsia"/>
          <w:lang w:eastAsia="zh-CN"/>
        </w:rPr>
        <w:t>月</w:t>
      </w:r>
      <w:r>
        <w:rPr>
          <w:rFonts w:hint="eastAsia"/>
          <w:lang w:val="en-US" w:eastAsia="zh-CN"/>
        </w:rPr>
        <w:t>26</w:t>
      </w:r>
      <w:r>
        <w:rPr>
          <w:rFonts w:hint="eastAsia"/>
          <w:lang w:eastAsia="zh-CN"/>
        </w:rPr>
        <w:t>日</w:t>
      </w:r>
      <w:r>
        <w:t>）</w:t>
      </w:r>
      <w:r>
        <w:rPr>
          <w:rFonts w:hint="eastAsia"/>
          <w:lang w:eastAsia="zh-CN"/>
        </w:rPr>
        <w:t>；</w:t>
      </w:r>
    </w:p>
    <w:p>
      <w:pPr>
        <w:ind w:firstLine="480" w:firstLineChars="200"/>
      </w:pPr>
      <w:r>
        <w:t>（</w:t>
      </w:r>
      <w:r>
        <w:rPr>
          <w:rFonts w:hint="eastAsia"/>
          <w:lang w:val="en-US" w:eastAsia="zh-CN"/>
        </w:rPr>
        <w:t>3</w:t>
      </w:r>
      <w:r>
        <w:t>）</w:t>
      </w:r>
      <w:r>
        <w:rPr>
          <w:rFonts w:hint="eastAsia"/>
        </w:rPr>
        <w:t>建设单位提供的其他相关资料</w:t>
      </w:r>
      <w:r>
        <w:t>。</w:t>
      </w:r>
    </w:p>
    <w:p>
      <w:pPr>
        <w:widowControl w:val="0"/>
        <w:tabs>
          <w:tab w:val="left" w:pos="300"/>
          <w:tab w:val="left" w:pos="423"/>
          <w:tab w:val="left" w:pos="525"/>
        </w:tabs>
        <w:ind w:firstLine="520"/>
        <w:rPr>
          <w:rFonts w:cs="Times New Roman" w:eastAsiaTheme="minorEastAsia"/>
          <w:color w:val="000000" w:themeColor="text1"/>
          <w:szCs w:val="24"/>
          <w14:textFill>
            <w14:solidFill>
              <w14:schemeClr w14:val="tx1"/>
            </w14:solidFill>
          </w14:textFill>
        </w:rPr>
        <w:sectPr>
          <w:pgSz w:w="11906" w:h="16838"/>
          <w:pgMar w:top="1440" w:right="1531" w:bottom="1440" w:left="1531" w:header="851" w:footer="992" w:gutter="0"/>
          <w:cols w:space="720" w:num="1"/>
          <w:docGrid w:linePitch="312" w:charSpace="0"/>
        </w:sectPr>
      </w:pPr>
    </w:p>
    <w:p>
      <w:pPr>
        <w:pStyle w:val="3"/>
      </w:pPr>
      <w:bookmarkStart w:id="20" w:name="_Toc433"/>
      <w:bookmarkStart w:id="21" w:name="_Toc497833569"/>
      <w:bookmarkStart w:id="22" w:name="_Toc367196750"/>
      <w:r>
        <w:t>3 项目建设情况</w:t>
      </w:r>
      <w:bookmarkEnd w:id="20"/>
    </w:p>
    <w:p>
      <w:pPr>
        <w:pStyle w:val="4"/>
      </w:pPr>
      <w:bookmarkStart w:id="23" w:name="_Toc4709"/>
      <w:r>
        <w:t>3.1 地理位置及平面布置</w:t>
      </w:r>
      <w:bookmarkEnd w:id="23"/>
    </w:p>
    <w:bookmarkEnd w:id="21"/>
    <w:p>
      <w:pPr>
        <w:pStyle w:val="5"/>
      </w:pPr>
      <w:r>
        <w:t>3.1.1 项目地理位置</w:t>
      </w:r>
    </w:p>
    <w:p>
      <w:pPr>
        <w:ind w:firstLine="480"/>
        <w:rPr>
          <w:color w:val="000000"/>
        </w:rPr>
      </w:pPr>
      <w:r>
        <w:rPr>
          <w:color w:val="000000"/>
        </w:rPr>
        <w:t>重庆市万州区位于重庆市东部，三峡库区腹心地带。长江自西南向东北横贯该区，万州区东邻云阳县，西连忠县和梁平</w:t>
      </w:r>
      <w:r>
        <w:rPr>
          <w:rFonts w:hint="eastAsia"/>
          <w:color w:val="000000"/>
        </w:rPr>
        <w:t>区</w:t>
      </w:r>
      <w:r>
        <w:rPr>
          <w:color w:val="000000"/>
        </w:rPr>
        <w:t>，南靠石柱县和湖北省利川县，北依开江县和开</w:t>
      </w:r>
      <w:r>
        <w:rPr>
          <w:rFonts w:hint="eastAsia"/>
          <w:color w:val="000000"/>
        </w:rPr>
        <w:t>州区</w:t>
      </w:r>
      <w:r>
        <w:rPr>
          <w:color w:val="000000"/>
        </w:rPr>
        <w:t>。位于北纬30˚23ˊ～31˚20ˊ，东经107˚52ˊ～108˚53ˊ。万州区是长江上游和川东地区的交通枢纽，万州港是长江的十大港口之一，上距重庆327km，下至宜昌321km。</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万州区天城镇董家居委会1组80号，项目位于万州区天城镇董家居委会1组80号，项目北面90m为易特实业，东面30m为重庆中盛陶瓷有限公司，厂区西面、北面、南面有一些零散的居民。具体地理位置见附图1。</w:t>
      </w:r>
    </w:p>
    <w:p>
      <w:pPr>
        <w:pStyle w:val="5"/>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2</w:t>
      </w:r>
      <w:r>
        <w:rPr>
          <w:rFonts w:cs="Times New Roman" w:eastAsiaTheme="minorEastAsia"/>
          <w:snapToGrid w:val="0"/>
          <w:color w:val="000000" w:themeColor="text1"/>
          <w:sz w:val="26"/>
          <w14:textFill>
            <w14:solidFill>
              <w14:schemeClr w14:val="tx1"/>
            </w14:solidFill>
          </w14:textFill>
        </w:rPr>
        <w:t xml:space="preserve"> 平面布局</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项目租用了两栋闲置厂房进行生产，两栋厂房中间被一条道路隔开，相距约15m。其中，1#厂房布置生产车间、办公区和宿舍区，占地面积1350m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，总建筑面积为3000m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，近似四合院结构，中间为停车的院坝，厂房北面建筑为宿舍区（共两层），西面和南面为生产车间（共两层，含木工加工生产线1条，喷漆生产线1条），东面为办公区（共三层）；2#厂房占地面积400m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，建筑面积400 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（共一层），作为拟建项目原料堆放区。</w:t>
      </w:r>
    </w:p>
    <w:p>
      <w:pPr>
        <w:ind w:firstLine="520"/>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各功能区分区明确，避免相互交叉，从环保角度平面布置基本合理，项目总平面布置见附图2。</w:t>
      </w:r>
    </w:p>
    <w:p>
      <w:pPr>
        <w:pStyle w:val="5"/>
        <w:adjustRightInd/>
        <w:snapToGrid/>
        <w:rPr>
          <w:rFonts w:cs="Times New Roman" w:eastAsiaTheme="minorEastAsia"/>
          <w:snapToGrid w:val="0"/>
          <w:color w:val="000000" w:themeColor="text1"/>
          <w:sz w:val="26"/>
          <w14:textFill>
            <w14:solidFill>
              <w14:schemeClr w14:val="tx1"/>
            </w14:solidFill>
          </w14:textFill>
        </w:rPr>
      </w:pPr>
      <w:r>
        <w:rPr>
          <w:rFonts w:cs="Times New Roman" w:eastAsiaTheme="minorEastAsia"/>
          <w:snapToGrid w:val="0"/>
          <w:color w:val="000000" w:themeColor="text1"/>
          <w:sz w:val="26"/>
          <w14:textFill>
            <w14:solidFill>
              <w14:schemeClr w14:val="tx1"/>
            </w14:solidFill>
          </w14:textFill>
        </w:rPr>
        <w:t>3.1.</w:t>
      </w:r>
      <w:r>
        <w:rPr>
          <w:rFonts w:hint="eastAsia" w:cs="Times New Roman" w:eastAsiaTheme="minorEastAsia"/>
          <w:snapToGrid w:val="0"/>
          <w:color w:val="000000" w:themeColor="text1"/>
          <w:sz w:val="26"/>
          <w14:textFill>
            <w14:solidFill>
              <w14:schemeClr w14:val="tx1"/>
            </w14:solidFill>
          </w14:textFill>
        </w:rPr>
        <w:t>3</w:t>
      </w:r>
      <w:r>
        <w:rPr>
          <w:rFonts w:cs="Times New Roman" w:eastAsiaTheme="minorEastAsia"/>
          <w:snapToGrid w:val="0"/>
          <w:color w:val="000000" w:themeColor="text1"/>
          <w:sz w:val="26"/>
          <w14:textFill>
            <w14:solidFill>
              <w14:schemeClr w14:val="tx1"/>
            </w14:solidFill>
          </w14:textFill>
        </w:rPr>
        <w:t xml:space="preserve"> 项目外环境及环境保护目标分布</w:t>
      </w:r>
    </w:p>
    <w:p>
      <w:pPr>
        <w:ind w:firstLine="480" w:firstLineChars="200"/>
        <w:jc w:val="both"/>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本项目位于万州区天城镇董家居委会1组80号，地处工业集中区内，项目北面90m为易特实业，东面30m为重庆中盛陶瓷有限公司，厂区西面、北面、南面有一些零散的居民。本次验收主要环境保护目标分布情况具体见表3-1。</w:t>
      </w:r>
    </w:p>
    <w:p>
      <w:pPr>
        <w:spacing w:line="240" w:lineRule="auto"/>
        <w:jc w:val="center"/>
        <w:rPr>
          <w:rFonts w:cs="Times New Roman" w:eastAsiaTheme="minorEastAsia"/>
          <w:b/>
          <w:bCs/>
          <w:sz w:val="21"/>
          <w:szCs w:val="21"/>
        </w:rPr>
      </w:pPr>
      <w:r>
        <w:rPr>
          <w:rFonts w:cs="Times New Roman" w:eastAsiaTheme="minorEastAsia"/>
          <w:b/>
          <w:bCs/>
          <w:sz w:val="21"/>
          <w:szCs w:val="21"/>
        </w:rPr>
        <w:t>表3-1 项目环境保护目标一览表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3781"/>
        <w:gridCol w:w="1578"/>
        <w:gridCol w:w="1578"/>
        <w:gridCol w:w="1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序号</w:t>
            </w:r>
          </w:p>
        </w:tc>
        <w:tc>
          <w:tcPr>
            <w:tcW w:w="2046"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名称</w:t>
            </w:r>
          </w:p>
        </w:tc>
        <w:tc>
          <w:tcPr>
            <w:tcW w:w="854"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相对厂址方位</w:t>
            </w:r>
          </w:p>
        </w:tc>
        <w:tc>
          <w:tcPr>
            <w:tcW w:w="854"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相对厂界距离/m</w:t>
            </w:r>
          </w:p>
        </w:tc>
        <w:tc>
          <w:tcPr>
            <w:tcW w:w="855" w:type="pct"/>
            <w:vMerge w:val="restar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vMerge w:val="continue"/>
            <w:noWrap w:val="0"/>
            <w:vAlign w:val="center"/>
          </w:tcPr>
          <w:p>
            <w:pPr>
              <w:widowControl/>
              <w:snapToGrid w:val="0"/>
              <w:spacing w:line="240" w:lineRule="auto"/>
              <w:jc w:val="center"/>
              <w:rPr>
                <w:rFonts w:hint="eastAsia"/>
                <w:kern w:val="0"/>
                <w:sz w:val="21"/>
                <w:szCs w:val="21"/>
                <w:lang w:val="en-US" w:eastAsia="zh-CN"/>
              </w:rPr>
            </w:pPr>
          </w:p>
        </w:tc>
        <w:tc>
          <w:tcPr>
            <w:tcW w:w="2046"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854"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854" w:type="pct"/>
            <w:vMerge w:val="continue"/>
            <w:noWrap w:val="0"/>
            <w:vAlign w:val="center"/>
          </w:tcPr>
          <w:p>
            <w:pPr>
              <w:widowControl/>
              <w:snapToGrid w:val="0"/>
              <w:spacing w:line="240" w:lineRule="auto"/>
              <w:jc w:val="center"/>
              <w:rPr>
                <w:rFonts w:hint="default"/>
                <w:kern w:val="0"/>
                <w:sz w:val="21"/>
                <w:szCs w:val="21"/>
                <w:lang w:val="en-US" w:eastAsia="zh-CN"/>
              </w:rPr>
            </w:pPr>
          </w:p>
        </w:tc>
        <w:tc>
          <w:tcPr>
            <w:tcW w:w="855" w:type="pct"/>
            <w:vMerge w:val="continue"/>
            <w:noWrap w:val="0"/>
            <w:vAlign w:val="center"/>
          </w:tcPr>
          <w:p>
            <w:pPr>
              <w:widowControl/>
              <w:snapToGrid w:val="0"/>
              <w:spacing w:line="240" w:lineRule="auto"/>
              <w:jc w:val="center"/>
              <w:rPr>
                <w:rFonts w:hint="eastAsia"/>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1</w:t>
            </w:r>
          </w:p>
        </w:tc>
        <w:tc>
          <w:tcPr>
            <w:tcW w:w="2046"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易特实业（易特实业厂内现有多家企业，包括堡韵家具厂，钢材加工厂等）、伴神酿造厂、董家配气站等</w:t>
            </w:r>
          </w:p>
        </w:tc>
        <w:tc>
          <w:tcPr>
            <w:tcW w:w="854"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北面</w:t>
            </w:r>
          </w:p>
        </w:tc>
        <w:tc>
          <w:tcPr>
            <w:tcW w:w="854"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90m</w:t>
            </w:r>
          </w:p>
        </w:tc>
        <w:tc>
          <w:tcPr>
            <w:tcW w:w="855"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default" w:ascii="Times New Roman" w:hAnsi="Times New Roman" w:eastAsiaTheme="minorEastAsia"/>
                <w:color w:val="000000" w:themeColor="text1"/>
                <w:kern w:val="2"/>
                <w14:textFill>
                  <w14:solidFill>
                    <w14:schemeClr w14:val="tx1"/>
                  </w14:solidFill>
                </w14:textFill>
              </w:rPr>
              <w:t>2</w:t>
            </w:r>
          </w:p>
        </w:tc>
        <w:tc>
          <w:tcPr>
            <w:tcW w:w="2046"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重庆中盛陶瓷有限公司</w:t>
            </w:r>
          </w:p>
        </w:tc>
        <w:tc>
          <w:tcPr>
            <w:tcW w:w="854"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东面</w:t>
            </w:r>
          </w:p>
        </w:tc>
        <w:tc>
          <w:tcPr>
            <w:tcW w:w="854"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30m</w:t>
            </w:r>
          </w:p>
        </w:tc>
        <w:tc>
          <w:tcPr>
            <w:tcW w:w="855"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3</w:t>
            </w:r>
          </w:p>
        </w:tc>
        <w:tc>
          <w:tcPr>
            <w:tcW w:w="2046"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三峡水泥厂、海松机械有限公司等</w:t>
            </w:r>
          </w:p>
        </w:tc>
        <w:tc>
          <w:tcPr>
            <w:tcW w:w="854"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西北面</w:t>
            </w:r>
          </w:p>
        </w:tc>
        <w:tc>
          <w:tcPr>
            <w:tcW w:w="854"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500m</w:t>
            </w:r>
          </w:p>
        </w:tc>
        <w:tc>
          <w:tcPr>
            <w:tcW w:w="855"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8"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4</w:t>
            </w:r>
          </w:p>
        </w:tc>
        <w:tc>
          <w:tcPr>
            <w:tcW w:w="2046"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零散居民</w:t>
            </w:r>
          </w:p>
        </w:tc>
        <w:tc>
          <w:tcPr>
            <w:tcW w:w="854"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西面、北面、南面</w:t>
            </w:r>
          </w:p>
        </w:tc>
        <w:tc>
          <w:tcPr>
            <w:tcW w:w="854"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6m</w:t>
            </w:r>
          </w:p>
        </w:tc>
        <w:tc>
          <w:tcPr>
            <w:tcW w:w="855" w:type="pct"/>
            <w:noWrap w:val="0"/>
            <w:vAlign w:val="center"/>
          </w:tcPr>
          <w:p>
            <w:pPr>
              <w:widowControl/>
              <w:snapToGrid w:val="0"/>
              <w:spacing w:line="240" w:lineRule="auto"/>
              <w:jc w:val="center"/>
              <w:rPr>
                <w:rFonts w:hint="eastAsia"/>
                <w:kern w:val="0"/>
                <w:sz w:val="21"/>
                <w:szCs w:val="21"/>
                <w:lang w:val="en-US" w:eastAsia="zh-CN"/>
              </w:rPr>
            </w:pPr>
            <w:r>
              <w:rPr>
                <w:rFonts w:hint="eastAsia"/>
                <w:kern w:val="0"/>
                <w:sz w:val="21"/>
                <w:szCs w:val="21"/>
                <w:lang w:val="en-US" w:eastAsia="zh-CN"/>
              </w:rPr>
              <w:t>/</w:t>
            </w:r>
          </w:p>
        </w:tc>
      </w:tr>
    </w:tbl>
    <w:p>
      <w:pPr>
        <w:pStyle w:val="4"/>
        <w:numPr>
          <w:ilvl w:val="1"/>
          <w:numId w:val="0"/>
        </w:numPr>
        <w:adjustRightInd/>
        <w:snapToGrid/>
        <w:textAlignment w:val="baseline"/>
        <w:rPr>
          <w:rFonts w:cs="Times New Roman" w:eastAsiaTheme="minorEastAsia"/>
          <w:snapToGrid w:val="0"/>
          <w:color w:val="000000" w:themeColor="text1"/>
          <w:sz w:val="26"/>
          <w14:textFill>
            <w14:solidFill>
              <w14:schemeClr w14:val="tx1"/>
            </w14:solidFill>
          </w14:textFill>
        </w:rPr>
      </w:pPr>
      <w:bookmarkStart w:id="24" w:name="_Toc497833573"/>
      <w:bookmarkStart w:id="25" w:name="_Toc21679"/>
      <w:r>
        <w:rPr>
          <w:rFonts w:cs="Times New Roman" w:eastAsiaTheme="minorEastAsia"/>
          <w:snapToGrid w:val="0"/>
          <w:color w:val="000000" w:themeColor="text1"/>
          <w:sz w:val="26"/>
          <w14:textFill>
            <w14:solidFill>
              <w14:schemeClr w14:val="tx1"/>
            </w14:solidFill>
          </w14:textFill>
        </w:rPr>
        <w:t>3.2 建设内容</w:t>
      </w:r>
      <w:bookmarkEnd w:id="24"/>
      <w:r>
        <w:rPr>
          <w:rFonts w:cs="Times New Roman" w:eastAsiaTheme="minorEastAsia"/>
          <w:snapToGrid w:val="0"/>
          <w:color w:val="000000" w:themeColor="text1"/>
          <w:sz w:val="26"/>
          <w14:textFill>
            <w14:solidFill>
              <w14:schemeClr w14:val="tx1"/>
            </w14:solidFill>
          </w14:textFill>
        </w:rPr>
        <w:t>基本情况</w:t>
      </w:r>
      <w:bookmarkEnd w:id="25"/>
    </w:p>
    <w:p>
      <w:pPr>
        <w:ind w:firstLine="480" w:firstLineChars="200"/>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14:textFill>
            <w14:solidFill>
              <w14:schemeClr w14:val="tx1"/>
            </w14:solidFill>
          </w14:textFill>
        </w:rPr>
        <w:t>（1）建设内容</w:t>
      </w:r>
    </w:p>
    <w:p>
      <w:pPr>
        <w:ind w:firstLine="480" w:firstLineChars="200"/>
        <w:jc w:val="both"/>
        <w:rPr>
          <w:rFonts w:hint="eastAsia" w:cs="Times New Roman" w:eastAsiaTheme="minorEastAsia"/>
          <w:color w:val="000000" w:themeColor="text1"/>
          <w:szCs w:val="24"/>
          <w:lang w:val="en-US" w:eastAsia="zh-CN"/>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占地面积1750m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，建筑面积为3400m</w:t>
      </w:r>
      <w:r>
        <w:rPr>
          <w:rFonts w:hint="eastAsia" w:cs="Times New Roman" w:eastAsiaTheme="minorEastAsia"/>
          <w:color w:val="000000" w:themeColor="text1"/>
          <w:szCs w:val="24"/>
          <w:vertAlign w:val="superscript"/>
          <w:lang w:val="en-US" w:eastAsia="zh-CN"/>
          <w14:textFill>
            <w14:solidFill>
              <w14:schemeClr w14:val="tx1"/>
            </w14:solidFill>
          </w14:textFill>
        </w:rPr>
        <w:t>2</w:t>
      </w:r>
      <w:r>
        <w:rPr>
          <w:rFonts w:hint="eastAsia" w:cs="Times New Roman" w:eastAsiaTheme="minorEastAsia"/>
          <w:color w:val="000000" w:themeColor="text1"/>
          <w:szCs w:val="24"/>
          <w:lang w:val="en-US" w:eastAsia="zh-CN"/>
          <w14:textFill>
            <w14:solidFill>
              <w14:schemeClr w14:val="tx1"/>
            </w14:solidFill>
          </w14:textFill>
        </w:rPr>
        <w:t>，在厂区内布置生产车间、办公室等。本项目厂区内不设置员工食堂、宿舍，厂内员工均不在厂内食宿。</w:t>
      </w:r>
    </w:p>
    <w:p>
      <w:pPr>
        <w:ind w:firstLine="480" w:firstLineChars="200"/>
        <w:jc w:val="both"/>
        <w:rPr>
          <w:rFonts w:cs="Times New Roman" w:eastAsiaTheme="minorEastAsia"/>
          <w:color w:val="000000" w:themeColor="text1"/>
          <w:szCs w:val="24"/>
          <w14:textFill>
            <w14:solidFill>
              <w14:schemeClr w14:val="tx1"/>
            </w14:solidFill>
          </w14:textFill>
        </w:rPr>
      </w:pPr>
      <w:r>
        <w:rPr>
          <w:rFonts w:hint="eastAsia" w:cs="Times New Roman" w:eastAsiaTheme="minorEastAsia"/>
          <w:color w:val="000000" w:themeColor="text1"/>
          <w:szCs w:val="24"/>
          <w:lang w:val="en-US" w:eastAsia="zh-CN"/>
          <w14:textFill>
            <w14:solidFill>
              <w14:schemeClr w14:val="tx1"/>
            </w14:solidFill>
          </w14:textFill>
        </w:rPr>
        <w:t>项目建设内容包括主体工程、辅助工程、公用工程和环保工程</w:t>
      </w:r>
      <w:r>
        <w:rPr>
          <w:rFonts w:cs="Times New Roman" w:eastAsiaTheme="minorEastAsia"/>
          <w:color w:val="000000" w:themeColor="text1"/>
          <w:szCs w:val="24"/>
          <w14:textFill>
            <w14:solidFill>
              <w14:schemeClr w14:val="tx1"/>
            </w14:solidFill>
          </w14:textFill>
        </w:rPr>
        <w:t>。项目建设内容见下表3-</w:t>
      </w:r>
      <w:r>
        <w:rPr>
          <w:rFonts w:hint="eastAsia" w:cs="Times New Roman" w:eastAsiaTheme="minorEastAsia"/>
          <w:color w:val="000000" w:themeColor="text1"/>
          <w:szCs w:val="24"/>
          <w14:textFill>
            <w14:solidFill>
              <w14:schemeClr w14:val="tx1"/>
            </w14:solidFill>
          </w14:textFill>
        </w:rPr>
        <w:t>2</w:t>
      </w:r>
      <w:r>
        <w:rPr>
          <w:rFonts w:cs="Times New Roman" w:eastAsiaTheme="minorEastAsia"/>
          <w:color w:val="000000" w:themeColor="text1"/>
          <w:szCs w:val="24"/>
          <w14:textFill>
            <w14:solidFill>
              <w14:schemeClr w14:val="tx1"/>
            </w14:solidFill>
          </w14:textFill>
        </w:rPr>
        <w:t>。</w:t>
      </w:r>
    </w:p>
    <w:p>
      <w:pPr>
        <w:pStyle w:val="11"/>
        <w:jc w:val="center"/>
        <w:rPr>
          <w:rFonts w:cs="Times New Roman" w:eastAsiaTheme="minorEastAsia"/>
          <w:b/>
          <w:bCs/>
          <w:sz w:val="21"/>
          <w:szCs w:val="21"/>
        </w:rPr>
      </w:pPr>
      <w:r>
        <w:rPr>
          <w:rFonts w:cs="Times New Roman" w:eastAsiaTheme="minorEastAsia"/>
          <w:b/>
          <w:bCs/>
          <w:sz w:val="21"/>
          <w:szCs w:val="21"/>
        </w:rPr>
        <w:t>表3-2    项目组成及建设内容</w:t>
      </w:r>
    </w:p>
    <w:tbl>
      <w:tblPr>
        <w:tblStyle w:val="22"/>
        <w:tblW w:w="506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12"/>
        <w:gridCol w:w="1186"/>
        <w:gridCol w:w="4792"/>
        <w:gridCol w:w="2675"/>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tcBorders>
              <w:right w:val="single" w:color="auto" w:sz="4" w:space="0"/>
            </w:tcBorders>
            <w:noWrap w:val="0"/>
            <w:vAlign w:val="center"/>
          </w:tcPr>
          <w:p>
            <w:pPr>
              <w:spacing w:line="240" w:lineRule="auto"/>
              <w:jc w:val="center"/>
              <w:rPr>
                <w:b/>
                <w:bCs/>
                <w:sz w:val="21"/>
                <w:szCs w:val="21"/>
              </w:rPr>
            </w:pPr>
            <w:r>
              <w:rPr>
                <w:b/>
                <w:bCs/>
                <w:sz w:val="21"/>
                <w:szCs w:val="21"/>
              </w:rPr>
              <w:t>类别</w:t>
            </w:r>
          </w:p>
        </w:tc>
        <w:tc>
          <w:tcPr>
            <w:tcW w:w="633" w:type="pct"/>
            <w:tcBorders>
              <w:left w:val="single" w:color="auto" w:sz="4" w:space="0"/>
              <w:right w:val="single" w:color="auto" w:sz="4" w:space="0"/>
            </w:tcBorders>
            <w:noWrap w:val="0"/>
            <w:vAlign w:val="center"/>
          </w:tcPr>
          <w:p>
            <w:pPr>
              <w:spacing w:line="240" w:lineRule="auto"/>
              <w:jc w:val="center"/>
              <w:rPr>
                <w:rFonts w:hint="eastAsia" w:eastAsia="宋体"/>
                <w:b/>
                <w:bCs/>
                <w:sz w:val="21"/>
                <w:szCs w:val="21"/>
                <w:lang w:eastAsia="zh-CN"/>
              </w:rPr>
            </w:pPr>
            <w:r>
              <w:rPr>
                <w:b/>
                <w:bCs/>
                <w:sz w:val="21"/>
                <w:szCs w:val="21"/>
              </w:rPr>
              <w:t>项目</w:t>
            </w:r>
            <w:r>
              <w:rPr>
                <w:rFonts w:hint="eastAsia"/>
                <w:b/>
                <w:bCs/>
                <w:sz w:val="21"/>
                <w:szCs w:val="21"/>
                <w:lang w:eastAsia="zh-CN"/>
              </w:rPr>
              <w:t>组成</w:t>
            </w:r>
          </w:p>
        </w:tc>
        <w:tc>
          <w:tcPr>
            <w:tcW w:w="2558" w:type="pct"/>
            <w:tcBorders>
              <w:top w:val="single" w:color="auto" w:sz="4" w:space="0"/>
              <w:left w:val="single" w:color="auto" w:sz="4" w:space="0"/>
            </w:tcBorders>
            <w:noWrap w:val="0"/>
            <w:vAlign w:val="center"/>
          </w:tcPr>
          <w:p>
            <w:pPr>
              <w:spacing w:line="240" w:lineRule="auto"/>
              <w:jc w:val="center"/>
              <w:rPr>
                <w:rFonts w:hint="eastAsia" w:eastAsia="宋体"/>
                <w:b/>
                <w:bCs/>
                <w:sz w:val="21"/>
                <w:szCs w:val="21"/>
                <w:lang w:val="en-US" w:eastAsia="zh-CN"/>
              </w:rPr>
            </w:pPr>
            <w:r>
              <w:rPr>
                <w:rFonts w:hint="eastAsia"/>
                <w:b/>
                <w:bCs/>
                <w:sz w:val="21"/>
                <w:szCs w:val="21"/>
                <w:lang w:val="en-US" w:eastAsia="zh-CN"/>
              </w:rPr>
              <w:t>主要建设</w:t>
            </w:r>
            <w:r>
              <w:rPr>
                <w:b/>
                <w:bCs/>
                <w:sz w:val="21"/>
                <w:szCs w:val="21"/>
              </w:rPr>
              <w:t>规模与</w:t>
            </w:r>
            <w:r>
              <w:rPr>
                <w:rFonts w:hint="eastAsia"/>
                <w:b/>
                <w:bCs/>
                <w:sz w:val="21"/>
                <w:szCs w:val="21"/>
                <w:lang w:val="en-US" w:eastAsia="zh-CN"/>
              </w:rPr>
              <w:t>内容</w:t>
            </w:r>
          </w:p>
        </w:tc>
        <w:tc>
          <w:tcPr>
            <w:tcW w:w="1428" w:type="pct"/>
            <w:tcBorders>
              <w:top w:val="single" w:color="auto" w:sz="4" w:space="0"/>
              <w:left w:val="single" w:color="auto" w:sz="4" w:space="0"/>
            </w:tcBorders>
            <w:noWrap w:val="0"/>
            <w:vAlign w:val="center"/>
          </w:tcPr>
          <w:p>
            <w:pPr>
              <w:spacing w:line="240" w:lineRule="auto"/>
              <w:jc w:val="center"/>
              <w:rPr>
                <w:rFonts w:hint="default"/>
                <w:b/>
                <w:bCs/>
                <w:sz w:val="21"/>
                <w:szCs w:val="21"/>
                <w:lang w:val="en-US" w:eastAsia="zh-CN"/>
              </w:rPr>
            </w:pPr>
            <w:r>
              <w:rPr>
                <w:rFonts w:hint="eastAsia"/>
                <w:b/>
                <w:bCs/>
                <w:sz w:val="21"/>
                <w:szCs w:val="21"/>
                <w:lang w:val="en-US" w:eastAsia="zh-CN"/>
              </w:rPr>
              <w:t>实际建设情况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tcBorders>
              <w:top w:val="single" w:color="auto" w:sz="4" w:space="0"/>
            </w:tcBorders>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r>
              <w:rPr>
                <w:sz w:val="21"/>
                <w:szCs w:val="21"/>
              </w:rPr>
              <w:t>主体工程</w:t>
            </w:r>
          </w:p>
        </w:tc>
        <w:tc>
          <w:tcPr>
            <w:tcW w:w="633" w:type="pct"/>
            <w:vMerge w:val="restart"/>
            <w:tcBorders>
              <w:bottom w:val="single" w:color="auto" w:sz="4" w:space="0"/>
            </w:tcBorders>
            <w:noWrap w:val="0"/>
            <w:vAlign w:val="center"/>
          </w:tcPr>
          <w:p>
            <w:pPr>
              <w:tabs>
                <w:tab w:val="left" w:pos="630"/>
                <w:tab w:val="left" w:pos="5760"/>
              </w:tabs>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生产车间</w:t>
            </w:r>
          </w:p>
        </w:tc>
        <w:tc>
          <w:tcPr>
            <w:tcW w:w="2558" w:type="pct"/>
            <w:tcBorders>
              <w:top w:val="single" w:color="auto" w:sz="4" w:space="0"/>
              <w:bottom w:val="single" w:color="auto" w:sz="4" w:space="0"/>
            </w:tcBorders>
            <w:noWrap w:val="0"/>
            <w:vAlign w:val="center"/>
          </w:tcPr>
          <w:p>
            <w:pPr>
              <w:autoSpaceDE w:val="0"/>
              <w:autoSpaceDN w:val="0"/>
              <w:spacing w:line="240" w:lineRule="auto"/>
              <w:rPr>
                <w:rFonts w:hint="eastAsia"/>
                <w:kern w:val="0"/>
                <w:sz w:val="21"/>
                <w:szCs w:val="21"/>
              </w:rPr>
            </w:pPr>
            <w:r>
              <w:rPr>
                <w:rFonts w:hint="eastAsia"/>
                <w:kern w:val="0"/>
                <w:sz w:val="21"/>
                <w:szCs w:val="21"/>
              </w:rPr>
              <w:t>生产车间位于1#厂房西南部，其中：</w:t>
            </w:r>
          </w:p>
          <w:p>
            <w:pPr>
              <w:autoSpaceDE w:val="0"/>
              <w:autoSpaceDN w:val="0"/>
              <w:spacing w:line="240" w:lineRule="auto"/>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第一层，建筑面积800m</w:t>
            </w:r>
            <w:r>
              <w:rPr>
                <w:rFonts w:hint="eastAsia"/>
                <w:kern w:val="0"/>
                <w:sz w:val="21"/>
                <w:szCs w:val="21"/>
                <w:vertAlign w:val="superscript"/>
              </w:rPr>
              <w:t>2</w:t>
            </w:r>
            <w:r>
              <w:rPr>
                <w:rFonts w:hint="eastAsia"/>
                <w:kern w:val="0"/>
                <w:sz w:val="21"/>
                <w:szCs w:val="21"/>
              </w:rPr>
              <w:t>，布置切割机、冷压机、封边机、刮灰间等设施。主要进行下料、组装、刮灰、砂光、封边、压刨等木工作业。</w:t>
            </w:r>
          </w:p>
        </w:tc>
        <w:tc>
          <w:tcPr>
            <w:tcW w:w="142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p>
        </w:tc>
        <w:tc>
          <w:tcPr>
            <w:tcW w:w="633" w:type="pct"/>
            <w:vMerge w:val="continue"/>
            <w:tcBorders>
              <w:bottom w:val="single" w:color="auto" w:sz="4" w:space="0"/>
            </w:tcBorders>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lang w:eastAsia="zh-CN"/>
                <w14:textFill>
                  <w14:solidFill>
                    <w14:schemeClr w14:val="tx1"/>
                  </w14:solidFill>
                </w14:textFill>
              </w:rPr>
            </w:pPr>
          </w:p>
        </w:tc>
        <w:tc>
          <w:tcPr>
            <w:tcW w:w="2558" w:type="pct"/>
            <w:tcBorders>
              <w:bottom w:val="single" w:color="auto" w:sz="4" w:space="0"/>
            </w:tcBorders>
            <w:noWrap w:val="0"/>
            <w:vAlign w:val="center"/>
          </w:tcPr>
          <w:p>
            <w:pPr>
              <w:autoSpaceDE w:val="0"/>
              <w:autoSpaceDN w:val="0"/>
              <w:spacing w:line="240" w:lineRule="auto"/>
              <w:jc w:val="left"/>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第二层，建筑面积800m</w:t>
            </w:r>
            <w:r>
              <w:rPr>
                <w:rFonts w:hint="eastAsia"/>
                <w:kern w:val="0"/>
                <w:sz w:val="21"/>
                <w:szCs w:val="21"/>
                <w:vertAlign w:val="superscript"/>
              </w:rPr>
              <w:t>2</w:t>
            </w:r>
            <w:r>
              <w:rPr>
                <w:rFonts w:hint="eastAsia"/>
                <w:kern w:val="0"/>
                <w:sz w:val="21"/>
                <w:szCs w:val="21"/>
              </w:rPr>
              <w:t>，布置打磨区、喷漆房（含底漆房1个，面漆房1个，每个喷漆房都附带晾干区）、贴纸区、包装区、包装原料库、产品存放区等。主要进行打磨、喷漆、晾干、包装作业。</w:t>
            </w:r>
          </w:p>
        </w:tc>
        <w:tc>
          <w:tcPr>
            <w:tcW w:w="1428" w:type="pct"/>
            <w:tcBorders>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r>
              <w:rPr>
                <w:sz w:val="21"/>
                <w:szCs w:val="21"/>
              </w:rPr>
              <w:t>储运工程</w:t>
            </w:r>
          </w:p>
        </w:tc>
        <w:tc>
          <w:tcPr>
            <w:tcW w:w="633" w:type="pct"/>
            <w:tcBorders>
              <w:bottom w:val="single" w:color="auto" w:sz="4" w:space="0"/>
            </w:tcBorders>
            <w:noWrap w:val="0"/>
            <w:vAlign w:val="center"/>
          </w:tcPr>
          <w:p>
            <w:pPr>
              <w:snapToGrid w:val="0"/>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原料堆放区域</w:t>
            </w:r>
          </w:p>
        </w:tc>
        <w:tc>
          <w:tcPr>
            <w:tcW w:w="2558" w:type="pct"/>
            <w:tcBorders>
              <w:bottom w:val="single" w:color="auto" w:sz="4" w:space="0"/>
            </w:tcBorders>
            <w:noWrap w:val="0"/>
            <w:vAlign w:val="center"/>
          </w:tcPr>
          <w:p>
            <w:pPr>
              <w:snapToGrid w:val="0"/>
              <w:spacing w:line="240" w:lineRule="auto"/>
              <w:jc w:val="left"/>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原料堆放区</w:t>
            </w:r>
            <w:r>
              <w:rPr>
                <w:rFonts w:hint="eastAsia"/>
                <w:sz w:val="21"/>
                <w:szCs w:val="21"/>
              </w:rPr>
              <w:t>位于2#厂房，该厂房建筑面积400 m</w:t>
            </w:r>
            <w:r>
              <w:rPr>
                <w:rFonts w:hint="eastAsia"/>
                <w:sz w:val="21"/>
                <w:szCs w:val="21"/>
                <w:vertAlign w:val="superscript"/>
              </w:rPr>
              <w:t>2</w:t>
            </w:r>
            <w:r>
              <w:rPr>
                <w:rFonts w:hint="eastAsia"/>
                <w:sz w:val="21"/>
                <w:szCs w:val="21"/>
              </w:rPr>
              <w:t>，砖混结构，共一层。用于拟建项目堆放木方、密度板等原材料。</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lang w:eastAsia="zh-CN"/>
                <w14:textFill>
                  <w14:solidFill>
                    <w14:schemeClr w14:val="tx1"/>
                  </w14:solidFill>
                </w14:textFill>
              </w:rPr>
            </w:pPr>
          </w:p>
        </w:tc>
        <w:tc>
          <w:tcPr>
            <w:tcW w:w="633" w:type="pct"/>
            <w:tcBorders>
              <w:bottom w:val="single" w:color="auto" w:sz="4" w:space="0"/>
            </w:tcBorders>
            <w:noWrap w:val="0"/>
            <w:vAlign w:val="center"/>
          </w:tcPr>
          <w:p>
            <w:pPr>
              <w:snapToGrid w:val="0"/>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油漆库房</w:t>
            </w:r>
          </w:p>
        </w:tc>
        <w:tc>
          <w:tcPr>
            <w:tcW w:w="2558" w:type="pct"/>
            <w:tcBorders>
              <w:bottom w:val="single" w:color="auto" w:sz="4" w:space="0"/>
            </w:tcBorders>
            <w:noWrap w:val="0"/>
            <w:vAlign w:val="center"/>
          </w:tcPr>
          <w:p>
            <w:pPr>
              <w:snapToGrid w:val="0"/>
              <w:spacing w:line="240" w:lineRule="auto"/>
              <w:jc w:val="left"/>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位于1#厂房生产车间第二层，建筑面积约50m</w:t>
            </w:r>
            <w:r>
              <w:rPr>
                <w:rFonts w:hint="eastAsia"/>
                <w:sz w:val="21"/>
                <w:szCs w:val="21"/>
                <w:vertAlign w:val="superscript"/>
              </w:rPr>
              <w:t>2</w:t>
            </w:r>
            <w:r>
              <w:rPr>
                <w:rFonts w:hint="eastAsia"/>
                <w:sz w:val="21"/>
                <w:szCs w:val="21"/>
              </w:rPr>
              <w:t>，用于存放油漆以及辅料等。</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p>
        </w:tc>
        <w:tc>
          <w:tcPr>
            <w:tcW w:w="633" w:type="pct"/>
            <w:tcBorders>
              <w:bottom w:val="single" w:color="auto" w:sz="4" w:space="0"/>
            </w:tcBorders>
            <w:noWrap w:val="0"/>
            <w:vAlign w:val="center"/>
          </w:tcPr>
          <w:p>
            <w:pPr>
              <w:snapToGrid w:val="0"/>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产品存放区</w:t>
            </w:r>
          </w:p>
        </w:tc>
        <w:tc>
          <w:tcPr>
            <w:tcW w:w="2558" w:type="pct"/>
            <w:tcBorders>
              <w:bottom w:val="single" w:color="auto" w:sz="4" w:space="0"/>
            </w:tcBorders>
            <w:noWrap w:val="0"/>
            <w:vAlign w:val="center"/>
          </w:tcPr>
          <w:p>
            <w:pPr>
              <w:snapToGrid w:val="0"/>
              <w:spacing w:line="240" w:lineRule="auto"/>
              <w:jc w:val="left"/>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位于1#厂房生产车间第二层，建筑面积约300</w:t>
            </w:r>
            <w:r>
              <w:rPr>
                <w:rFonts w:hint="eastAsia"/>
                <w:kern w:val="0"/>
                <w:sz w:val="21"/>
                <w:szCs w:val="21"/>
              </w:rPr>
              <w:t xml:space="preserve"> m</w:t>
            </w:r>
            <w:r>
              <w:rPr>
                <w:rFonts w:hint="eastAsia"/>
                <w:kern w:val="0"/>
                <w:sz w:val="21"/>
                <w:szCs w:val="21"/>
                <w:vertAlign w:val="superscript"/>
              </w:rPr>
              <w:t>2</w:t>
            </w:r>
            <w:r>
              <w:rPr>
                <w:rFonts w:hint="eastAsia"/>
                <w:kern w:val="0"/>
                <w:sz w:val="21"/>
                <w:szCs w:val="21"/>
              </w:rPr>
              <w:t>，堆放已经包装好的产品。</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r>
              <w:rPr>
                <w:sz w:val="21"/>
                <w:szCs w:val="21"/>
              </w:rPr>
              <w:t>公用工程</w:t>
            </w:r>
          </w:p>
        </w:tc>
        <w:tc>
          <w:tcPr>
            <w:tcW w:w="633" w:type="pct"/>
            <w:tcBorders>
              <w:bottom w:val="single" w:color="auto" w:sz="4" w:space="0"/>
            </w:tcBorders>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lang w:eastAsia="zh-CN"/>
                <w14:textFill>
                  <w14:solidFill>
                    <w14:schemeClr w14:val="tx1"/>
                  </w14:solidFill>
                </w14:textFill>
              </w:rPr>
            </w:pPr>
            <w:r>
              <w:rPr>
                <w:sz w:val="21"/>
                <w:szCs w:val="21"/>
              </w:rPr>
              <w:t>供电</w:t>
            </w:r>
          </w:p>
        </w:tc>
        <w:tc>
          <w:tcPr>
            <w:tcW w:w="2558" w:type="pct"/>
            <w:tcBorders>
              <w:bottom w:val="single" w:color="auto" w:sz="4" w:space="0"/>
            </w:tcBorders>
            <w:noWrap w:val="0"/>
            <w:vAlign w:val="center"/>
          </w:tcPr>
          <w:p>
            <w:pPr>
              <w:tabs>
                <w:tab w:val="left" w:pos="630"/>
                <w:tab w:val="left" w:pos="5760"/>
              </w:tabs>
              <w:spacing w:line="240" w:lineRule="auto"/>
              <w:jc w:val="center"/>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 xml:space="preserve">由市政电网引入一回10kV电源供电 </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p>
        </w:tc>
        <w:tc>
          <w:tcPr>
            <w:tcW w:w="633" w:type="pct"/>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r>
              <w:rPr>
                <w:sz w:val="21"/>
                <w:szCs w:val="21"/>
              </w:rPr>
              <w:t>供水</w:t>
            </w:r>
          </w:p>
        </w:tc>
        <w:tc>
          <w:tcPr>
            <w:tcW w:w="2558" w:type="pct"/>
            <w:noWrap w:val="0"/>
            <w:vAlign w:val="center"/>
          </w:tcPr>
          <w:p>
            <w:pPr>
              <w:tabs>
                <w:tab w:val="left" w:pos="630"/>
                <w:tab w:val="left" w:pos="5760"/>
              </w:tabs>
              <w:spacing w:line="240" w:lineRule="auto"/>
              <w:jc w:val="center"/>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由市政供水管网供给</w:t>
            </w:r>
          </w:p>
        </w:tc>
        <w:tc>
          <w:tcPr>
            <w:tcW w:w="1428"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p>
        </w:tc>
        <w:tc>
          <w:tcPr>
            <w:tcW w:w="633" w:type="pct"/>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r>
              <w:rPr>
                <w:rFonts w:hint="eastAsia"/>
                <w:sz w:val="21"/>
                <w:szCs w:val="21"/>
              </w:rPr>
              <w:t>排水</w:t>
            </w:r>
          </w:p>
        </w:tc>
        <w:tc>
          <w:tcPr>
            <w:tcW w:w="2558" w:type="pct"/>
            <w:noWrap w:val="0"/>
            <w:vAlign w:val="center"/>
          </w:tcPr>
          <w:p>
            <w:pPr>
              <w:tabs>
                <w:tab w:val="left" w:pos="630"/>
                <w:tab w:val="left" w:pos="5760"/>
              </w:tabs>
              <w:spacing w:line="240" w:lineRule="auto"/>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采用雨污分流制，雨水顺着屋檐排入路边雨水沟，项目无生产废水，生活污水通过生化池处理后还田。</w:t>
            </w:r>
          </w:p>
        </w:tc>
        <w:tc>
          <w:tcPr>
            <w:tcW w:w="1428" w:type="pct"/>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r>
              <w:rPr>
                <w:sz w:val="21"/>
                <w:szCs w:val="21"/>
              </w:rPr>
              <w:t>辅助工程</w:t>
            </w:r>
          </w:p>
        </w:tc>
        <w:tc>
          <w:tcPr>
            <w:tcW w:w="633" w:type="pct"/>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r>
              <w:rPr>
                <w:rFonts w:hint="eastAsia"/>
                <w:sz w:val="21"/>
                <w:szCs w:val="21"/>
              </w:rPr>
              <w:t>办公区</w:t>
            </w:r>
          </w:p>
        </w:tc>
        <w:tc>
          <w:tcPr>
            <w:tcW w:w="2558" w:type="pct"/>
            <w:tcBorders>
              <w:bottom w:val="single" w:color="auto" w:sz="4" w:space="0"/>
            </w:tcBorders>
            <w:noWrap w:val="0"/>
            <w:vAlign w:val="center"/>
          </w:tcPr>
          <w:p>
            <w:pPr>
              <w:tabs>
                <w:tab w:val="left" w:pos="630"/>
                <w:tab w:val="left" w:pos="5760"/>
              </w:tabs>
              <w:spacing w:line="240" w:lineRule="auto"/>
              <w:jc w:val="left"/>
              <w:rPr>
                <w:rFonts w:hint="eastAsia" w:ascii="Times New Roman" w:hAnsi="Times New Roman" w:eastAsiaTheme="minorEastAsia"/>
                <w:color w:val="000000" w:themeColor="text1"/>
                <w:kern w:val="2"/>
                <w:sz w:val="21"/>
                <w:szCs w:val="21"/>
                <w14:textFill>
                  <w14:solidFill>
                    <w14:schemeClr w14:val="tx1"/>
                  </w14:solidFill>
                </w14:textFill>
              </w:rPr>
            </w:pPr>
            <w:r>
              <w:rPr>
                <w:rFonts w:hint="eastAsia"/>
                <w:sz w:val="21"/>
                <w:szCs w:val="21"/>
              </w:rPr>
              <w:t>位于1#厂房东部，占地面积350 m</w:t>
            </w:r>
            <w:r>
              <w:rPr>
                <w:rFonts w:hint="eastAsia"/>
                <w:sz w:val="21"/>
                <w:szCs w:val="21"/>
                <w:vertAlign w:val="superscript"/>
              </w:rPr>
              <w:t>2</w:t>
            </w:r>
            <w:r>
              <w:rPr>
                <w:rFonts w:hint="eastAsia"/>
                <w:sz w:val="21"/>
                <w:szCs w:val="21"/>
              </w:rPr>
              <w:t>，高3层，砖混结构，建筑面积1000m</w:t>
            </w:r>
            <w:r>
              <w:rPr>
                <w:rFonts w:hint="eastAsia"/>
                <w:sz w:val="21"/>
                <w:szCs w:val="21"/>
                <w:vertAlign w:val="superscript"/>
              </w:rPr>
              <w:t>2</w:t>
            </w:r>
            <w:r>
              <w:rPr>
                <w:rFonts w:hint="eastAsia"/>
                <w:sz w:val="21"/>
                <w:szCs w:val="21"/>
              </w:rPr>
              <w:t>，主要用于办公，设置办公室、会议室、产品展示区等，无食堂。</w:t>
            </w:r>
          </w:p>
        </w:tc>
        <w:tc>
          <w:tcPr>
            <w:tcW w:w="1428" w:type="pct"/>
            <w:tcBorders>
              <w:bottom w:val="single" w:color="auto" w:sz="4" w:space="0"/>
            </w:tcBorders>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tcBorders>
              <w:top w:val="single" w:color="auto" w:sz="4" w:space="0"/>
            </w:tcBorders>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p>
        </w:tc>
        <w:tc>
          <w:tcPr>
            <w:tcW w:w="633" w:type="pct"/>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宿舍区</w:t>
            </w:r>
          </w:p>
        </w:tc>
        <w:tc>
          <w:tcPr>
            <w:tcW w:w="2558" w:type="pct"/>
            <w:tcBorders>
              <w:top w:val="single" w:color="auto" w:sz="4" w:space="0"/>
            </w:tcBorders>
            <w:noWrap w:val="0"/>
            <w:vAlign w:val="center"/>
          </w:tcPr>
          <w:p>
            <w:pPr>
              <w:tabs>
                <w:tab w:val="left" w:pos="630"/>
                <w:tab w:val="left" w:pos="5760"/>
              </w:tabs>
              <w:spacing w:line="240" w:lineRule="auto"/>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位于1#厂房北部，占地面积200 m</w:t>
            </w:r>
            <w:r>
              <w:rPr>
                <w:rFonts w:hint="eastAsia"/>
                <w:sz w:val="21"/>
                <w:szCs w:val="21"/>
                <w:vertAlign w:val="superscript"/>
              </w:rPr>
              <w:t>2</w:t>
            </w:r>
            <w:r>
              <w:rPr>
                <w:rFonts w:hint="eastAsia"/>
                <w:sz w:val="21"/>
                <w:szCs w:val="21"/>
              </w:rPr>
              <w:t>，高2层，砖混结构，建筑面积400m</w:t>
            </w:r>
            <w:r>
              <w:rPr>
                <w:rFonts w:hint="eastAsia"/>
                <w:sz w:val="21"/>
                <w:szCs w:val="21"/>
                <w:vertAlign w:val="superscript"/>
              </w:rPr>
              <w:t>2</w:t>
            </w:r>
            <w:r>
              <w:rPr>
                <w:rFonts w:hint="eastAsia"/>
                <w:sz w:val="21"/>
                <w:szCs w:val="21"/>
              </w:rPr>
              <w:t>，主要用于员工午休。</w:t>
            </w:r>
          </w:p>
        </w:tc>
        <w:tc>
          <w:tcPr>
            <w:tcW w:w="1428" w:type="pct"/>
            <w:tcBorders>
              <w:top w:val="single" w:color="auto" w:sz="4" w:space="0"/>
            </w:tcBorders>
            <w:noWrap w:val="0"/>
            <w:vAlign w:val="center"/>
          </w:tcPr>
          <w:p>
            <w:pPr>
              <w:pStyle w:val="36"/>
              <w:rPr>
                <w:rFonts w:hint="default" w:ascii="Times New Roman" w:hAnsi="Times New Roman" w:eastAsiaTheme="minorEastAsia"/>
                <w:color w:val="000000" w:themeColor="text1"/>
                <w:kern w:val="2"/>
                <w:lang w:val="en-US"/>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restart"/>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r>
              <w:rPr>
                <w:sz w:val="21"/>
                <w:szCs w:val="21"/>
              </w:rPr>
              <w:t>环保工程</w:t>
            </w:r>
          </w:p>
        </w:tc>
        <w:tc>
          <w:tcPr>
            <w:tcW w:w="633" w:type="pct"/>
            <w:tcBorders>
              <w:top w:val="single" w:color="auto" w:sz="4" w:space="0"/>
              <w:bottom w:val="single" w:color="auto" w:sz="4" w:space="0"/>
            </w:tcBorders>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废水</w:t>
            </w:r>
          </w:p>
        </w:tc>
        <w:tc>
          <w:tcPr>
            <w:tcW w:w="2558" w:type="pct"/>
            <w:tcBorders>
              <w:top w:val="single" w:color="auto" w:sz="4" w:space="0"/>
              <w:bottom w:val="single" w:color="auto" w:sz="4" w:space="0"/>
            </w:tcBorders>
            <w:noWrap w:val="0"/>
            <w:vAlign w:val="center"/>
          </w:tcPr>
          <w:p>
            <w:pPr>
              <w:tabs>
                <w:tab w:val="left" w:pos="630"/>
                <w:tab w:val="left" w:pos="5760"/>
              </w:tabs>
              <w:spacing w:line="240" w:lineRule="auto"/>
              <w:rPr>
                <w:rFonts w:hint="default" w:ascii="Times New Roman" w:hAnsi="Times New Roman" w:eastAsiaTheme="minorEastAsia"/>
                <w:color w:val="000000" w:themeColor="text1"/>
                <w:kern w:val="2"/>
                <w:sz w:val="21"/>
                <w:szCs w:val="21"/>
                <w:lang w:val="en-US"/>
                <w14:textFill>
                  <w14:solidFill>
                    <w14:schemeClr w14:val="tx1"/>
                  </w14:solidFill>
                </w14:textFill>
              </w:rPr>
            </w:pPr>
            <w:r>
              <w:rPr>
                <w:rFonts w:hint="eastAsia"/>
                <w:sz w:val="21"/>
                <w:szCs w:val="21"/>
              </w:rPr>
              <w:t>拟建项目喷漆用水经沉淀处理后循环使用，只定期补加损耗水，循环水不外排，因此无生产废水；生活污水进入租用厂房现有生化池处理后还田。</w:t>
            </w:r>
          </w:p>
        </w:tc>
        <w:tc>
          <w:tcPr>
            <w:tcW w:w="142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p>
        </w:tc>
        <w:tc>
          <w:tcPr>
            <w:tcW w:w="633" w:type="pct"/>
            <w:tcBorders>
              <w:top w:val="single" w:color="auto" w:sz="4" w:space="0"/>
            </w:tcBorders>
            <w:noWrap w:val="0"/>
            <w:vAlign w:val="center"/>
          </w:tcPr>
          <w:p>
            <w:pPr>
              <w:tabs>
                <w:tab w:val="left" w:pos="630"/>
                <w:tab w:val="left" w:pos="5760"/>
              </w:tabs>
              <w:spacing w:line="240" w:lineRule="auto"/>
              <w:jc w:val="center"/>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废</w:t>
            </w:r>
            <w:r>
              <w:rPr>
                <w:rFonts w:hint="eastAsia"/>
                <w:sz w:val="21"/>
                <w:szCs w:val="21"/>
              </w:rPr>
              <w:t>气</w:t>
            </w:r>
          </w:p>
        </w:tc>
        <w:tc>
          <w:tcPr>
            <w:tcW w:w="2558" w:type="pct"/>
            <w:tcBorders>
              <w:top w:val="single" w:color="auto" w:sz="4" w:space="0"/>
              <w:bottom w:val="single" w:color="auto" w:sz="4" w:space="0"/>
            </w:tcBorders>
            <w:noWrap w:val="0"/>
            <w:vAlign w:val="center"/>
          </w:tcPr>
          <w:p>
            <w:pPr>
              <w:tabs>
                <w:tab w:val="left" w:pos="630"/>
                <w:tab w:val="left" w:pos="5760"/>
              </w:tabs>
              <w:spacing w:line="240" w:lineRule="auto"/>
              <w:rPr>
                <w:rFonts w:hint="eastAsia"/>
                <w:sz w:val="21"/>
                <w:szCs w:val="21"/>
              </w:rPr>
            </w:pPr>
            <w:r>
              <w:rPr>
                <w:rFonts w:hint="eastAsia"/>
                <w:sz w:val="21"/>
                <w:szCs w:val="21"/>
              </w:rPr>
              <w:t>木工粉尘、打磨粉尘和油磨粉尘分别通过布袋除尘器处理后，再统一通过厂区集中抽排风设施引到1#排气筒排放，排气筒高度15m。</w:t>
            </w:r>
          </w:p>
          <w:p>
            <w:pPr>
              <w:tabs>
                <w:tab w:val="left" w:pos="630"/>
                <w:tab w:val="left" w:pos="5760"/>
              </w:tabs>
              <w:spacing w:line="240" w:lineRule="auto"/>
              <w:rPr>
                <w:rFonts w:hint="default" w:ascii="Times New Roman" w:hAnsi="Times New Roman" w:eastAsiaTheme="minorEastAsia"/>
                <w:color w:val="000000" w:themeColor="text1"/>
                <w:kern w:val="2"/>
                <w:sz w:val="21"/>
                <w:szCs w:val="21"/>
                <w:lang w:val="en-US"/>
                <w14:textFill>
                  <w14:solidFill>
                    <w14:schemeClr w14:val="tx1"/>
                  </w14:solidFill>
                </w14:textFill>
              </w:rPr>
            </w:pPr>
            <w:r>
              <w:rPr>
                <w:rFonts w:hint="eastAsia"/>
                <w:sz w:val="21"/>
                <w:szCs w:val="21"/>
              </w:rPr>
              <w:t>底漆房和面漆房的喷漆废气（含油漆晾干废气）分别通过水帘柜处理后，再统一经过UV 光解+活性炭吸附系统处理，最后通过2#排气筒排放，排气筒高度15m。</w:t>
            </w:r>
          </w:p>
        </w:tc>
        <w:tc>
          <w:tcPr>
            <w:tcW w:w="1428" w:type="pct"/>
            <w:tcBorders>
              <w:top w:val="single" w:color="auto" w:sz="4" w:space="0"/>
              <w:bottom w:val="single" w:color="auto" w:sz="4" w:space="0"/>
            </w:tcBorders>
            <w:noWrap w:val="0"/>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p>
        </w:tc>
        <w:tc>
          <w:tcPr>
            <w:tcW w:w="633" w:type="pct"/>
            <w:tcBorders>
              <w:bottom w:val="single" w:color="auto" w:sz="4" w:space="0"/>
            </w:tcBorders>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r>
              <w:rPr>
                <w:sz w:val="21"/>
                <w:szCs w:val="21"/>
              </w:rPr>
              <w:t>噪声</w:t>
            </w:r>
          </w:p>
        </w:tc>
        <w:tc>
          <w:tcPr>
            <w:tcW w:w="2558" w:type="pct"/>
            <w:tcBorders>
              <w:top w:val="single" w:color="auto" w:sz="4" w:space="0"/>
              <w:bottom w:val="single" w:color="auto" w:sz="4" w:space="0"/>
            </w:tcBorders>
            <w:noWrap w:val="0"/>
            <w:vAlign w:val="center"/>
          </w:tcPr>
          <w:p>
            <w:pPr>
              <w:tabs>
                <w:tab w:val="left" w:pos="630"/>
                <w:tab w:val="left" w:pos="5760"/>
              </w:tabs>
              <w:spacing w:line="240" w:lineRule="auto"/>
              <w:jc w:val="center"/>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选用低噪声设备，经减震、厂房隔声措施</w:t>
            </w:r>
            <w:r>
              <w:rPr>
                <w:rFonts w:hint="eastAsia"/>
                <w:sz w:val="21"/>
                <w:szCs w:val="21"/>
              </w:rPr>
              <w:t>降噪</w:t>
            </w:r>
            <w:r>
              <w:rPr>
                <w:sz w:val="21"/>
                <w:szCs w:val="21"/>
              </w:rPr>
              <w:t>。</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p>
        </w:tc>
        <w:tc>
          <w:tcPr>
            <w:tcW w:w="633" w:type="pct"/>
            <w:vMerge w:val="restart"/>
            <w:tcBorders>
              <w:top w:val="single" w:color="auto" w:sz="4" w:space="0"/>
              <w:bottom w:val="single" w:color="auto" w:sz="4" w:space="0"/>
            </w:tcBorders>
            <w:noWrap w:val="0"/>
            <w:vAlign w:val="center"/>
          </w:tcPr>
          <w:p>
            <w:pPr>
              <w:tabs>
                <w:tab w:val="left" w:pos="630"/>
                <w:tab w:val="left" w:pos="5760"/>
              </w:tabs>
              <w:spacing w:line="240" w:lineRule="auto"/>
              <w:jc w:val="center"/>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固废</w:t>
            </w:r>
          </w:p>
        </w:tc>
        <w:tc>
          <w:tcPr>
            <w:tcW w:w="2558" w:type="pct"/>
            <w:tcBorders>
              <w:top w:val="single" w:color="auto" w:sz="4" w:space="0"/>
              <w:bottom w:val="single" w:color="auto" w:sz="4" w:space="0"/>
            </w:tcBorders>
            <w:noWrap w:val="0"/>
            <w:vAlign w:val="center"/>
          </w:tcPr>
          <w:p>
            <w:pPr>
              <w:tabs>
                <w:tab w:val="left" w:pos="630"/>
                <w:tab w:val="left" w:pos="5760"/>
              </w:tabs>
              <w:spacing w:line="240" w:lineRule="auto"/>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一般固废存放间：位于1#厂房生产车间第一层，封边区的北侧，建筑面积约30 m</w:t>
            </w:r>
            <w:r>
              <w:rPr>
                <w:rFonts w:hint="eastAsia"/>
                <w:sz w:val="21"/>
                <w:szCs w:val="21"/>
                <w:vertAlign w:val="superscript"/>
              </w:rPr>
              <w:t>2</w:t>
            </w:r>
            <w:r>
              <w:rPr>
                <w:rFonts w:hint="eastAsia"/>
                <w:sz w:val="21"/>
                <w:szCs w:val="21"/>
              </w:rPr>
              <w:t>，主要用于存放木材边角料等一般固废。</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380" w:type="pct"/>
            <w:vMerge w:val="continue"/>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14:textFill>
                  <w14:solidFill>
                    <w14:schemeClr w14:val="tx1"/>
                  </w14:solidFill>
                </w14:textFill>
              </w:rPr>
            </w:pPr>
          </w:p>
        </w:tc>
        <w:tc>
          <w:tcPr>
            <w:tcW w:w="633" w:type="pct"/>
            <w:vMerge w:val="continue"/>
            <w:tcBorders>
              <w:top w:val="single" w:color="auto" w:sz="4" w:space="0"/>
              <w:bottom w:val="single" w:color="auto" w:sz="4" w:space="0"/>
            </w:tcBorders>
            <w:noWrap w:val="0"/>
            <w:vAlign w:val="center"/>
          </w:tcPr>
          <w:p>
            <w:pPr>
              <w:tabs>
                <w:tab w:val="left" w:pos="630"/>
                <w:tab w:val="left" w:pos="5760"/>
              </w:tabs>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p>
        </w:tc>
        <w:tc>
          <w:tcPr>
            <w:tcW w:w="2558" w:type="pct"/>
            <w:tcBorders>
              <w:top w:val="single" w:color="auto" w:sz="4" w:space="0"/>
              <w:bottom w:val="single" w:color="auto" w:sz="4" w:space="0"/>
            </w:tcBorders>
            <w:noWrap w:val="0"/>
            <w:vAlign w:val="center"/>
          </w:tcPr>
          <w:p>
            <w:pPr>
              <w:tabs>
                <w:tab w:val="left" w:pos="630"/>
                <w:tab w:val="left" w:pos="5760"/>
              </w:tabs>
              <w:spacing w:line="240" w:lineRule="auto"/>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危险废物暂存间：位于1#厂房生产车间第二层，喷漆房（面漆）的东面，建筑面积约15 m</w:t>
            </w:r>
            <w:r>
              <w:rPr>
                <w:rFonts w:hint="eastAsia"/>
                <w:sz w:val="21"/>
                <w:szCs w:val="21"/>
                <w:vertAlign w:val="superscript"/>
              </w:rPr>
              <w:t>2</w:t>
            </w:r>
            <w:r>
              <w:rPr>
                <w:rFonts w:hint="eastAsia"/>
                <w:sz w:val="21"/>
                <w:szCs w:val="21"/>
              </w:rPr>
              <w:t>，用于存放废油漆桶、漆渣等危险废物。</w:t>
            </w:r>
          </w:p>
        </w:tc>
        <w:tc>
          <w:tcPr>
            <w:tcW w:w="1428" w:type="pct"/>
            <w:tcBorders>
              <w:top w:val="single" w:color="auto" w:sz="4" w:space="0"/>
              <w:bottom w:val="single" w:color="auto" w:sz="4" w:space="0"/>
            </w:tcBorders>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val="0"/>
        <w:snapToGrid w:val="0"/>
        <w:textAlignment w:val="auto"/>
      </w:pPr>
      <w:bookmarkStart w:id="26" w:name="_Toc497833574"/>
      <w:r>
        <w:rPr>
          <w:rFonts w:hint="eastAsia"/>
        </w:rPr>
        <w:t>（2）生产制度</w:t>
      </w:r>
    </w:p>
    <w:p>
      <w:pPr>
        <w:ind w:firstLine="480" w:firstLineChars="200"/>
        <w:rPr>
          <w:rFonts w:hint="eastAsia" w:eastAsia="宋体"/>
          <w:lang w:val="en-US" w:eastAsia="zh-CN"/>
        </w:rPr>
      </w:pPr>
      <w:r>
        <w:rPr>
          <w:rFonts w:hint="eastAsia"/>
        </w:rPr>
        <w:t>根据业主提供资料，项目生产制度如下表3-3。</w:t>
      </w:r>
      <w:r>
        <w:rPr>
          <w:rFonts w:hint="eastAsia"/>
          <w:lang w:val="en-US" w:eastAsia="zh-CN"/>
        </w:rPr>
        <w:t xml:space="preserve"> </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表3-3    项目生产制度一览表</w:t>
      </w:r>
    </w:p>
    <w:tbl>
      <w:tblPr>
        <w:tblStyle w:val="22"/>
        <w:tblW w:w="9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1601"/>
        <w:gridCol w:w="1117"/>
        <w:gridCol w:w="1535"/>
        <w:gridCol w:w="1505"/>
        <w:gridCol w:w="2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序号</w:t>
            </w:r>
          </w:p>
        </w:tc>
        <w:tc>
          <w:tcPr>
            <w:tcW w:w="1601" w:type="dxa"/>
            <w:tcBorders>
              <w:tl2br w:val="nil"/>
              <w:tr2bl w:val="nil"/>
            </w:tcBorders>
            <w:vAlign w:val="center"/>
          </w:tcPr>
          <w:p>
            <w:pPr>
              <w:pStyle w:val="36"/>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生产制度</w:t>
            </w:r>
          </w:p>
        </w:tc>
        <w:tc>
          <w:tcPr>
            <w:tcW w:w="1117" w:type="dxa"/>
            <w:tcBorders>
              <w:tl2br w:val="nil"/>
              <w:tr2bl w:val="nil"/>
            </w:tcBorders>
            <w:vAlign w:val="center"/>
          </w:tcPr>
          <w:p>
            <w:pPr>
              <w:pStyle w:val="36"/>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单位</w:t>
            </w:r>
          </w:p>
        </w:tc>
        <w:tc>
          <w:tcPr>
            <w:tcW w:w="1535" w:type="dxa"/>
            <w:tcBorders>
              <w:tl2br w:val="nil"/>
              <w:tr2bl w:val="nil"/>
            </w:tcBorders>
            <w:vAlign w:val="center"/>
          </w:tcPr>
          <w:p>
            <w:pPr>
              <w:pStyle w:val="36"/>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环评阶段</w:t>
            </w:r>
          </w:p>
        </w:tc>
        <w:tc>
          <w:tcPr>
            <w:tcW w:w="1505" w:type="dxa"/>
            <w:tcBorders>
              <w:tl2br w:val="nil"/>
              <w:tr2bl w:val="nil"/>
            </w:tcBorders>
            <w:vAlign w:val="center"/>
          </w:tcPr>
          <w:p>
            <w:pPr>
              <w:pStyle w:val="36"/>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验收阶段</w:t>
            </w:r>
          </w:p>
        </w:tc>
        <w:tc>
          <w:tcPr>
            <w:tcW w:w="2370" w:type="dxa"/>
            <w:tcBorders>
              <w:tl2br w:val="nil"/>
              <w:tr2bl w:val="nil"/>
            </w:tcBorders>
            <w:vAlign w:val="center"/>
          </w:tcPr>
          <w:p>
            <w:pPr>
              <w:pStyle w:val="36"/>
              <w:rPr>
                <w:rFonts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27" w:name="_Toc16870"/>
            <w:r>
              <w:rPr>
                <w:rFonts w:hint="eastAsia" w:ascii="Times New Roman" w:hAnsi="Times New Roman" w:eastAsiaTheme="minorEastAsia"/>
                <w:color w:val="000000" w:themeColor="text1"/>
                <w:kern w:val="2"/>
                <w14:textFill>
                  <w14:solidFill>
                    <w14:schemeClr w14:val="tx1"/>
                  </w14:solidFill>
                </w14:textFill>
              </w:rPr>
              <w:t>1</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年工作日</w:t>
            </w:r>
            <w:bookmarkEnd w:id="27"/>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28" w:name="_Toc15082"/>
            <w:r>
              <w:rPr>
                <w:rFonts w:ascii="Times New Roman" w:hAnsi="Times New Roman" w:eastAsiaTheme="minorEastAsia"/>
                <w:color w:val="000000" w:themeColor="text1"/>
                <w:kern w:val="2"/>
                <w14:textFill>
                  <w14:solidFill>
                    <w14:schemeClr w14:val="tx1"/>
                  </w14:solidFill>
                </w14:textFill>
              </w:rPr>
              <w:t>天</w:t>
            </w:r>
            <w:bookmarkEnd w:id="28"/>
          </w:p>
        </w:tc>
        <w:tc>
          <w:tcPr>
            <w:tcW w:w="153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220</w:t>
            </w:r>
          </w:p>
        </w:tc>
        <w:tc>
          <w:tcPr>
            <w:tcW w:w="150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220</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29" w:name="_Toc4951"/>
            <w:r>
              <w:rPr>
                <w:rFonts w:hint="eastAsia" w:ascii="Times New Roman" w:hAnsi="Times New Roman" w:eastAsiaTheme="minorEastAsia"/>
                <w:color w:val="000000" w:themeColor="text1"/>
                <w:kern w:val="2"/>
                <w14:textFill>
                  <w14:solidFill>
                    <w14:schemeClr w14:val="tx1"/>
                  </w14:solidFill>
                </w14:textFill>
              </w:rPr>
              <w:t>与环评一致</w:t>
            </w:r>
            <w:bookmark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0" w:name="_Toc20322"/>
            <w:r>
              <w:rPr>
                <w:rFonts w:hint="eastAsia" w:ascii="Times New Roman" w:hAnsi="Times New Roman" w:eastAsiaTheme="minorEastAsia"/>
                <w:color w:val="000000" w:themeColor="text1"/>
                <w:kern w:val="2"/>
                <w14:textFill>
                  <w14:solidFill>
                    <w14:schemeClr w14:val="tx1"/>
                  </w14:solidFill>
                </w14:textFill>
              </w:rPr>
              <w:t>2</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工作制度</w:t>
            </w:r>
            <w:bookmarkEnd w:id="30"/>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1" w:name="_Toc31424"/>
            <w:r>
              <w:rPr>
                <w:rFonts w:ascii="Times New Roman" w:hAnsi="Times New Roman" w:eastAsiaTheme="minorEastAsia"/>
                <w:color w:val="000000" w:themeColor="text1"/>
                <w:kern w:val="2"/>
                <w14:textFill>
                  <w14:solidFill>
                    <w14:schemeClr w14:val="tx1"/>
                  </w14:solidFill>
                </w14:textFill>
              </w:rPr>
              <w:t>/</w:t>
            </w:r>
            <w:bookmarkEnd w:id="31"/>
          </w:p>
        </w:tc>
        <w:tc>
          <w:tcPr>
            <w:tcW w:w="1535"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1505"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w:t>
            </w:r>
            <w:r>
              <w:rPr>
                <w:rFonts w:hint="eastAsia" w:ascii="Times New Roman" w:hAnsi="Times New Roman" w:eastAsiaTheme="minorEastAsia"/>
                <w:color w:val="000000" w:themeColor="text1"/>
                <w:kern w:val="2"/>
                <w14:textFill>
                  <w14:solidFill>
                    <w14:schemeClr w14:val="tx1"/>
                  </w14:solidFill>
                </w14:textFill>
              </w:rPr>
              <w:t>小时制</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2" w:name="_Toc4683"/>
            <w:r>
              <w:rPr>
                <w:rFonts w:hint="eastAsia" w:ascii="Times New Roman" w:hAnsi="Times New Roman" w:eastAsiaTheme="minorEastAsia"/>
                <w:color w:val="000000" w:themeColor="text1"/>
                <w:kern w:val="2"/>
                <w14:textFill>
                  <w14:solidFill>
                    <w14:schemeClr w14:val="tx1"/>
                  </w14:solidFill>
                </w14:textFill>
              </w:rPr>
              <w:t>与环评一致</w:t>
            </w:r>
            <w:bookmarkEnd w:id="3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72"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3" w:name="_Toc23108"/>
            <w:r>
              <w:rPr>
                <w:rFonts w:hint="eastAsia" w:ascii="Times New Roman" w:hAnsi="Times New Roman" w:eastAsiaTheme="minorEastAsia"/>
                <w:color w:val="000000" w:themeColor="text1"/>
                <w:kern w:val="2"/>
                <w14:textFill>
                  <w14:solidFill>
                    <w14:schemeClr w14:val="tx1"/>
                  </w14:solidFill>
                </w14:textFill>
              </w:rPr>
              <w:t>3</w:t>
            </w:r>
          </w:p>
        </w:tc>
        <w:tc>
          <w:tcPr>
            <w:tcW w:w="1601"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ascii="Times New Roman" w:hAnsi="Times New Roman" w:eastAsiaTheme="minorEastAsia"/>
                <w:color w:val="000000" w:themeColor="text1"/>
                <w:kern w:val="2"/>
                <w14:textFill>
                  <w14:solidFill>
                    <w14:schemeClr w14:val="tx1"/>
                  </w14:solidFill>
                </w14:textFill>
              </w:rPr>
              <w:t>劳动定员</w:t>
            </w:r>
            <w:bookmarkEnd w:id="33"/>
          </w:p>
        </w:tc>
        <w:tc>
          <w:tcPr>
            <w:tcW w:w="1117"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bookmarkStart w:id="34" w:name="_Toc12921"/>
            <w:r>
              <w:rPr>
                <w:rFonts w:ascii="Times New Roman" w:hAnsi="Times New Roman" w:eastAsiaTheme="minorEastAsia"/>
                <w:color w:val="000000" w:themeColor="text1"/>
                <w:kern w:val="2"/>
                <w14:textFill>
                  <w14:solidFill>
                    <w14:schemeClr w14:val="tx1"/>
                  </w14:solidFill>
                </w14:textFill>
              </w:rPr>
              <w:t>人</w:t>
            </w:r>
            <w:bookmarkEnd w:id="34"/>
          </w:p>
        </w:tc>
        <w:tc>
          <w:tcPr>
            <w:tcW w:w="153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20</w:t>
            </w:r>
          </w:p>
        </w:tc>
        <w:tc>
          <w:tcPr>
            <w:tcW w:w="1505" w:type="dxa"/>
            <w:tcBorders>
              <w:tl2br w:val="nil"/>
              <w:tr2bl w:val="nil"/>
            </w:tcBorders>
            <w:vAlign w:val="center"/>
          </w:tcPr>
          <w:p>
            <w:pPr>
              <w:pStyle w:val="36"/>
              <w:rPr>
                <w:rFonts w:hint="default"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20</w:t>
            </w:r>
          </w:p>
        </w:tc>
        <w:tc>
          <w:tcPr>
            <w:tcW w:w="2370" w:type="dxa"/>
            <w:tcBorders>
              <w:tl2br w:val="nil"/>
              <w:tr2bl w:val="nil"/>
            </w:tcBorders>
            <w:vAlign w:val="center"/>
          </w:tcPr>
          <w:p>
            <w:pPr>
              <w:pStyle w:val="36"/>
              <w:rPr>
                <w:rFonts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与环评一致</w:t>
            </w:r>
          </w:p>
        </w:tc>
      </w:tr>
    </w:tbl>
    <w:p>
      <w:pPr>
        <w:keepNext w:val="0"/>
        <w:keepLines w:val="0"/>
        <w:pageBreakBefore w:val="0"/>
        <w:widowControl w:val="0"/>
        <w:kinsoku/>
        <w:wordWrap/>
        <w:overflowPunct/>
        <w:topLinePunct w:val="0"/>
        <w:autoSpaceDE/>
        <w:autoSpaceDN/>
        <w:bidi w:val="0"/>
        <w:adjustRightInd w:val="0"/>
        <w:snapToGrid w:val="0"/>
        <w:textAlignment w:val="auto"/>
        <w:rPr>
          <w:rFonts w:hint="eastAsia" w:eastAsia="宋体"/>
          <w:lang w:eastAsia="zh-CN"/>
        </w:rPr>
      </w:pPr>
      <w:bookmarkStart w:id="35" w:name="_Toc19921"/>
      <w:r>
        <w:rPr>
          <w:rFonts w:hint="eastAsia"/>
        </w:rPr>
        <w:t>（</w:t>
      </w:r>
      <w:r>
        <w:rPr>
          <w:rFonts w:hint="eastAsia"/>
          <w:lang w:val="en-US" w:eastAsia="zh-CN"/>
        </w:rPr>
        <w:t>3</w:t>
      </w:r>
      <w:r>
        <w:rPr>
          <w:rFonts w:hint="eastAsia"/>
        </w:rPr>
        <w:t>）</w:t>
      </w:r>
      <w:r>
        <w:rPr>
          <w:rFonts w:hint="eastAsia"/>
          <w:lang w:eastAsia="zh-CN"/>
        </w:rPr>
        <w:t>产品方案</w:t>
      </w:r>
    </w:p>
    <w:p>
      <w:pPr>
        <w:ind w:firstLine="480" w:firstLineChars="200"/>
        <w:rPr>
          <w:rFonts w:hint="eastAsia"/>
        </w:rPr>
      </w:pPr>
      <w:r>
        <w:rPr>
          <w:rFonts w:hint="eastAsia"/>
        </w:rPr>
        <w:t>项目主要生产木质套装门，厂家根据客户需求定制不同尺寸的套装门</w:t>
      </w:r>
      <w:r>
        <w:rPr>
          <w:rFonts w:hint="eastAsia"/>
          <w:lang w:eastAsia="zh-CN"/>
        </w:rPr>
        <w:t>。</w:t>
      </w:r>
      <w:r>
        <w:rPr>
          <w:rFonts w:hint="eastAsia"/>
        </w:rPr>
        <w:t>产品具体方案见表</w:t>
      </w:r>
      <w:r>
        <w:rPr>
          <w:rFonts w:hint="eastAsia"/>
          <w:lang w:val="en-US" w:eastAsia="zh-CN"/>
        </w:rPr>
        <w:t>3</w:t>
      </w:r>
      <w:r>
        <w:rPr>
          <w:rFonts w:hint="eastAsia"/>
        </w:rPr>
        <w:t>-</w:t>
      </w:r>
      <w:r>
        <w:rPr>
          <w:rFonts w:hint="eastAsia"/>
          <w:lang w:val="en-US" w:eastAsia="zh-CN"/>
        </w:rPr>
        <w:t>4</w:t>
      </w:r>
      <w:r>
        <w:rPr>
          <w:rFonts w:hint="eastAsia"/>
        </w:rPr>
        <w:t>。</w:t>
      </w:r>
    </w:p>
    <w:p>
      <w:pPr>
        <w:spacing w:line="240" w:lineRule="auto"/>
        <w:jc w:val="center"/>
        <w:rPr>
          <w:rFonts w:hint="eastAsia" w:cs="Times New Roman" w:eastAsiaTheme="minorEastAsia"/>
          <w:b/>
          <w:bCs/>
          <w:color w:val="000000" w:themeColor="text1"/>
          <w:sz w:val="21"/>
          <w:szCs w:val="21"/>
          <w14:textFill>
            <w14:solidFill>
              <w14:schemeClr w14:val="tx1"/>
            </w14:solidFill>
          </w14:textFill>
        </w:rPr>
      </w:pPr>
      <w:r>
        <w:rPr>
          <w:rFonts w:hint="eastAsia" w:cs="Times New Roman" w:eastAsiaTheme="minorEastAsia"/>
          <w:b/>
          <w:bCs/>
          <w:color w:val="000000" w:themeColor="text1"/>
          <w:sz w:val="21"/>
          <w:szCs w:val="21"/>
          <w14:textFill>
            <w14:solidFill>
              <w14:schemeClr w14:val="tx1"/>
            </w14:solidFill>
          </w14:textFill>
        </w:rPr>
        <w:t>表</w:t>
      </w:r>
      <w:r>
        <w:rPr>
          <w:rFonts w:hint="eastAsia" w:cs="Times New Roman" w:eastAsiaTheme="minorEastAsia"/>
          <w:b/>
          <w:bCs/>
          <w:color w:val="000000" w:themeColor="text1"/>
          <w:sz w:val="21"/>
          <w:szCs w:val="21"/>
          <w:lang w:val="en-US" w:eastAsia="zh-CN"/>
          <w14:textFill>
            <w14:solidFill>
              <w14:schemeClr w14:val="tx1"/>
            </w14:solidFill>
          </w14:textFill>
        </w:rPr>
        <w:t>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4</w:t>
      </w:r>
      <w:r>
        <w:rPr>
          <w:rFonts w:hint="eastAsia" w:cs="Times New Roman" w:eastAsiaTheme="minorEastAsia"/>
          <w:b/>
          <w:bCs/>
          <w:color w:val="000000" w:themeColor="text1"/>
          <w:sz w:val="21"/>
          <w:szCs w:val="21"/>
          <w14:textFill>
            <w14:solidFill>
              <w14:schemeClr w14:val="tx1"/>
            </w14:solidFill>
          </w14:textFill>
        </w:rPr>
        <w:t xml:space="preserve">  本项目产品方案一览表</w:t>
      </w:r>
    </w:p>
    <w:tbl>
      <w:tblPr>
        <w:tblStyle w:val="2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1541"/>
        <w:gridCol w:w="4278"/>
        <w:gridCol w:w="1449"/>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noWrap w:val="0"/>
            <w:vAlign w:val="center"/>
          </w:tcPr>
          <w:p>
            <w:pPr>
              <w:pStyle w:val="36"/>
              <w:rPr>
                <w:rFonts w:hint="eastAsia"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lang w:eastAsia="zh-CN"/>
                <w14:textFill>
                  <w14:solidFill>
                    <w14:schemeClr w14:val="tx1"/>
                  </w14:solidFill>
                </w14:textFill>
              </w:rPr>
              <w:t>序</w:t>
            </w:r>
            <w:r>
              <w:rPr>
                <w:rFonts w:hint="eastAsia" w:ascii="Times New Roman" w:hAnsi="Times New Roman" w:eastAsiaTheme="minorEastAsia"/>
                <w:b/>
                <w:bCs/>
                <w:color w:val="000000" w:themeColor="text1"/>
                <w:kern w:val="2"/>
                <w14:textFill>
                  <w14:solidFill>
                    <w14:schemeClr w14:val="tx1"/>
                  </w14:solidFill>
                </w14:textFill>
              </w:rPr>
              <w:t>号</w:t>
            </w:r>
          </w:p>
        </w:tc>
        <w:tc>
          <w:tcPr>
            <w:tcW w:w="834" w:type="pct"/>
            <w:noWrap w:val="0"/>
            <w:vAlign w:val="center"/>
          </w:tcPr>
          <w:p>
            <w:pPr>
              <w:pStyle w:val="36"/>
              <w:rPr>
                <w:rFonts w:hint="eastAsia"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 xml:space="preserve"> 产品名称</w:t>
            </w:r>
          </w:p>
        </w:tc>
        <w:tc>
          <w:tcPr>
            <w:tcW w:w="2315" w:type="pct"/>
            <w:noWrap w:val="0"/>
            <w:vAlign w:val="center"/>
          </w:tcPr>
          <w:p>
            <w:pPr>
              <w:pStyle w:val="36"/>
              <w:rPr>
                <w:rFonts w:hint="eastAsia"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主要规格</w:t>
            </w:r>
          </w:p>
        </w:tc>
        <w:tc>
          <w:tcPr>
            <w:tcW w:w="784" w:type="pct"/>
            <w:noWrap w:val="0"/>
            <w:vAlign w:val="center"/>
          </w:tcPr>
          <w:p>
            <w:pPr>
              <w:pStyle w:val="36"/>
              <w:rPr>
                <w:rFonts w:hint="eastAsia"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数量（套/a）</w:t>
            </w:r>
          </w:p>
        </w:tc>
        <w:tc>
          <w:tcPr>
            <w:tcW w:w="651" w:type="pct"/>
            <w:noWrap w:val="0"/>
            <w:vAlign w:val="center"/>
          </w:tcPr>
          <w:p>
            <w:pPr>
              <w:pStyle w:val="36"/>
              <w:rPr>
                <w:rFonts w:hint="eastAsia" w:ascii="Times New Roman" w:hAnsi="Times New Roman" w:eastAsiaTheme="minorEastAsia"/>
                <w:b/>
                <w:bCs/>
                <w:color w:val="000000" w:themeColor="text1"/>
                <w:kern w:val="2"/>
                <w14:textFill>
                  <w14:solidFill>
                    <w14:schemeClr w14:val="tx1"/>
                  </w14:solidFill>
                </w14:textFill>
              </w:rPr>
            </w:pPr>
            <w:r>
              <w:rPr>
                <w:rFonts w:hint="eastAsia" w:ascii="Times New Roman" w:hAnsi="Times New Roman" w:eastAsiaTheme="minorEastAsia"/>
                <w:b/>
                <w:bCs/>
                <w:color w:val="000000" w:themeColor="text1"/>
                <w:kern w:val="2"/>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1</w:t>
            </w:r>
          </w:p>
        </w:tc>
        <w:tc>
          <w:tcPr>
            <w:tcW w:w="834"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生态木套装门</w:t>
            </w:r>
          </w:p>
        </w:tc>
        <w:tc>
          <w:tcPr>
            <w:tcW w:w="2315"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长(2.00m~2.20m)*宽(0.80m~1.00m)*厚0.04m</w:t>
            </w:r>
          </w:p>
        </w:tc>
        <w:tc>
          <w:tcPr>
            <w:tcW w:w="784"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1500</w:t>
            </w:r>
          </w:p>
        </w:tc>
        <w:tc>
          <w:tcPr>
            <w:tcW w:w="651"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无需喷漆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4"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2</w:t>
            </w:r>
          </w:p>
        </w:tc>
        <w:tc>
          <w:tcPr>
            <w:tcW w:w="834"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油漆套装门</w:t>
            </w:r>
          </w:p>
        </w:tc>
        <w:tc>
          <w:tcPr>
            <w:tcW w:w="2315"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长(2.00m~2.20m)*宽(0.80m~1.00m)*厚0.04m</w:t>
            </w:r>
          </w:p>
        </w:tc>
        <w:tc>
          <w:tcPr>
            <w:tcW w:w="784" w:type="pct"/>
            <w:noWrap w:val="0"/>
            <w:vAlign w:val="center"/>
          </w:tcPr>
          <w:p>
            <w:pPr>
              <w:pStyle w:val="36"/>
              <w:rPr>
                <w:rFonts w:hint="eastAsia" w:ascii="Times New Roman" w:hAnsi="Times New Roman" w:eastAsiaTheme="minorEastAsia"/>
                <w:color w:val="000000" w:themeColor="text1"/>
                <w:kern w:val="2"/>
                <w:lang w:val="en-US" w:eastAsia="zh-CN"/>
                <w14:textFill>
                  <w14:solidFill>
                    <w14:schemeClr w14:val="tx1"/>
                  </w14:solidFill>
                </w14:textFill>
              </w:rPr>
            </w:pPr>
            <w:r>
              <w:rPr>
                <w:rFonts w:hint="eastAsia" w:ascii="Times New Roman" w:hAnsi="Times New Roman" w:eastAsiaTheme="minorEastAsia"/>
                <w:color w:val="000000" w:themeColor="text1"/>
                <w:kern w:val="2"/>
                <w:lang w:val="en-US" w:eastAsia="zh-CN"/>
                <w14:textFill>
                  <w14:solidFill>
                    <w14:schemeClr w14:val="tx1"/>
                  </w14:solidFill>
                </w14:textFill>
              </w:rPr>
              <w:t>800</w:t>
            </w:r>
          </w:p>
        </w:tc>
        <w:tc>
          <w:tcPr>
            <w:tcW w:w="651"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需要喷漆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3" w:type="pct"/>
            <w:gridSpan w:val="3"/>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合计</w:t>
            </w:r>
          </w:p>
        </w:tc>
        <w:tc>
          <w:tcPr>
            <w:tcW w:w="784"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2300</w:t>
            </w:r>
          </w:p>
        </w:tc>
        <w:tc>
          <w:tcPr>
            <w:tcW w:w="651" w:type="pct"/>
            <w:noWrap w:val="0"/>
            <w:vAlign w:val="center"/>
          </w:tcPr>
          <w:p>
            <w:pPr>
              <w:pStyle w:val="36"/>
              <w:rPr>
                <w:rFonts w:hint="eastAsia" w:ascii="Times New Roman" w:hAnsi="Times New Roman" w:eastAsiaTheme="minorEastAsia"/>
                <w:color w:val="000000" w:themeColor="text1"/>
                <w:kern w:val="2"/>
                <w14:textFill>
                  <w14:solidFill>
                    <w14:schemeClr w14:val="tx1"/>
                  </w14:solidFill>
                </w14:textFill>
              </w:rPr>
            </w:pPr>
            <w:r>
              <w:rPr>
                <w:rFonts w:hint="eastAsia" w:ascii="Times New Roman" w:hAnsi="Times New Roman" w:eastAsiaTheme="minorEastAsia"/>
                <w:color w:val="000000" w:themeColor="text1"/>
                <w:kern w:val="2"/>
                <w14:textFill>
                  <w14:solidFill>
                    <w14:schemeClr w14:val="tx1"/>
                  </w14:solidFill>
                </w14:textFill>
              </w:rPr>
              <w:t>/</w:t>
            </w:r>
          </w:p>
        </w:tc>
      </w:tr>
    </w:tbl>
    <w:p>
      <w:pPr>
        <w:pStyle w:val="4"/>
      </w:pPr>
      <w:r>
        <w:t>3.3 主要原辅材料</w:t>
      </w:r>
      <w:bookmarkEnd w:id="26"/>
      <w:bookmarkEnd w:id="35"/>
    </w:p>
    <w:p>
      <w:pPr>
        <w:ind w:firstLine="480" w:firstLineChars="200"/>
      </w:pPr>
      <w:r>
        <w:rPr>
          <w:rFonts w:hint="eastAsia"/>
        </w:rPr>
        <w:t>根据业主提供</w:t>
      </w:r>
      <w:r>
        <w:rPr>
          <w:rFonts w:hint="eastAsia"/>
          <w:lang w:val="en-US" w:eastAsia="zh-CN"/>
        </w:rPr>
        <w:t>该企业运营阶段时的</w:t>
      </w:r>
      <w:r>
        <w:rPr>
          <w:rFonts w:hint="eastAsia"/>
        </w:rPr>
        <w:t>原辅材料消耗情况，实际</w:t>
      </w:r>
      <w:r>
        <w:t>原辅材料消耗</w:t>
      </w:r>
      <w:r>
        <w:rPr>
          <w:rFonts w:hint="eastAsia"/>
        </w:rPr>
        <w:t>量见</w:t>
      </w:r>
      <w:r>
        <w:t>表</w:t>
      </w:r>
      <w:r>
        <w:rPr>
          <w:rFonts w:hint="eastAsia"/>
        </w:rPr>
        <w:t>3-</w:t>
      </w:r>
      <w:r>
        <w:rPr>
          <w:rFonts w:hint="eastAsia"/>
          <w:lang w:val="en-US" w:eastAsia="zh-CN"/>
        </w:rPr>
        <w:t>5</w:t>
      </w:r>
      <w:r>
        <w:t>。</w:t>
      </w:r>
    </w:p>
    <w:p>
      <w:pPr>
        <w:spacing w:line="240" w:lineRule="auto"/>
        <w:jc w:val="center"/>
        <w:rPr>
          <w:rFonts w:cs="Times New Roman" w:eastAsiaTheme="minorEastAsia"/>
          <w:b/>
          <w:bCs/>
          <w:sz w:val="21"/>
          <w:szCs w:val="21"/>
        </w:rPr>
      </w:pPr>
      <w:r>
        <w:rPr>
          <w:rFonts w:cs="Times New Roman" w:eastAsiaTheme="minorEastAsia"/>
          <w:b/>
          <w:bCs/>
          <w:sz w:val="21"/>
          <w:szCs w:val="21"/>
        </w:rPr>
        <w:t>表3</w:t>
      </w:r>
      <w:r>
        <w:rPr>
          <w:rFonts w:hint="eastAsia" w:cs="Times New Roman" w:eastAsiaTheme="minorEastAsia"/>
          <w:b/>
          <w:bCs/>
          <w:sz w:val="21"/>
          <w:szCs w:val="21"/>
        </w:rPr>
        <w:t>-</w:t>
      </w:r>
      <w:r>
        <w:rPr>
          <w:rFonts w:hint="eastAsia" w:cs="Times New Roman" w:eastAsiaTheme="minorEastAsia"/>
          <w:b/>
          <w:bCs/>
          <w:sz w:val="21"/>
          <w:szCs w:val="21"/>
          <w:lang w:val="en-US" w:eastAsia="zh-CN"/>
        </w:rPr>
        <w:t>5</w:t>
      </w:r>
      <w:r>
        <w:rPr>
          <w:rFonts w:cs="Times New Roman" w:eastAsiaTheme="minorEastAsia"/>
          <w:b/>
          <w:bCs/>
          <w:sz w:val="21"/>
          <w:szCs w:val="21"/>
        </w:rPr>
        <w:t xml:space="preserve">    </w:t>
      </w:r>
      <w:r>
        <w:rPr>
          <w:rFonts w:hint="eastAsia" w:cs="Times New Roman" w:eastAsiaTheme="minorEastAsia"/>
          <w:b/>
          <w:bCs/>
          <w:sz w:val="21"/>
          <w:szCs w:val="21"/>
          <w:lang w:val="en-US" w:eastAsia="zh-CN"/>
        </w:rPr>
        <w:t>项目</w:t>
      </w:r>
      <w:r>
        <w:rPr>
          <w:rFonts w:cs="Times New Roman" w:eastAsiaTheme="minorEastAsia"/>
          <w:b/>
          <w:bCs/>
          <w:sz w:val="21"/>
          <w:szCs w:val="21"/>
        </w:rPr>
        <w:t>主要原辅材料消耗一览表</w:t>
      </w:r>
    </w:p>
    <w:tbl>
      <w:tblPr>
        <w:tblStyle w:val="22"/>
        <w:tblW w:w="4996"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337"/>
        <w:gridCol w:w="1754"/>
        <w:gridCol w:w="1903"/>
        <w:gridCol w:w="1907"/>
        <w:gridCol w:w="19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27" w:type="dxa"/>
            <w:vAlign w:val="center"/>
          </w:tcPr>
          <w:p>
            <w:pPr>
              <w:widowControl/>
              <w:spacing w:line="240" w:lineRule="auto"/>
              <w:jc w:val="center"/>
              <w:textAlignment w:val="center"/>
              <w:rPr>
                <w:rFonts w:ascii="Times New Roman" w:hAnsi="Times New Roman" w:eastAsiaTheme="minorEastAsia"/>
                <w:b/>
                <w:bCs/>
                <w:kern w:val="2"/>
                <w:sz w:val="21"/>
                <w:szCs w:val="21"/>
              </w:rPr>
            </w:pPr>
            <w:r>
              <w:rPr>
                <w:b/>
                <w:bCs/>
                <w:kern w:val="0"/>
                <w:sz w:val="21"/>
                <w:szCs w:val="21"/>
              </w:rPr>
              <w:t>序号</w:t>
            </w:r>
          </w:p>
        </w:tc>
        <w:tc>
          <w:tcPr>
            <w:tcW w:w="1337" w:type="dxa"/>
            <w:vAlign w:val="center"/>
          </w:tcPr>
          <w:p>
            <w:pPr>
              <w:spacing w:line="240" w:lineRule="auto"/>
              <w:jc w:val="center"/>
              <w:rPr>
                <w:rFonts w:ascii="Times New Roman" w:hAnsi="Times New Roman" w:eastAsiaTheme="minorEastAsia"/>
                <w:b/>
                <w:bCs/>
                <w:kern w:val="2"/>
                <w:sz w:val="21"/>
                <w:szCs w:val="21"/>
              </w:rPr>
            </w:pPr>
            <w:r>
              <w:rPr>
                <w:rFonts w:hint="eastAsia"/>
                <w:b/>
                <w:bCs/>
                <w:sz w:val="21"/>
                <w:szCs w:val="21"/>
              </w:rPr>
              <w:t>名称</w:t>
            </w:r>
          </w:p>
        </w:tc>
        <w:tc>
          <w:tcPr>
            <w:tcW w:w="1754" w:type="dxa"/>
            <w:vAlign w:val="center"/>
          </w:tcPr>
          <w:p>
            <w:pPr>
              <w:spacing w:line="240" w:lineRule="auto"/>
              <w:jc w:val="center"/>
              <w:rPr>
                <w:rFonts w:hint="eastAsia" w:ascii="Times New Roman" w:hAnsi="Times New Roman" w:eastAsiaTheme="minorEastAsia"/>
                <w:b/>
                <w:bCs/>
                <w:kern w:val="2"/>
                <w:sz w:val="21"/>
                <w:szCs w:val="21"/>
                <w:lang w:eastAsia="zh-CN"/>
              </w:rPr>
            </w:pPr>
            <w:r>
              <w:rPr>
                <w:rFonts w:hint="eastAsia" w:eastAsiaTheme="minorEastAsia"/>
                <w:b/>
                <w:bCs/>
                <w:sz w:val="21"/>
                <w:szCs w:val="21"/>
                <w:lang w:eastAsia="zh-CN"/>
              </w:rPr>
              <w:t>环评用量</w:t>
            </w:r>
          </w:p>
        </w:tc>
        <w:tc>
          <w:tcPr>
            <w:tcW w:w="1903" w:type="dxa"/>
            <w:vAlign w:val="center"/>
          </w:tcPr>
          <w:p>
            <w:pPr>
              <w:pStyle w:val="36"/>
              <w:rPr>
                <w:rFonts w:hint="eastAsia" w:ascii="Times New Roman" w:hAnsi="Times New Roman" w:eastAsiaTheme="minorEastAsia"/>
                <w:b/>
                <w:bCs/>
                <w:kern w:val="2"/>
                <w:sz w:val="21"/>
                <w:szCs w:val="21"/>
                <w:lang w:eastAsia="zh-CN"/>
              </w:rPr>
            </w:pPr>
            <w:r>
              <w:rPr>
                <w:rFonts w:hint="eastAsia" w:ascii="Times New Roman" w:hAnsi="Times New Roman" w:eastAsiaTheme="minorEastAsia"/>
                <w:b/>
                <w:bCs/>
                <w:kern w:val="2"/>
                <w:sz w:val="21"/>
                <w:szCs w:val="21"/>
                <w:lang w:eastAsia="zh-CN"/>
              </w:rPr>
              <w:t>实际用量</w:t>
            </w:r>
          </w:p>
        </w:tc>
        <w:tc>
          <w:tcPr>
            <w:tcW w:w="1907" w:type="dxa"/>
            <w:vAlign w:val="center"/>
          </w:tcPr>
          <w:p>
            <w:pPr>
              <w:spacing w:line="240" w:lineRule="auto"/>
              <w:jc w:val="center"/>
              <w:rPr>
                <w:rFonts w:ascii="Times New Roman" w:hAnsi="Times New Roman" w:eastAsiaTheme="minorEastAsia"/>
                <w:b/>
                <w:bCs/>
                <w:kern w:val="2"/>
                <w:sz w:val="21"/>
                <w:szCs w:val="21"/>
              </w:rPr>
            </w:pPr>
            <w:r>
              <w:rPr>
                <w:b/>
                <w:bCs/>
                <w:sz w:val="21"/>
                <w:szCs w:val="21"/>
              </w:rPr>
              <w:t>储存位置</w:t>
            </w:r>
          </w:p>
        </w:tc>
        <w:tc>
          <w:tcPr>
            <w:tcW w:w="1906" w:type="dxa"/>
            <w:vAlign w:val="center"/>
          </w:tcPr>
          <w:p>
            <w:pPr>
              <w:spacing w:line="240" w:lineRule="auto"/>
              <w:jc w:val="center"/>
              <w:rPr>
                <w:rFonts w:ascii="Times New Roman" w:hAnsi="Times New Roman" w:eastAsiaTheme="minorEastAsia"/>
                <w:b/>
                <w:bCs/>
                <w:kern w:val="2"/>
                <w:sz w:val="21"/>
                <w:szCs w:val="21"/>
              </w:rPr>
            </w:pPr>
            <w:r>
              <w:rPr>
                <w:b/>
                <w:bCs/>
                <w:sz w:val="21"/>
                <w:szCs w:val="21"/>
              </w:rPr>
              <w:t>备注</w:t>
            </w:r>
            <w:r>
              <w:rPr>
                <w:rFonts w:hint="eastAsia"/>
                <w:b/>
                <w:bCs/>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stheme="minorBidi"/>
                <w:kern w:val="2"/>
                <w:sz w:val="21"/>
                <w:szCs w:val="21"/>
                <w:lang w:val="en-US" w:eastAsia="zh-CN" w:bidi="ar-SA"/>
              </w:rPr>
            </w:pPr>
            <w:r>
              <w:rPr>
                <w:rFonts w:hint="eastAsia"/>
                <w:kern w:val="0"/>
                <w:sz w:val="21"/>
                <w:szCs w:val="21"/>
              </w:rPr>
              <w:t>1</w:t>
            </w:r>
          </w:p>
        </w:tc>
        <w:tc>
          <w:tcPr>
            <w:tcW w:w="1337" w:type="dxa"/>
            <w:vAlign w:val="center"/>
          </w:tcPr>
          <w:p>
            <w:pPr>
              <w:spacing w:line="240" w:lineRule="auto"/>
              <w:jc w:val="center"/>
              <w:rPr>
                <w:rFonts w:ascii="Times New Roman" w:hAnsi="Times New Roman" w:eastAsiaTheme="minorEastAsia" w:cstheme="minorBidi"/>
                <w:kern w:val="2"/>
                <w:sz w:val="21"/>
                <w:szCs w:val="21"/>
                <w:lang w:val="en-US" w:eastAsia="zh-CN" w:bidi="ar-SA"/>
              </w:rPr>
            </w:pPr>
            <w:r>
              <w:rPr>
                <w:kern w:val="0"/>
                <w:sz w:val="21"/>
                <w:szCs w:val="21"/>
              </w:rPr>
              <w:t>模压门皮</w:t>
            </w:r>
          </w:p>
        </w:tc>
        <w:tc>
          <w:tcPr>
            <w:tcW w:w="1754" w:type="dxa"/>
            <w:vAlign w:val="center"/>
          </w:tcPr>
          <w:p>
            <w:pPr>
              <w:spacing w:line="240" w:lineRule="auto"/>
              <w:jc w:val="center"/>
              <w:rPr>
                <w:rFonts w:hint="eastAsia" w:ascii="Times New Roman" w:hAnsi="Times New Roman" w:eastAsiaTheme="minorEastAsia" w:cstheme="minorBidi"/>
                <w:kern w:val="2"/>
                <w:sz w:val="21"/>
                <w:szCs w:val="21"/>
                <w:lang w:val="en-US" w:eastAsia="zh-CN" w:bidi="ar-SA"/>
              </w:rPr>
            </w:pPr>
            <w:r>
              <w:rPr>
                <w:rFonts w:hint="eastAsia"/>
                <w:sz w:val="21"/>
                <w:szCs w:val="21"/>
              </w:rPr>
              <w:t>3000张</w:t>
            </w:r>
          </w:p>
        </w:tc>
        <w:tc>
          <w:tcPr>
            <w:tcW w:w="1903" w:type="dxa"/>
            <w:vAlign w:val="center"/>
          </w:tcPr>
          <w:p>
            <w:pPr>
              <w:spacing w:line="240" w:lineRule="auto"/>
              <w:jc w:val="center"/>
              <w:rPr>
                <w:rFonts w:hint="eastAsia" w:ascii="Times New Roman" w:hAnsi="Times New Roman" w:eastAsiaTheme="minorEastAsia" w:cstheme="minorBidi"/>
                <w:kern w:val="2"/>
                <w:sz w:val="21"/>
                <w:szCs w:val="21"/>
                <w:lang w:val="en-US" w:eastAsia="zh-CN" w:bidi="ar-SA"/>
              </w:rPr>
            </w:pPr>
            <w:r>
              <w:rPr>
                <w:rFonts w:hint="eastAsia"/>
                <w:sz w:val="21"/>
                <w:szCs w:val="21"/>
              </w:rPr>
              <w:t>3000张</w:t>
            </w:r>
          </w:p>
        </w:tc>
        <w:tc>
          <w:tcPr>
            <w:tcW w:w="1907" w:type="dxa"/>
            <w:vAlign w:val="center"/>
          </w:tcPr>
          <w:p>
            <w:pPr>
              <w:spacing w:line="240" w:lineRule="auto"/>
              <w:jc w:val="center"/>
              <w:rPr>
                <w:rFonts w:ascii="Times New Roman" w:hAnsi="Times New Roman" w:eastAsiaTheme="minorEastAsia" w:cstheme="minorBidi"/>
                <w:kern w:val="2"/>
                <w:sz w:val="21"/>
                <w:szCs w:val="21"/>
                <w:lang w:val="en-US" w:eastAsia="zh-CN" w:bidi="ar-SA"/>
              </w:rPr>
            </w:pPr>
            <w:r>
              <w:rPr>
                <w:sz w:val="21"/>
                <w:szCs w:val="21"/>
              </w:rPr>
              <w:t>原料堆放区</w:t>
            </w:r>
          </w:p>
        </w:tc>
        <w:tc>
          <w:tcPr>
            <w:tcW w:w="1906" w:type="dxa"/>
            <w:vAlign w:val="center"/>
          </w:tcPr>
          <w:p>
            <w:pPr>
              <w:spacing w:line="240" w:lineRule="auto"/>
              <w:jc w:val="center"/>
              <w:rPr>
                <w:rFonts w:ascii="Times New Roman" w:hAnsi="Times New Roman" w:eastAsiaTheme="minorEastAsia" w:cstheme="minorBidi"/>
                <w:kern w:val="2"/>
                <w:sz w:val="21"/>
                <w:szCs w:val="21"/>
                <w:lang w:val="en-US" w:eastAsia="zh-CN" w:bidi="ar-SA"/>
              </w:rPr>
            </w:pPr>
            <w:r>
              <w:rPr>
                <w:bCs/>
                <w:sz w:val="21"/>
                <w:szCs w:val="21"/>
              </w:rPr>
              <w:t>生态木套装门原料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cs="Times New Roman" w:eastAsiaTheme="minorEastAsia"/>
                <w:kern w:val="2"/>
                <w:sz w:val="21"/>
                <w:szCs w:val="21"/>
                <w:lang w:val="en-US" w:eastAsia="zh-CN" w:bidi="ar-SA"/>
              </w:rPr>
            </w:pPr>
            <w:r>
              <w:rPr>
                <w:rFonts w:hint="eastAsia"/>
                <w:kern w:val="0"/>
                <w:sz w:val="21"/>
                <w:szCs w:val="21"/>
              </w:rPr>
              <w:t>2</w:t>
            </w:r>
          </w:p>
        </w:tc>
        <w:tc>
          <w:tcPr>
            <w:tcW w:w="1337" w:type="dxa"/>
            <w:vAlign w:val="center"/>
          </w:tcPr>
          <w:p>
            <w:pPr>
              <w:spacing w:line="240" w:lineRule="auto"/>
              <w:jc w:val="center"/>
              <w:rPr>
                <w:rFonts w:hint="default"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kern w:val="0"/>
                <w:sz w:val="21"/>
                <w:szCs w:val="21"/>
              </w:rPr>
              <w:t>木方</w:t>
            </w:r>
          </w:p>
        </w:tc>
        <w:tc>
          <w:tcPr>
            <w:tcW w:w="1754"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70m</w:t>
            </w:r>
            <w:r>
              <w:rPr>
                <w:rFonts w:hint="eastAsia"/>
                <w:sz w:val="21"/>
                <w:szCs w:val="21"/>
                <w:vertAlign w:val="superscript"/>
              </w:rPr>
              <w:t>3</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70m</w:t>
            </w:r>
            <w:r>
              <w:rPr>
                <w:rFonts w:hint="eastAsia"/>
                <w:sz w:val="21"/>
                <w:szCs w:val="21"/>
                <w:vertAlign w:val="superscript"/>
              </w:rPr>
              <w:t>3</w:t>
            </w:r>
          </w:p>
        </w:tc>
        <w:tc>
          <w:tcPr>
            <w:tcW w:w="1907"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sz w:val="21"/>
                <w:szCs w:val="21"/>
              </w:rPr>
              <w:t>原料堆放区</w:t>
            </w:r>
          </w:p>
        </w:tc>
        <w:tc>
          <w:tcPr>
            <w:tcW w:w="1906"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bCs/>
                <w:sz w:val="21"/>
                <w:szCs w:val="21"/>
              </w:rPr>
              <w:t>生态木套装门原料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kern w:val="2"/>
                <w:sz w:val="21"/>
                <w:szCs w:val="21"/>
                <w:lang w:val="en-US" w:eastAsia="zh-CN"/>
              </w:rPr>
            </w:pPr>
            <w:r>
              <w:rPr>
                <w:rFonts w:hint="eastAsia"/>
                <w:kern w:val="0"/>
                <w:sz w:val="21"/>
                <w:szCs w:val="21"/>
              </w:rPr>
              <w:t>3</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kern w:val="0"/>
                <w:sz w:val="21"/>
                <w:szCs w:val="21"/>
              </w:rPr>
              <w:t>纸芯</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1500套</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1500套</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原料堆放区</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生态木套装门原料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kern w:val="2"/>
                <w:sz w:val="21"/>
                <w:szCs w:val="21"/>
                <w:lang w:val="en-US" w:eastAsia="zh-CN"/>
              </w:rPr>
            </w:pPr>
            <w:r>
              <w:rPr>
                <w:rFonts w:hint="eastAsia"/>
                <w:kern w:val="0"/>
                <w:sz w:val="21"/>
                <w:szCs w:val="21"/>
              </w:rPr>
              <w:t>4</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kern w:val="0"/>
                <w:sz w:val="21"/>
                <w:szCs w:val="21"/>
              </w:rPr>
              <w:t>密度板</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1600张</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1600张</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原料堆放区</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油漆门原料</w:t>
            </w:r>
            <w:r>
              <w:rPr>
                <w:rFonts w:hint="eastAsia"/>
                <w:bCs/>
                <w:sz w:val="21"/>
                <w:szCs w:val="21"/>
              </w:rPr>
              <w:t>，</w:t>
            </w:r>
            <w:r>
              <w:rPr>
                <w:bCs/>
                <w:sz w:val="21"/>
                <w:szCs w:val="21"/>
              </w:rPr>
              <w:t>约</w:t>
            </w:r>
            <w:r>
              <w:rPr>
                <w:rFonts w:hint="eastAsia"/>
                <w:bCs/>
                <w:sz w:val="21"/>
                <w:szCs w:val="21"/>
              </w:rPr>
              <w:t>50m</w:t>
            </w:r>
            <w:r>
              <w:rPr>
                <w:rFonts w:hint="eastAsia"/>
                <w:bCs/>
                <w:sz w:val="21"/>
                <w:szCs w:val="21"/>
                <w:vertAlign w:val="superscript"/>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5</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腻子膏</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0.15t</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0.15t</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原料堆放区</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油漆门原料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6</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猪血</w:t>
            </w:r>
          </w:p>
        </w:tc>
        <w:tc>
          <w:tcPr>
            <w:tcW w:w="1754" w:type="dxa"/>
            <w:vAlign w:val="center"/>
          </w:tcPr>
          <w:p>
            <w:pPr>
              <w:spacing w:line="240" w:lineRule="auto"/>
              <w:jc w:val="center"/>
              <w:rPr>
                <w:rFonts w:hint="default"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0.05t</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0.05t</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bCs/>
                <w:sz w:val="21"/>
                <w:szCs w:val="21"/>
              </w:rPr>
              <w:t>/</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油漆门原料</w:t>
            </w:r>
            <w:r>
              <w:rPr>
                <w:rFonts w:hint="eastAsia"/>
                <w:bCs/>
                <w:sz w:val="21"/>
                <w:szCs w:val="21"/>
              </w:rPr>
              <w:t>，每天购买不存储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7</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bCs/>
                <w:sz w:val="21"/>
                <w:szCs w:val="21"/>
              </w:rPr>
              <w:t>面漆</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0.085t</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0.085t</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bCs/>
                <w:sz w:val="21"/>
                <w:szCs w:val="21"/>
              </w:rPr>
              <w:t>油漆库房</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油漆门原料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8</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底漆</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0.094t</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0.094t</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bCs/>
                <w:sz w:val="21"/>
                <w:szCs w:val="21"/>
              </w:rPr>
              <w:t>油漆库房</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油漆门原料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9</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稀释剂</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0.0705t</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0.0705t</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bCs/>
                <w:sz w:val="21"/>
                <w:szCs w:val="21"/>
              </w:rPr>
              <w:t>油漆库房</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油漆门原料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10</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固化剂</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0.0905t</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0.0905t</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bCs/>
                <w:sz w:val="21"/>
                <w:szCs w:val="21"/>
              </w:rPr>
              <w:t>油漆库房</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油漆门原料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11</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白乳胶</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0.25t</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0.25t</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原料堆放区</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12</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环保热熔胶</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0.15t</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0.15t</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原料堆放区</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13</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封边条</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2000m</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2000m</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原料堆放区</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14</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枪钉</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800套</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800套</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原料堆放区</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spacing w:line="240" w:lineRule="auto"/>
              <w:jc w:val="center"/>
              <w:textAlignment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kern w:val="0"/>
                <w:sz w:val="21"/>
                <w:szCs w:val="21"/>
              </w:rPr>
              <w:t>15</w:t>
            </w:r>
          </w:p>
        </w:tc>
        <w:tc>
          <w:tcPr>
            <w:tcW w:w="133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包装膜</w:t>
            </w:r>
          </w:p>
        </w:tc>
        <w:tc>
          <w:tcPr>
            <w:tcW w:w="1754"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rFonts w:hint="eastAsia"/>
                <w:sz w:val="21"/>
                <w:szCs w:val="21"/>
              </w:rPr>
              <w:t>2300个</w:t>
            </w:r>
          </w:p>
        </w:tc>
        <w:tc>
          <w:tcPr>
            <w:tcW w:w="1903" w:type="dxa"/>
            <w:vAlign w:val="center"/>
          </w:tcPr>
          <w:p>
            <w:pPr>
              <w:spacing w:line="240" w:lineRule="auto"/>
              <w:jc w:val="center"/>
              <w:rPr>
                <w:rFonts w:hint="eastAsia" w:ascii="Times New Roman" w:hAnsi="Times New Roman" w:eastAsiaTheme="minorEastAsia" w:cstheme="minorBidi"/>
                <w:color w:val="000000" w:themeColor="text1"/>
                <w:kern w:val="2"/>
                <w:sz w:val="21"/>
                <w:szCs w:val="21"/>
                <w:lang w:val="en-US" w:eastAsia="zh-CN" w:bidi="ar-SA"/>
                <w14:textFill>
                  <w14:solidFill>
                    <w14:schemeClr w14:val="tx1"/>
                  </w14:solidFill>
                </w14:textFill>
              </w:rPr>
            </w:pPr>
            <w:r>
              <w:rPr>
                <w:rFonts w:hint="eastAsia"/>
                <w:sz w:val="21"/>
                <w:szCs w:val="21"/>
              </w:rPr>
              <w:t>2300个</w:t>
            </w:r>
          </w:p>
        </w:tc>
        <w:tc>
          <w:tcPr>
            <w:tcW w:w="1907"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sz w:val="21"/>
                <w:szCs w:val="21"/>
              </w:rPr>
              <w:t>原料堆放区</w:t>
            </w:r>
          </w:p>
        </w:tc>
        <w:tc>
          <w:tcPr>
            <w:tcW w:w="1906" w:type="dxa"/>
            <w:vAlign w:val="center"/>
          </w:tcPr>
          <w:p>
            <w:pPr>
              <w:spacing w:line="240" w:lineRule="auto"/>
              <w:jc w:val="center"/>
              <w:rPr>
                <w:rFonts w:hint="eastAsia" w:ascii="Times New Roman" w:hAnsi="Times New Roman" w:eastAsiaTheme="minorEastAsia"/>
                <w:color w:val="000000" w:themeColor="text1"/>
                <w:kern w:val="2"/>
                <w:sz w:val="21"/>
                <w:szCs w:val="21"/>
                <w:lang w:val="en-US" w:eastAsia="zh-CN"/>
                <w14:textFill>
                  <w14:solidFill>
                    <w14:schemeClr w14:val="tx1"/>
                  </w14:solidFill>
                </w14:textFill>
              </w:rPr>
            </w:pPr>
            <w:r>
              <w:rPr>
                <w:bCs/>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27" w:type="dxa"/>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16</w:t>
            </w:r>
          </w:p>
        </w:tc>
        <w:tc>
          <w:tcPr>
            <w:tcW w:w="1337" w:type="dxa"/>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絮凝剂</w:t>
            </w:r>
          </w:p>
        </w:tc>
        <w:tc>
          <w:tcPr>
            <w:tcW w:w="1754" w:type="dxa"/>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0.2t</w:t>
            </w:r>
          </w:p>
        </w:tc>
        <w:tc>
          <w:tcPr>
            <w:tcW w:w="1903" w:type="dxa"/>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0.2t</w:t>
            </w:r>
          </w:p>
        </w:tc>
        <w:tc>
          <w:tcPr>
            <w:tcW w:w="1907"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原料堆放区</w:t>
            </w:r>
          </w:p>
        </w:tc>
        <w:tc>
          <w:tcPr>
            <w:tcW w:w="1906" w:type="dxa"/>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水帘柜水处理剂</w:t>
            </w:r>
            <w:r>
              <w:rPr>
                <w:rFonts w:hint="eastAsia" w:ascii="Times New Roman" w:hAnsi="Times New Roman" w:eastAsiaTheme="minorEastAsia"/>
                <w:kern w:val="2"/>
                <w:lang w:val="en-US" w:eastAsia="zh-CN"/>
              </w:rPr>
              <w:t>为</w:t>
            </w:r>
            <w:r>
              <w:rPr>
                <w:rFonts w:hint="default" w:ascii="Times New Roman" w:hAnsi="Times New Roman" w:eastAsiaTheme="minorEastAsia"/>
                <w:kern w:val="2"/>
                <w:lang w:val="en-US" w:eastAsia="zh-CN"/>
              </w:rPr>
              <w:t>聚氯化铝</w:t>
            </w:r>
          </w:p>
        </w:tc>
      </w:tr>
    </w:tbl>
    <w:p>
      <w:pPr>
        <w:pStyle w:val="4"/>
      </w:pPr>
      <w:bookmarkStart w:id="36" w:name="_Toc2781"/>
      <w:r>
        <w:t>3.4 主要生产设备</w:t>
      </w:r>
      <w:bookmarkEnd w:id="36"/>
    </w:p>
    <w:p>
      <w:pPr>
        <w:ind w:firstLine="480" w:firstLineChars="200"/>
      </w:pPr>
      <w:bookmarkStart w:id="37" w:name="_Toc497833575"/>
      <w:r>
        <w:t>主要设备配置情况见表3</w:t>
      </w:r>
      <w:r>
        <w:rPr>
          <w:rFonts w:hint="eastAsia"/>
        </w:rPr>
        <w:t>-</w:t>
      </w:r>
      <w:r>
        <w:rPr>
          <w:rFonts w:hint="eastAsia"/>
          <w:lang w:val="en-US" w:eastAsia="zh-CN"/>
        </w:rPr>
        <w:t>6</w:t>
      </w:r>
      <w:r>
        <w:t>。</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6</w:t>
      </w:r>
      <w:r>
        <w:rPr>
          <w:rFonts w:cs="Times New Roman" w:eastAsiaTheme="minorEastAsia"/>
          <w:b/>
          <w:bCs/>
          <w:color w:val="000000" w:themeColor="text1"/>
          <w:sz w:val="21"/>
          <w:szCs w:val="21"/>
          <w14:textFill>
            <w14:solidFill>
              <w14:schemeClr w14:val="tx1"/>
            </w14:solidFill>
          </w14:textFill>
        </w:rPr>
        <w:t xml:space="preserve">  项目主要设备表</w:t>
      </w:r>
    </w:p>
    <w:tbl>
      <w:tblPr>
        <w:tblStyle w:val="22"/>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19"/>
        <w:gridCol w:w="2266"/>
        <w:gridCol w:w="2463"/>
        <w:gridCol w:w="1083"/>
        <w:gridCol w:w="1083"/>
        <w:gridCol w:w="18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blHeader/>
          <w:jc w:val="center"/>
        </w:trPr>
        <w:tc>
          <w:tcPr>
            <w:tcW w:w="281" w:type="pct"/>
            <w:vAlign w:val="center"/>
          </w:tcPr>
          <w:p>
            <w:pPr>
              <w:pStyle w:val="36"/>
              <w:rPr>
                <w:rFonts w:ascii="Times New Roman" w:hAnsi="Times New Roman" w:eastAsiaTheme="minorEastAsia"/>
                <w:kern w:val="2"/>
              </w:rPr>
            </w:pPr>
            <w:r>
              <w:rPr>
                <w:rFonts w:ascii="Times New Roman" w:hAnsi="Times New Roman" w:eastAsiaTheme="minorEastAsia"/>
                <w:kern w:val="2"/>
              </w:rPr>
              <w:t>序号</w:t>
            </w:r>
          </w:p>
        </w:tc>
        <w:tc>
          <w:tcPr>
            <w:tcW w:w="1226" w:type="pct"/>
            <w:vAlign w:val="center"/>
          </w:tcPr>
          <w:p>
            <w:pPr>
              <w:pStyle w:val="36"/>
              <w:rPr>
                <w:rFonts w:ascii="Times New Roman" w:hAnsi="Times New Roman" w:eastAsiaTheme="minorEastAsia"/>
                <w:kern w:val="2"/>
              </w:rPr>
            </w:pPr>
            <w:r>
              <w:rPr>
                <w:rFonts w:hint="default" w:ascii="Times New Roman" w:hAnsi="Times New Roman" w:eastAsiaTheme="minorEastAsia"/>
                <w:kern w:val="2"/>
              </w:rPr>
              <w:t>设备名称</w:t>
            </w:r>
          </w:p>
        </w:tc>
        <w:tc>
          <w:tcPr>
            <w:tcW w:w="1333" w:type="pct"/>
            <w:vAlign w:val="center"/>
          </w:tcPr>
          <w:p>
            <w:pPr>
              <w:pStyle w:val="36"/>
              <w:rPr>
                <w:rFonts w:ascii="Times New Roman" w:hAnsi="Times New Roman" w:eastAsiaTheme="minorEastAsia"/>
                <w:kern w:val="2"/>
              </w:rPr>
            </w:pPr>
            <w:r>
              <w:rPr>
                <w:rFonts w:hint="default" w:ascii="Times New Roman" w:hAnsi="Times New Roman" w:eastAsiaTheme="minorEastAsia"/>
                <w:kern w:val="2"/>
              </w:rPr>
              <w:t>数量</w:t>
            </w:r>
          </w:p>
        </w:tc>
        <w:tc>
          <w:tcPr>
            <w:tcW w:w="586" w:type="pct"/>
            <w:vAlign w:val="center"/>
          </w:tcPr>
          <w:p>
            <w:pPr>
              <w:pStyle w:val="36"/>
              <w:rPr>
                <w:rFonts w:ascii="Times New Roman" w:hAnsi="Times New Roman" w:eastAsiaTheme="minorEastAsia"/>
                <w:kern w:val="2"/>
              </w:rPr>
            </w:pPr>
            <w:r>
              <w:rPr>
                <w:rFonts w:ascii="Times New Roman" w:hAnsi="Times New Roman" w:eastAsiaTheme="minorEastAsia"/>
                <w:kern w:val="2"/>
              </w:rPr>
              <w:t>环评数量</w:t>
            </w:r>
          </w:p>
        </w:tc>
        <w:tc>
          <w:tcPr>
            <w:tcW w:w="586" w:type="pct"/>
            <w:vAlign w:val="center"/>
          </w:tcPr>
          <w:p>
            <w:pPr>
              <w:pStyle w:val="36"/>
              <w:rPr>
                <w:rFonts w:ascii="Times New Roman" w:hAnsi="Times New Roman" w:eastAsiaTheme="minorEastAsia"/>
                <w:kern w:val="2"/>
              </w:rPr>
            </w:pPr>
            <w:r>
              <w:rPr>
                <w:rFonts w:ascii="Times New Roman" w:hAnsi="Times New Roman" w:eastAsiaTheme="minorEastAsia"/>
                <w:kern w:val="2"/>
              </w:rPr>
              <w:t>实际建成</w:t>
            </w:r>
          </w:p>
        </w:tc>
        <w:tc>
          <w:tcPr>
            <w:tcW w:w="985" w:type="pct"/>
            <w:vAlign w:val="center"/>
          </w:tcPr>
          <w:p>
            <w:pPr>
              <w:pStyle w:val="36"/>
              <w:rPr>
                <w:rFonts w:ascii="Times New Roman" w:hAnsi="Times New Roman" w:eastAsiaTheme="minorEastAsia"/>
                <w:kern w:val="2"/>
              </w:rPr>
            </w:pPr>
            <w:r>
              <w:rPr>
                <w:rFonts w:ascii="Times New Roman" w:hAnsi="Times New Roman" w:eastAsiaTheme="minorEastAsia"/>
                <w:kern w:val="2"/>
              </w:rPr>
              <w:t>备</w:t>
            </w:r>
            <w:r>
              <w:rPr>
                <w:rFonts w:hint="eastAsia" w:ascii="Times New Roman" w:hAnsi="Times New Roman" w:eastAsiaTheme="minorEastAsia"/>
                <w:kern w:val="2"/>
                <w:lang w:val="en-US" w:eastAsia="zh-CN"/>
              </w:rPr>
              <w:t xml:space="preserve"> </w:t>
            </w:r>
            <w:r>
              <w:rPr>
                <w:rFonts w:ascii="Times New Roman" w:hAnsi="Times New Roman" w:eastAsiaTheme="minorEastAsia"/>
                <w:kern w:val="2"/>
              </w:rPr>
              <w:t>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w:t>
            </w:r>
          </w:p>
        </w:tc>
        <w:tc>
          <w:tcPr>
            <w:tcW w:w="1226" w:type="pct"/>
            <w:tcBorders>
              <w:bottom w:val="single" w:color="auto" w:sz="4" w:space="0"/>
            </w:tcBorders>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推台锯</w:t>
            </w:r>
          </w:p>
        </w:tc>
        <w:tc>
          <w:tcPr>
            <w:tcW w:w="1333"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MJ6130B</w:t>
            </w:r>
          </w:p>
        </w:tc>
        <w:tc>
          <w:tcPr>
            <w:tcW w:w="586"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r>
              <w:rPr>
                <w:rFonts w:hint="default" w:ascii="Times New Roman" w:hAnsi="Times New Roman" w:eastAsiaTheme="minorEastAsia"/>
                <w:kern w:val="2"/>
                <w:lang w:val="en-US" w:eastAsia="zh-CN"/>
              </w:rPr>
              <w:t>台</w:t>
            </w:r>
          </w:p>
        </w:tc>
        <w:tc>
          <w:tcPr>
            <w:tcW w:w="586"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r>
              <w:rPr>
                <w:rFonts w:hint="default" w:ascii="Times New Roman" w:hAnsi="Times New Roman" w:eastAsiaTheme="minorEastAsia"/>
                <w:kern w:val="2"/>
                <w:lang w:val="en-US" w:eastAsia="zh-CN"/>
              </w:rPr>
              <w:t>台</w:t>
            </w:r>
          </w:p>
        </w:tc>
        <w:tc>
          <w:tcPr>
            <w:tcW w:w="985"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w:t>
            </w:r>
          </w:p>
        </w:tc>
        <w:tc>
          <w:tcPr>
            <w:tcW w:w="1226" w:type="pct"/>
            <w:tcBorders>
              <w:top w:val="single" w:color="auto" w:sz="4" w:space="0"/>
              <w:bottom w:val="single" w:color="auto" w:sz="4" w:space="0"/>
            </w:tcBorders>
            <w:vAlign w:val="top"/>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雕刻机</w:t>
            </w:r>
          </w:p>
        </w:tc>
        <w:tc>
          <w:tcPr>
            <w:tcW w:w="1333"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MTC-1325D-T4</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985"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eastAsia" w:ascii="Times New Roman" w:hAnsi="Times New Roman" w:eastAsiaTheme="minorEastAsia"/>
                <w:kern w:val="2"/>
                <w:lang w:val="en-US" w:eastAsia="zh-CN"/>
              </w:rPr>
            </w:pPr>
            <w:bookmarkStart w:id="38" w:name="_Toc497833576"/>
            <w:r>
              <w:rPr>
                <w:rFonts w:hint="eastAsia" w:ascii="Times New Roman" w:hAnsi="Times New Roman" w:eastAsiaTheme="minorEastAsia"/>
                <w:kern w:val="2"/>
                <w:lang w:val="en-US" w:eastAsia="zh-CN"/>
              </w:rPr>
              <w:t>3</w:t>
            </w:r>
          </w:p>
        </w:tc>
        <w:tc>
          <w:tcPr>
            <w:tcW w:w="1226"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立铣机</w:t>
            </w:r>
          </w:p>
        </w:tc>
        <w:tc>
          <w:tcPr>
            <w:tcW w:w="1333"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MX5117B</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985"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4</w:t>
            </w:r>
          </w:p>
        </w:tc>
        <w:tc>
          <w:tcPr>
            <w:tcW w:w="1226"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封边机</w:t>
            </w:r>
          </w:p>
        </w:tc>
        <w:tc>
          <w:tcPr>
            <w:tcW w:w="1333"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WDX328</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985"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5</w:t>
            </w:r>
          </w:p>
        </w:tc>
        <w:tc>
          <w:tcPr>
            <w:tcW w:w="1226"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重砂机</w:t>
            </w:r>
          </w:p>
        </w:tc>
        <w:tc>
          <w:tcPr>
            <w:tcW w:w="133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BSG2210</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985"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6</w:t>
            </w:r>
          </w:p>
        </w:tc>
        <w:tc>
          <w:tcPr>
            <w:tcW w:w="1226"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冷压机</w:t>
            </w:r>
          </w:p>
        </w:tc>
        <w:tc>
          <w:tcPr>
            <w:tcW w:w="133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YW3248X60T</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985"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7</w:t>
            </w:r>
          </w:p>
        </w:tc>
        <w:tc>
          <w:tcPr>
            <w:tcW w:w="1226"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风机</w:t>
            </w:r>
          </w:p>
        </w:tc>
        <w:tc>
          <w:tcPr>
            <w:tcW w:w="1333"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985"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8</w:t>
            </w:r>
          </w:p>
        </w:tc>
        <w:tc>
          <w:tcPr>
            <w:tcW w:w="1226"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空压机</w:t>
            </w:r>
          </w:p>
        </w:tc>
        <w:tc>
          <w:tcPr>
            <w:tcW w:w="133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TB-15A</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985"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9</w:t>
            </w:r>
          </w:p>
        </w:tc>
        <w:tc>
          <w:tcPr>
            <w:tcW w:w="1226"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涂胶机</w:t>
            </w:r>
          </w:p>
        </w:tc>
        <w:tc>
          <w:tcPr>
            <w:tcW w:w="133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TR-1350</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1台</w:t>
            </w:r>
          </w:p>
        </w:tc>
        <w:tc>
          <w:tcPr>
            <w:tcW w:w="985"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10</w:t>
            </w:r>
          </w:p>
        </w:tc>
        <w:tc>
          <w:tcPr>
            <w:tcW w:w="1226" w:type="pct"/>
            <w:tcBorders>
              <w:top w:val="single" w:color="auto" w:sz="4" w:space="0"/>
              <w:bottom w:val="single" w:color="auto" w:sz="4" w:space="0"/>
            </w:tcBorders>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双桶布袋吸尘器</w:t>
            </w:r>
          </w:p>
        </w:tc>
        <w:tc>
          <w:tcPr>
            <w:tcW w:w="1333"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MF9075</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2台</w:t>
            </w:r>
          </w:p>
        </w:tc>
        <w:tc>
          <w:tcPr>
            <w:tcW w:w="985"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11</w:t>
            </w:r>
          </w:p>
        </w:tc>
        <w:tc>
          <w:tcPr>
            <w:tcW w:w="1226" w:type="pct"/>
            <w:tcBorders>
              <w:top w:val="single" w:color="auto" w:sz="4" w:space="0"/>
              <w:bottom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底漆喷漆房</w:t>
            </w:r>
          </w:p>
        </w:tc>
        <w:tc>
          <w:tcPr>
            <w:tcW w:w="1333" w:type="pct"/>
            <w:vAlign w:val="center"/>
          </w:tcPr>
          <w:p>
            <w:pPr>
              <w:pStyle w:val="36"/>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MF9030</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w:t>
            </w:r>
            <w:r>
              <w:rPr>
                <w:rFonts w:hint="eastAsia" w:ascii="Times New Roman" w:hAnsi="Times New Roman" w:eastAsiaTheme="minorEastAsia"/>
                <w:kern w:val="2"/>
                <w:lang w:val="en-US" w:eastAsia="zh-CN"/>
              </w:rPr>
              <w:t>套</w:t>
            </w:r>
          </w:p>
        </w:tc>
        <w:tc>
          <w:tcPr>
            <w:tcW w:w="586"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w:t>
            </w:r>
            <w:r>
              <w:rPr>
                <w:rFonts w:hint="eastAsia" w:ascii="Times New Roman" w:hAnsi="Times New Roman" w:eastAsiaTheme="minorEastAsia"/>
                <w:kern w:val="2"/>
                <w:lang w:val="en-US" w:eastAsia="zh-CN"/>
              </w:rPr>
              <w:t>套</w:t>
            </w:r>
          </w:p>
        </w:tc>
        <w:tc>
          <w:tcPr>
            <w:tcW w:w="985"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81" w:type="pct"/>
            <w:vAlign w:val="center"/>
          </w:tcPr>
          <w:p>
            <w:pPr>
              <w:pStyle w:val="36"/>
              <w:rPr>
                <w:rFonts w:hint="eastAsia" w:ascii="Times New Roman" w:hAnsi="Times New Roman" w:eastAsiaTheme="minorEastAsia"/>
                <w:kern w:val="2"/>
                <w:lang w:val="en-US" w:eastAsia="zh-CN"/>
              </w:rPr>
            </w:pPr>
            <w:r>
              <w:rPr>
                <w:rFonts w:hint="default" w:ascii="Times New Roman" w:hAnsi="Times New Roman" w:eastAsiaTheme="minorEastAsia"/>
                <w:kern w:val="2"/>
                <w:lang w:val="en-US" w:eastAsia="zh-CN"/>
              </w:rPr>
              <w:t>12</w:t>
            </w:r>
          </w:p>
        </w:tc>
        <w:tc>
          <w:tcPr>
            <w:tcW w:w="1226" w:type="pct"/>
            <w:tcBorders>
              <w:top w:val="single" w:color="auto" w:sz="4" w:space="0"/>
              <w:bottom w:val="single" w:color="auto" w:sz="4" w:space="0"/>
            </w:tcBorders>
            <w:vAlign w:val="center"/>
          </w:tcPr>
          <w:p>
            <w:pPr>
              <w:pStyle w:val="36"/>
              <w:rPr>
                <w:rFonts w:hint="default" w:ascii="Times New Roman" w:hAnsi="Times New Roman" w:eastAsiaTheme="minorEastAsia"/>
                <w:kern w:val="2"/>
                <w:lang w:val="en-US" w:eastAsia="zh-CN"/>
              </w:rPr>
            </w:pPr>
            <w:r>
              <w:rPr>
                <w:rFonts w:hint="default" w:ascii="Times New Roman" w:hAnsi="Times New Roman" w:eastAsiaTheme="minorEastAsia"/>
                <w:kern w:val="2"/>
                <w:lang w:val="en-US" w:eastAsia="zh-CN"/>
              </w:rPr>
              <w:t>面漆喷漆房</w:t>
            </w:r>
          </w:p>
        </w:tc>
        <w:tc>
          <w:tcPr>
            <w:tcW w:w="1333" w:type="pct"/>
            <w:vAlign w:val="center"/>
          </w:tcPr>
          <w:p>
            <w:pPr>
              <w:pStyle w:val="36"/>
              <w:rPr>
                <w:rFonts w:hint="default" w:ascii="Times New Roman" w:hAnsi="Times New Roman" w:eastAsiaTheme="minorEastAsia"/>
                <w:kern w:val="2"/>
                <w:lang w:val="en-US" w:eastAsia="zh-CN"/>
              </w:rPr>
            </w:pPr>
            <w:r>
              <w:rPr>
                <w:rFonts w:hint="eastAsia" w:ascii="Times New Roman" w:hAnsi="Times New Roman" w:eastAsiaTheme="minorEastAsia"/>
                <w:kern w:val="2"/>
                <w:lang w:val="en-US" w:eastAsia="zh-CN"/>
              </w:rPr>
              <w:t>100mL/min</w:t>
            </w:r>
          </w:p>
        </w:tc>
        <w:tc>
          <w:tcPr>
            <w:tcW w:w="586"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1套</w:t>
            </w:r>
          </w:p>
        </w:tc>
        <w:tc>
          <w:tcPr>
            <w:tcW w:w="586" w:type="pct"/>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1套</w:t>
            </w:r>
          </w:p>
        </w:tc>
        <w:tc>
          <w:tcPr>
            <w:tcW w:w="985" w:type="pct"/>
            <w:vAlign w:val="center"/>
          </w:tcPr>
          <w:p>
            <w:pPr>
              <w:pStyle w:val="36"/>
              <w:rPr>
                <w:rFonts w:hint="eastAsia" w:ascii="Times New Roman" w:hAnsi="Times New Roman" w:cs="Times New Roman" w:eastAsiaTheme="minorEastAsia"/>
                <w:kern w:val="2"/>
                <w:sz w:val="21"/>
                <w:szCs w:val="21"/>
                <w:lang w:val="en-US" w:eastAsia="zh-CN" w:bidi="ar-SA"/>
              </w:rPr>
            </w:pPr>
            <w:r>
              <w:rPr>
                <w:rFonts w:hint="eastAsia" w:ascii="Times New Roman" w:hAnsi="Times New Roman" w:eastAsiaTheme="minorEastAsia"/>
                <w:kern w:val="2"/>
                <w:lang w:val="en-US" w:eastAsia="zh-CN"/>
              </w:rPr>
              <w:t>与环评一致</w:t>
            </w:r>
          </w:p>
        </w:tc>
      </w:tr>
      <w:bookmarkEnd w:id="37"/>
    </w:tbl>
    <w:p>
      <w:pPr>
        <w:pStyle w:val="4"/>
      </w:pPr>
      <w:bookmarkStart w:id="39" w:name="_Toc24849"/>
      <w:r>
        <w:rPr>
          <w:rFonts w:hint="eastAsia"/>
        </w:rPr>
        <w:t>3.5水源及水平衡</w:t>
      </w:r>
      <w:bookmarkEnd w:id="39"/>
    </w:p>
    <w:p>
      <w:pPr>
        <w:ind w:firstLine="480" w:firstLineChars="200"/>
      </w:pPr>
      <w:r>
        <w:rPr>
          <w:rFonts w:hint="eastAsia"/>
        </w:rPr>
        <w:t>本项目</w:t>
      </w:r>
      <w:r>
        <w:rPr>
          <w:rFonts w:hint="eastAsia"/>
          <w:lang w:val="en-US" w:eastAsia="zh-CN"/>
        </w:rPr>
        <w:t>全厂定员20人，年工作220天，无食宿。项目总给排水情况见表3-7。项目水平衡图见图</w:t>
      </w:r>
      <w:r>
        <w:rPr>
          <w:rFonts w:hint="eastAsia"/>
        </w:rPr>
        <w:t>3.1</w:t>
      </w:r>
      <w:r>
        <w:t>。</w:t>
      </w:r>
    </w:p>
    <w:p>
      <w:pPr>
        <w:spacing w:line="240" w:lineRule="auto"/>
        <w:jc w:val="center"/>
        <w:rPr>
          <w:rFonts w:cs="Times New Roman" w:eastAsiaTheme="minorEastAsia"/>
          <w:b/>
          <w:bCs/>
          <w:color w:val="000000" w:themeColor="text1"/>
          <w:sz w:val="21"/>
          <w:szCs w:val="21"/>
          <w14:textFill>
            <w14:solidFill>
              <w14:schemeClr w14:val="tx1"/>
            </w14:solidFill>
          </w14:textFill>
        </w:rPr>
      </w:pPr>
      <w:r>
        <w:rPr>
          <w:rFonts w:cs="Times New Roman" w:eastAsiaTheme="minorEastAsia"/>
          <w:b/>
          <w:bCs/>
          <w:color w:val="000000" w:themeColor="text1"/>
          <w:sz w:val="21"/>
          <w:szCs w:val="21"/>
          <w14:textFill>
            <w14:solidFill>
              <w14:schemeClr w14:val="tx1"/>
            </w14:solidFill>
          </w14:textFill>
        </w:rPr>
        <w:t>表3</w:t>
      </w:r>
      <w:r>
        <w:rPr>
          <w:rFonts w:hint="eastAsia" w:cs="Times New Roman" w:eastAsiaTheme="minorEastAsia"/>
          <w:b/>
          <w:bCs/>
          <w:color w:val="000000" w:themeColor="text1"/>
          <w:sz w:val="21"/>
          <w:szCs w:val="21"/>
          <w14:textFill>
            <w14:solidFill>
              <w14:schemeClr w14:val="tx1"/>
            </w14:solidFill>
          </w14:textFill>
        </w:rPr>
        <w:t>-</w:t>
      </w:r>
      <w:r>
        <w:rPr>
          <w:rFonts w:hint="eastAsia" w:cs="Times New Roman" w:eastAsiaTheme="minorEastAsia"/>
          <w:b/>
          <w:bCs/>
          <w:color w:val="000000" w:themeColor="text1"/>
          <w:sz w:val="21"/>
          <w:szCs w:val="21"/>
          <w:lang w:val="en-US" w:eastAsia="zh-CN"/>
          <w14:textFill>
            <w14:solidFill>
              <w14:schemeClr w14:val="tx1"/>
            </w14:solidFill>
          </w14:textFill>
        </w:rPr>
        <w:t xml:space="preserve">7  </w:t>
      </w:r>
      <w:r>
        <w:rPr>
          <w:rFonts w:cs="Times New Roman" w:eastAsiaTheme="minorEastAsia"/>
          <w:b/>
          <w:bCs/>
          <w:color w:val="000000" w:themeColor="text1"/>
          <w:sz w:val="21"/>
          <w:szCs w:val="21"/>
          <w14:textFill>
            <w14:solidFill>
              <w14:schemeClr w14:val="tx1"/>
            </w14:solidFill>
          </w14:textFill>
        </w:rPr>
        <w:t>项目给排水情况表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1"/>
        <w:gridCol w:w="1227"/>
        <w:gridCol w:w="1383"/>
        <w:gridCol w:w="1538"/>
        <w:gridCol w:w="1229"/>
        <w:gridCol w:w="1100"/>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blHeader/>
        </w:trPr>
        <w:tc>
          <w:tcPr>
            <w:tcW w:w="915" w:type="pct"/>
            <w:noWrap w:val="0"/>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类别</w:t>
            </w:r>
          </w:p>
        </w:tc>
        <w:tc>
          <w:tcPr>
            <w:tcW w:w="664" w:type="pct"/>
            <w:noWrap w:val="0"/>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用水标</w:t>
            </w:r>
            <w:r>
              <w:rPr>
                <w:rFonts w:hint="eastAsia" w:ascii="Times New Roman" w:hAnsi="Times New Roman" w:eastAsiaTheme="minorEastAsia"/>
                <w:b/>
                <w:bCs/>
                <w:kern w:val="2"/>
                <w:lang w:val="en-US" w:eastAsia="zh-CN"/>
              </w:rPr>
              <w:cr/>
            </w:r>
          </w:p>
        </w:tc>
        <w:tc>
          <w:tcPr>
            <w:tcW w:w="747" w:type="pct"/>
            <w:noWrap w:val="0"/>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规模</w:t>
            </w:r>
          </w:p>
        </w:tc>
        <w:tc>
          <w:tcPr>
            <w:tcW w:w="832" w:type="pct"/>
            <w:noWrap w:val="0"/>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日用水量m³/d</w:t>
            </w:r>
          </w:p>
        </w:tc>
        <w:tc>
          <w:tcPr>
            <w:tcW w:w="665" w:type="pct"/>
            <w:noWrap w:val="0"/>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年用水量t/a</w:t>
            </w:r>
          </w:p>
        </w:tc>
        <w:tc>
          <w:tcPr>
            <w:tcW w:w="595" w:type="pct"/>
            <w:noWrap w:val="0"/>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日排水</w:t>
            </w:r>
            <w:r>
              <w:rPr>
                <w:rFonts w:hint="eastAsia" w:ascii="Times New Roman" w:hAnsi="Times New Roman" w:eastAsiaTheme="minorEastAsia"/>
                <w:b/>
                <w:bCs/>
                <w:kern w:val="2"/>
                <w:lang w:val="en-US" w:eastAsia="zh-CN"/>
              </w:rPr>
              <w:cr/>
            </w:r>
            <w:r>
              <w:rPr>
                <w:rFonts w:hint="eastAsia" w:ascii="Times New Roman" w:hAnsi="Times New Roman" w:eastAsiaTheme="minorEastAsia"/>
                <w:b/>
                <w:bCs/>
                <w:kern w:val="2"/>
                <w:lang w:val="en-US" w:eastAsia="zh-CN"/>
              </w:rPr>
              <w:t>m³/d</w:t>
            </w:r>
          </w:p>
        </w:tc>
        <w:tc>
          <w:tcPr>
            <w:tcW w:w="578" w:type="pct"/>
            <w:noWrap w:val="0"/>
            <w:vAlign w:val="center"/>
          </w:tcPr>
          <w:p>
            <w:pPr>
              <w:pStyle w:val="36"/>
              <w:rPr>
                <w:rFonts w:hint="eastAsia" w:ascii="Times New Roman" w:hAnsi="Times New Roman" w:eastAsiaTheme="minorEastAsia"/>
                <w:b/>
                <w:bCs/>
                <w:kern w:val="2"/>
                <w:lang w:val="en-US" w:eastAsia="zh-CN"/>
              </w:rPr>
            </w:pPr>
            <w:r>
              <w:rPr>
                <w:rFonts w:hint="eastAsia" w:ascii="Times New Roman" w:hAnsi="Times New Roman" w:eastAsiaTheme="minorEastAsia"/>
                <w:b/>
                <w:bCs/>
                <w:kern w:val="2"/>
                <w:lang w:val="en-US" w:eastAsia="zh-CN"/>
              </w:rPr>
              <w:t>年排水量t/a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91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员工生活用水</w:t>
            </w:r>
          </w:p>
        </w:tc>
        <w:tc>
          <w:tcPr>
            <w:tcW w:w="664"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50 L/d</w:t>
            </w:r>
          </w:p>
        </w:tc>
        <w:tc>
          <w:tcPr>
            <w:tcW w:w="747"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20人</w:t>
            </w:r>
          </w:p>
        </w:tc>
        <w:tc>
          <w:tcPr>
            <w:tcW w:w="832"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1.00</w:t>
            </w:r>
          </w:p>
        </w:tc>
        <w:tc>
          <w:tcPr>
            <w:tcW w:w="66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 xml:space="preserve">220 </w:t>
            </w:r>
          </w:p>
        </w:tc>
        <w:tc>
          <w:tcPr>
            <w:tcW w:w="59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0.90</w:t>
            </w:r>
          </w:p>
        </w:tc>
        <w:tc>
          <w:tcPr>
            <w:tcW w:w="578"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91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水帘柜补充水</w:t>
            </w:r>
          </w:p>
        </w:tc>
        <w:tc>
          <w:tcPr>
            <w:tcW w:w="664"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0.1m3/天</w:t>
            </w:r>
          </w:p>
        </w:tc>
        <w:tc>
          <w:tcPr>
            <w:tcW w:w="747"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220天/年</w:t>
            </w:r>
          </w:p>
        </w:tc>
        <w:tc>
          <w:tcPr>
            <w:tcW w:w="832"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0.1</w:t>
            </w:r>
          </w:p>
        </w:tc>
        <w:tc>
          <w:tcPr>
            <w:tcW w:w="66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22.0</w:t>
            </w:r>
          </w:p>
        </w:tc>
        <w:tc>
          <w:tcPr>
            <w:tcW w:w="59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w:t>
            </w:r>
          </w:p>
        </w:tc>
        <w:tc>
          <w:tcPr>
            <w:tcW w:w="578"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91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地面清洁用水（拖把清洗）</w:t>
            </w:r>
          </w:p>
        </w:tc>
        <w:tc>
          <w:tcPr>
            <w:tcW w:w="664"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0.5L/ m2·次</w:t>
            </w:r>
          </w:p>
        </w:tc>
        <w:tc>
          <w:tcPr>
            <w:tcW w:w="747"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200m2（1次/周）</w:t>
            </w:r>
          </w:p>
        </w:tc>
        <w:tc>
          <w:tcPr>
            <w:tcW w:w="832"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 xml:space="preserve">0.10 </w:t>
            </w:r>
          </w:p>
        </w:tc>
        <w:tc>
          <w:tcPr>
            <w:tcW w:w="66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5.20</w:t>
            </w:r>
          </w:p>
        </w:tc>
        <w:tc>
          <w:tcPr>
            <w:tcW w:w="59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0.10</w:t>
            </w:r>
          </w:p>
        </w:tc>
        <w:tc>
          <w:tcPr>
            <w:tcW w:w="578"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91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未预见用水</w:t>
            </w:r>
          </w:p>
        </w:tc>
        <w:tc>
          <w:tcPr>
            <w:tcW w:w="1412" w:type="pct"/>
            <w:gridSpan w:val="2"/>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按以上用水量的10%计</w:t>
            </w:r>
          </w:p>
        </w:tc>
        <w:tc>
          <w:tcPr>
            <w:tcW w:w="832"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0.12</w:t>
            </w:r>
          </w:p>
        </w:tc>
        <w:tc>
          <w:tcPr>
            <w:tcW w:w="66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24.7</w:t>
            </w:r>
          </w:p>
        </w:tc>
        <w:tc>
          <w:tcPr>
            <w:tcW w:w="59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0.10</w:t>
            </w:r>
          </w:p>
        </w:tc>
        <w:tc>
          <w:tcPr>
            <w:tcW w:w="578"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 w:hRule="atLeast"/>
        </w:trPr>
        <w:tc>
          <w:tcPr>
            <w:tcW w:w="2327" w:type="pct"/>
            <w:gridSpan w:val="3"/>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t>总计</w:t>
            </w:r>
          </w:p>
        </w:tc>
        <w:tc>
          <w:tcPr>
            <w:tcW w:w="832"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fldChar w:fldCharType="begin"/>
            </w:r>
            <w:r>
              <w:rPr>
                <w:rFonts w:hint="eastAsia" w:ascii="Times New Roman" w:hAnsi="Times New Roman" w:eastAsiaTheme="minorEastAsia"/>
                <w:kern w:val="2"/>
                <w:lang w:val="en-US" w:eastAsia="zh-CN"/>
              </w:rPr>
              <w:instrText xml:space="preserve"> =SUM(ABOVE) </w:instrText>
            </w:r>
            <w:r>
              <w:rPr>
                <w:rFonts w:hint="eastAsia" w:ascii="Times New Roman" w:hAnsi="Times New Roman" w:eastAsiaTheme="minorEastAsia"/>
                <w:kern w:val="2"/>
                <w:lang w:val="en-US" w:eastAsia="zh-CN"/>
              </w:rPr>
              <w:fldChar w:fldCharType="separate"/>
            </w:r>
            <w:r>
              <w:rPr>
                <w:rFonts w:hint="eastAsia" w:ascii="Times New Roman" w:hAnsi="Times New Roman" w:eastAsiaTheme="minorEastAsia"/>
                <w:kern w:val="2"/>
                <w:lang w:val="en-US" w:eastAsia="zh-CN"/>
              </w:rPr>
              <w:t>1.32</w:t>
            </w:r>
            <w:r>
              <w:rPr>
                <w:rFonts w:hint="eastAsia" w:ascii="Times New Roman" w:hAnsi="Times New Roman" w:eastAsiaTheme="minorEastAsia"/>
                <w:kern w:val="2"/>
                <w:lang w:val="en-US" w:eastAsia="zh-CN"/>
              </w:rPr>
              <w:fldChar w:fldCharType="end"/>
            </w:r>
          </w:p>
        </w:tc>
        <w:tc>
          <w:tcPr>
            <w:tcW w:w="66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fldChar w:fldCharType="begin"/>
            </w:r>
            <w:r>
              <w:rPr>
                <w:rFonts w:hint="eastAsia" w:ascii="Times New Roman" w:hAnsi="Times New Roman" w:eastAsiaTheme="minorEastAsia"/>
                <w:kern w:val="2"/>
                <w:lang w:val="en-US" w:eastAsia="zh-CN"/>
              </w:rPr>
              <w:instrText xml:space="preserve"> =SUM(ABOVE) </w:instrText>
            </w:r>
            <w:r>
              <w:rPr>
                <w:rFonts w:hint="eastAsia" w:ascii="Times New Roman" w:hAnsi="Times New Roman" w:eastAsiaTheme="minorEastAsia"/>
                <w:kern w:val="2"/>
                <w:lang w:val="en-US" w:eastAsia="zh-CN"/>
              </w:rPr>
              <w:fldChar w:fldCharType="separate"/>
            </w:r>
            <w:r>
              <w:rPr>
                <w:rFonts w:hint="eastAsia" w:ascii="Times New Roman" w:hAnsi="Times New Roman" w:eastAsiaTheme="minorEastAsia"/>
                <w:kern w:val="2"/>
                <w:lang w:val="en-US" w:eastAsia="zh-CN"/>
              </w:rPr>
              <w:t>271.9</w:t>
            </w:r>
            <w:r>
              <w:rPr>
                <w:rFonts w:hint="eastAsia" w:ascii="Times New Roman" w:hAnsi="Times New Roman" w:eastAsiaTheme="minorEastAsia"/>
                <w:kern w:val="2"/>
                <w:lang w:val="en-US" w:eastAsia="zh-CN"/>
              </w:rPr>
              <w:fldChar w:fldCharType="end"/>
            </w:r>
          </w:p>
        </w:tc>
        <w:tc>
          <w:tcPr>
            <w:tcW w:w="595"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fldChar w:fldCharType="begin"/>
            </w:r>
            <w:r>
              <w:rPr>
                <w:rFonts w:hint="eastAsia" w:ascii="Times New Roman" w:hAnsi="Times New Roman" w:eastAsiaTheme="minorEastAsia"/>
                <w:kern w:val="2"/>
                <w:lang w:val="en-US" w:eastAsia="zh-CN"/>
              </w:rPr>
              <w:instrText xml:space="preserve"> =SUM(ABOVE) </w:instrText>
            </w:r>
            <w:r>
              <w:rPr>
                <w:rFonts w:hint="eastAsia" w:ascii="Times New Roman" w:hAnsi="Times New Roman" w:eastAsiaTheme="minorEastAsia"/>
                <w:kern w:val="2"/>
                <w:lang w:val="en-US" w:eastAsia="zh-CN"/>
              </w:rPr>
              <w:fldChar w:fldCharType="separate"/>
            </w:r>
            <w:r>
              <w:rPr>
                <w:rFonts w:hint="eastAsia" w:ascii="Times New Roman" w:hAnsi="Times New Roman" w:eastAsiaTheme="minorEastAsia"/>
                <w:kern w:val="2"/>
                <w:lang w:val="en-US" w:eastAsia="zh-CN"/>
              </w:rPr>
              <w:t>1.1</w:t>
            </w:r>
            <w:r>
              <w:rPr>
                <w:rFonts w:hint="eastAsia" w:ascii="Times New Roman" w:hAnsi="Times New Roman" w:eastAsiaTheme="minorEastAsia"/>
                <w:kern w:val="2"/>
                <w:lang w:val="en-US" w:eastAsia="zh-CN"/>
              </w:rPr>
              <w:fldChar w:fldCharType="end"/>
            </w:r>
            <w:r>
              <w:rPr>
                <w:rFonts w:hint="eastAsia" w:ascii="Times New Roman" w:hAnsi="Times New Roman" w:eastAsiaTheme="minorEastAsia"/>
                <w:kern w:val="2"/>
                <w:lang w:val="en-US" w:eastAsia="zh-CN"/>
              </w:rPr>
              <w:t>0</w:t>
            </w:r>
          </w:p>
        </w:tc>
        <w:tc>
          <w:tcPr>
            <w:tcW w:w="578" w:type="pct"/>
            <w:noWrap w:val="0"/>
            <w:vAlign w:val="center"/>
          </w:tcPr>
          <w:p>
            <w:pPr>
              <w:pStyle w:val="36"/>
              <w:rPr>
                <w:rFonts w:hint="eastAsia" w:ascii="Times New Roman" w:hAnsi="Times New Roman" w:eastAsiaTheme="minorEastAsia"/>
                <w:kern w:val="2"/>
                <w:lang w:val="en-US" w:eastAsia="zh-CN"/>
              </w:rPr>
            </w:pPr>
            <w:r>
              <w:rPr>
                <w:rFonts w:hint="eastAsia" w:ascii="Times New Roman" w:hAnsi="Times New Roman" w:eastAsiaTheme="minorEastAsia"/>
                <w:kern w:val="2"/>
                <w:lang w:val="en-US" w:eastAsia="zh-CN"/>
              </w:rPr>
              <w:fldChar w:fldCharType="begin"/>
            </w:r>
            <w:r>
              <w:rPr>
                <w:rFonts w:hint="eastAsia" w:ascii="Times New Roman" w:hAnsi="Times New Roman" w:eastAsiaTheme="minorEastAsia"/>
                <w:kern w:val="2"/>
                <w:lang w:val="en-US" w:eastAsia="zh-CN"/>
              </w:rPr>
              <w:instrText xml:space="preserve"> =SUM(ABOVE) </w:instrText>
            </w:r>
            <w:r>
              <w:rPr>
                <w:rFonts w:hint="eastAsia" w:ascii="Times New Roman" w:hAnsi="Times New Roman" w:eastAsiaTheme="minorEastAsia"/>
                <w:kern w:val="2"/>
                <w:lang w:val="en-US" w:eastAsia="zh-CN"/>
              </w:rPr>
              <w:fldChar w:fldCharType="separate"/>
            </w:r>
            <w:r>
              <w:rPr>
                <w:rFonts w:hint="eastAsia" w:ascii="Times New Roman" w:hAnsi="Times New Roman" w:eastAsiaTheme="minorEastAsia"/>
                <w:kern w:val="2"/>
                <w:lang w:val="en-US" w:eastAsia="zh-CN"/>
              </w:rPr>
              <w:t>223.5</w:t>
            </w:r>
            <w:r>
              <w:rPr>
                <w:rFonts w:hint="eastAsia" w:ascii="Times New Roman" w:hAnsi="Times New Roman" w:eastAsiaTheme="minorEastAsia"/>
                <w:kern w:val="2"/>
                <w:lang w:val="en-US" w:eastAsia="zh-CN"/>
              </w:rPr>
              <w:fldChar w:fldCharType="end"/>
            </w:r>
          </w:p>
        </w:tc>
      </w:tr>
    </w:tbl>
    <w:p>
      <w:pPr>
        <w:pStyle w:val="36"/>
        <w:rPr>
          <w:rFonts w:hint="eastAsia" w:ascii="Times New Roman" w:hAnsi="Times New Roman" w:eastAsiaTheme="minorEastAsia"/>
          <w:kern w:val="2"/>
          <w:lang w:val="en-US" w:eastAsia="zh-CN"/>
        </w:rPr>
      </w:pPr>
    </w:p>
    <w:p>
      <w:pPr>
        <w:pStyle w:val="11"/>
      </w:pPr>
      <w:r>
        <w:rPr>
          <w:rFonts w:ascii="Times New Roman" w:hAnsi="Times New Roman"/>
        </w:rPr>
        <mc:AlternateContent>
          <mc:Choice Requires="wpc">
            <w:drawing>
              <wp:inline distT="0" distB="0" distL="114300" distR="114300">
                <wp:extent cx="5068570" cy="2679065"/>
                <wp:effectExtent l="0" t="0" r="17780" b="0"/>
                <wp:docPr id="123" name="画布 1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9" name="直接连接符 69"/>
                        <wps:cNvCnPr/>
                        <wps:spPr>
                          <a:xfrm flipV="1">
                            <a:off x="37465" y="936625"/>
                            <a:ext cx="956310" cy="635"/>
                          </a:xfrm>
                          <a:prstGeom prst="line">
                            <a:avLst/>
                          </a:prstGeom>
                          <a:ln w="9525" cap="flat" cmpd="sng">
                            <a:solidFill>
                              <a:srgbClr val="000000"/>
                            </a:solidFill>
                            <a:prstDash val="solid"/>
                            <a:headEnd type="none" w="med" len="med"/>
                            <a:tailEnd type="triangle" w="med" len="med"/>
                          </a:ln>
                        </wps:spPr>
                        <wps:bodyPr upright="1"/>
                      </wps:wsp>
                      <wps:wsp>
                        <wps:cNvPr id="72" name="直接连接符 72"/>
                        <wps:cNvCnPr/>
                        <wps:spPr>
                          <a:xfrm flipH="1">
                            <a:off x="995045" y="558800"/>
                            <a:ext cx="635" cy="1420495"/>
                          </a:xfrm>
                          <a:prstGeom prst="line">
                            <a:avLst/>
                          </a:prstGeom>
                          <a:ln w="9525" cap="flat" cmpd="sng">
                            <a:solidFill>
                              <a:srgbClr val="000000"/>
                            </a:solidFill>
                            <a:prstDash val="solid"/>
                            <a:headEnd type="none" w="med" len="med"/>
                            <a:tailEnd type="none" w="med" len="med"/>
                          </a:ln>
                        </wps:spPr>
                        <wps:bodyPr upright="1"/>
                      </wps:wsp>
                      <wps:wsp>
                        <wps:cNvPr id="75" name="矩形 75"/>
                        <wps:cNvSpPr/>
                        <wps:spPr>
                          <a:xfrm>
                            <a:off x="194945" y="633095"/>
                            <a:ext cx="597535" cy="436880"/>
                          </a:xfrm>
                          <a:prstGeom prst="rect">
                            <a:avLst/>
                          </a:prstGeom>
                          <a:noFill/>
                          <a:ln>
                            <a:noFill/>
                          </a:ln>
                        </wps:spPr>
                        <wps:txbx>
                          <w:txbxContent>
                            <w:p>
                              <w:pPr>
                                <w:spacing w:line="240" w:lineRule="auto"/>
                                <w:rPr>
                                  <w:sz w:val="21"/>
                                  <w:szCs w:val="21"/>
                                </w:rPr>
                              </w:pPr>
                              <w:r>
                                <w:rPr>
                                  <w:rFonts w:hint="eastAsia"/>
                                  <w:sz w:val="21"/>
                                  <w:szCs w:val="21"/>
                                </w:rPr>
                                <w:t>新鲜水</w:t>
                              </w:r>
                            </w:p>
                          </w:txbxContent>
                        </wps:txbx>
                        <wps:bodyPr upright="1"/>
                      </wps:wsp>
                      <wps:wsp>
                        <wps:cNvPr id="87" name="矩形 87"/>
                        <wps:cNvSpPr/>
                        <wps:spPr>
                          <a:xfrm>
                            <a:off x="248285" y="938530"/>
                            <a:ext cx="591820" cy="250190"/>
                          </a:xfrm>
                          <a:prstGeom prst="rect">
                            <a:avLst/>
                          </a:prstGeom>
                          <a:noFill/>
                          <a:ln>
                            <a:noFill/>
                          </a:ln>
                        </wps:spPr>
                        <wps:txbx>
                          <w:txbxContent>
                            <w:p>
                              <w:pPr>
                                <w:spacing w:line="240" w:lineRule="auto"/>
                                <w:rPr>
                                  <w:rFonts w:hint="eastAsia"/>
                                  <w:sz w:val="21"/>
                                  <w:szCs w:val="21"/>
                                </w:rPr>
                              </w:pPr>
                              <w:r>
                                <w:rPr>
                                  <w:rFonts w:hint="eastAsia"/>
                                  <w:sz w:val="21"/>
                                  <w:szCs w:val="21"/>
                                </w:rPr>
                                <w:t>1.32</w:t>
                              </w:r>
                            </w:p>
                          </w:txbxContent>
                        </wps:txbx>
                        <wps:bodyPr upright="1"/>
                      </wps:wsp>
                      <wps:wsp>
                        <wps:cNvPr id="90" name="矩形 90"/>
                        <wps:cNvSpPr/>
                        <wps:spPr>
                          <a:xfrm>
                            <a:off x="2830195" y="322580"/>
                            <a:ext cx="502285" cy="279400"/>
                          </a:xfrm>
                          <a:prstGeom prst="rect">
                            <a:avLst/>
                          </a:prstGeom>
                          <a:noFill/>
                          <a:ln>
                            <a:noFill/>
                          </a:ln>
                        </wps:spPr>
                        <wps:txbx>
                          <w:txbxContent>
                            <w:p>
                              <w:pPr>
                                <w:spacing w:line="240" w:lineRule="auto"/>
                                <w:rPr>
                                  <w:rFonts w:hint="eastAsia"/>
                                  <w:sz w:val="21"/>
                                  <w:szCs w:val="21"/>
                                </w:rPr>
                              </w:pPr>
                              <w:r>
                                <w:rPr>
                                  <w:rFonts w:hint="eastAsia"/>
                                  <w:sz w:val="21"/>
                                  <w:szCs w:val="21"/>
                                </w:rPr>
                                <w:t>0.90</w:t>
                              </w:r>
                            </w:p>
                          </w:txbxContent>
                        </wps:txbx>
                        <wps:bodyPr upright="1"/>
                      </wps:wsp>
                      <wps:wsp>
                        <wps:cNvPr id="91" name="直接连接符 91"/>
                        <wps:cNvCnPr/>
                        <wps:spPr>
                          <a:xfrm>
                            <a:off x="3294380" y="880745"/>
                            <a:ext cx="402590" cy="635"/>
                          </a:xfrm>
                          <a:prstGeom prst="line">
                            <a:avLst/>
                          </a:prstGeom>
                          <a:ln w="9525" cap="flat" cmpd="sng">
                            <a:solidFill>
                              <a:srgbClr val="000000"/>
                            </a:solidFill>
                            <a:prstDash val="solid"/>
                            <a:headEnd type="none" w="med" len="med"/>
                            <a:tailEnd type="triangle" w="med" len="med"/>
                          </a:ln>
                        </wps:spPr>
                        <wps:bodyPr upright="1"/>
                      </wps:wsp>
                      <wps:wsp>
                        <wps:cNvPr id="92" name="矩形 92"/>
                        <wps:cNvSpPr/>
                        <wps:spPr>
                          <a:xfrm>
                            <a:off x="1104265" y="300355"/>
                            <a:ext cx="526415" cy="258445"/>
                          </a:xfrm>
                          <a:prstGeom prst="rect">
                            <a:avLst/>
                          </a:prstGeom>
                          <a:noFill/>
                          <a:ln>
                            <a:noFill/>
                          </a:ln>
                        </wps:spPr>
                        <wps:txbx>
                          <w:txbxContent>
                            <w:p>
                              <w:pPr>
                                <w:spacing w:line="240" w:lineRule="auto"/>
                                <w:rPr>
                                  <w:rFonts w:hint="eastAsia"/>
                                  <w:sz w:val="21"/>
                                  <w:szCs w:val="21"/>
                                </w:rPr>
                              </w:pPr>
                              <w:r>
                                <w:rPr>
                                  <w:rFonts w:hint="eastAsia"/>
                                  <w:sz w:val="21"/>
                                  <w:szCs w:val="21"/>
                                </w:rPr>
                                <w:t>1.00</w:t>
                              </w:r>
                            </w:p>
                          </w:txbxContent>
                        </wps:txbx>
                        <wps:bodyPr upright="1"/>
                      </wps:wsp>
                      <wps:wsp>
                        <wps:cNvPr id="93" name="任意多边形 93"/>
                        <wps:cNvSpPr/>
                        <wps:spPr>
                          <a:xfrm>
                            <a:off x="2107565" y="137160"/>
                            <a:ext cx="377190" cy="283845"/>
                          </a:xfrm>
                          <a:custGeom>
                            <a:avLst/>
                            <a:gdLst/>
                            <a:ahLst/>
                            <a:cxnLst/>
                            <a:pathLst>
                              <a:path w="630" h="448">
                                <a:moveTo>
                                  <a:pt x="0" y="448"/>
                                </a:moveTo>
                                <a:cubicBezTo>
                                  <a:pt x="201" y="360"/>
                                  <a:pt x="402" y="272"/>
                                  <a:pt x="420" y="244"/>
                                </a:cubicBezTo>
                                <a:cubicBezTo>
                                  <a:pt x="438" y="216"/>
                                  <a:pt x="88" y="312"/>
                                  <a:pt x="105" y="278"/>
                                </a:cubicBezTo>
                                <a:cubicBezTo>
                                  <a:pt x="122" y="244"/>
                                  <a:pt x="438" y="80"/>
                                  <a:pt x="525" y="40"/>
                                </a:cubicBezTo>
                                <a:cubicBezTo>
                                  <a:pt x="612" y="0"/>
                                  <a:pt x="612" y="12"/>
                                  <a:pt x="630" y="40"/>
                                </a:cubicBezTo>
                              </a:path>
                            </a:pathLst>
                          </a:custGeom>
                          <a:noFill/>
                          <a:ln w="9525" cap="flat" cmpd="sng">
                            <a:solidFill>
                              <a:srgbClr val="000000"/>
                            </a:solidFill>
                            <a:prstDash val="dash"/>
                            <a:headEnd type="none" w="med" len="med"/>
                            <a:tailEnd type="none" w="med" len="med"/>
                          </a:ln>
                        </wps:spPr>
                        <wps:bodyPr upright="1"/>
                      </wps:wsp>
                      <wps:wsp>
                        <wps:cNvPr id="94" name="矩形 94"/>
                        <wps:cNvSpPr/>
                        <wps:spPr>
                          <a:xfrm>
                            <a:off x="1743075" y="421005"/>
                            <a:ext cx="1090930" cy="270510"/>
                          </a:xfrm>
                          <a:prstGeom prst="rect">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eastAsia"/>
                                  <w:sz w:val="21"/>
                                  <w:szCs w:val="21"/>
                                </w:rPr>
                              </w:pPr>
                              <w:r>
                                <w:rPr>
                                  <w:rFonts w:hint="eastAsia"/>
                                  <w:sz w:val="21"/>
                                  <w:szCs w:val="21"/>
                                </w:rPr>
                                <w:t>员工生活用水</w:t>
                              </w:r>
                            </w:p>
                          </w:txbxContent>
                        </wps:txbx>
                        <wps:bodyPr upright="1"/>
                      </wps:wsp>
                      <wps:wsp>
                        <wps:cNvPr id="95" name="直接连接符 95"/>
                        <wps:cNvCnPr/>
                        <wps:spPr>
                          <a:xfrm>
                            <a:off x="993775" y="554355"/>
                            <a:ext cx="784860" cy="1905"/>
                          </a:xfrm>
                          <a:prstGeom prst="line">
                            <a:avLst/>
                          </a:prstGeom>
                          <a:ln w="9525" cap="flat" cmpd="sng">
                            <a:solidFill>
                              <a:srgbClr val="000000"/>
                            </a:solidFill>
                            <a:prstDash val="solid"/>
                            <a:headEnd type="none" w="med" len="med"/>
                            <a:tailEnd type="triangle" w="med" len="med"/>
                          </a:ln>
                        </wps:spPr>
                        <wps:bodyPr upright="1"/>
                      </wps:wsp>
                      <wps:wsp>
                        <wps:cNvPr id="96" name="矩形 96"/>
                        <wps:cNvSpPr/>
                        <wps:spPr>
                          <a:xfrm>
                            <a:off x="1104265" y="1053465"/>
                            <a:ext cx="434975" cy="258445"/>
                          </a:xfrm>
                          <a:prstGeom prst="rect">
                            <a:avLst/>
                          </a:prstGeom>
                          <a:noFill/>
                          <a:ln>
                            <a:noFill/>
                          </a:ln>
                        </wps:spPr>
                        <wps:txbx>
                          <w:txbxContent>
                            <w:p>
                              <w:pPr>
                                <w:spacing w:line="240" w:lineRule="auto"/>
                                <w:rPr>
                                  <w:rFonts w:hint="eastAsia"/>
                                  <w:sz w:val="21"/>
                                  <w:szCs w:val="21"/>
                                </w:rPr>
                              </w:pPr>
                              <w:r>
                                <w:rPr>
                                  <w:rFonts w:hint="eastAsia"/>
                                  <w:sz w:val="21"/>
                                  <w:szCs w:val="21"/>
                                </w:rPr>
                                <w:t>0.22</w:t>
                              </w:r>
                            </w:p>
                          </w:txbxContent>
                        </wps:txbx>
                        <wps:bodyPr upright="1"/>
                      </wps:wsp>
                      <wps:wsp>
                        <wps:cNvPr id="97" name="任意多边形 97"/>
                        <wps:cNvSpPr/>
                        <wps:spPr>
                          <a:xfrm>
                            <a:off x="1985010" y="767715"/>
                            <a:ext cx="375920" cy="285750"/>
                          </a:xfrm>
                          <a:custGeom>
                            <a:avLst/>
                            <a:gdLst/>
                            <a:ahLst/>
                            <a:cxnLst/>
                            <a:pathLst>
                              <a:path w="630" h="448">
                                <a:moveTo>
                                  <a:pt x="0" y="448"/>
                                </a:moveTo>
                                <a:cubicBezTo>
                                  <a:pt x="201" y="360"/>
                                  <a:pt x="402" y="272"/>
                                  <a:pt x="420" y="244"/>
                                </a:cubicBezTo>
                                <a:cubicBezTo>
                                  <a:pt x="438" y="216"/>
                                  <a:pt x="88" y="312"/>
                                  <a:pt x="105" y="278"/>
                                </a:cubicBezTo>
                                <a:cubicBezTo>
                                  <a:pt x="122" y="244"/>
                                  <a:pt x="438" y="80"/>
                                  <a:pt x="525" y="40"/>
                                </a:cubicBezTo>
                                <a:cubicBezTo>
                                  <a:pt x="612" y="0"/>
                                  <a:pt x="612" y="12"/>
                                  <a:pt x="630" y="40"/>
                                </a:cubicBezTo>
                              </a:path>
                            </a:pathLst>
                          </a:custGeom>
                          <a:noFill/>
                          <a:ln w="9525" cap="flat" cmpd="sng">
                            <a:solidFill>
                              <a:srgbClr val="000000"/>
                            </a:solidFill>
                            <a:prstDash val="dash"/>
                            <a:headEnd type="none" w="med" len="med"/>
                            <a:tailEnd type="none" w="med" len="med"/>
                          </a:ln>
                        </wps:spPr>
                        <wps:bodyPr upright="1"/>
                      </wps:wsp>
                      <wps:wsp>
                        <wps:cNvPr id="98" name="矩形 98"/>
                        <wps:cNvSpPr/>
                        <wps:spPr>
                          <a:xfrm>
                            <a:off x="2296160" y="678815"/>
                            <a:ext cx="920115" cy="279400"/>
                          </a:xfrm>
                          <a:prstGeom prst="rect">
                            <a:avLst/>
                          </a:prstGeom>
                          <a:noFill/>
                          <a:ln>
                            <a:noFill/>
                          </a:ln>
                        </wps:spPr>
                        <wps:txbx>
                          <w:txbxContent>
                            <w:p>
                              <w:pPr>
                                <w:spacing w:line="240" w:lineRule="auto"/>
                                <w:rPr>
                                  <w:sz w:val="21"/>
                                  <w:szCs w:val="21"/>
                                </w:rPr>
                              </w:pPr>
                              <w:r>
                                <w:rPr>
                                  <w:rFonts w:hint="eastAsia"/>
                                  <w:sz w:val="21"/>
                                  <w:szCs w:val="21"/>
                                </w:rPr>
                                <w:t>损失0.02</w:t>
                              </w:r>
                            </w:p>
                            <w:p>
                              <w:pPr>
                                <w:spacing w:line="240" w:lineRule="auto"/>
                                <w:rPr>
                                  <w:sz w:val="21"/>
                                  <w:szCs w:val="21"/>
                                </w:rPr>
                              </w:pPr>
                              <w:r>
                                <w:rPr>
                                  <w:rFonts w:hint="eastAsia"/>
                                  <w:sz w:val="21"/>
                                  <w:szCs w:val="21"/>
                                </w:rPr>
                                <w:t>25</w:t>
                              </w:r>
                            </w:p>
                          </w:txbxContent>
                        </wps:txbx>
                        <wps:bodyPr upright="1"/>
                      </wps:wsp>
                      <wps:wsp>
                        <wps:cNvPr id="99" name="矩形 99"/>
                        <wps:cNvSpPr/>
                        <wps:spPr>
                          <a:xfrm>
                            <a:off x="1630680" y="1036320"/>
                            <a:ext cx="1280795" cy="480695"/>
                          </a:xfrm>
                          <a:prstGeom prst="rect">
                            <a:avLst/>
                          </a:prstGeom>
                          <a:noFill/>
                          <a:ln w="9525" cap="flat" cmpd="sng">
                            <a:solidFill>
                              <a:srgbClr val="000000"/>
                            </a:solidFill>
                            <a:prstDash val="solid"/>
                            <a:miter/>
                            <a:headEnd type="none" w="med" len="med"/>
                            <a:tailEnd type="none" w="med" len="med"/>
                          </a:ln>
                        </wps:spPr>
                        <wps:txbx>
                          <w:txbxContent>
                            <w:p>
                              <w:pPr>
                                <w:spacing w:line="240" w:lineRule="auto"/>
                                <w:jc w:val="center"/>
                                <w:rPr>
                                  <w:sz w:val="21"/>
                                  <w:szCs w:val="21"/>
                                </w:rPr>
                              </w:pPr>
                              <w:r>
                                <w:rPr>
                                  <w:rFonts w:hint="eastAsia"/>
                                  <w:sz w:val="21"/>
                                  <w:szCs w:val="21"/>
                                </w:rPr>
                                <w:t>地面清洁用水及未预见用水</w:t>
                              </w:r>
                            </w:p>
                            <w:p>
                              <w:pPr>
                                <w:spacing w:line="240" w:lineRule="auto"/>
                                <w:rPr>
                                  <w:sz w:val="21"/>
                                  <w:szCs w:val="21"/>
                                </w:rPr>
                              </w:pPr>
                            </w:p>
                          </w:txbxContent>
                        </wps:txbx>
                        <wps:bodyPr upright="1"/>
                      </wps:wsp>
                      <wps:wsp>
                        <wps:cNvPr id="100" name="直接连接符 100"/>
                        <wps:cNvCnPr/>
                        <wps:spPr>
                          <a:xfrm flipV="1">
                            <a:off x="1015365" y="1299845"/>
                            <a:ext cx="617220" cy="635"/>
                          </a:xfrm>
                          <a:prstGeom prst="line">
                            <a:avLst/>
                          </a:prstGeom>
                          <a:ln w="9525" cap="flat" cmpd="sng">
                            <a:solidFill>
                              <a:srgbClr val="000000"/>
                            </a:solidFill>
                            <a:prstDash val="solid"/>
                            <a:headEnd type="none" w="med" len="med"/>
                            <a:tailEnd type="triangle" w="med" len="med"/>
                          </a:ln>
                        </wps:spPr>
                        <wps:bodyPr upright="1"/>
                      </wps:wsp>
                      <wps:wsp>
                        <wps:cNvPr id="101" name="直接连接符 101"/>
                        <wps:cNvCnPr/>
                        <wps:spPr>
                          <a:xfrm flipV="1">
                            <a:off x="2911475" y="1274445"/>
                            <a:ext cx="385445" cy="635"/>
                          </a:xfrm>
                          <a:prstGeom prst="line">
                            <a:avLst/>
                          </a:prstGeom>
                          <a:ln w="9525" cap="flat" cmpd="sng">
                            <a:solidFill>
                              <a:srgbClr val="000000"/>
                            </a:solidFill>
                            <a:prstDash val="solid"/>
                            <a:headEnd type="none" w="med" len="med"/>
                            <a:tailEnd type="none" w="med" len="med"/>
                          </a:ln>
                        </wps:spPr>
                        <wps:bodyPr upright="1"/>
                      </wps:wsp>
                      <wps:wsp>
                        <wps:cNvPr id="102" name="直接连接符 102"/>
                        <wps:cNvCnPr/>
                        <wps:spPr>
                          <a:xfrm>
                            <a:off x="2834005" y="581025"/>
                            <a:ext cx="455295" cy="635"/>
                          </a:xfrm>
                          <a:prstGeom prst="line">
                            <a:avLst/>
                          </a:prstGeom>
                          <a:ln w="9525" cap="flat" cmpd="sng">
                            <a:solidFill>
                              <a:srgbClr val="000000"/>
                            </a:solidFill>
                            <a:prstDash val="solid"/>
                            <a:headEnd type="none" w="med" len="med"/>
                            <a:tailEnd type="none" w="med" len="med"/>
                          </a:ln>
                        </wps:spPr>
                        <wps:bodyPr upright="1"/>
                      </wps:wsp>
                      <wps:wsp>
                        <wps:cNvPr id="103" name="直接连接符 103"/>
                        <wps:cNvCnPr/>
                        <wps:spPr>
                          <a:xfrm flipH="1">
                            <a:off x="3295650" y="572135"/>
                            <a:ext cx="635" cy="702310"/>
                          </a:xfrm>
                          <a:prstGeom prst="line">
                            <a:avLst/>
                          </a:prstGeom>
                          <a:ln w="9525" cap="flat" cmpd="sng">
                            <a:solidFill>
                              <a:srgbClr val="000000"/>
                            </a:solidFill>
                            <a:prstDash val="solid"/>
                            <a:headEnd type="none" w="med" len="med"/>
                            <a:tailEnd type="none" w="med" len="med"/>
                          </a:ln>
                        </wps:spPr>
                        <wps:bodyPr upright="1"/>
                      </wps:wsp>
                      <wps:wsp>
                        <wps:cNvPr id="104" name="矩形 104"/>
                        <wps:cNvSpPr/>
                        <wps:spPr>
                          <a:xfrm>
                            <a:off x="4069715" y="1991360"/>
                            <a:ext cx="727075" cy="259080"/>
                          </a:xfrm>
                          <a:prstGeom prst="rect">
                            <a:avLst/>
                          </a:prstGeom>
                          <a:noFill/>
                          <a:ln>
                            <a:noFill/>
                          </a:ln>
                        </wps:spPr>
                        <wps:txbx>
                          <w:txbxContent>
                            <w:p>
                              <w:pPr>
                                <w:spacing w:line="240" w:lineRule="auto"/>
                                <w:jc w:val="center"/>
                                <w:rPr>
                                  <w:rFonts w:hint="eastAsia"/>
                                  <w:sz w:val="21"/>
                                  <w:szCs w:val="21"/>
                                </w:rPr>
                              </w:pPr>
                              <w:r>
                                <w:rPr>
                                  <w:rFonts w:hint="eastAsia"/>
                                  <w:sz w:val="21"/>
                                  <w:szCs w:val="21"/>
                                </w:rPr>
                                <w:t>还田</w:t>
                              </w:r>
                            </w:p>
                          </w:txbxContent>
                        </wps:txbx>
                        <wps:bodyPr upright="1"/>
                      </wps:wsp>
                      <wps:wsp>
                        <wps:cNvPr id="106" name="直接连接符 106"/>
                        <wps:cNvCnPr/>
                        <wps:spPr>
                          <a:xfrm>
                            <a:off x="3696970" y="880745"/>
                            <a:ext cx="800100" cy="635"/>
                          </a:xfrm>
                          <a:prstGeom prst="line">
                            <a:avLst/>
                          </a:prstGeom>
                          <a:ln w="9525" cap="flat" cmpd="sng">
                            <a:solidFill>
                              <a:srgbClr val="000000"/>
                            </a:solidFill>
                            <a:prstDash val="solid"/>
                            <a:headEnd type="none" w="med" len="med"/>
                            <a:tailEnd type="none" w="med" len="med"/>
                          </a:ln>
                        </wps:spPr>
                        <wps:bodyPr upright="1"/>
                      </wps:wsp>
                      <wps:wsp>
                        <wps:cNvPr id="107" name="直接连接符 107"/>
                        <wps:cNvCnPr/>
                        <wps:spPr>
                          <a:xfrm>
                            <a:off x="4495800" y="880745"/>
                            <a:ext cx="1270" cy="558800"/>
                          </a:xfrm>
                          <a:prstGeom prst="line">
                            <a:avLst/>
                          </a:prstGeom>
                          <a:ln w="9525" cap="flat" cmpd="sng">
                            <a:solidFill>
                              <a:srgbClr val="000000"/>
                            </a:solidFill>
                            <a:prstDash val="solid"/>
                            <a:headEnd type="none" w="med" len="med"/>
                            <a:tailEnd type="none" w="med" len="med"/>
                          </a:ln>
                        </wps:spPr>
                        <wps:bodyPr upright="1"/>
                      </wps:wsp>
                      <wps:wsp>
                        <wps:cNvPr id="108" name="矩形 108"/>
                        <wps:cNvSpPr/>
                        <wps:spPr>
                          <a:xfrm>
                            <a:off x="3799205" y="1448435"/>
                            <a:ext cx="1206500" cy="274955"/>
                          </a:xfrm>
                          <a:prstGeom prst="rect">
                            <a:avLst/>
                          </a:prstGeom>
                          <a:noFill/>
                          <a:ln w="9525" cap="flat" cmpd="sng">
                            <a:solidFill>
                              <a:srgbClr val="000000"/>
                            </a:solidFill>
                            <a:prstDash val="solid"/>
                            <a:miter/>
                            <a:headEnd type="none" w="med" len="med"/>
                            <a:tailEnd type="none" w="med" len="med"/>
                          </a:ln>
                        </wps:spPr>
                        <wps:txbx>
                          <w:txbxContent>
                            <w:p>
                              <w:pPr>
                                <w:spacing w:line="240" w:lineRule="auto"/>
                                <w:jc w:val="center"/>
                                <w:rPr>
                                  <w:rFonts w:hint="eastAsia"/>
                                  <w:sz w:val="21"/>
                                  <w:szCs w:val="21"/>
                                </w:rPr>
                              </w:pPr>
                              <w:r>
                                <w:rPr>
                                  <w:rFonts w:hint="eastAsia"/>
                                  <w:sz w:val="21"/>
                                  <w:szCs w:val="21"/>
                                </w:rPr>
                                <w:t>生化池</w:t>
                              </w:r>
                            </w:p>
                          </w:txbxContent>
                        </wps:txbx>
                        <wps:bodyPr upright="1"/>
                      </wps:wsp>
                      <wps:wsp>
                        <wps:cNvPr id="109" name="直接连接符 109"/>
                        <wps:cNvCnPr/>
                        <wps:spPr>
                          <a:xfrm flipH="1">
                            <a:off x="4467225" y="1743710"/>
                            <a:ext cx="6350" cy="241300"/>
                          </a:xfrm>
                          <a:prstGeom prst="line">
                            <a:avLst/>
                          </a:prstGeom>
                          <a:ln w="9525" cap="flat" cmpd="sng">
                            <a:solidFill>
                              <a:srgbClr val="000000"/>
                            </a:solidFill>
                            <a:prstDash val="solid"/>
                            <a:headEnd type="none" w="med" len="med"/>
                            <a:tailEnd type="triangle" w="med" len="med"/>
                          </a:ln>
                        </wps:spPr>
                        <wps:bodyPr upright="1"/>
                      </wps:wsp>
                      <wps:wsp>
                        <wps:cNvPr id="110" name="矩形 110"/>
                        <wps:cNvSpPr/>
                        <wps:spPr>
                          <a:xfrm>
                            <a:off x="3282950" y="606425"/>
                            <a:ext cx="591820" cy="250190"/>
                          </a:xfrm>
                          <a:prstGeom prst="rect">
                            <a:avLst/>
                          </a:prstGeom>
                          <a:noFill/>
                          <a:ln>
                            <a:noFill/>
                          </a:ln>
                        </wps:spPr>
                        <wps:txbx>
                          <w:txbxContent>
                            <w:p>
                              <w:pPr>
                                <w:spacing w:line="240" w:lineRule="auto"/>
                                <w:rPr>
                                  <w:rFonts w:hint="eastAsia"/>
                                  <w:sz w:val="21"/>
                                  <w:szCs w:val="21"/>
                                </w:rPr>
                              </w:pPr>
                              <w:r>
                                <w:rPr>
                                  <w:rFonts w:hint="eastAsia"/>
                                  <w:sz w:val="21"/>
                                  <w:szCs w:val="21"/>
                                </w:rPr>
                                <w:t>1.10</w:t>
                              </w:r>
                            </w:p>
                          </w:txbxContent>
                        </wps:txbx>
                        <wps:bodyPr upright="1"/>
                      </wps:wsp>
                      <wps:wsp>
                        <wps:cNvPr id="111" name="矩形 111"/>
                        <wps:cNvSpPr/>
                        <wps:spPr>
                          <a:xfrm>
                            <a:off x="2412365" y="0"/>
                            <a:ext cx="920115" cy="279400"/>
                          </a:xfrm>
                          <a:prstGeom prst="rect">
                            <a:avLst/>
                          </a:prstGeom>
                          <a:noFill/>
                          <a:ln>
                            <a:noFill/>
                          </a:ln>
                        </wps:spPr>
                        <wps:txbx>
                          <w:txbxContent>
                            <w:p>
                              <w:pPr>
                                <w:spacing w:line="240" w:lineRule="auto"/>
                                <w:rPr>
                                  <w:sz w:val="21"/>
                                  <w:szCs w:val="21"/>
                                </w:rPr>
                              </w:pPr>
                              <w:r>
                                <w:rPr>
                                  <w:rFonts w:hint="eastAsia"/>
                                  <w:sz w:val="21"/>
                                  <w:szCs w:val="21"/>
                                </w:rPr>
                                <w:t>损失0.10</w:t>
                              </w:r>
                            </w:p>
                            <w:p>
                              <w:pPr>
                                <w:spacing w:line="240" w:lineRule="auto"/>
                                <w:rPr>
                                  <w:sz w:val="21"/>
                                  <w:szCs w:val="21"/>
                                </w:rPr>
                              </w:pPr>
                              <w:r>
                                <w:rPr>
                                  <w:rFonts w:hint="eastAsia"/>
                                  <w:sz w:val="21"/>
                                  <w:szCs w:val="21"/>
                                </w:rPr>
                                <w:t>25</w:t>
                              </w:r>
                            </w:p>
                          </w:txbxContent>
                        </wps:txbx>
                        <wps:bodyPr upright="1"/>
                      </wps:wsp>
                      <wps:wsp>
                        <wps:cNvPr id="112" name="直接连接符 112"/>
                        <wps:cNvCnPr/>
                        <wps:spPr>
                          <a:xfrm flipV="1">
                            <a:off x="998220" y="1991360"/>
                            <a:ext cx="615315" cy="635"/>
                          </a:xfrm>
                          <a:prstGeom prst="line">
                            <a:avLst/>
                          </a:prstGeom>
                          <a:ln w="9525" cap="flat" cmpd="sng">
                            <a:solidFill>
                              <a:srgbClr val="000000"/>
                            </a:solidFill>
                            <a:prstDash val="solid"/>
                            <a:headEnd type="none" w="med" len="med"/>
                            <a:tailEnd type="triangle" w="med" len="med"/>
                          </a:ln>
                        </wps:spPr>
                        <wps:bodyPr upright="1"/>
                      </wps:wsp>
                      <wps:wsp>
                        <wps:cNvPr id="113" name="矩形 113"/>
                        <wps:cNvSpPr/>
                        <wps:spPr>
                          <a:xfrm>
                            <a:off x="1632585" y="1859915"/>
                            <a:ext cx="1280795" cy="270510"/>
                          </a:xfrm>
                          <a:prstGeom prst="rect">
                            <a:avLst/>
                          </a:prstGeom>
                          <a:noFill/>
                          <a:ln w="9525" cap="flat" cmpd="sng">
                            <a:solidFill>
                              <a:srgbClr val="000000"/>
                            </a:solidFill>
                            <a:prstDash val="solid"/>
                            <a:miter/>
                            <a:headEnd type="none" w="med" len="med"/>
                            <a:tailEnd type="none" w="med" len="med"/>
                          </a:ln>
                        </wps:spPr>
                        <wps:txbx>
                          <w:txbxContent>
                            <w:p>
                              <w:pPr>
                                <w:spacing w:line="240" w:lineRule="auto"/>
                                <w:jc w:val="center"/>
                                <w:rPr>
                                  <w:sz w:val="21"/>
                                  <w:szCs w:val="21"/>
                                </w:rPr>
                              </w:pPr>
                              <w:r>
                                <w:rPr>
                                  <w:rFonts w:hint="eastAsia"/>
                                  <w:sz w:val="21"/>
                                  <w:szCs w:val="21"/>
                                </w:rPr>
                                <w:t>水帘柜</w:t>
                              </w:r>
                            </w:p>
                            <w:p>
                              <w:pPr>
                                <w:spacing w:line="240" w:lineRule="auto"/>
                                <w:rPr>
                                  <w:sz w:val="21"/>
                                  <w:szCs w:val="21"/>
                                </w:rPr>
                              </w:pPr>
                            </w:p>
                          </w:txbxContent>
                        </wps:txbx>
                        <wps:bodyPr upright="1"/>
                      </wps:wsp>
                      <wps:wsp>
                        <wps:cNvPr id="114" name="任意多边形 114"/>
                        <wps:cNvSpPr/>
                        <wps:spPr>
                          <a:xfrm>
                            <a:off x="2296160" y="1991360"/>
                            <a:ext cx="1036320" cy="492125"/>
                          </a:xfrm>
                          <a:custGeom>
                            <a:avLst/>
                            <a:gdLst/>
                            <a:ahLst/>
                            <a:cxnLst/>
                            <a:pathLst>
                              <a:path w="1632" h="775">
                                <a:moveTo>
                                  <a:pt x="972" y="0"/>
                                </a:moveTo>
                                <a:lnTo>
                                  <a:pt x="1632" y="0"/>
                                </a:lnTo>
                                <a:lnTo>
                                  <a:pt x="1632" y="775"/>
                                </a:lnTo>
                                <a:lnTo>
                                  <a:pt x="0" y="775"/>
                                </a:lnTo>
                                <a:lnTo>
                                  <a:pt x="0" y="219"/>
                                </a:lnTo>
                              </a:path>
                            </a:pathLst>
                          </a:custGeom>
                          <a:noFill/>
                          <a:ln w="12700" cap="flat" cmpd="sng">
                            <a:solidFill>
                              <a:srgbClr val="000000"/>
                            </a:solidFill>
                            <a:prstDash val="solid"/>
                            <a:headEnd type="none" w="med" len="med"/>
                            <a:tailEnd type="triangle" w="med" len="med"/>
                          </a:ln>
                        </wps:spPr>
                        <wps:bodyPr upright="1"/>
                      </wps:wsp>
                      <wps:wsp>
                        <wps:cNvPr id="115" name="矩形 115"/>
                        <wps:cNvSpPr/>
                        <wps:spPr>
                          <a:xfrm>
                            <a:off x="2767965" y="979170"/>
                            <a:ext cx="625475" cy="295910"/>
                          </a:xfrm>
                          <a:prstGeom prst="rect">
                            <a:avLst/>
                          </a:prstGeom>
                          <a:noFill/>
                          <a:ln>
                            <a:noFill/>
                          </a:ln>
                        </wps:spPr>
                        <wps:txbx>
                          <w:txbxContent>
                            <w:p>
                              <w:pPr>
                                <w:spacing w:line="240" w:lineRule="auto"/>
                                <w:ind w:firstLine="210" w:firstLineChars="100"/>
                                <w:rPr>
                                  <w:sz w:val="21"/>
                                  <w:szCs w:val="21"/>
                                </w:rPr>
                              </w:pPr>
                              <w:r>
                                <w:rPr>
                                  <w:rFonts w:hint="eastAsia"/>
                                  <w:sz w:val="21"/>
                                  <w:szCs w:val="21"/>
                                </w:rPr>
                                <w:t>0.20</w:t>
                              </w:r>
                            </w:p>
                          </w:txbxContent>
                        </wps:txbx>
                        <wps:bodyPr upright="1"/>
                      </wps:wsp>
                      <wps:wsp>
                        <wps:cNvPr id="116" name="矩形 116"/>
                        <wps:cNvSpPr/>
                        <wps:spPr>
                          <a:xfrm>
                            <a:off x="1104265" y="1723390"/>
                            <a:ext cx="434975" cy="258445"/>
                          </a:xfrm>
                          <a:prstGeom prst="rect">
                            <a:avLst/>
                          </a:prstGeom>
                          <a:noFill/>
                          <a:ln>
                            <a:noFill/>
                          </a:ln>
                        </wps:spPr>
                        <wps:txbx>
                          <w:txbxContent>
                            <w:p>
                              <w:pPr>
                                <w:spacing w:line="240" w:lineRule="auto"/>
                                <w:rPr>
                                  <w:rFonts w:hint="eastAsia"/>
                                  <w:sz w:val="21"/>
                                  <w:szCs w:val="21"/>
                                </w:rPr>
                              </w:pPr>
                              <w:r>
                                <w:rPr>
                                  <w:rFonts w:hint="eastAsia"/>
                                  <w:sz w:val="21"/>
                                  <w:szCs w:val="21"/>
                                </w:rPr>
                                <w:t>0.1</w:t>
                              </w:r>
                            </w:p>
                          </w:txbxContent>
                        </wps:txbx>
                        <wps:bodyPr upright="1"/>
                      </wps:wsp>
                      <wps:wsp>
                        <wps:cNvPr id="117" name="任意多边形 117"/>
                        <wps:cNvSpPr/>
                        <wps:spPr>
                          <a:xfrm>
                            <a:off x="1985010" y="1574165"/>
                            <a:ext cx="375920" cy="285750"/>
                          </a:xfrm>
                          <a:custGeom>
                            <a:avLst/>
                            <a:gdLst/>
                            <a:ahLst/>
                            <a:cxnLst/>
                            <a:pathLst>
                              <a:path w="630" h="448">
                                <a:moveTo>
                                  <a:pt x="0" y="448"/>
                                </a:moveTo>
                                <a:cubicBezTo>
                                  <a:pt x="201" y="360"/>
                                  <a:pt x="402" y="272"/>
                                  <a:pt x="420" y="244"/>
                                </a:cubicBezTo>
                                <a:cubicBezTo>
                                  <a:pt x="438" y="216"/>
                                  <a:pt x="88" y="312"/>
                                  <a:pt x="105" y="278"/>
                                </a:cubicBezTo>
                                <a:cubicBezTo>
                                  <a:pt x="122" y="244"/>
                                  <a:pt x="438" y="80"/>
                                  <a:pt x="525" y="40"/>
                                </a:cubicBezTo>
                                <a:cubicBezTo>
                                  <a:pt x="612" y="0"/>
                                  <a:pt x="612" y="12"/>
                                  <a:pt x="630" y="40"/>
                                </a:cubicBezTo>
                              </a:path>
                            </a:pathLst>
                          </a:custGeom>
                          <a:noFill/>
                          <a:ln w="9525" cap="flat" cmpd="sng">
                            <a:solidFill>
                              <a:srgbClr val="000000"/>
                            </a:solidFill>
                            <a:prstDash val="dash"/>
                            <a:headEnd type="none" w="med" len="med"/>
                            <a:tailEnd type="none" w="med" len="med"/>
                          </a:ln>
                        </wps:spPr>
                        <wps:bodyPr upright="1"/>
                      </wps:wsp>
                      <wps:wsp>
                        <wps:cNvPr id="121" name="矩形 121"/>
                        <wps:cNvSpPr/>
                        <wps:spPr>
                          <a:xfrm>
                            <a:off x="2296160" y="1485265"/>
                            <a:ext cx="920115" cy="279400"/>
                          </a:xfrm>
                          <a:prstGeom prst="rect">
                            <a:avLst/>
                          </a:prstGeom>
                          <a:noFill/>
                          <a:ln>
                            <a:noFill/>
                          </a:ln>
                        </wps:spPr>
                        <wps:txbx>
                          <w:txbxContent>
                            <w:p>
                              <w:pPr>
                                <w:spacing w:line="240" w:lineRule="auto"/>
                                <w:rPr>
                                  <w:sz w:val="21"/>
                                  <w:szCs w:val="21"/>
                                </w:rPr>
                              </w:pPr>
                              <w:r>
                                <w:rPr>
                                  <w:rFonts w:hint="eastAsia"/>
                                  <w:sz w:val="21"/>
                                  <w:szCs w:val="21"/>
                                </w:rPr>
                                <w:t>损失0.1</w:t>
                              </w:r>
                            </w:p>
                            <w:p>
                              <w:pPr>
                                <w:spacing w:line="240" w:lineRule="auto"/>
                                <w:rPr>
                                  <w:sz w:val="21"/>
                                  <w:szCs w:val="21"/>
                                </w:rPr>
                              </w:pPr>
                              <w:r>
                                <w:rPr>
                                  <w:rFonts w:hint="eastAsia"/>
                                  <w:sz w:val="21"/>
                                  <w:szCs w:val="21"/>
                                </w:rPr>
                                <w:t>25</w:t>
                              </w:r>
                            </w:p>
                          </w:txbxContent>
                        </wps:txbx>
                        <wps:bodyPr upright="1"/>
                      </wps:wsp>
                      <wps:wsp>
                        <wps:cNvPr id="122" name="矩形 122"/>
                        <wps:cNvSpPr/>
                        <wps:spPr>
                          <a:xfrm>
                            <a:off x="2532380" y="2204085"/>
                            <a:ext cx="965200" cy="279400"/>
                          </a:xfrm>
                          <a:prstGeom prst="rect">
                            <a:avLst/>
                          </a:prstGeom>
                          <a:noFill/>
                          <a:ln>
                            <a:noFill/>
                          </a:ln>
                        </wps:spPr>
                        <wps:txbx>
                          <w:txbxContent>
                            <w:p>
                              <w:pPr>
                                <w:spacing w:line="240" w:lineRule="auto"/>
                                <w:rPr>
                                  <w:sz w:val="21"/>
                                  <w:szCs w:val="21"/>
                                </w:rPr>
                              </w:pPr>
                              <w:r>
                                <w:rPr>
                                  <w:rFonts w:hint="eastAsia"/>
                                  <w:sz w:val="21"/>
                                  <w:szCs w:val="21"/>
                                </w:rPr>
                                <w:t>5m</w:t>
                              </w:r>
                              <w:r>
                                <w:rPr>
                                  <w:rFonts w:hint="eastAsia"/>
                                  <w:sz w:val="21"/>
                                  <w:szCs w:val="21"/>
                                  <w:vertAlign w:val="superscript"/>
                                </w:rPr>
                                <w:t>3</w:t>
                              </w:r>
                              <w:r>
                                <w:rPr>
                                  <w:rFonts w:hint="eastAsia"/>
                                  <w:sz w:val="21"/>
                                  <w:szCs w:val="21"/>
                                </w:rPr>
                                <w:t>/h循环</w:t>
                              </w:r>
                            </w:p>
                            <w:p>
                              <w:pPr>
                                <w:spacing w:line="240" w:lineRule="auto"/>
                                <w:rPr>
                                  <w:sz w:val="21"/>
                                  <w:szCs w:val="21"/>
                                </w:rPr>
                              </w:pPr>
                              <w:r>
                                <w:rPr>
                                  <w:rFonts w:hint="eastAsia"/>
                                  <w:sz w:val="21"/>
                                  <w:szCs w:val="21"/>
                                </w:rPr>
                                <w:t>25</w:t>
                              </w:r>
                            </w:p>
                          </w:txbxContent>
                        </wps:txbx>
                        <wps:bodyPr upright="1"/>
                      </wps:wsp>
                    </wpc:wpc>
                  </a:graphicData>
                </a:graphic>
              </wp:inline>
            </w:drawing>
          </mc:Choice>
          <mc:Fallback>
            <w:pict>
              <v:group id="_x0000_s1026" o:spid="_x0000_s1026" o:spt="203" style="height:210.95pt;width:399.1pt;" coordsize="5068570,2679065" editas="canvas"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">
                <o:lock v:ext="edit" aspectratio="f"/>
                <v:shape id="_x0000_s1026" o:spid="_x0000_s1026" style="position:absolute;left:0;top:0;height:2679065;width:5068570;"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">
                  <v:fill on="f" focussize="0,0"/>
                  <v:stroke on="f"/>
                  <v:imagedata o:title=""/>
                  <o:lock v:ext="edit" aspectratio="t"/>
                </v:shape>
                <v:line id="_x0000_s1026" o:spid="_x0000_s1026" o:spt="20" style="position:absolute;left:37465;top:936625;flip:y;height:635;width:956310;" filled="f" stroked="t" coordsize="21600,21600" o:gfxdata="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rozX1wAAAAUBAAAPAAAAAAAAAAEA&#10;IAAAACIAAABkcnMvZG93bnJldi54bWxQSwECFAAUAAAACACHTuJAs+/QshACAAD+AwAADgAAAAAA&#10;AAABACAAAAAmAQAAZHJzL2Uyb0RvYy54bWxQSwUGAAAAAAYABgBZAQAAqAUAAAAA&#10;">
                  <v:fill on="f" focussize="0,0"/>
                  <v:stroke color="#000000" joinstyle="round" endarrow="block"/>
                  <v:imagedata o:title=""/>
                  <o:lock v:ext="edit" aspectratio="f"/>
                </v:line>
                <v:line id="_x0000_s1026" o:spid="_x0000_s1026" o:spt="20" style="position:absolute;left:995045;top:558800;flip:x;height:1420495;width:635;" filled="f" stroked="t" coordsize="21600,21600" o:gfxdata="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vhLVK1AAAAAUBAAAPAAAAAAAAAAEAIAAAACIAAABk&#10;cnMvZG93bnJldi54bWxQSwECFAAUAAAACACHTuJAvHjpUgoCAAD8AwAADgAAAAAAAAABACAAAAAj&#10;AQAAZHJzL2Uyb0RvYy54bWxQSwUGAAAAAAYABgBZAQAAnwUAAAAA&#10;">
                  <v:fill on="f" focussize="0,0"/>
                  <v:stroke color="#000000" joinstyle="round"/>
                  <v:imagedata o:title=""/>
                  <o:lock v:ext="edit" aspectratio="f"/>
                </v:line>
                <v:rect id="_x0000_s1026" o:spid="_x0000_s1026" o:spt="1" style="position:absolute;left:194945;top:633095;height:436880;width:597535;"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22hJvX&#10;AAAABQEAAA8AAAAAAAAAAQAgAAAAIgAAAGRycy9kb3ducmV2LnhtbFBLAQIUABQAAAAIAIdO4kDi&#10;TokLrwEAAEwDAAAOAAAAAAAAAAEAIAAAACYBAABkcnMvZTJvRG9jLnhtbFBLBQYAAAAABgAGAFkB&#10;AABHBQAAAAA=&#10;">
                  <v:fill on="f" focussize="0,0"/>
                  <v:stroke on="f"/>
                  <v:imagedata o:title=""/>
                  <o:lock v:ext="edit" aspectratio="f"/>
                  <v:textbox>
                    <w:txbxContent>
                      <w:p>
                        <w:pPr>
                          <w:spacing w:line="240" w:lineRule="auto"/>
                          <w:rPr>
                            <w:sz w:val="21"/>
                            <w:szCs w:val="21"/>
                          </w:rPr>
                        </w:pPr>
                        <w:r>
                          <w:rPr>
                            <w:rFonts w:hint="eastAsia"/>
                            <w:sz w:val="21"/>
                            <w:szCs w:val="21"/>
                          </w:rPr>
                          <w:t>新鲜水</w:t>
                        </w:r>
                      </w:p>
                    </w:txbxContent>
                  </v:textbox>
                </v:rect>
                <v:rect id="_x0000_s1026" o:spid="_x0000_s1026" o:spt="1" style="position:absolute;left:248285;top:938530;height:250190;width:591820;"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baEm9cA&#10;AAAFAQAADwAAAAAAAAABACAAAAAiAAAAZHJzL2Rvd25yZXYueG1sUEsBAhQAFAAAAAgAh07iQNOL&#10;WSiuAQAATAMAAA4AAAAAAAAAAQAgAAAAJgEAAGRycy9lMm9Eb2MueG1sUEsFBgAAAAAGAAYAWQEA&#10;AEYFAAAAAA==&#10;">
                  <v:fill on="f" focussize="0,0"/>
                  <v:stroke on="f"/>
                  <v:imagedata o:title=""/>
                  <o:lock v:ext="edit" aspectratio="f"/>
                  <v:textbox>
                    <w:txbxContent>
                      <w:p>
                        <w:pPr>
                          <w:spacing w:line="240" w:lineRule="auto"/>
                          <w:rPr>
                            <w:rFonts w:hint="eastAsia"/>
                            <w:sz w:val="21"/>
                            <w:szCs w:val="21"/>
                          </w:rPr>
                        </w:pPr>
                        <w:r>
                          <w:rPr>
                            <w:rFonts w:hint="eastAsia"/>
                            <w:sz w:val="21"/>
                            <w:szCs w:val="21"/>
                          </w:rPr>
                          <w:t>1.32</w:t>
                        </w:r>
                      </w:p>
                    </w:txbxContent>
                  </v:textbox>
                </v:rect>
                <v:rect id="_x0000_s1026" o:spid="_x0000_s1026" o:spt="1" style="position:absolute;left:2830195;top:322580;height:279400;width:502285;"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baEm9cA&#10;AAAFAQAADwAAAAAAAAABACAAAAAiAAAAZHJzL2Rvd25yZXYueG1sUEsBAhQAFAAAAAgAh07iQLHs&#10;/fiuAQAATQMAAA4AAAAAAAAAAQAgAAAAJgEAAGRycy9lMm9Eb2MueG1sUEsFBgAAAAAGAAYAWQEA&#10;AEYFAAAAAA==&#10;">
                  <v:fill on="f" focussize="0,0"/>
                  <v:stroke on="f"/>
                  <v:imagedata o:title=""/>
                  <o:lock v:ext="edit" aspectratio="f"/>
                  <v:textbox>
                    <w:txbxContent>
                      <w:p>
                        <w:pPr>
                          <w:spacing w:line="240" w:lineRule="auto"/>
                          <w:rPr>
                            <w:rFonts w:hint="eastAsia"/>
                            <w:sz w:val="21"/>
                            <w:szCs w:val="21"/>
                          </w:rPr>
                        </w:pPr>
                        <w:r>
                          <w:rPr>
                            <w:rFonts w:hint="eastAsia"/>
                            <w:sz w:val="21"/>
                            <w:szCs w:val="21"/>
                          </w:rPr>
                          <w:t>0.90</w:t>
                        </w:r>
                      </w:p>
                    </w:txbxContent>
                  </v:textbox>
                </v:rect>
                <v:line id="_x0000_s1026" o:spid="_x0000_s1026" o:spt="20" style="position:absolute;left:3294380;top:880745;height:635;width:402590;" filled="f" stroked="t" coordsize="21600,21600" o:gfxdata="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DGGYTXAAAABQEAAA8AAAAAAAAAAQAgAAAA&#10;IgAAAGRycy9kb3ducmV2LnhtbFBLAQIUABQAAAAIAIdO4kDhV4IvDAIAAPYDAAAOAAAAAAAAAAEA&#10;IAAAACYBAABkcnMvZTJvRG9jLnhtbFBLBQYAAAAABgAGAFkBAACkBQAAAAA=&#10;">
                  <v:fill on="f" focussize="0,0"/>
                  <v:stroke color="#000000" joinstyle="round" endarrow="block"/>
                  <v:imagedata o:title=""/>
                  <o:lock v:ext="edit" aspectratio="f"/>
                </v:line>
                <v:rect id="_x0000_s1026" o:spid="_x0000_s1026" o:spt="1" style="position:absolute;left:1104265;top:300355;height:258445;width:526415;"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toSb&#10;1wAAAAUBAAAPAAAAAAAAAAEAIAAAACIAAABkcnMvZG93bnJldi54bWxQSwECFAAUAAAACACHTuJA&#10;VFge37ABAABNAwAADgAAAAAAAAABACAAAAAmAQAAZHJzL2Uyb0RvYy54bWxQSwUGAAAAAAYABgBZ&#10;AQAASAUAAAAA&#10;">
                  <v:fill on="f" focussize="0,0"/>
                  <v:stroke on="f"/>
                  <v:imagedata o:title=""/>
                  <o:lock v:ext="edit" aspectratio="f"/>
                  <v:textbox>
                    <w:txbxContent>
                      <w:p>
                        <w:pPr>
                          <w:spacing w:line="240" w:lineRule="auto"/>
                          <w:rPr>
                            <w:rFonts w:hint="eastAsia"/>
                            <w:sz w:val="21"/>
                            <w:szCs w:val="21"/>
                          </w:rPr>
                        </w:pPr>
                        <w:r>
                          <w:rPr>
                            <w:rFonts w:hint="eastAsia"/>
                            <w:sz w:val="21"/>
                            <w:szCs w:val="21"/>
                          </w:rPr>
                          <w:t>1.00</w:t>
                        </w:r>
                      </w:p>
                    </w:txbxContent>
                  </v:textbox>
                </v:rect>
                <v:shape id="_x0000_s1026" o:spid="_x0000_s1026" o:spt="100" style="position:absolute;left:2107565;top:137160;height:283845;width:377190;" filled="f" stroked="t" coordsize="630,448" o:gfxdata="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fHBEe1QAAAAUBAAAPAAAAAAAAAAEAIAAAACIAAABkcnMv&#10;ZG93bnJldi54bWxQSwECFAAUAAAACACHTuJABa5FwLECAAD1BQAADgAAAAAAAAABACAAAAAkAQAA&#10;ZHJzL2Uyb0RvYy54bWxQSwUGAAAAAAYABgBZAQAARwYAAAAA&#10;" path="m0,448c201,360,402,272,420,244c438,216,88,312,105,278c122,244,438,80,525,40c612,0,612,12,630,40e">
                  <v:fill on="f" focussize="0,0"/>
                  <v:stroke color="#000000" joinstyle="round" dashstyle="dash"/>
                  <v:imagedata o:title=""/>
                  <o:lock v:ext="edit" aspectratio="f"/>
                </v:shape>
                <v:rect id="_x0000_s1026" o:spid="_x0000_s1026" o:spt="1" style="position:absolute;left:1743075;top:421005;height:270510;width:1090930;" filled="f" stroked="t" coordsize="21600,21600" o:gfxdata="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HEF+jWAAAABQEAAA8AAAAAAAAAAQAgAAAAIgAA&#10;AGRycy9kb3ducmV2LnhtbFBLAQIUABQAAAAIAIdO4kAE31UpCgIAAA0EAAAOAAAAAAAAAAEAIAAA&#10;ACUBAABkcnMvZTJvRG9jLnhtbFBLBQYAAAAABgAGAFkBAAChBQAAAAA=&#10;">
                  <v:fill on="f" focussize="0,0"/>
                  <v:stroke color="#000000" joinstyle="miter"/>
                  <v:imagedata o:title=""/>
                  <o:lock v:ext="edit" aspectratio="f"/>
                  <v:textbox>
                    <w:txbxContent>
                      <w:p>
                        <w:pPr>
                          <w:spacing w:line="240" w:lineRule="auto"/>
                          <w:jc w:val="center"/>
                          <w:rPr>
                            <w:rFonts w:hint="eastAsia"/>
                            <w:sz w:val="21"/>
                            <w:szCs w:val="21"/>
                          </w:rPr>
                        </w:pPr>
                        <w:r>
                          <w:rPr>
                            <w:rFonts w:hint="eastAsia"/>
                            <w:sz w:val="21"/>
                            <w:szCs w:val="21"/>
                          </w:rPr>
                          <w:t>员工生活用水</w:t>
                        </w:r>
                      </w:p>
                    </w:txbxContent>
                  </v:textbox>
                </v:rect>
                <v:line id="_x0000_s1026" o:spid="_x0000_s1026" o:spt="20" style="position:absolute;left:993775;top:554355;height:1905;width:784860;" filled="f" stroked="t" coordsize="21600,21600" o:gfxdata="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DGGYTXAAAABQEAAA8AAAAAAAAAAQAgAAAA&#10;IgAAAGRycy9kb3ducmV2LnhtbFBLAQIUABQAAAAIAIdO4kDDfOijDAIAAPYDAAAOAAAAAAAAAAEA&#10;IAAAACYBAABkcnMvZTJvRG9jLnhtbFBLBQYAAAAABgAGAFkBAACkBQAAAAA=&#10;">
                  <v:fill on="f" focussize="0,0"/>
                  <v:stroke color="#000000" joinstyle="round" endarrow="block"/>
                  <v:imagedata o:title=""/>
                  <o:lock v:ext="edit" aspectratio="f"/>
                </v:line>
                <v:rect id="_x0000_s1026" o:spid="_x0000_s1026" o:spt="1" style="position:absolute;left:1104265;top:1053465;height:258445;width:434975;"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22hJvX&#10;AAAABQEAAA8AAAAAAAAAAQAgAAAAIgAAAGRycy9kb3ducmV2LnhtbFBLAQIUABQAAAAIAIdO4kDF&#10;iuwDrwEAAE4DAAAOAAAAAAAAAAEAIAAAACYBAABkcnMvZTJvRG9jLnhtbFBLBQYAAAAABgAGAFkB&#10;AABHBQAAAAA=&#10;">
                  <v:fill on="f" focussize="0,0"/>
                  <v:stroke on="f"/>
                  <v:imagedata o:title=""/>
                  <o:lock v:ext="edit" aspectratio="f"/>
                  <v:textbox>
                    <w:txbxContent>
                      <w:p>
                        <w:pPr>
                          <w:spacing w:line="240" w:lineRule="auto"/>
                          <w:rPr>
                            <w:rFonts w:hint="eastAsia"/>
                            <w:sz w:val="21"/>
                            <w:szCs w:val="21"/>
                          </w:rPr>
                        </w:pPr>
                        <w:r>
                          <w:rPr>
                            <w:rFonts w:hint="eastAsia"/>
                            <w:sz w:val="21"/>
                            <w:szCs w:val="21"/>
                          </w:rPr>
                          <w:t>0.22</w:t>
                        </w:r>
                      </w:p>
                    </w:txbxContent>
                  </v:textbox>
                </v:rect>
                <v:shape id="_x0000_s1026" o:spid="_x0000_s1026" o:spt="100" style="position:absolute;left:1985010;top:767715;height:285750;width:375920;" filled="f" stroked="t" coordsize="630,448" o:gfxdata="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B8cER7VAAAABQEAAA8AAAAAAAAAAQAgAAAAIgAAAGRycy9k&#10;b3ducmV2LnhtbFBLAQIUABQAAAAIAIdO4kDH4gcxsAIAAPUFAAAOAAAAAAAAAAEAIAAAACQBAABk&#10;cnMvZTJvRG9jLnhtbFBLBQYAAAAABgAGAFkBAABGBgAAAAA=&#10;" path="m0,448c201,360,402,272,420,244c438,216,88,312,105,278c122,244,438,80,525,40c612,0,612,12,630,40e">
                  <v:fill on="f" focussize="0,0"/>
                  <v:stroke color="#000000" joinstyle="round" dashstyle="dash"/>
                  <v:imagedata o:title=""/>
                  <o:lock v:ext="edit" aspectratio="f"/>
                </v:shape>
                <v:rect id="_x0000_s1026" o:spid="_x0000_s1026" o:spt="1" style="position:absolute;left:2296160;top:678815;height:279400;width:920115;"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baEm9cA&#10;AAAFAQAADwAAAAAAAAABACAAAAAiAAAAZHJzL2Rvd25yZXYueG1sUEsBAhQAFAAAAAgAh07iQMdr&#10;jKquAQAATQMAAA4AAAAAAAAAAQAgAAAAJgEAAGRycy9lMm9Eb2MueG1sUEsFBgAAAAAGAAYAWQEA&#10;AEYFAAAAAA==&#10;">
                  <v:fill on="f" focussize="0,0"/>
                  <v:stroke on="f"/>
                  <v:imagedata o:title=""/>
                  <o:lock v:ext="edit" aspectratio="f"/>
                  <v:textbox>
                    <w:txbxContent>
                      <w:p>
                        <w:pPr>
                          <w:spacing w:line="240" w:lineRule="auto"/>
                          <w:rPr>
                            <w:sz w:val="21"/>
                            <w:szCs w:val="21"/>
                          </w:rPr>
                        </w:pPr>
                        <w:r>
                          <w:rPr>
                            <w:rFonts w:hint="eastAsia"/>
                            <w:sz w:val="21"/>
                            <w:szCs w:val="21"/>
                          </w:rPr>
                          <w:t>损失0.02</w:t>
                        </w:r>
                      </w:p>
                      <w:p>
                        <w:pPr>
                          <w:spacing w:line="240" w:lineRule="auto"/>
                          <w:rPr>
                            <w:sz w:val="21"/>
                            <w:szCs w:val="21"/>
                          </w:rPr>
                        </w:pPr>
                        <w:r>
                          <w:rPr>
                            <w:rFonts w:hint="eastAsia"/>
                            <w:sz w:val="21"/>
                            <w:szCs w:val="21"/>
                          </w:rPr>
                          <w:t>25</w:t>
                        </w:r>
                      </w:p>
                    </w:txbxContent>
                  </v:textbox>
                </v:rect>
                <v:rect id="_x0000_s1026" o:spid="_x0000_s1026" o:spt="1" style="position:absolute;left:1630680;top:1036320;height:480695;width:1280795;" filled="f" stroked="t" coordsize="21600,21600" o:gfxdata="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&#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xBfo1gAAAAUBAAAPAAAAAAAAAAEAIAAAACIAAABk&#10;cnMvZG93bnJldi54bWxQSwECFAAUAAAACACHTuJAGdl9NwgCAAAOBAAADgAAAAAAAAABACAAAAAl&#10;AQAAZHJzL2Uyb0RvYy54bWxQSwUGAAAAAAYABgBZAQAAnwUAAAAA&#10;">
                  <v:fill on="f" focussize="0,0"/>
                  <v:stroke color="#000000" joinstyle="miter"/>
                  <v:imagedata o:title=""/>
                  <o:lock v:ext="edit" aspectratio="f"/>
                  <v:textbox>
                    <w:txbxContent>
                      <w:p>
                        <w:pPr>
                          <w:spacing w:line="240" w:lineRule="auto"/>
                          <w:jc w:val="center"/>
                          <w:rPr>
                            <w:sz w:val="21"/>
                            <w:szCs w:val="21"/>
                          </w:rPr>
                        </w:pPr>
                        <w:r>
                          <w:rPr>
                            <w:rFonts w:hint="eastAsia"/>
                            <w:sz w:val="21"/>
                            <w:szCs w:val="21"/>
                          </w:rPr>
                          <w:t>地面清洁用水及未预见用水</w:t>
                        </w:r>
                      </w:p>
                      <w:p>
                        <w:pPr>
                          <w:spacing w:line="240" w:lineRule="auto"/>
                          <w:rPr>
                            <w:sz w:val="21"/>
                            <w:szCs w:val="21"/>
                          </w:rPr>
                        </w:pPr>
                      </w:p>
                    </w:txbxContent>
                  </v:textbox>
                </v:rect>
                <v:line id="_x0000_s1026" o:spid="_x0000_s1026" o:spt="20" style="position:absolute;left:1015365;top:1299845;flip:y;height:635;width:617220;" filled="f" stroked="t" coordsize="21600,21600" o:gfxdata="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K6M19cAAAAFAQAADwAAAAAA&#10;AAABACAAAAAiAAAAZHJzL2Rvd25yZXYueG1sUEsBAhQAFAAAAAgAh07iQDhuJ/4UAgAAAwQAAA4A&#10;AAAAAAAAAQAgAAAAJgEAAGRycy9lMm9Eb2MueG1sUEsFBgAAAAAGAAYAWQEAAKwFAAAAAA==&#10;">
                  <v:fill on="f" focussize="0,0"/>
                  <v:stroke color="#000000" joinstyle="round" endarrow="block"/>
                  <v:imagedata o:title=""/>
                  <o:lock v:ext="edit" aspectratio="f"/>
                </v:line>
                <v:line id="_x0000_s1026" o:spid="_x0000_s1026" o:spt="20" style="position:absolute;left:2911475;top:1274445;flip:y;height:635;width:385445;" filled="f" stroked="t" coordsize="21600,21600" o:gfxdata="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EtUrUAAAABQEAAA8AAAAAAAAAAQAgAAAAIgAA&#10;AGRycy9kb3ducmV2LnhtbFBLAQIUABQAAAAIAIdO4kAZnkX0DAIAAP8DAAAOAAAAAAAAAAEAIAAA&#10;ACMBAABkcnMvZTJvRG9jLnhtbFBLBQYAAAAABgAGAFkBAAChBQAAAAA=&#10;">
                  <v:fill on="f" focussize="0,0"/>
                  <v:stroke color="#000000" joinstyle="round"/>
                  <v:imagedata o:title=""/>
                  <o:lock v:ext="edit" aspectratio="f"/>
                </v:line>
                <v:line id="_x0000_s1026" o:spid="_x0000_s1026" o:spt="20" style="position:absolute;left:2834005;top:581025;height:635;width:455295;" filled="f" stroked="t" coordsize="21600,21600" o:gfxdata="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srrk1QAAAAUBAAAPAAAAAAAAAAEAIAAAACIAAABkcnMv&#10;ZG93bnJldi54bWxQSwECFAAUAAAACACHTuJAF2TjFwYCAAD0AwAADgAAAAAAAAABACAAAAAkAQAA&#10;ZHJzL2Uyb0RvYy54bWxQSwUGAAAAAAYABgBZAQAAnAUAAAAA&#10;">
                  <v:fill on="f" focussize="0,0"/>
                  <v:stroke color="#000000" joinstyle="round"/>
                  <v:imagedata o:title=""/>
                  <o:lock v:ext="edit" aspectratio="f"/>
                </v:line>
                <v:line id="_x0000_s1026" o:spid="_x0000_s1026" o:spt="20" style="position:absolute;left:3295650;top:572135;flip:x;height:702310;width:635;" filled="f" stroked="t" coordsize="21600,21600" o:gfxdata="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vhLVK1AAAAAUBAAAPAAAAAAAAAAEAIAAAACIA&#10;AABkcnMvZG93bnJldi54bWxQSwECFAAUAAAACACHTuJAiOaMxA0CAAD+AwAADgAAAAAAAAABACAA&#10;AAAjAQAAZHJzL2Uyb0RvYy54bWxQSwUGAAAAAAYABgBZAQAAogUAAAAA&#10;">
                  <v:fill on="f" focussize="0,0"/>
                  <v:stroke color="#000000" joinstyle="round"/>
                  <v:imagedata o:title=""/>
                  <o:lock v:ext="edit" aspectratio="f"/>
                </v:line>
                <v:rect id="_x0000_s1026" o:spid="_x0000_s1026" o:spt="1" style="position:absolute;left:4069715;top:1991360;height:259080;width:727075;"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toSb&#10;1wAAAAUBAAAPAAAAAAAAAAEAIAAAACIAAABkcnMvZG93bnJldi54bWxQSwECFAAUAAAACACHTuJA&#10;qApgQLABAABQAwAADgAAAAAAAAABACAAAAAmAQAAZHJzL2Uyb0RvYy54bWxQSwUGAAAAAAYABgBZ&#10;AQAASAUAAAAA&#10;">
                  <v:fill on="f" focussize="0,0"/>
                  <v:stroke on="f"/>
                  <v:imagedata o:title=""/>
                  <o:lock v:ext="edit" aspectratio="f"/>
                  <v:textbox>
                    <w:txbxContent>
                      <w:p>
                        <w:pPr>
                          <w:spacing w:line="240" w:lineRule="auto"/>
                          <w:jc w:val="center"/>
                          <w:rPr>
                            <w:rFonts w:hint="eastAsia"/>
                            <w:sz w:val="21"/>
                            <w:szCs w:val="21"/>
                          </w:rPr>
                        </w:pPr>
                        <w:r>
                          <w:rPr>
                            <w:rFonts w:hint="eastAsia"/>
                            <w:sz w:val="21"/>
                            <w:szCs w:val="21"/>
                          </w:rPr>
                          <w:t>还田</w:t>
                        </w:r>
                      </w:p>
                    </w:txbxContent>
                  </v:textbox>
                </v:rect>
                <v:line id="_x0000_s1026" o:spid="_x0000_s1026" o:spt="20" style="position:absolute;left:3696970;top:880745;height:635;width:800100;" filled="f" stroked="t" coordsize="21600,21600" o:gfxdata="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srrk1QAAAAUBAAAPAAAAAAAAAAEAIAAAACIAAABkcnMv&#10;ZG93bnJldi54bWxQSwECFAAUAAAACACHTuJAaIQhfwYCAAD0AwAADgAAAAAAAAABACAAAAAkAQAA&#10;ZHJzL2Uyb0RvYy54bWxQSwUGAAAAAAYABgBZAQAAnAUAAAAA&#10;">
                  <v:fill on="f" focussize="0,0"/>
                  <v:stroke color="#000000" joinstyle="round"/>
                  <v:imagedata o:title=""/>
                  <o:lock v:ext="edit" aspectratio="f"/>
                </v:line>
                <v:line id="_x0000_s1026" o:spid="_x0000_s1026" o:spt="20" style="position:absolute;left:4495800;top:880745;height:558800;width:1270;" filled="f" stroked="t" coordsize="21600,21600" o:gfxdata="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srrk1QAAAAUBAAAPAAAAAAAAAAEAIAAAACIAAABkcnMv&#10;ZG93bnJldi54bWxQSwECFAAUAAAACACHTuJA08s10wYCAAD1AwAADgAAAAAAAAABACAAAAAkAQAA&#10;ZHJzL2Uyb0RvYy54bWxQSwUGAAAAAAYABgBZAQAAnAUAAAAA&#10;">
                  <v:fill on="f" focussize="0,0"/>
                  <v:stroke color="#000000" joinstyle="round"/>
                  <v:imagedata o:title=""/>
                  <o:lock v:ext="edit" aspectratio="f"/>
                </v:line>
                <v:rect id="_x0000_s1026" o:spid="_x0000_s1026" o:spt="1" style="position:absolute;left:3799205;top:1448435;height:274955;width:1206500;" filled="f" stroked="t" coordsize="21600,21600" o:gfxdata="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HEF+jWAAAABQEAAA8AAAAAAAAAAQAgAAAA&#10;IgAAAGRycy9kb3ducmV2LnhtbFBLAQIUABQAAAAIAIdO4kDtWGJgDQIAABAEAAAOAAAAAAAAAAEA&#10;IAAAACUBAABkcnMvZTJvRG9jLnhtbFBLBQYAAAAABgAGAFkBAACkBQAAAAA=&#10;">
                  <v:fill on="f" focussize="0,0"/>
                  <v:stroke color="#000000" joinstyle="miter"/>
                  <v:imagedata o:title=""/>
                  <o:lock v:ext="edit" aspectratio="f"/>
                  <v:textbox>
                    <w:txbxContent>
                      <w:p>
                        <w:pPr>
                          <w:spacing w:line="240" w:lineRule="auto"/>
                          <w:jc w:val="center"/>
                          <w:rPr>
                            <w:rFonts w:hint="eastAsia"/>
                            <w:sz w:val="21"/>
                            <w:szCs w:val="21"/>
                          </w:rPr>
                        </w:pPr>
                        <w:r>
                          <w:rPr>
                            <w:rFonts w:hint="eastAsia"/>
                            <w:sz w:val="21"/>
                            <w:szCs w:val="21"/>
                          </w:rPr>
                          <w:t>生化池</w:t>
                        </w:r>
                      </w:p>
                    </w:txbxContent>
                  </v:textbox>
                </v:rect>
                <v:line id="_x0000_s1026" o:spid="_x0000_s1026" o:spt="20" style="position:absolute;left:4467225;top:1743710;flip:x;height:241300;width:6350;" filled="f" stroked="t" coordsize="21600,21600" o:gfxdata="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iujNfXAAAABQEAAA8AAAAA&#10;AAAAAQAgAAAAIgAAAGRycy9kb3ducmV2LnhtbFBLAQIUABQAAAAIAIdO4kCjV+tPFQIAAAQEAAAO&#10;AAAAAAAAAAEAIAAAACYBAABkcnMvZTJvRG9jLnhtbFBLBQYAAAAABgAGAFkBAACtBQAAAAA=&#10;">
                  <v:fill on="f" focussize="0,0"/>
                  <v:stroke color="#000000" joinstyle="round" endarrow="block"/>
                  <v:imagedata o:title=""/>
                  <o:lock v:ext="edit" aspectratio="f"/>
                </v:line>
                <v:rect id="_x0000_s1026" o:spid="_x0000_s1026" o:spt="1" style="position:absolute;left:3282950;top:606425;height:250190;width:591820;"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22hJvX&#10;AAAABQEAAA8AAAAAAAAAAQAgAAAAIgAAAGRycy9kb3ducmV2LnhtbFBLAQIUABQAAAAIAIdO4kCQ&#10;3HtErwEAAE8DAAAOAAAAAAAAAAEAIAAAACYBAABkcnMvZTJvRG9jLnhtbFBLBQYAAAAABgAGAFkB&#10;AABHBQAAAAA=&#10;">
                  <v:fill on="f" focussize="0,0"/>
                  <v:stroke on="f"/>
                  <v:imagedata o:title=""/>
                  <o:lock v:ext="edit" aspectratio="f"/>
                  <v:textbox>
                    <w:txbxContent>
                      <w:p>
                        <w:pPr>
                          <w:spacing w:line="240" w:lineRule="auto"/>
                          <w:rPr>
                            <w:rFonts w:hint="eastAsia"/>
                            <w:sz w:val="21"/>
                            <w:szCs w:val="21"/>
                          </w:rPr>
                        </w:pPr>
                        <w:r>
                          <w:rPr>
                            <w:rFonts w:hint="eastAsia"/>
                            <w:sz w:val="21"/>
                            <w:szCs w:val="21"/>
                          </w:rPr>
                          <w:t>1.10</w:t>
                        </w:r>
                      </w:p>
                    </w:txbxContent>
                  </v:textbox>
                </v:rect>
                <v:rect id="_x0000_s1026" o:spid="_x0000_s1026" o:spt="1" style="position:absolute;left:2412365;top:0;height:279400;width:920115;"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22hJvXAAAABQEA&#10;AA8AAAAAAAAAAQAgAAAAIgAAAGRycy9kb3ducmV2LnhtbFBLAQIUABQAAAAIAIdO4kC8N50nqQEA&#10;AEoDAAAOAAAAAAAAAAEAIAAAACYBAABkcnMvZTJvRG9jLnhtbFBLBQYAAAAABgAGAFkBAABBBQAA&#10;AAA=&#10;">
                  <v:fill on="f" focussize="0,0"/>
                  <v:stroke on="f"/>
                  <v:imagedata o:title=""/>
                  <o:lock v:ext="edit" aspectratio="f"/>
                  <v:textbox>
                    <w:txbxContent>
                      <w:p>
                        <w:pPr>
                          <w:spacing w:line="240" w:lineRule="auto"/>
                          <w:rPr>
                            <w:sz w:val="21"/>
                            <w:szCs w:val="21"/>
                          </w:rPr>
                        </w:pPr>
                        <w:r>
                          <w:rPr>
                            <w:rFonts w:hint="eastAsia"/>
                            <w:sz w:val="21"/>
                            <w:szCs w:val="21"/>
                          </w:rPr>
                          <w:t>损失0.10</w:t>
                        </w:r>
                      </w:p>
                      <w:p>
                        <w:pPr>
                          <w:spacing w:line="240" w:lineRule="auto"/>
                          <w:rPr>
                            <w:sz w:val="21"/>
                            <w:szCs w:val="21"/>
                          </w:rPr>
                        </w:pPr>
                        <w:r>
                          <w:rPr>
                            <w:rFonts w:hint="eastAsia"/>
                            <w:sz w:val="21"/>
                            <w:szCs w:val="21"/>
                          </w:rPr>
                          <w:t>25</w:t>
                        </w:r>
                      </w:p>
                    </w:txbxContent>
                  </v:textbox>
                </v:rect>
                <v:line id="_x0000_s1026" o:spid="_x0000_s1026" o:spt="20" style="position:absolute;left:998220;top:1991360;flip:y;height:635;width:615315;" filled="f" stroked="t" coordsize="21600,21600" o:gfxdata="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YrozX1wAAAAUBAAAPAAAAAAAAAAEA&#10;IAAAACIAAABkcnMvZG93bnJldi54bWxQSwECFAAUAAAACACHTuJA35bjKRACAAACBAAADgAAAAAA&#10;AAABACAAAAAmAQAAZHJzL2Uyb0RvYy54bWxQSwUGAAAAAAYABgBZAQAAqAUAAAAA&#10;">
                  <v:fill on="f" focussize="0,0"/>
                  <v:stroke color="#000000" joinstyle="round" endarrow="block"/>
                  <v:imagedata o:title=""/>
                  <o:lock v:ext="edit" aspectratio="f"/>
                </v:line>
                <v:rect id="_x0000_s1026" o:spid="_x0000_s1026" o:spt="1" style="position:absolute;left:1632585;top:1859915;height:270510;width:1280795;" filled="f" stroked="t" coordsize="21600,21600" o:gfxdata="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HEF+jWAAAABQEAAA8AAAAAAAAAAQAgAAAAIgAA&#10;AGRycy9kb3ducmV2LnhtbFBLAQIUABQAAAAIAIdO4kApAm4vCgIAABAEAAAOAAAAAAAAAAEAIAAA&#10;ACUBAABkcnMvZTJvRG9jLnhtbFBLBQYAAAAABgAGAFkBAAChBQAAAAA=&#10;">
                  <v:fill on="f" focussize="0,0"/>
                  <v:stroke color="#000000" joinstyle="miter"/>
                  <v:imagedata o:title=""/>
                  <o:lock v:ext="edit" aspectratio="f"/>
                  <v:textbox>
                    <w:txbxContent>
                      <w:p>
                        <w:pPr>
                          <w:spacing w:line="240" w:lineRule="auto"/>
                          <w:jc w:val="center"/>
                          <w:rPr>
                            <w:sz w:val="21"/>
                            <w:szCs w:val="21"/>
                          </w:rPr>
                        </w:pPr>
                        <w:r>
                          <w:rPr>
                            <w:rFonts w:hint="eastAsia"/>
                            <w:sz w:val="21"/>
                            <w:szCs w:val="21"/>
                          </w:rPr>
                          <w:t>水帘柜</w:t>
                        </w:r>
                      </w:p>
                      <w:p>
                        <w:pPr>
                          <w:spacing w:line="240" w:lineRule="auto"/>
                          <w:rPr>
                            <w:sz w:val="21"/>
                            <w:szCs w:val="21"/>
                          </w:rPr>
                        </w:pPr>
                      </w:p>
                    </w:txbxContent>
                  </v:textbox>
                </v:rect>
                <v:shape id="_x0000_s1026" o:spid="_x0000_s1026" o:spt="100" style="position:absolute;left:2296160;top:1991360;height:492125;width:1036320;" filled="f" stroked="t" coordsize="1632,775" o:gfxdata="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wAfbb1wAAAAUBAAAPAAAAAAAAAAEAIAAAACIAAABkcnMvZG93bnJldi54bWxQSwEC&#10;FAAUAAAACACHTuJAKXIODWcCAAAbBQAADgAAAAAAAAABACAAAAAmAQAAZHJzL2Uyb0RvYy54bWxQ&#10;SwUGAAAAAAYABgBZAQAA/wUAAAAA&#10;" path="m972,0l1632,0,1632,775,0,775,0,219e">
                  <v:fill on="f" focussize="0,0"/>
                  <v:stroke weight="1pt" color="#000000" joinstyle="round" endarrow="block"/>
                  <v:imagedata o:title=""/>
                  <o:lock v:ext="edit" aspectratio="f"/>
                </v:shape>
                <v:rect id="_x0000_s1026" o:spid="_x0000_s1026" o:spt="1" style="position:absolute;left:2767965;top:979170;height:295910;width:625475;"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22hJvX&#10;AAAABQEAAA8AAAAAAAAAAQAgAAAAIgAAAGRycy9kb3ducmV2LnhtbFBLAQIUABQAAAAIAIdO4kDp&#10;MwkgrwEAAE8DAAAOAAAAAAAAAAEAIAAAACYBAABkcnMvZTJvRG9jLnhtbFBLBQYAAAAABgAGAFkB&#10;AABHBQAAAAA=&#10;">
                  <v:fill on="f" focussize="0,0"/>
                  <v:stroke on="f"/>
                  <v:imagedata o:title=""/>
                  <o:lock v:ext="edit" aspectratio="f"/>
                  <v:textbox>
                    <w:txbxContent>
                      <w:p>
                        <w:pPr>
                          <w:spacing w:line="240" w:lineRule="auto"/>
                          <w:ind w:firstLine="210" w:firstLineChars="100"/>
                          <w:rPr>
                            <w:sz w:val="21"/>
                            <w:szCs w:val="21"/>
                          </w:rPr>
                        </w:pPr>
                        <w:r>
                          <w:rPr>
                            <w:rFonts w:hint="eastAsia"/>
                            <w:sz w:val="21"/>
                            <w:szCs w:val="21"/>
                          </w:rPr>
                          <w:t>0.20</w:t>
                        </w:r>
                      </w:p>
                    </w:txbxContent>
                  </v:textbox>
                </v:rect>
                <v:rect id="_x0000_s1026" o:spid="_x0000_s1026" o:spt="1" style="position:absolute;left:1104265;top:1723390;height:258445;width:434975;"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toSb&#10;1wAAAAUBAAAPAAAAAAAAAAEAIAAAACIAAABkcnMvZG93bnJldi54bWxQSwECFAAUAAAACACHTuJA&#10;jxjnO7ABAABQAwAADgAAAAAAAAABACAAAAAmAQAAZHJzL2Uyb0RvYy54bWxQSwUGAAAAAAYABgBZ&#10;AQAASAUAAAAA&#10;">
                  <v:fill on="f" focussize="0,0"/>
                  <v:stroke on="f"/>
                  <v:imagedata o:title=""/>
                  <o:lock v:ext="edit" aspectratio="f"/>
                  <v:textbox>
                    <w:txbxContent>
                      <w:p>
                        <w:pPr>
                          <w:spacing w:line="240" w:lineRule="auto"/>
                          <w:rPr>
                            <w:rFonts w:hint="eastAsia"/>
                            <w:sz w:val="21"/>
                            <w:szCs w:val="21"/>
                          </w:rPr>
                        </w:pPr>
                        <w:r>
                          <w:rPr>
                            <w:rFonts w:hint="eastAsia"/>
                            <w:sz w:val="21"/>
                            <w:szCs w:val="21"/>
                          </w:rPr>
                          <w:t>0.1</w:t>
                        </w:r>
                      </w:p>
                    </w:txbxContent>
                  </v:textbox>
                </v:rect>
                <v:shape id="_x0000_s1026" o:spid="_x0000_s1026" o:spt="100" style="position:absolute;left:1985010;top:1574165;height:285750;width:375920;" filled="f" stroked="t" coordsize="630,448" o:gfxdata="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B8cER7VAAAABQEAAA8AAAAAAAAAAQAgAAAAIgAAAGRycy9k&#10;b3ducmV2LnhtbFBLAQIUABQAAAAIAIdO4kAvQGfisAIAAPgFAAAOAAAAAAAAAAEAIAAAACQBAABk&#10;cnMvZTJvRG9jLnhtbFBLBQYAAAAABgAGAFkBAABGBgAAAAA=&#10;" path="m0,448c201,360,402,272,420,244c438,216,88,312,105,278c122,244,438,80,525,40c612,0,612,12,630,40e">
                  <v:fill on="f" focussize="0,0"/>
                  <v:stroke color="#000000" joinstyle="round" dashstyle="dash"/>
                  <v:imagedata o:title=""/>
                  <o:lock v:ext="edit" aspectratio="f"/>
                </v:shape>
                <v:rect id="_x0000_s1026" o:spid="_x0000_s1026" o:spt="1" style="position:absolute;left:2296160;top:1485265;height:279400;width:920115;"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toSb&#10;1wAAAAUBAAAPAAAAAAAAAAEAIAAAACIAAABkcnMvZG93bnJldi54bWxQSwECFAAUAAAACACHTuJA&#10;JEnwabABAABQAwAADgAAAAAAAAABACAAAAAmAQAAZHJzL2Uyb0RvYy54bWxQSwUGAAAAAAYABgBZ&#10;AQAASAUAAAAA&#10;">
                  <v:fill on="f" focussize="0,0"/>
                  <v:stroke on="f"/>
                  <v:imagedata o:title=""/>
                  <o:lock v:ext="edit" aspectratio="f"/>
                  <v:textbox>
                    <w:txbxContent>
                      <w:p>
                        <w:pPr>
                          <w:spacing w:line="240" w:lineRule="auto"/>
                          <w:rPr>
                            <w:sz w:val="21"/>
                            <w:szCs w:val="21"/>
                          </w:rPr>
                        </w:pPr>
                        <w:r>
                          <w:rPr>
                            <w:rFonts w:hint="eastAsia"/>
                            <w:sz w:val="21"/>
                            <w:szCs w:val="21"/>
                          </w:rPr>
                          <w:t>损失0.1</w:t>
                        </w:r>
                      </w:p>
                      <w:p>
                        <w:pPr>
                          <w:spacing w:line="240" w:lineRule="auto"/>
                          <w:rPr>
                            <w:sz w:val="21"/>
                            <w:szCs w:val="21"/>
                          </w:rPr>
                        </w:pPr>
                        <w:r>
                          <w:rPr>
                            <w:rFonts w:hint="eastAsia"/>
                            <w:sz w:val="21"/>
                            <w:szCs w:val="21"/>
                          </w:rPr>
                          <w:t>25</w:t>
                        </w:r>
                      </w:p>
                    </w:txbxContent>
                  </v:textbox>
                </v:rect>
                <v:rect id="_x0000_s1026" o:spid="_x0000_s1026" o:spt="1" style="position:absolute;left:2532380;top:2204085;height:279400;width:965200;" filled="f" stroked="f" coordsize="21600,21600" o:gfxdata="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dtoSb&#10;1wAAAAUBAAAPAAAAAAAAAAEAIAAAACIAAABkcnMvZG93bnJldi54bWxQSwECFAAUAAAACACHTuJA&#10;YmlSObABAABQAwAADgAAAAAAAAABACAAAAAmAQAAZHJzL2Uyb0RvYy54bWxQSwUGAAAAAAYABgBZ&#10;AQAASAUAAAAA&#10;">
                  <v:fill on="f" focussize="0,0"/>
                  <v:stroke on="f"/>
                  <v:imagedata o:title=""/>
                  <o:lock v:ext="edit" aspectratio="f"/>
                  <v:textbox>
                    <w:txbxContent>
                      <w:p>
                        <w:pPr>
                          <w:spacing w:line="240" w:lineRule="auto"/>
                          <w:rPr>
                            <w:sz w:val="21"/>
                            <w:szCs w:val="21"/>
                          </w:rPr>
                        </w:pPr>
                        <w:r>
                          <w:rPr>
                            <w:rFonts w:hint="eastAsia"/>
                            <w:sz w:val="21"/>
                            <w:szCs w:val="21"/>
                          </w:rPr>
                          <w:t>5m</w:t>
                        </w:r>
                        <w:r>
                          <w:rPr>
                            <w:rFonts w:hint="eastAsia"/>
                            <w:sz w:val="21"/>
                            <w:szCs w:val="21"/>
                            <w:vertAlign w:val="superscript"/>
                          </w:rPr>
                          <w:t>3</w:t>
                        </w:r>
                        <w:r>
                          <w:rPr>
                            <w:rFonts w:hint="eastAsia"/>
                            <w:sz w:val="21"/>
                            <w:szCs w:val="21"/>
                          </w:rPr>
                          <w:t>/h循环</w:t>
                        </w:r>
                      </w:p>
                      <w:p>
                        <w:pPr>
                          <w:spacing w:line="240" w:lineRule="auto"/>
                          <w:rPr>
                            <w:sz w:val="21"/>
                            <w:szCs w:val="21"/>
                          </w:rPr>
                        </w:pPr>
                        <w:r>
                          <w:rPr>
                            <w:rFonts w:hint="eastAsia"/>
                            <w:sz w:val="21"/>
                            <w:szCs w:val="21"/>
                          </w:rPr>
                          <w:t>25</w:t>
                        </w:r>
                      </w:p>
                    </w:txbxContent>
                  </v:textbox>
                </v:rect>
                <w10:wrap type="none"/>
                <w10:anchorlock/>
              </v:group>
            </w:pict>
          </mc:Fallback>
        </mc:AlternateContent>
      </w:r>
    </w:p>
    <w:p>
      <w:pPr>
        <w:spacing w:line="240" w:lineRule="auto"/>
        <w:jc w:val="center"/>
      </w:pPr>
      <w:r>
        <w:rPr>
          <w:rFonts w:hint="eastAsia"/>
          <w:b/>
          <w:bCs/>
          <w:sz w:val="21"/>
          <w:szCs w:val="21"/>
          <w:lang w:val="en-US" w:eastAsia="zh-CN"/>
        </w:rPr>
        <w:t xml:space="preserve">        </w:t>
      </w:r>
      <w:r>
        <w:rPr>
          <w:rFonts w:hint="eastAsia"/>
          <w:b/>
          <w:bCs/>
          <w:sz w:val="21"/>
          <w:szCs w:val="21"/>
        </w:rPr>
        <w:t>图3.1水平衡图（单位：m</w:t>
      </w:r>
      <w:r>
        <w:rPr>
          <w:rFonts w:hint="eastAsia"/>
          <w:b/>
          <w:bCs/>
          <w:sz w:val="21"/>
          <w:szCs w:val="21"/>
          <w:vertAlign w:val="superscript"/>
        </w:rPr>
        <w:t>3</w:t>
      </w:r>
      <w:r>
        <w:rPr>
          <w:rFonts w:hint="eastAsia"/>
          <w:b/>
          <w:bCs/>
          <w:sz w:val="21"/>
          <w:szCs w:val="21"/>
        </w:rPr>
        <w:t>/d）</w:t>
      </w:r>
    </w:p>
    <w:p>
      <w:pPr>
        <w:pStyle w:val="4"/>
      </w:pPr>
      <w:bookmarkStart w:id="40" w:name="_Toc25175"/>
      <w:r>
        <w:t>3.</w:t>
      </w:r>
      <w:r>
        <w:rPr>
          <w:rFonts w:hint="eastAsia"/>
        </w:rPr>
        <w:t>6</w:t>
      </w:r>
      <w:r>
        <w:t xml:space="preserve"> 生产工艺</w:t>
      </w:r>
      <w:bookmarkEnd w:id="38"/>
      <w:bookmarkEnd w:id="40"/>
    </w:p>
    <w:p>
      <w:pPr>
        <w:pStyle w:val="11"/>
        <w:ind w:firstLine="472" w:firstLineChars="200"/>
        <w:rPr>
          <w:rFonts w:hint="eastAsia"/>
          <w:lang w:val="en-US" w:eastAsia="zh-CN"/>
        </w:rPr>
      </w:pPr>
      <w:r>
        <w:rPr>
          <w:rFonts w:hint="eastAsia"/>
          <w:lang w:val="en-US" w:eastAsia="zh-CN"/>
        </w:rPr>
        <w:t>项目包括</w:t>
      </w:r>
      <w:r>
        <w:rPr>
          <w:rFonts w:hint="eastAsia"/>
          <w:u w:val="single"/>
          <w:lang w:val="en-US" w:eastAsia="zh-CN"/>
        </w:rPr>
        <w:t>生态木套装门</w:t>
      </w:r>
      <w:r>
        <w:rPr>
          <w:rFonts w:hint="eastAsia"/>
          <w:lang w:val="en-US" w:eastAsia="zh-CN"/>
        </w:rPr>
        <w:t>和</w:t>
      </w:r>
      <w:r>
        <w:rPr>
          <w:rFonts w:hint="eastAsia"/>
          <w:u w:val="single"/>
          <w:lang w:val="en-US" w:eastAsia="zh-CN"/>
        </w:rPr>
        <w:t>油漆套装门</w:t>
      </w:r>
      <w:r>
        <w:rPr>
          <w:rFonts w:hint="eastAsia"/>
          <w:lang w:val="en-US" w:eastAsia="zh-CN"/>
        </w:rPr>
        <w:t>2种产品，除了原料不同，2种产品木工部分的生产工艺相似，油漆门比生态木套装门多一道上漆工序。2种产品都包含的生产工序有：开料、雕花、砂光、刷胶、冷压、封边、包装等；油漆门的上漆工序包括：重砂、铣形、木磨打磨、调漆、喷底漆、晾干 1（喷底漆后晾干）、油磨、喷面漆、晾干 2（喷面漆后晾干）。</w:t>
      </w:r>
    </w:p>
    <w:p>
      <w:pPr>
        <w:pStyle w:val="11"/>
        <w:ind w:firstLine="472" w:firstLineChars="200"/>
        <w:rPr>
          <w:rFonts w:hint="eastAsia"/>
          <w:lang w:val="en-US" w:eastAsia="zh-CN"/>
        </w:rPr>
      </w:pPr>
      <w:r>
        <w:rPr>
          <w:rFonts w:hint="eastAsia"/>
          <w:lang w:val="en-US" w:eastAsia="zh-CN"/>
        </w:rPr>
        <w:t>在拟建项目生产工序中，开料、拼板、刨光、铣型、组装、封边、钻孔、砂光工序在木工区（生产厂房第一层）进行。调漆、喷底漆、晾干1、油磨、喷面漆、晾干2 工序在油漆区进行（生产厂房第二层）。其中，调漆、喷底漆、喷面漆等工序分别在相应的喷漆房中进行，晾干 1 和晾干 2在相应晾干房中进行，喷漆房与晾干房相连通，油磨工序在油磨房中进行。包装工序位于成品包装区（生产厂房第二层）。</w:t>
      </w:r>
    </w:p>
    <w:p>
      <w:pPr>
        <w:pStyle w:val="11"/>
        <w:ind w:firstLine="472" w:firstLineChars="200"/>
        <w:rPr>
          <w:rFonts w:hint="eastAsia"/>
          <w:lang w:val="en-US" w:eastAsia="zh-CN"/>
        </w:rPr>
      </w:pPr>
      <w:r>
        <w:rPr>
          <w:rFonts w:hint="eastAsia"/>
          <w:lang w:val="en-US" w:eastAsia="zh-CN"/>
        </w:rPr>
        <w:t>项目工艺流程及产污环节详见图项目生产工艺流程及产污环节详见图3.2</w:t>
      </w:r>
    </w:p>
    <w:p>
      <w:pPr>
        <w:pStyle w:val="2"/>
        <w:jc w:val="center"/>
        <w:rPr>
          <w:rFonts w:hint="eastAsia" w:eastAsia="宋体"/>
          <w:lang w:eastAsia="zh-CN"/>
        </w:rPr>
      </w:pPr>
    </w:p>
    <w:p>
      <w:pPr>
        <w:pStyle w:val="2"/>
        <w:jc w:val="center"/>
        <w:rPr>
          <w:rFonts w:hint="eastAsia"/>
        </w:rPr>
      </w:pPr>
      <w:r>
        <w:drawing>
          <wp:inline distT="0" distB="0" distL="114300" distR="114300">
            <wp:extent cx="5410200" cy="7677150"/>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b="14709"/>
                    <a:stretch>
                      <a:fillRect/>
                    </a:stretch>
                  </pic:blipFill>
                  <pic:spPr>
                    <a:xfrm>
                      <a:off x="0" y="0"/>
                      <a:ext cx="5410200" cy="7677150"/>
                    </a:xfrm>
                    <a:prstGeom prst="rect">
                      <a:avLst/>
                    </a:prstGeom>
                    <a:noFill/>
                    <a:ln>
                      <a:noFill/>
                    </a:ln>
                  </pic:spPr>
                </pic:pic>
              </a:graphicData>
            </a:graphic>
          </wp:inline>
        </w:drawing>
      </w:r>
    </w:p>
    <w:p>
      <w:pPr>
        <w:pStyle w:val="2"/>
        <w:jc w:val="center"/>
        <w:rPr>
          <w:rFonts w:hint="eastAsia"/>
          <w:b/>
          <w:bCs/>
          <w:sz w:val="28"/>
          <w:szCs w:val="28"/>
          <w:lang w:val="en-US" w:eastAsia="zh-CN"/>
        </w:rPr>
      </w:pPr>
      <w:r>
        <w:rPr>
          <w:rFonts w:hint="eastAsia" w:ascii="Times New Roman" w:hAnsi="Times New Roman" w:eastAsia="宋体" w:cstheme="minorBidi"/>
          <w:b/>
          <w:bCs/>
          <w:sz w:val="21"/>
          <w:szCs w:val="21"/>
          <w:lang w:val="en-US" w:eastAsia="zh-CN" w:bidi="ar-SA"/>
        </w:rPr>
        <w:t>图3.2   生产工艺及产污环节图</w:t>
      </w:r>
    </w:p>
    <w:p>
      <w:pPr>
        <w:pStyle w:val="11"/>
        <w:ind w:firstLine="474" w:firstLineChars="200"/>
        <w:rPr>
          <w:rFonts w:hint="eastAsia"/>
          <w:b/>
          <w:bCs/>
          <w:lang w:val="en-US" w:eastAsia="zh-CN"/>
        </w:rPr>
      </w:pPr>
      <w:r>
        <w:rPr>
          <w:rFonts w:hint="eastAsia"/>
          <w:b/>
          <w:bCs/>
          <w:lang w:val="en-US" w:eastAsia="zh-CN"/>
        </w:rPr>
        <w:t>工艺流程简述：</w:t>
      </w:r>
    </w:p>
    <w:p>
      <w:pPr>
        <w:ind w:firstLine="480" w:firstLineChars="200"/>
        <w:rPr>
          <w:rFonts w:hint="eastAsia"/>
          <w:bCs/>
        </w:rPr>
      </w:pPr>
      <w:r>
        <w:rPr>
          <w:rFonts w:hint="eastAsia"/>
          <w:bCs/>
        </w:rPr>
        <w:t>下料：按照需要的尺寸、规格和质量要求，用推台锯、压刨床等分别将外购的木材、面板进行定长、定宽、定厚，得到所需的门套和门扇所需材料。此过程中会产生一定量的边角料及木屑（S1）、木工粉尘（G1）、布袋除尘器收尘灰（S2）及噪声（N）。</w:t>
      </w:r>
    </w:p>
    <w:p>
      <w:pPr>
        <w:ind w:firstLine="480" w:firstLineChars="200"/>
        <w:rPr>
          <w:rFonts w:hint="eastAsia"/>
          <w:bCs/>
        </w:rPr>
      </w:pPr>
      <w:r>
        <w:rPr>
          <w:rFonts w:hint="eastAsia"/>
          <w:bCs/>
        </w:rPr>
        <w:t>内架制作：将开料后的木料通过钉架加工成门内架，此工序不进行涂胶。</w:t>
      </w:r>
    </w:p>
    <w:p>
      <w:pPr>
        <w:ind w:firstLine="480" w:firstLineChars="200"/>
        <w:rPr>
          <w:rFonts w:hint="eastAsia"/>
          <w:bCs/>
        </w:rPr>
      </w:pPr>
      <w:r>
        <w:rPr>
          <w:rFonts w:hint="eastAsia"/>
          <w:bCs/>
        </w:rPr>
        <w:t>雕花：仅门扇需要造型，门套不需要造型。用雕刻机在裁锯好的密度板上雕</w:t>
      </w:r>
    </w:p>
    <w:p>
      <w:pPr>
        <w:rPr>
          <w:rFonts w:hint="eastAsia"/>
          <w:bCs/>
        </w:rPr>
      </w:pPr>
      <w:r>
        <w:rPr>
          <w:rFonts w:hint="eastAsia"/>
          <w:bCs/>
        </w:rPr>
        <w:t>刻出所需的造型，作为门扇面板。此过程产生一定量的木工粉尘（G2）、布袋除尘器收尘灰（S2）、噪声（N）。</w:t>
      </w:r>
    </w:p>
    <w:p>
      <w:pPr>
        <w:ind w:firstLine="480" w:firstLineChars="200"/>
        <w:rPr>
          <w:rFonts w:hint="eastAsia"/>
          <w:bCs/>
        </w:rPr>
      </w:pPr>
      <w:r>
        <w:rPr>
          <w:rFonts w:hint="eastAsia"/>
          <w:bCs/>
        </w:rPr>
        <w:t>机压组合：人工用毛刷在造型后的门扇面板上均匀地涂覆一层白乳胶，使其具有粘附能力，将 2 张门扇面板与 1 个门框按照面板-门框-面板的顺序粘贴好，再放入冷压机上加压压制成室内套装门门扇的雏形。此过程中会产生一定量的废胶桶（S3）、涂胶废气（G3）、噪声（N）。</w:t>
      </w:r>
    </w:p>
    <w:p>
      <w:pPr>
        <w:ind w:firstLine="480" w:firstLineChars="200"/>
        <w:rPr>
          <w:rFonts w:hint="eastAsia"/>
          <w:bCs/>
        </w:rPr>
      </w:pPr>
      <w:r>
        <w:rPr>
          <w:rFonts w:hint="eastAsia"/>
          <w:bCs/>
        </w:rPr>
        <w:t>精裁：将压制成型的门扇和门套，根据生产尺寸，采用推台锯进行再次裁切，此过程中将产生一定量的边角料（S1）、木工粉尘（G4）、布袋除尘器收尘灰（S2）、噪声（N）。</w:t>
      </w:r>
    </w:p>
    <w:p>
      <w:pPr>
        <w:ind w:firstLine="480" w:firstLineChars="200"/>
        <w:rPr>
          <w:rFonts w:hint="eastAsia"/>
          <w:bCs/>
        </w:rPr>
      </w:pPr>
      <w:r>
        <w:rPr>
          <w:rFonts w:hint="eastAsia"/>
          <w:bCs/>
        </w:rPr>
        <w:t>铣型：将门套放在立铣机上，根据设定程序及尺寸，用立铣机对门套进行铣型开槽。过程中将产生一定量的边角料（S1）、木工粉尘（G5）、布袋除尘器收尘灰（S2）、噪声（N）。</w:t>
      </w:r>
    </w:p>
    <w:p>
      <w:pPr>
        <w:ind w:firstLine="480" w:firstLineChars="200"/>
        <w:rPr>
          <w:rFonts w:hint="eastAsia"/>
          <w:bCs/>
        </w:rPr>
      </w:pPr>
      <w:r>
        <w:rPr>
          <w:rFonts w:hint="eastAsia"/>
          <w:bCs/>
        </w:rPr>
        <w:t>砂光：门扇、门套在重型砂光机上进行砂光，去掉毛刺和锐角，使其表面平整、光滑，以便于后续加工。此过程产生一定量的木工粉尘（G6）、布袋除尘器收尘灰（S2）、噪声（N）。</w:t>
      </w:r>
    </w:p>
    <w:p>
      <w:pPr>
        <w:ind w:firstLine="480" w:firstLineChars="200"/>
        <w:rPr>
          <w:rFonts w:hint="eastAsia"/>
          <w:bCs/>
        </w:rPr>
      </w:pPr>
      <w:r>
        <w:rPr>
          <w:rFonts w:hint="eastAsia"/>
          <w:bCs/>
        </w:rPr>
        <w:t>封边：在封边机的卡槽内装上实木边皮，用热熔胶对木料板件进行封边。热熔胶加热温度为 200℃。该工序中会产生热熔胶废气（G7），以无组织形式排放。</w:t>
      </w:r>
    </w:p>
    <w:p>
      <w:pPr>
        <w:ind w:firstLine="480" w:firstLineChars="200"/>
        <w:rPr>
          <w:rFonts w:hint="eastAsia"/>
          <w:bCs/>
        </w:rPr>
      </w:pPr>
      <w:r>
        <w:rPr>
          <w:rFonts w:hint="eastAsia"/>
          <w:bCs/>
        </w:rPr>
        <w:t>封边之后，生态木套装门可以包装入库；油漆套装门进行打磨和喷漆。</w:t>
      </w:r>
    </w:p>
    <w:p>
      <w:pPr>
        <w:ind w:firstLine="480" w:firstLineChars="200"/>
        <w:rPr>
          <w:rFonts w:hint="eastAsia"/>
          <w:bCs/>
        </w:rPr>
      </w:pPr>
      <w:r>
        <w:rPr>
          <w:rFonts w:hint="eastAsia"/>
          <w:bCs/>
        </w:rPr>
        <w:t>批灰打磨：人工将腻子灰用刷子将其均匀地涂覆在套装门表面，对其表面的纤维孔、钉眼、小坑进行填补、封固，待其完全干燥后用小型手提式打磨机进行打磨。该工序均在批灰打磨房内进行。批灰打磨房采用布袋除尘系统对批灰打磨粉尘进行处理，粉尘经处理后由 1#排气筒排放，该工序将产生批灰打磨粉尘（G8）、和噪声（N），粉尘经过布袋除尘系统处理后产生废漆渣（S7）。</w:t>
      </w:r>
    </w:p>
    <w:p>
      <w:pPr>
        <w:ind w:firstLine="480" w:firstLineChars="200"/>
        <w:rPr>
          <w:rFonts w:hint="eastAsia"/>
          <w:bCs/>
        </w:rPr>
      </w:pPr>
      <w:r>
        <w:rPr>
          <w:rFonts w:hint="eastAsia"/>
          <w:bCs/>
        </w:rPr>
        <w:t>裱贴：采用人工手动刷制的方式将白乳胶均匀地刷在室内套装门表面，使其具有粘附能力，再将相应尺寸的木纹纸、木皮粘贴在室内套装门表面，该工序将产生一定量的废胶桶（S3）、涂胶废气（G9）。</w:t>
      </w:r>
    </w:p>
    <w:p>
      <w:pPr>
        <w:ind w:firstLine="480" w:firstLineChars="200"/>
        <w:rPr>
          <w:rFonts w:hint="eastAsia"/>
          <w:bCs/>
        </w:rPr>
      </w:pPr>
      <w:r>
        <w:rPr>
          <w:rFonts w:hint="eastAsia"/>
          <w:bCs/>
        </w:rPr>
        <w:t>喷底漆及风干：拟建项目在油漆房内进行调漆，调漆过程中将产生一定量的调漆废气（G10）；将调配好的底漆漆料在喷漆房内，用喷枪喷涂到家具表面指定位置，使家具表面具备初步的光泽和耐磨性。喷底漆工序中产生喷底漆废气（G11）；底漆喷好后，放置在晾干房内进行恒湿晾干，该工序中产生晾漆废气（G12），同时产生废漆桶（S4）、废手套（S5）、产生的废气采用“水帘 +UV 光解+活性炭”工艺进行处理达标排放，在废气处理过程中会产生废活性炭（S6）、漆渣（S7）、废过滤材料（S8）。</w:t>
      </w:r>
    </w:p>
    <w:p>
      <w:pPr>
        <w:ind w:firstLine="480" w:firstLineChars="200"/>
        <w:rPr>
          <w:rFonts w:hint="eastAsia"/>
          <w:bCs/>
        </w:rPr>
      </w:pPr>
      <w:r>
        <w:rPr>
          <w:rFonts w:hint="eastAsia"/>
          <w:bCs/>
        </w:rPr>
        <w:t>油磨：将风干后的半成品人工送入油磨房进行油磨。在半封闭式油磨房内进行，采用手工打磨，噪声较小。油磨房采用布袋除尘系统对油磨粉尘进行处理，并由 1#排气筒排放，该工序将产生油磨粉尘（G13）、废砂纸（S8）和噪声（N），粉尘经过布袋除尘系统处理后产生废漆渣（S7）。</w:t>
      </w:r>
    </w:p>
    <w:p>
      <w:pPr>
        <w:ind w:firstLine="480" w:firstLineChars="200"/>
        <w:rPr>
          <w:rFonts w:hint="eastAsia"/>
          <w:bCs/>
        </w:rPr>
      </w:pPr>
      <w:r>
        <w:rPr>
          <w:rFonts w:hint="eastAsia"/>
          <w:bCs/>
        </w:rPr>
        <w:t>喷面漆及晾干：人工将油磨后门扇和门套送入面漆房进行面漆喷涂，门扇和门套底漆喷好后，放置喷漆房内进行自然干燥，进入晾干房固化，晾干房与油漆房相连。当室内温度低于 10℃时，在晾干房内采用采用烤灯照射进行加热烘烤，烘烤温度控制在 30℃。当风干工序结束后，待风机运行 3~5min 钟后，再关闭风机，达到冷却的效果。喷面漆、风干工序中将产生喷涂废气（G10）、喷漆废气(G11)、晾漆废气(G12)、废漆桶（S4）、废手套（S5），产生的废气采用“水帘+UV 光解+活性炭”工艺进行处理达标排放，在废气处理过程中会产生废活性炭（S6）、漆渣（S7）。</w:t>
      </w:r>
    </w:p>
    <w:p>
      <w:pPr>
        <w:ind w:firstLine="480" w:firstLineChars="200"/>
        <w:rPr>
          <w:rFonts w:hint="eastAsia"/>
          <w:bCs/>
        </w:rPr>
      </w:pPr>
      <w:r>
        <w:rPr>
          <w:rFonts w:hint="eastAsia"/>
          <w:bCs/>
        </w:rPr>
        <w:t>包装入库：对风干后的工件进行人工包装、入库，放入成品库房暂存。</w:t>
      </w:r>
    </w:p>
    <w:p>
      <w:pPr>
        <w:ind w:firstLine="480" w:firstLineChars="200"/>
        <w:rPr>
          <w:rFonts w:hint="eastAsia"/>
          <w:lang w:val="en-US" w:eastAsia="zh-CN"/>
        </w:rPr>
      </w:pPr>
      <w:r>
        <w:rPr>
          <w:rFonts w:hint="eastAsia"/>
          <w:bCs/>
        </w:rPr>
        <w:t>喷漆清洗：喷漆设备、输漆管路在运行一段时间后需要进行清洗。管路清洗包括油漆输送泵、管道和喷枪的清洗。主要清洗方式为：利用油漆泵将清洗剂吸入在一定压力下进行清洗，喷枪每天下班时进行清洗。拟建项目以稀释剂作为清洗剂，经过静置沉淀后，上部的清液回用于调漆，底部的沉渣作为废漆渣（S7）处置。</w:t>
      </w:r>
    </w:p>
    <w:p>
      <w:pPr>
        <w:pStyle w:val="4"/>
      </w:pPr>
      <w:r>
        <w:rPr>
          <w:rFonts w:hint="eastAsia"/>
          <w:lang w:val="en-US" w:eastAsia="zh-CN"/>
        </w:rPr>
        <w:t xml:space="preserve"> </w:t>
      </w:r>
      <w:bookmarkStart w:id="41" w:name="_Toc3859"/>
      <w:r>
        <w:rPr>
          <w:rFonts w:hint="eastAsia"/>
        </w:rPr>
        <w:t>3.7 项目变动情况</w:t>
      </w:r>
      <w:bookmarkEnd w:id="41"/>
    </w:p>
    <w:p>
      <w:pPr>
        <w:pStyle w:val="11"/>
        <w:ind w:firstLine="472" w:firstLineChars="200"/>
        <w:rPr>
          <w:rFonts w:hint="eastAsia"/>
          <w:lang w:val="en-US" w:eastAsia="zh-CN"/>
        </w:rPr>
      </w:pPr>
      <w:bookmarkStart w:id="42" w:name="_Toc497833577"/>
      <w:r>
        <w:rPr>
          <w:rFonts w:hint="eastAsia"/>
          <w:lang w:val="en-US" w:eastAsia="zh-CN"/>
        </w:rPr>
        <w:t>综上所述，重庆市万州区启豪套装门厂套装门生产项目建设内容几乎一致，项目现无食堂。环保治理设施已按照环评要求进行建设。</w:t>
      </w:r>
    </w:p>
    <w:p>
      <w:pPr>
        <w:pStyle w:val="11"/>
        <w:ind w:firstLine="472" w:firstLineChars="200"/>
        <w:rPr>
          <w:rFonts w:hint="eastAsia"/>
          <w:lang w:val="en-US" w:eastAsia="zh-CN"/>
        </w:rPr>
      </w:pPr>
      <w:r>
        <w:rPr>
          <w:rFonts w:hint="eastAsia"/>
          <w:lang w:val="en-US" w:eastAsia="zh-CN"/>
        </w:rPr>
        <w:t>根据关于印发《污染影响类建设项目重大变动清单（试行）》的通知，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w:t>
      </w:r>
    </w:p>
    <w:p>
      <w:pPr>
        <w:pStyle w:val="11"/>
        <w:ind w:firstLine="472" w:firstLineChars="200"/>
        <w:rPr>
          <w:rFonts w:hint="eastAsia"/>
          <w:lang w:val="en-US" w:eastAsia="zh-CN"/>
        </w:rPr>
      </w:pPr>
      <w:r>
        <w:rPr>
          <w:rFonts w:hint="eastAsia"/>
          <w:lang w:val="en-US" w:eastAsia="zh-CN"/>
        </w:rPr>
        <w:t>本验收项目的性质、规模、地点、生产工艺和环境保护措施未发生重大变动，因此，本验收项目的变更内容不属于重大变动，可纳入竣工环境保护验收管理。</w:t>
      </w:r>
    </w:p>
    <w:p>
      <w:pPr>
        <w:pStyle w:val="11"/>
        <w:ind w:firstLine="472" w:firstLineChars="200"/>
        <w:rPr>
          <w:rFonts w:hint="eastAsia"/>
          <w:lang w:val="en-US" w:eastAsia="zh-CN"/>
        </w:rPr>
        <w:sectPr>
          <w:pgSz w:w="11905" w:h="16838"/>
          <w:pgMar w:top="1083" w:right="1440" w:bottom="1083" w:left="1440" w:header="737" w:footer="850" w:gutter="0"/>
          <w:cols w:space="0" w:num="1"/>
          <w:docGrid w:type="lines" w:linePitch="322" w:charSpace="0"/>
        </w:sectPr>
      </w:pPr>
    </w:p>
    <w:bookmarkEnd w:id="22"/>
    <w:bookmarkEnd w:id="42"/>
    <w:p>
      <w:pPr>
        <w:pStyle w:val="3"/>
      </w:pPr>
      <w:bookmarkStart w:id="43" w:name="_Toc681"/>
      <w:r>
        <w:t>4  环境保护设施</w:t>
      </w:r>
      <w:bookmarkEnd w:id="43"/>
    </w:p>
    <w:p>
      <w:pPr>
        <w:pStyle w:val="4"/>
      </w:pPr>
      <w:bookmarkStart w:id="44" w:name="_Toc497833579"/>
      <w:bookmarkStart w:id="45" w:name="_Toc22582"/>
      <w:r>
        <w:t>4.1 污染物治理/处置设施</w:t>
      </w:r>
      <w:bookmarkEnd w:id="44"/>
      <w:bookmarkEnd w:id="45"/>
    </w:p>
    <w:p>
      <w:pPr>
        <w:pStyle w:val="5"/>
      </w:pPr>
      <w:bookmarkStart w:id="46" w:name="_Toc497833580"/>
      <w:r>
        <w:t>4.1.1 废水</w:t>
      </w:r>
      <w:bookmarkEnd w:id="46"/>
    </w:p>
    <w:p>
      <w:pPr>
        <w:ind w:firstLine="480" w:firstLineChars="200"/>
      </w:pPr>
      <w:r>
        <w:rPr>
          <w:rFonts w:hint="eastAsia"/>
          <w:lang w:eastAsia="zh-CN"/>
        </w:rPr>
        <w:t>重庆市万州区启豪套装门厂套装门生产项目</w:t>
      </w:r>
      <w:r>
        <w:rPr>
          <w:rFonts w:hint="eastAsia"/>
        </w:rPr>
        <w:t>产生的</w:t>
      </w:r>
      <w:r>
        <w:rPr>
          <w:rFonts w:hint="eastAsia"/>
          <w:lang w:val="en-US" w:eastAsia="zh-CN"/>
        </w:rPr>
        <w:t>废水主要为员工的生活用水，不产生生产废水。生活废水经化粪池收集处理后与当地居民签订合同全部作为农肥回用（附件4）。</w:t>
      </w:r>
      <w:bookmarkStart w:id="47" w:name="_Toc497833583"/>
    </w:p>
    <w:p>
      <w:pPr>
        <w:spacing w:line="240" w:lineRule="auto"/>
        <w:jc w:val="center"/>
        <w:rPr>
          <w:rFonts w:hint="eastAsia"/>
          <w:b/>
          <w:bCs/>
          <w:sz w:val="21"/>
          <w:szCs w:val="21"/>
        </w:rPr>
      </w:pPr>
      <w:r>
        <mc:AlternateContent>
          <mc:Choice Requires="wpg">
            <w:drawing>
              <wp:inline distT="0" distB="0" distL="114300" distR="114300">
                <wp:extent cx="3420110" cy="472440"/>
                <wp:effectExtent l="0" t="0" r="46990" b="34290"/>
                <wp:docPr id="32" name="组合 157"/>
                <wp:cNvGraphicFramePr/>
                <a:graphic xmlns:a="http://schemas.openxmlformats.org/drawingml/2006/main">
                  <a:graphicData uri="http://schemas.microsoft.com/office/word/2010/wordprocessingGroup">
                    <wpg:wgp>
                      <wpg:cNvGrpSpPr/>
                      <wpg:grpSpPr>
                        <a:xfrm>
                          <a:off x="0" y="0"/>
                          <a:ext cx="3420141" cy="472440"/>
                          <a:chOff x="6433" y="273202"/>
                          <a:chExt cx="5279" cy="744"/>
                        </a:xfrm>
                      </wpg:grpSpPr>
                      <wps:wsp>
                        <wps:cNvPr id="33" name="文本框 158"/>
                        <wps:cNvSpPr txBox="1"/>
                        <wps:spPr>
                          <a:xfrm>
                            <a:off x="10482" y="273202"/>
                            <a:ext cx="1230" cy="744"/>
                          </a:xfrm>
                          <a:prstGeom prst="rect">
                            <a:avLst/>
                          </a:prstGeom>
                          <a:solidFill>
                            <a:srgbClr val="FFFFFF"/>
                          </a:solidFill>
                          <a:ln w="9525">
                            <a:noFill/>
                          </a:ln>
                        </wps:spPr>
                        <wps:txbx>
                          <w:txbxContent>
                            <w:p>
                              <w:pPr>
                                <w:rPr>
                                  <w:rFonts w:hint="default" w:eastAsia="宋体"/>
                                  <w:sz w:val="21"/>
                                  <w:szCs w:val="21"/>
                                  <w:lang w:val="en-US" w:eastAsia="zh-CN"/>
                                </w:rPr>
                              </w:pPr>
                              <w:r>
                                <w:rPr>
                                  <w:rFonts w:hint="eastAsia"/>
                                  <w:sz w:val="21"/>
                                  <w:szCs w:val="21"/>
                                  <w:lang w:val="en-US" w:eastAsia="zh-CN"/>
                                </w:rPr>
                                <w:t>农肥回用</w:t>
                              </w:r>
                            </w:p>
                          </w:txbxContent>
                        </wps:txbx>
                        <wps:bodyPr upright="1"/>
                      </wps:wsp>
                      <wpg:grpSp>
                        <wpg:cNvPr id="35" name="组合 161"/>
                        <wpg:cNvGrpSpPr/>
                        <wpg:grpSpPr>
                          <a:xfrm>
                            <a:off x="6433" y="273229"/>
                            <a:ext cx="3305" cy="455"/>
                            <a:chOff x="6433" y="273229"/>
                            <a:chExt cx="3305" cy="455"/>
                          </a:xfrm>
                        </wpg:grpSpPr>
                        <wps:wsp>
                          <wps:cNvPr id="38" name="文本框 165"/>
                          <wps:cNvSpPr txBox="1"/>
                          <wps:spPr>
                            <a:xfrm>
                              <a:off x="8140" y="273229"/>
                              <a:ext cx="1598"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sz w:val="21"/>
                                    <w:szCs w:val="21"/>
                                    <w:lang w:val="en-US" w:eastAsia="zh-CN"/>
                                  </w:rPr>
                                </w:pPr>
                                <w:r>
                                  <w:rPr>
                                    <w:rFonts w:hint="eastAsia"/>
                                    <w:sz w:val="21"/>
                                    <w:szCs w:val="21"/>
                                    <w:lang w:val="en-US" w:eastAsia="zh-CN"/>
                                  </w:rPr>
                                  <w:t>化粪池</w:t>
                                </w:r>
                              </w:p>
                            </w:txbxContent>
                          </wps:txbx>
                          <wps:bodyPr upright="1"/>
                        </wps:wsp>
                        <wpg:grpSp>
                          <wpg:cNvPr id="41" name="组合 168"/>
                          <wpg:cNvGrpSpPr/>
                          <wpg:grpSpPr>
                            <a:xfrm>
                              <a:off x="6433" y="273280"/>
                              <a:ext cx="1665" cy="396"/>
                              <a:chOff x="6433" y="273280"/>
                              <a:chExt cx="1665" cy="396"/>
                            </a:xfrm>
                          </wpg:grpSpPr>
                          <wps:wsp>
                            <wps:cNvPr id="42" name="文本框 169"/>
                            <wps:cNvSpPr txBox="1"/>
                            <wps:spPr>
                              <a:xfrm>
                                <a:off x="6433" y="273280"/>
                                <a:ext cx="1143" cy="396"/>
                              </a:xfrm>
                              <a:prstGeom prst="rect">
                                <a:avLst/>
                              </a:prstGeom>
                              <a:solidFill>
                                <a:srgbClr val="FFFFFF"/>
                              </a:solidFill>
                              <a:ln w="9525">
                                <a:noFill/>
                              </a:ln>
                            </wps:spPr>
                            <wps:txbx>
                              <w:txbxContent>
                                <w:p>
                                  <w:pPr>
                                    <w:rPr>
                                      <w:rFonts w:hint="eastAsia" w:eastAsia="宋体"/>
                                      <w:sz w:val="21"/>
                                      <w:szCs w:val="21"/>
                                      <w:lang w:eastAsia="zh-CN"/>
                                    </w:rPr>
                                  </w:pPr>
                                  <w:r>
                                    <w:rPr>
                                      <w:rFonts w:hint="eastAsia"/>
                                      <w:sz w:val="21"/>
                                      <w:szCs w:val="21"/>
                                      <w:lang w:eastAsia="zh-CN"/>
                                    </w:rPr>
                                    <w:t>生活污水</w:t>
                                  </w:r>
                                </w:p>
                              </w:txbxContent>
                            </wps:txbx>
                            <wps:bodyPr upright="1"/>
                          </wps:wsp>
                          <wps:wsp>
                            <wps:cNvPr id="45" name="直线 172"/>
                            <wps:cNvCnPr/>
                            <wps:spPr>
                              <a:xfrm>
                                <a:off x="7474" y="273480"/>
                                <a:ext cx="624" cy="1"/>
                              </a:xfrm>
                              <a:prstGeom prst="line">
                                <a:avLst/>
                              </a:prstGeom>
                              <a:ln w="9525" cap="flat" cmpd="sng">
                                <a:solidFill>
                                  <a:srgbClr val="000000"/>
                                </a:solidFill>
                                <a:prstDash val="solid"/>
                                <a:headEnd type="none" w="med" len="med"/>
                                <a:tailEnd type="arrow" w="med" len="med"/>
                              </a:ln>
                            </wps:spPr>
                            <wps:bodyPr/>
                          </wps:wsp>
                        </wpg:grpSp>
                      </wpg:grpSp>
                      <wps:wsp>
                        <wps:cNvPr id="47" name="直线 175"/>
                        <wps:cNvCnPr/>
                        <wps:spPr>
                          <a:xfrm flipV="1">
                            <a:off x="9815" y="273470"/>
                            <a:ext cx="599" cy="21"/>
                          </a:xfrm>
                          <a:prstGeom prst="line">
                            <a:avLst/>
                          </a:prstGeom>
                          <a:ln w="9525" cap="flat" cmpd="sng">
                            <a:solidFill>
                              <a:srgbClr val="000000"/>
                            </a:solidFill>
                            <a:prstDash val="solid"/>
                            <a:headEnd type="none" w="med" len="med"/>
                            <a:tailEnd type="arrow" w="med" len="med"/>
                          </a:ln>
                        </wps:spPr>
                        <wps:bodyPr/>
                      </wps:wsp>
                    </wpg:wgp>
                  </a:graphicData>
                </a:graphic>
              </wp:inline>
            </w:drawing>
          </mc:Choice>
          <mc:Fallback>
            <w:pict>
              <v:group id="组合 157" o:spid="_x0000_s1026" o:spt="203" style="height:37.2pt;width:269.3pt;" coordorigin="6433,273202" coordsize="5279,744" o:gfxdata="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APxFrDWAAAABAEAAA8AAAAAAAAAAQAg&#10;AAAAIgAAAGRycy9kb3ducmV2LnhtbFBLAQIUABQAAAAIAIdO4kC6jUWb2AMAAC8PAAAOAAAAAAAA&#10;AAEAIAAAACUBAABkcnMvZTJvRG9jLnhtbFBLBQYAAAAABgAGAFkBAABvBwAAAAA=&#10;">
                <o:lock v:ext="edit" aspectratio="f"/>
                <v:shape id="文本框 158" o:spid="_x0000_s1026" o:spt="202" type="#_x0000_t202" style="position:absolute;left:10482;top:273202;height:744;width:1230;" fillcolor="#FFFFFF" filled="t" stroked="f" coordsize="21600,21600" o:gfxdata="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TVqZb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default" w:eastAsia="宋体"/>
                            <w:sz w:val="21"/>
                            <w:szCs w:val="21"/>
                            <w:lang w:val="en-US" w:eastAsia="zh-CN"/>
                          </w:rPr>
                        </w:pPr>
                        <w:r>
                          <w:rPr>
                            <w:rFonts w:hint="eastAsia"/>
                            <w:sz w:val="21"/>
                            <w:szCs w:val="21"/>
                            <w:lang w:val="en-US" w:eastAsia="zh-CN"/>
                          </w:rPr>
                          <w:t>农肥回用</w:t>
                        </w:r>
                      </w:p>
                    </w:txbxContent>
                  </v:textbox>
                </v:shape>
                <v:group id="组合 161" o:spid="_x0000_s1026" o:spt="203" style="position:absolute;left:6433;top:273229;height:455;width:3305;" coordorigin="6433,273229" coordsize="3305,455"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文本框 165" o:spid="_x0000_s1026" o:spt="202" type="#_x0000_t202" style="position:absolute;left:8140;top:273229;height:455;width:1598;"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jc w:val="center"/>
                            <w:rPr>
                              <w:rFonts w:hint="eastAsia" w:eastAsia="宋体"/>
                              <w:sz w:val="21"/>
                              <w:szCs w:val="21"/>
                              <w:lang w:val="en-US" w:eastAsia="zh-CN"/>
                            </w:rPr>
                          </w:pPr>
                          <w:r>
                            <w:rPr>
                              <w:rFonts w:hint="eastAsia"/>
                              <w:sz w:val="21"/>
                              <w:szCs w:val="21"/>
                              <w:lang w:val="en-US" w:eastAsia="zh-CN"/>
                            </w:rPr>
                            <w:t>化粪池</w:t>
                          </w:r>
                        </w:p>
                      </w:txbxContent>
                    </v:textbox>
                  </v:shape>
                  <v:group id="组合 168" o:spid="_x0000_s1026" o:spt="203" style="position:absolute;left:6433;top:273280;height:396;width:1665;" coordorigin="6433,273280" coordsize="1665,396"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shape id="文本框 169" o:spid="_x0000_s1026" o:spt="202" type="#_x0000_t202" style="position:absolute;left:6433;top:273280;height:396;width:1143;" fillcolor="#FFFFFF" filled="t" stroked="f" coordsize="21600,21600" o:gfxdata="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n+8g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eastAsia="宋体"/>
                                <w:sz w:val="21"/>
                                <w:szCs w:val="21"/>
                                <w:lang w:eastAsia="zh-CN"/>
                              </w:rPr>
                            </w:pPr>
                            <w:r>
                              <w:rPr>
                                <w:rFonts w:hint="eastAsia"/>
                                <w:sz w:val="21"/>
                                <w:szCs w:val="21"/>
                                <w:lang w:eastAsia="zh-CN"/>
                              </w:rPr>
                              <w:t>生活污水</w:t>
                            </w:r>
                          </w:p>
                        </w:txbxContent>
                      </v:textbox>
                    </v:shape>
                    <v:line id="直线 172" o:spid="_x0000_s1026" o:spt="20" style="position:absolute;left:7474;top:273480;height:1;width:624;" filled="f" stroked="t" coordsize="21600,21600" o:gfxdata="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tBgb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v:group>
                <v:line id="直线 175" o:spid="_x0000_s1026" o:spt="20" style="position:absolute;left:9815;top:273470;flip:y;height:21;width:599;" filled="f" stroked="t" coordsize="21600,21600" o:gfxdata="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EpEG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w10:wrap type="none"/>
                <w10:anchorlock/>
              </v:group>
            </w:pict>
          </mc:Fallback>
        </mc:AlternateContent>
      </w:r>
      <w:r>
        <w:rPr>
          <w:rFonts w:hint="eastAsia"/>
        </w:rPr>
        <w:t xml:space="preserve">     </w:t>
      </w:r>
      <w:r>
        <w:rPr>
          <w:rFonts w:hint="eastAsia"/>
          <w:b/>
          <w:bCs/>
          <w:sz w:val="21"/>
          <w:szCs w:val="21"/>
        </w:rPr>
        <w:t xml:space="preserve">  </w:t>
      </w:r>
    </w:p>
    <w:p>
      <w:pPr>
        <w:spacing w:line="240" w:lineRule="auto"/>
        <w:jc w:val="center"/>
        <w:rPr>
          <w:rFonts w:hint="eastAsia"/>
          <w:b/>
          <w:bCs/>
          <w:sz w:val="21"/>
          <w:szCs w:val="21"/>
        </w:rPr>
      </w:pPr>
      <w:r>
        <w:rPr>
          <w:rFonts w:hint="default" w:ascii="Times New Roman" w:hAnsi="Times New Roman" w:eastAsia="宋体" w:cs="Times New Roman"/>
          <w:b/>
          <w:color w:val="auto"/>
          <w:sz w:val="21"/>
          <w:szCs w:val="22"/>
          <w:lang w:val="zh-CN" w:eastAsia="zh-CN" w:bidi="zh-CN"/>
        </w:rPr>
        <w:t>图</w:t>
      </w:r>
      <w:r>
        <w:rPr>
          <w:rFonts w:hint="eastAsia" w:eastAsia="宋体" w:cs="Times New Roman"/>
          <w:b/>
          <w:color w:val="auto"/>
          <w:sz w:val="21"/>
          <w:szCs w:val="22"/>
          <w:lang w:val="en-US" w:eastAsia="zh-CN" w:bidi="zh-CN"/>
        </w:rPr>
        <w:t>4.1</w:t>
      </w:r>
      <w:r>
        <w:rPr>
          <w:rFonts w:hint="default" w:ascii="Times New Roman" w:hAnsi="Times New Roman" w:eastAsia="宋体" w:cs="Times New Roman"/>
          <w:b/>
          <w:color w:val="auto"/>
          <w:sz w:val="21"/>
          <w:szCs w:val="22"/>
          <w:lang w:val="zh-CN" w:eastAsia="zh-CN" w:bidi="zh-CN"/>
        </w:rPr>
        <w:t>-</w:t>
      </w:r>
      <w:r>
        <w:rPr>
          <w:rFonts w:hint="eastAsia" w:eastAsia="宋体" w:cs="Times New Roman"/>
          <w:b/>
          <w:color w:val="auto"/>
          <w:sz w:val="21"/>
          <w:szCs w:val="22"/>
          <w:lang w:val="en-US" w:eastAsia="zh-CN" w:bidi="zh-CN"/>
        </w:rPr>
        <w:t>1</w:t>
      </w:r>
      <w:r>
        <w:rPr>
          <w:rFonts w:hint="default" w:ascii="Times New Roman" w:hAnsi="Times New Roman" w:eastAsia="宋体" w:cs="Times New Roman"/>
          <w:b/>
          <w:color w:val="auto"/>
          <w:sz w:val="21"/>
          <w:szCs w:val="22"/>
          <w:lang w:val="zh-CN" w:eastAsia="zh-CN" w:bidi="zh-CN"/>
        </w:rPr>
        <w:t xml:space="preserve"> 废</w:t>
      </w:r>
      <w:r>
        <w:rPr>
          <w:rFonts w:hint="eastAsia" w:eastAsia="宋体" w:cs="Times New Roman"/>
          <w:b/>
          <w:color w:val="auto"/>
          <w:sz w:val="21"/>
          <w:szCs w:val="22"/>
          <w:lang w:val="zh-CN" w:eastAsia="zh-CN" w:bidi="zh-CN"/>
        </w:rPr>
        <w:t>水</w:t>
      </w:r>
      <w:r>
        <w:rPr>
          <w:rFonts w:hint="default" w:ascii="Times New Roman" w:hAnsi="Times New Roman" w:eastAsia="宋体" w:cs="Times New Roman"/>
          <w:b/>
          <w:color w:val="auto"/>
          <w:sz w:val="21"/>
          <w:szCs w:val="22"/>
          <w:lang w:val="zh-CN" w:eastAsia="zh-CN" w:bidi="zh-CN"/>
        </w:rPr>
        <w:t>治理工艺流程图</w:t>
      </w:r>
      <w:r>
        <w:rPr>
          <w:rFonts w:hint="eastAsia"/>
          <w:b/>
          <w:bCs/>
          <w:sz w:val="21"/>
          <w:szCs w:val="21"/>
        </w:rPr>
        <w:t xml:space="preserve">    </w:t>
      </w:r>
    </w:p>
    <w:p>
      <w:pPr>
        <w:spacing w:line="240" w:lineRule="auto"/>
        <w:jc w:val="center"/>
        <w:rPr>
          <w:b/>
          <w:bCs/>
          <w:sz w:val="21"/>
          <w:szCs w:val="21"/>
        </w:rPr>
      </w:pPr>
      <w:r>
        <w:rPr>
          <w:rFonts w:hint="eastAsia"/>
          <w:b/>
          <w:bCs/>
          <w:sz w:val="21"/>
          <w:szCs w:val="21"/>
        </w:rPr>
        <w:t xml:space="preserve">               </w:t>
      </w:r>
    </w:p>
    <w:p>
      <w:pPr>
        <w:pStyle w:val="5"/>
      </w:pPr>
      <w:r>
        <w:t>4.1.2 废气</w:t>
      </w:r>
      <w:bookmarkEnd w:id="47"/>
    </w:p>
    <w:p>
      <w:pPr>
        <w:spacing w:line="460" w:lineRule="atLeast"/>
        <w:ind w:firstLine="480" w:firstLineChars="200"/>
        <w:rPr>
          <w:rFonts w:hint="eastAsia"/>
        </w:rPr>
      </w:pPr>
      <w:r>
        <w:rPr>
          <w:rFonts w:hint="eastAsia"/>
        </w:rPr>
        <w:t>项目开料、雕花、精裁、铣型、砂光等工序木材加工均在木工区进行。木工区每个工位设置一个双桶布袋除尘器，各工序木工粉尘经布袋过滤处理后，经一套集中抽排风设施引到15m 高排气筒（1#）排放。</w:t>
      </w:r>
    </w:p>
    <w:p>
      <w:pPr>
        <w:spacing w:line="460" w:lineRule="atLeast"/>
        <w:ind w:firstLine="480" w:firstLineChars="200"/>
        <w:rPr>
          <w:rFonts w:hint="eastAsia"/>
          <w:lang w:eastAsia="zh-CN"/>
        </w:rPr>
      </w:pPr>
      <w:r>
        <w:rPr>
          <w:rFonts w:hint="eastAsia"/>
        </w:rPr>
        <w:t>项目油漆废气通过“水帘+UV光解系统+活性炭吸附”处理后由1根15m高排气筒（</w:t>
      </w:r>
      <w:r>
        <w:rPr>
          <w:rFonts w:hint="eastAsia"/>
          <w:lang w:val="en-US" w:eastAsia="zh-CN"/>
        </w:rPr>
        <w:t>2</w:t>
      </w:r>
      <w:r>
        <w:rPr>
          <w:rFonts w:hint="eastAsia"/>
        </w:rPr>
        <w:t>#）排放</w:t>
      </w:r>
      <w:bookmarkStart w:id="48" w:name="_Toc497833588"/>
      <w:r>
        <w:rPr>
          <w:rFonts w:hint="eastAsia"/>
          <w:lang w:eastAsia="zh-CN"/>
        </w:rPr>
        <w:t>。</w:t>
      </w:r>
    </w:p>
    <w:p>
      <w:pPr>
        <w:spacing w:line="460" w:lineRule="atLeast"/>
        <w:ind w:firstLine="480" w:firstLineChars="200"/>
        <w:rPr>
          <w:rFonts w:hint="eastAsia"/>
          <w:color w:val="000000"/>
          <w:sz w:val="24"/>
          <w:lang w:eastAsia="zh-CN"/>
        </w:rPr>
      </w:pPr>
      <w:r>
        <w:rPr>
          <w:rFonts w:hint="eastAsia"/>
        </w:rPr>
        <w:t>项目涂胶废气和热熔胶废气由于使用量较小，</w:t>
      </w:r>
      <w:r>
        <w:rPr>
          <w:rFonts w:hint="eastAsia" w:ascii="Times New Roman" w:hAnsi="Times New Roman"/>
          <w:color w:val="000000"/>
          <w:sz w:val="24"/>
        </w:rPr>
        <w:t>通过车间排风系统抽排到厂外</w:t>
      </w:r>
      <w:r>
        <w:rPr>
          <w:rFonts w:hint="eastAsia"/>
          <w:color w:val="000000"/>
          <w:sz w:val="24"/>
          <w:lang w:eastAsia="zh-CN"/>
        </w:rPr>
        <w:t>。</w:t>
      </w:r>
    </w:p>
    <w:p>
      <w:pPr>
        <w:pStyle w:val="2"/>
        <w:rPr>
          <w:rFonts w:hint="eastAsia"/>
          <w:lang w:val="en-US" w:eastAsia="zh-CN"/>
        </w:rPr>
      </w:pPr>
    </w:p>
    <w:p>
      <w:pPr>
        <w:pStyle w:val="2"/>
        <w:rPr>
          <w:rFonts w:hint="eastAsia"/>
          <w:lang w:val="en-US" w:eastAsia="zh-CN"/>
        </w:rPr>
      </w:pPr>
      <w:r>
        <w:drawing>
          <wp:inline distT="0" distB="0" distL="114300" distR="114300">
            <wp:extent cx="5562600" cy="108585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9"/>
                    <a:stretch>
                      <a:fillRect/>
                    </a:stretch>
                  </pic:blipFill>
                  <pic:spPr>
                    <a:xfrm>
                      <a:off x="0" y="0"/>
                      <a:ext cx="5562600" cy="1085850"/>
                    </a:xfrm>
                    <a:prstGeom prst="rect">
                      <a:avLst/>
                    </a:prstGeom>
                    <a:noFill/>
                    <a:ln>
                      <a:noFill/>
                    </a:ln>
                  </pic:spPr>
                </pic:pic>
              </a:graphicData>
            </a:graphic>
          </wp:inline>
        </w:drawing>
      </w:r>
    </w:p>
    <w:p>
      <w:pPr>
        <w:pStyle w:val="2"/>
        <w:rPr>
          <w:rFonts w:hint="eastAsia"/>
          <w:lang w:val="en-US" w:eastAsia="zh-CN"/>
        </w:rPr>
      </w:pPr>
      <w:r>
        <w:rPr>
          <w:rFonts w:hint="eastAsia"/>
          <w:lang w:val="en-US" w:eastAsia="zh-CN"/>
        </w:rPr>
        <w:drawing>
          <wp:inline distT="0" distB="0" distL="114300" distR="114300">
            <wp:extent cx="5619750" cy="1095375"/>
            <wp:effectExtent l="0" t="0" r="0" b="9525"/>
            <wp:docPr id="2" name="图片 2" descr="1653874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3874793"/>
                    <pic:cNvPicPr>
                      <a:picLocks noChangeAspect="1"/>
                    </pic:cNvPicPr>
                  </pic:nvPicPr>
                  <pic:blipFill>
                    <a:blip r:embed="rId20"/>
                    <a:srcRect r="338"/>
                    <a:stretch>
                      <a:fillRect/>
                    </a:stretch>
                  </pic:blipFill>
                  <pic:spPr>
                    <a:xfrm>
                      <a:off x="0" y="0"/>
                      <a:ext cx="5619750" cy="1095375"/>
                    </a:xfrm>
                    <a:prstGeom prst="rect">
                      <a:avLst/>
                    </a:prstGeom>
                  </pic:spPr>
                </pic:pic>
              </a:graphicData>
            </a:graphic>
          </wp:inline>
        </w:drawing>
      </w:r>
    </w:p>
    <w:p>
      <w:pPr>
        <w:pStyle w:val="2"/>
        <w:jc w:val="center"/>
        <w:rPr>
          <w:rFonts w:hint="eastAsia"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color w:val="auto"/>
          <w:sz w:val="21"/>
          <w:szCs w:val="22"/>
          <w:lang w:val="zh-CN" w:eastAsia="zh-CN" w:bidi="zh-CN"/>
        </w:rPr>
        <w:t>图</w:t>
      </w:r>
      <w:r>
        <w:rPr>
          <w:rFonts w:hint="eastAsia" w:eastAsia="宋体" w:cs="Times New Roman"/>
          <w:b/>
          <w:color w:val="auto"/>
          <w:sz w:val="21"/>
          <w:szCs w:val="22"/>
          <w:lang w:val="en-US" w:eastAsia="zh-CN" w:bidi="zh-CN"/>
        </w:rPr>
        <w:t>4.1</w:t>
      </w:r>
      <w:r>
        <w:rPr>
          <w:rFonts w:hint="default" w:ascii="Times New Roman" w:hAnsi="Times New Roman" w:eastAsia="宋体" w:cs="Times New Roman"/>
          <w:b/>
          <w:color w:val="auto"/>
          <w:sz w:val="21"/>
          <w:szCs w:val="22"/>
          <w:lang w:val="zh-CN" w:eastAsia="zh-CN" w:bidi="zh-CN"/>
        </w:rPr>
        <w:t>-2 废气治理工艺流程图</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5"/>
        <w:gridCol w:w="4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765425" cy="2073910"/>
                  <wp:effectExtent l="0" t="0" r="15875" b="2540"/>
                  <wp:docPr id="7" name="图片 7" descr="56ffc2830562e7a2331868da7b6c9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6ffc2830562e7a2331868da7b6c9d9"/>
                          <pic:cNvPicPr>
                            <a:picLocks noChangeAspect="1"/>
                          </pic:cNvPicPr>
                        </pic:nvPicPr>
                        <pic:blipFill>
                          <a:blip r:embed="rId21"/>
                          <a:stretch>
                            <a:fillRect/>
                          </a:stretch>
                        </pic:blipFill>
                        <pic:spPr>
                          <a:xfrm>
                            <a:off x="0" y="0"/>
                            <a:ext cx="2765425" cy="2073910"/>
                          </a:xfrm>
                          <a:prstGeom prst="rect">
                            <a:avLst/>
                          </a:prstGeom>
                        </pic:spPr>
                      </pic:pic>
                    </a:graphicData>
                  </a:graphic>
                </wp:inline>
              </w:drawing>
            </w:r>
          </w:p>
        </w:tc>
        <w:tc>
          <w:tcPr>
            <w:tcW w:w="4621"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765425" cy="2073910"/>
                  <wp:effectExtent l="0" t="0" r="15875" b="2540"/>
                  <wp:docPr id="9" name="图片 9" descr="IMG_5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5298"/>
                          <pic:cNvPicPr>
                            <a:picLocks noChangeAspect="1"/>
                          </pic:cNvPicPr>
                        </pic:nvPicPr>
                        <pic:blipFill>
                          <a:blip r:embed="rId22"/>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765425" cy="2073910"/>
                  <wp:effectExtent l="0" t="0" r="15875" b="2540"/>
                  <wp:docPr id="1" name="图片 1" descr="6e549502162f7a77adcc635e70d90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e549502162f7a77adcc635e70d90b2"/>
                          <pic:cNvPicPr>
                            <a:picLocks noChangeAspect="1"/>
                          </pic:cNvPicPr>
                        </pic:nvPicPr>
                        <pic:blipFill>
                          <a:blip r:embed="rId23"/>
                          <a:stretch>
                            <a:fillRect/>
                          </a:stretch>
                        </pic:blipFill>
                        <pic:spPr>
                          <a:xfrm>
                            <a:off x="0" y="0"/>
                            <a:ext cx="2765425" cy="2073910"/>
                          </a:xfrm>
                          <a:prstGeom prst="rect">
                            <a:avLst/>
                          </a:prstGeom>
                        </pic:spPr>
                      </pic:pic>
                    </a:graphicData>
                  </a:graphic>
                </wp:inline>
              </w:drawing>
            </w:r>
          </w:p>
        </w:tc>
        <w:tc>
          <w:tcPr>
            <w:tcW w:w="4621"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765425" cy="2073910"/>
                  <wp:effectExtent l="0" t="0" r="15875" b="2540"/>
                  <wp:docPr id="10" name="图片 10" descr="IMG_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5297"/>
                          <pic:cNvPicPr>
                            <a:picLocks noChangeAspect="1"/>
                          </pic:cNvPicPr>
                        </pic:nvPicPr>
                        <pic:blipFill>
                          <a:blip r:embed="rId24"/>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0"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765425" cy="2825115"/>
                  <wp:effectExtent l="0" t="0" r="13335" b="15875"/>
                  <wp:docPr id="6" name="图片 6" descr="6d619020167a8e575ee974f204d18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d619020167a8e575ee974f204d18cf"/>
                          <pic:cNvPicPr>
                            <a:picLocks noChangeAspect="1"/>
                          </pic:cNvPicPr>
                        </pic:nvPicPr>
                        <pic:blipFill>
                          <a:blip r:embed="rId25"/>
                          <a:stretch>
                            <a:fillRect/>
                          </a:stretch>
                        </pic:blipFill>
                        <pic:spPr>
                          <a:xfrm rot="5400000">
                            <a:off x="0" y="0"/>
                            <a:ext cx="2765425" cy="2825115"/>
                          </a:xfrm>
                          <a:prstGeom prst="rect">
                            <a:avLst/>
                          </a:prstGeom>
                        </pic:spPr>
                      </pic:pic>
                    </a:graphicData>
                  </a:graphic>
                </wp:inline>
              </w:drawing>
            </w:r>
          </w:p>
        </w:tc>
        <w:tc>
          <w:tcPr>
            <w:tcW w:w="4621" w:type="dxa"/>
          </w:tcPr>
          <w:p>
            <w:pPr>
              <w:pStyle w:val="2"/>
              <w:jc w:val="both"/>
              <w:rPr>
                <w:rFonts w:hint="default"/>
                <w:vertAlign w:val="baseline"/>
                <w:lang w:val="en-US" w:eastAsia="zh-CN"/>
              </w:rPr>
            </w:pPr>
            <w:r>
              <w:rPr>
                <w:rFonts w:hint="default"/>
                <w:vertAlign w:val="baseline"/>
                <w:lang w:val="en-US" w:eastAsia="zh-CN"/>
              </w:rPr>
              <w:drawing>
                <wp:inline distT="0" distB="0" distL="114300" distR="114300">
                  <wp:extent cx="2765425" cy="2655570"/>
                  <wp:effectExtent l="0" t="0" r="15875" b="11430"/>
                  <wp:docPr id="5" name="图片 5" descr="IMG_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5300"/>
                          <pic:cNvPicPr>
                            <a:picLocks noChangeAspect="1"/>
                          </pic:cNvPicPr>
                        </pic:nvPicPr>
                        <pic:blipFill>
                          <a:blip r:embed="rId26"/>
                          <a:stretch>
                            <a:fillRect/>
                          </a:stretch>
                        </pic:blipFill>
                        <pic:spPr>
                          <a:xfrm>
                            <a:off x="0" y="0"/>
                            <a:ext cx="2765425" cy="2655570"/>
                          </a:xfrm>
                          <a:prstGeom prst="rect">
                            <a:avLst/>
                          </a:prstGeom>
                        </pic:spPr>
                      </pic:pic>
                    </a:graphicData>
                  </a:graphic>
                </wp:inline>
              </w:drawing>
            </w:r>
          </w:p>
        </w:tc>
      </w:tr>
    </w:tbl>
    <w:p>
      <w:pPr>
        <w:pStyle w:val="57"/>
        <w:numPr>
          <w:ilvl w:val="0"/>
          <w:numId w:val="0"/>
        </w:numPr>
        <w:tabs>
          <w:tab w:val="left" w:pos="819"/>
        </w:tabs>
        <w:spacing w:before="158" w:after="0" w:line="360" w:lineRule="auto"/>
        <w:ind w:right="0" w:rightChars="0" w:firstLine="422" w:firstLineChars="200"/>
        <w:jc w:val="center"/>
        <w:rPr>
          <w:b/>
          <w:sz w:val="21"/>
        </w:rPr>
      </w:pPr>
      <w:r>
        <w:rPr>
          <w:b/>
          <w:sz w:val="21"/>
        </w:rPr>
        <w:t xml:space="preserve">图 </w:t>
      </w:r>
      <w:r>
        <w:rPr>
          <w:rFonts w:hint="eastAsia" w:ascii="Times New Roman" w:eastAsia="宋体"/>
          <w:b/>
          <w:sz w:val="21"/>
          <w:lang w:val="en-US" w:eastAsia="zh-CN"/>
        </w:rPr>
        <w:t>4.1</w:t>
      </w:r>
      <w:r>
        <w:rPr>
          <w:rFonts w:ascii="Times New Roman" w:eastAsia="Times New Roman"/>
          <w:b/>
          <w:sz w:val="21"/>
        </w:rPr>
        <w:t>-</w:t>
      </w:r>
      <w:r>
        <w:rPr>
          <w:rFonts w:hint="eastAsia" w:ascii="Times New Roman" w:eastAsia="宋体"/>
          <w:b/>
          <w:sz w:val="21"/>
          <w:lang w:val="en-US" w:eastAsia="zh-CN"/>
        </w:rPr>
        <w:t>3</w:t>
      </w:r>
      <w:r>
        <w:rPr>
          <w:rFonts w:ascii="Times New Roman" w:eastAsia="Times New Roman"/>
          <w:b/>
          <w:sz w:val="21"/>
        </w:rPr>
        <w:t xml:space="preserve"> </w:t>
      </w:r>
      <w:r>
        <w:rPr>
          <w:rFonts w:hint="eastAsia" w:ascii="Times New Roman"/>
          <w:b/>
          <w:sz w:val="21"/>
          <w:lang w:eastAsia="zh-CN"/>
        </w:rPr>
        <w:t>废气治理</w:t>
      </w:r>
      <w:r>
        <w:rPr>
          <w:b/>
          <w:sz w:val="21"/>
        </w:rPr>
        <w:t>现场图</w:t>
      </w:r>
    </w:p>
    <w:p>
      <w:pPr>
        <w:pStyle w:val="2"/>
        <w:rPr>
          <w:rFonts w:hint="default"/>
          <w:lang w:val="en-US" w:eastAsia="zh-CN"/>
        </w:rPr>
      </w:pPr>
    </w:p>
    <w:p>
      <w:pPr>
        <w:pStyle w:val="5"/>
      </w:pPr>
      <w:r>
        <w:t>4.1.3噪声</w:t>
      </w:r>
      <w:bookmarkEnd w:id="48"/>
    </w:p>
    <w:p>
      <w:pPr>
        <w:ind w:firstLine="480" w:firstLineChars="200"/>
        <w:rPr>
          <w:rFonts w:hint="eastAsia" w:eastAsia="宋体"/>
          <w:lang w:val="en-US" w:eastAsia="zh-CN"/>
        </w:rPr>
      </w:pPr>
      <w:bookmarkStart w:id="49" w:name="_Toc497833589"/>
      <w:r>
        <w:rPr>
          <w:rFonts w:hint="eastAsia"/>
        </w:rPr>
        <w:t>本项目产噪设备布置于室内</w:t>
      </w:r>
      <w:r>
        <w:rPr>
          <w:rFonts w:hint="eastAsia"/>
          <w:lang w:eastAsia="zh-CN"/>
        </w:rPr>
        <w:t>，</w:t>
      </w:r>
      <w:r>
        <w:rPr>
          <w:rFonts w:hint="eastAsia"/>
        </w:rPr>
        <w:t>经</w:t>
      </w:r>
      <w:r>
        <w:rPr>
          <w:rFonts w:hint="eastAsia"/>
          <w:lang w:val="en-US" w:eastAsia="zh-CN"/>
        </w:rPr>
        <w:t>基础减震、建筑隔声等措施</w:t>
      </w:r>
      <w:r>
        <w:rPr>
          <w:rFonts w:hint="eastAsia"/>
        </w:rPr>
        <w:t>衰减后，经监测项目各测厂界噪声满足《工业企业厂界环境噪声排放标准》（GB12348-2008）</w:t>
      </w:r>
      <w:r>
        <w:rPr>
          <w:rFonts w:hint="eastAsia"/>
          <w:lang w:val="en-US" w:eastAsia="zh-CN"/>
        </w:rPr>
        <w:t>中2</w:t>
      </w:r>
      <w:r>
        <w:rPr>
          <w:rFonts w:hint="eastAsia"/>
        </w:rPr>
        <w:t>类标准</w:t>
      </w:r>
      <w:r>
        <w:t>。</w:t>
      </w:r>
      <w:r>
        <w:rPr>
          <w:rFonts w:hint="eastAsia"/>
          <w:lang w:val="en-US" w:eastAsia="zh-CN"/>
        </w:rPr>
        <w:t xml:space="preserve"> </w:t>
      </w:r>
    </w:p>
    <w:p>
      <w:pPr>
        <w:pStyle w:val="5"/>
      </w:pPr>
      <w:r>
        <w:t>4.1.4 固体废物</w:t>
      </w:r>
      <w:bookmarkEnd w:id="49"/>
    </w:p>
    <w:p>
      <w:pPr>
        <w:ind w:firstLine="480" w:firstLineChars="200"/>
        <w:rPr>
          <w:rFonts w:hint="eastAsia" w:hAnsi="宋体"/>
        </w:rPr>
      </w:pPr>
      <w:bookmarkStart w:id="50" w:name="_Toc497833593"/>
      <w:bookmarkStart w:id="51" w:name="_Toc11672"/>
      <w:r>
        <w:rPr>
          <w:rFonts w:hint="eastAsia" w:hAnsi="宋体"/>
        </w:rPr>
        <w:t>（1）一般工业固体废物</w:t>
      </w:r>
    </w:p>
    <w:p>
      <w:pPr>
        <w:ind w:firstLine="480" w:firstLineChars="200"/>
        <w:rPr>
          <w:rFonts w:hint="eastAsia" w:hAnsi="宋体"/>
        </w:rPr>
      </w:pPr>
      <w:r>
        <w:rPr>
          <w:rFonts w:hint="eastAsia" w:hAnsi="宋体"/>
        </w:rPr>
        <w:t>主要为废木材边角料、除尘系统除尘灰及废包装、批灰打磨粉尘等，废边角料、除尘灰、废包装收集后均可出售给其他单位综合利用，批灰打磨粉尘委托环卫部门处理。</w:t>
      </w:r>
    </w:p>
    <w:p>
      <w:pPr>
        <w:ind w:firstLine="480" w:firstLineChars="200"/>
        <w:rPr>
          <w:rFonts w:hint="eastAsia" w:hAnsi="宋体"/>
        </w:rPr>
      </w:pPr>
      <w:r>
        <w:rPr>
          <w:rFonts w:hint="eastAsia" w:hAnsi="宋体"/>
        </w:rPr>
        <w:t>（2）危险废物</w:t>
      </w:r>
    </w:p>
    <w:p>
      <w:pPr>
        <w:ind w:firstLine="480" w:firstLineChars="200"/>
        <w:rPr>
          <w:rFonts w:hAnsi="宋体"/>
        </w:rPr>
      </w:pPr>
      <w:r>
        <w:rPr>
          <w:rFonts w:hint="eastAsia" w:hAnsi="宋体"/>
        </w:rPr>
        <w:t>主要有车间内漆雾过滤产生的废漆渣及废过滤材料、废活性炭，涂料使用中产生的废漆桶等各种危险废物交有危险废物处理资质单位进行处理。危废暂存库房地面进行防渗防腐处理，其防渗层按照《危险废物贮存污染控制标准》（GB18597-2001）的</w:t>
      </w:r>
      <w:r>
        <w:rPr>
          <w:rFonts w:hAnsi="宋体"/>
        </w:rPr>
        <w:t>要求设置，防止各种液体类危险废物漫流或泄漏；各种危险废物分类存放，并有相应的记录。</w:t>
      </w:r>
    </w:p>
    <w:p>
      <w:pPr>
        <w:ind w:firstLine="480" w:firstLineChars="200"/>
      </w:pPr>
      <w:r>
        <w:rPr>
          <w:rFonts w:hAnsi="宋体"/>
        </w:rPr>
        <w:t>（</w:t>
      </w:r>
      <w:r>
        <w:t>3</w:t>
      </w:r>
      <w:r>
        <w:rPr>
          <w:rFonts w:hAnsi="宋体"/>
        </w:rPr>
        <w:t>）生活垃圾</w:t>
      </w:r>
    </w:p>
    <w:p>
      <w:pPr>
        <w:ind w:firstLine="480" w:firstLineChars="200"/>
        <w:rPr>
          <w:rFonts w:hAnsi="宋体"/>
        </w:rPr>
      </w:pPr>
      <w:r>
        <w:rPr>
          <w:rFonts w:hAnsi="宋体"/>
        </w:rPr>
        <w:t>生活垃圾在厂内收集后，由当地环卫系统清运。</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4626"/>
        <w:gridCol w:w="46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4620" w:type="dxa"/>
          </w:tcPr>
          <w:p>
            <w:pPr>
              <w:pStyle w:val="2"/>
              <w:rPr>
                <w:rFonts w:hint="eastAsia" w:eastAsia="宋体"/>
                <w:vertAlign w:val="baseline"/>
                <w:lang w:eastAsia="zh-CN"/>
              </w:rPr>
            </w:pPr>
            <w:r>
              <w:rPr>
                <w:rFonts w:hint="eastAsia" w:eastAsia="宋体"/>
                <w:vertAlign w:val="baseline"/>
                <w:lang w:eastAsia="zh-CN"/>
              </w:rPr>
              <w:drawing>
                <wp:inline distT="0" distB="0" distL="114300" distR="114300">
                  <wp:extent cx="2796540" cy="2287270"/>
                  <wp:effectExtent l="0" t="0" r="3810" b="17780"/>
                  <wp:docPr id="11" name="图片 11" descr="e4a27a2f78a29b3d22aac90ed282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4a27a2f78a29b3d22aac90ed28222c"/>
                          <pic:cNvPicPr>
                            <a:picLocks noChangeAspect="1"/>
                          </pic:cNvPicPr>
                        </pic:nvPicPr>
                        <pic:blipFill>
                          <a:blip r:embed="rId27"/>
                          <a:stretch>
                            <a:fillRect/>
                          </a:stretch>
                        </pic:blipFill>
                        <pic:spPr>
                          <a:xfrm>
                            <a:off x="0" y="0"/>
                            <a:ext cx="2796540" cy="2287270"/>
                          </a:xfrm>
                          <a:prstGeom prst="rect">
                            <a:avLst/>
                          </a:prstGeom>
                        </pic:spPr>
                      </pic:pic>
                    </a:graphicData>
                  </a:graphic>
                </wp:inline>
              </w:drawing>
            </w:r>
          </w:p>
        </w:tc>
        <w:tc>
          <w:tcPr>
            <w:tcW w:w="4621" w:type="dxa"/>
          </w:tcPr>
          <w:p>
            <w:pPr>
              <w:pStyle w:val="2"/>
              <w:rPr>
                <w:rFonts w:hint="eastAsia" w:eastAsia="宋体"/>
                <w:vertAlign w:val="baseline"/>
                <w:lang w:eastAsia="zh-CN"/>
              </w:rPr>
            </w:pPr>
            <w:r>
              <w:rPr>
                <w:rFonts w:hint="eastAsia" w:eastAsia="宋体"/>
                <w:vertAlign w:val="baseline"/>
                <w:lang w:eastAsia="zh-CN"/>
              </w:rPr>
              <w:drawing>
                <wp:inline distT="0" distB="0" distL="114300" distR="114300">
                  <wp:extent cx="2773680" cy="2248535"/>
                  <wp:effectExtent l="0" t="0" r="7620" b="18415"/>
                  <wp:docPr id="12" name="图片 12" descr="4743511ddbe45cf24c91ea795fee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743511ddbe45cf24c91ea795fee2b7"/>
                          <pic:cNvPicPr>
                            <a:picLocks noChangeAspect="1"/>
                          </pic:cNvPicPr>
                        </pic:nvPicPr>
                        <pic:blipFill>
                          <a:blip r:embed="rId28"/>
                          <a:srcRect t="28898" b="10302"/>
                          <a:stretch>
                            <a:fillRect/>
                          </a:stretch>
                        </pic:blipFill>
                        <pic:spPr>
                          <a:xfrm>
                            <a:off x="0" y="0"/>
                            <a:ext cx="2773680" cy="2248535"/>
                          </a:xfrm>
                          <a:prstGeom prst="rect">
                            <a:avLst/>
                          </a:prstGeom>
                        </pic:spPr>
                      </pic:pic>
                    </a:graphicData>
                  </a:graphic>
                </wp:inline>
              </w:drawing>
            </w:r>
          </w:p>
        </w:tc>
      </w:tr>
    </w:tbl>
    <w:p>
      <w:pPr>
        <w:pStyle w:val="57"/>
        <w:numPr>
          <w:ilvl w:val="0"/>
          <w:numId w:val="0"/>
        </w:numPr>
        <w:tabs>
          <w:tab w:val="left" w:pos="819"/>
        </w:tabs>
        <w:spacing w:before="158" w:after="0" w:line="360" w:lineRule="auto"/>
        <w:ind w:right="0" w:rightChars="0" w:firstLine="422" w:firstLineChars="200"/>
        <w:jc w:val="center"/>
        <w:rPr>
          <w:b/>
          <w:sz w:val="21"/>
        </w:rPr>
      </w:pPr>
      <w:r>
        <w:rPr>
          <w:b/>
          <w:sz w:val="21"/>
        </w:rPr>
        <w:t xml:space="preserve">图 </w:t>
      </w:r>
      <w:r>
        <w:rPr>
          <w:rFonts w:hint="eastAsia" w:ascii="Times New Roman" w:eastAsia="宋体"/>
          <w:b/>
          <w:sz w:val="21"/>
          <w:lang w:val="en-US" w:eastAsia="zh-CN"/>
        </w:rPr>
        <w:t>4.1</w:t>
      </w:r>
      <w:r>
        <w:rPr>
          <w:rFonts w:ascii="Times New Roman" w:eastAsia="Times New Roman"/>
          <w:b/>
          <w:sz w:val="21"/>
        </w:rPr>
        <w:t>-</w:t>
      </w:r>
      <w:r>
        <w:rPr>
          <w:rFonts w:hint="eastAsia" w:ascii="Times New Roman"/>
          <w:b/>
          <w:sz w:val="21"/>
          <w:lang w:val="en-US" w:eastAsia="zh-CN"/>
        </w:rPr>
        <w:t>4</w:t>
      </w:r>
      <w:r>
        <w:rPr>
          <w:rFonts w:ascii="Times New Roman" w:eastAsia="Times New Roman"/>
          <w:b/>
          <w:sz w:val="21"/>
        </w:rPr>
        <w:t xml:space="preserve"> </w:t>
      </w:r>
      <w:r>
        <w:rPr>
          <w:rFonts w:hint="eastAsia" w:ascii="Times New Roman"/>
          <w:b/>
          <w:sz w:val="21"/>
          <w:lang w:eastAsia="zh-CN"/>
        </w:rPr>
        <w:t>危废间、固废间</w:t>
      </w:r>
      <w:r>
        <w:rPr>
          <w:b/>
          <w:sz w:val="21"/>
        </w:rPr>
        <w:t>现场图</w:t>
      </w:r>
    </w:p>
    <w:p>
      <w:pPr>
        <w:pStyle w:val="2"/>
      </w:pPr>
    </w:p>
    <w:p>
      <w:pPr>
        <w:pStyle w:val="4"/>
      </w:pPr>
      <w:r>
        <w:t>4.2 其他</w:t>
      </w:r>
      <w:bookmarkEnd w:id="50"/>
      <w:r>
        <w:t>环保措施</w:t>
      </w:r>
      <w:bookmarkEnd w:id="51"/>
    </w:p>
    <w:p>
      <w:pPr>
        <w:pStyle w:val="5"/>
      </w:pPr>
      <w:bookmarkStart w:id="52" w:name="_Toc497833595"/>
      <w:r>
        <w:rPr>
          <w:rFonts w:hint="eastAsia"/>
          <w:lang w:val="en-US" w:eastAsia="zh-CN"/>
        </w:rPr>
        <w:t>4.2</w:t>
      </w:r>
      <w:r>
        <w:t>.1</w:t>
      </w:r>
      <w:r>
        <w:rPr>
          <w:rFonts w:hint="eastAsia"/>
        </w:rPr>
        <w:t>环境</w:t>
      </w:r>
      <w:r>
        <w:t>风险防范措施</w:t>
      </w:r>
    </w:p>
    <w:p>
      <w:pPr>
        <w:ind w:firstLine="480" w:firstLineChars="200"/>
        <w:rPr>
          <w:rFonts w:hint="default"/>
        </w:rPr>
      </w:pPr>
      <w:r>
        <w:rPr>
          <w:rFonts w:hint="eastAsia"/>
        </w:rPr>
        <w:t>为避免风险事故，尤其是避免风险事故发生后对环境造成严重的污染，建设单位树立并强化环境风险意识，增加对环境风险的防范措施，并使这些措施在实际工作中得到落实。为进一步减少事故的发生，减缓该项目运营过程中对环境的潜在威胁，建设单位采取综合防范措施，并从技术、工艺、管理等方面对以下几方面予以重视：</w:t>
      </w:r>
    </w:p>
    <w:p>
      <w:pPr>
        <w:ind w:firstLine="480" w:firstLineChars="200"/>
        <w:rPr>
          <w:rFonts w:hint="eastAsia"/>
        </w:rPr>
      </w:pPr>
      <w:r>
        <w:rPr>
          <w:rFonts w:hint="eastAsia"/>
        </w:rPr>
        <w:t>①禁止厂区内使用明火，加强职工的防火意识。另外，本项目厂区内要设消防通道，消防通道宽度应不小于6m，确保消防车顺畅靠近各建筑物，库房与周围建筑物之间设置安全带。</w:t>
      </w:r>
    </w:p>
    <w:p>
      <w:pPr>
        <w:ind w:firstLine="480" w:firstLineChars="200"/>
        <w:rPr>
          <w:rFonts w:hint="eastAsia"/>
        </w:rPr>
      </w:pPr>
      <w:r>
        <w:rPr>
          <w:rFonts w:hint="eastAsia"/>
        </w:rPr>
        <w:t>②油漆库房、喷漆房、危险废物暂存间、喷漆房内循环水池和打磨房循环水池，池体地面和池体内表面采取防腐防渗措施。</w:t>
      </w:r>
    </w:p>
    <w:p>
      <w:pPr>
        <w:ind w:firstLine="480" w:firstLineChars="200"/>
        <w:rPr>
          <w:rFonts w:hint="eastAsia"/>
        </w:rPr>
      </w:pPr>
      <w:r>
        <w:rPr>
          <w:rFonts w:hint="eastAsia"/>
        </w:rPr>
        <w:t>③厂区准备一定量的灭火毯、灭火器、干沙等物质，可用作油品泄漏时吸收或灭火之用。</w:t>
      </w:r>
    </w:p>
    <w:p>
      <w:pPr>
        <w:ind w:firstLine="480" w:firstLineChars="200"/>
        <w:rPr>
          <w:rFonts w:hint="eastAsia"/>
        </w:rPr>
      </w:pPr>
      <w:r>
        <w:rPr>
          <w:rFonts w:hint="eastAsia"/>
        </w:rPr>
        <w:t>④建立安全生产岗位责任制，制定安全生产规章制度、安全操作规程，加强生产工人安全环境意识教育，树立安全生产意识，防止人为事故发生。</w:t>
      </w:r>
    </w:p>
    <w:p>
      <w:pPr>
        <w:pStyle w:val="5"/>
      </w:pPr>
      <w:r>
        <w:rPr>
          <w:rFonts w:hint="eastAsia"/>
        </w:rPr>
        <w:t>4.2.2环境保护档案管理情况</w:t>
      </w:r>
    </w:p>
    <w:p>
      <w:pPr>
        <w:ind w:firstLine="480" w:firstLineChars="200"/>
      </w:pPr>
      <w:r>
        <w:rPr>
          <w:rFonts w:hint="eastAsia"/>
          <w:lang w:eastAsia="zh-CN"/>
        </w:rPr>
        <w:t>重庆市万州区启豪套装门厂</w:t>
      </w:r>
      <w:r>
        <w:rPr>
          <w:rFonts w:hint="eastAsia"/>
        </w:rPr>
        <w:t>环保档案有专人负责，环保审批文件及环境保护档案资料均已归类存档，资料齐全，项目</w:t>
      </w:r>
      <w:r>
        <w:rPr>
          <w:rFonts w:hint="eastAsia"/>
          <w:lang w:val="en-US" w:eastAsia="zh-CN"/>
        </w:rPr>
        <w:t>有废气治理设施及危废转运</w:t>
      </w:r>
      <w:r>
        <w:rPr>
          <w:rFonts w:hint="eastAsia"/>
        </w:rPr>
        <w:t>情况有相应的记录，满足相关管理要求。</w:t>
      </w:r>
    </w:p>
    <w:p>
      <w:pPr>
        <w:pStyle w:val="5"/>
      </w:pPr>
      <w:r>
        <w:rPr>
          <w:rFonts w:hint="eastAsia"/>
        </w:rPr>
        <w:t>4.2.3环境管理</w:t>
      </w:r>
    </w:p>
    <w:p>
      <w:pPr>
        <w:ind w:firstLine="480" w:firstLineChars="200"/>
      </w:pPr>
      <w:r>
        <w:rPr>
          <w:rFonts w:hint="eastAsia"/>
        </w:rPr>
        <w:t>本项目主要针对运行期排放</w:t>
      </w:r>
      <w:r>
        <w:rPr>
          <w:rFonts w:hint="eastAsia"/>
          <w:lang w:val="en-US" w:eastAsia="zh-CN"/>
        </w:rPr>
        <w:t>废气</w:t>
      </w:r>
      <w:r>
        <w:rPr>
          <w:rFonts w:hint="eastAsia"/>
        </w:rPr>
        <w:t>、噪声</w:t>
      </w:r>
      <w:r>
        <w:rPr>
          <w:rFonts w:hint="eastAsia"/>
          <w:lang w:eastAsia="zh-CN"/>
        </w:rPr>
        <w:t>、</w:t>
      </w:r>
      <w:r>
        <w:rPr>
          <w:rFonts w:hint="eastAsia"/>
          <w:lang w:val="en-US" w:eastAsia="zh-CN"/>
        </w:rPr>
        <w:t>危废</w:t>
      </w:r>
      <w:r>
        <w:rPr>
          <w:rFonts w:hint="eastAsia"/>
        </w:rPr>
        <w:t>进行管理，项目设置环境管理机构，配备</w:t>
      </w:r>
      <w:r>
        <w:rPr>
          <w:rFonts w:hint="eastAsia"/>
          <w:lang w:eastAsia="zh-CN"/>
        </w:rPr>
        <w:t>专</w:t>
      </w:r>
      <w:r>
        <w:rPr>
          <w:rFonts w:hint="eastAsia"/>
        </w:rPr>
        <w:t>职技术人员</w:t>
      </w:r>
      <w:r>
        <w:rPr>
          <w:rFonts w:hint="eastAsia"/>
          <w:lang w:val="en-US" w:eastAsia="zh-CN"/>
        </w:rPr>
        <w:t>1</w:t>
      </w:r>
      <w:r>
        <w:rPr>
          <w:rFonts w:hint="eastAsia"/>
        </w:rPr>
        <w:t>人，统一负责管理、组织、落实和监督本</w:t>
      </w:r>
      <w:r>
        <w:rPr>
          <w:rFonts w:hint="eastAsia"/>
          <w:lang w:val="en-US" w:eastAsia="zh-CN"/>
        </w:rPr>
        <w:t>公司</w:t>
      </w:r>
      <w:r>
        <w:rPr>
          <w:rFonts w:hint="eastAsia"/>
        </w:rPr>
        <w:t>的环境保护工作。环境管理机构全面负责</w:t>
      </w:r>
      <w:r>
        <w:rPr>
          <w:rFonts w:hint="eastAsia"/>
          <w:lang w:eastAsia="zh-CN"/>
        </w:rPr>
        <w:t>重庆市万州区启豪套装门厂</w:t>
      </w:r>
      <w:r>
        <w:rPr>
          <w:rFonts w:hint="eastAsia"/>
        </w:rPr>
        <w:t>的环境管理工作，对废气、废水、固体废物进行统计；对环境保护设施进行维护管理，确保环保设施安全稳定运行；协助处理因该工程引发的污染事故和纠纷；对在环境管理方面的不足进行改进和提高，确保环境保护工作符合国家相关标准要求。</w:t>
      </w:r>
    </w:p>
    <w:p>
      <w:pPr>
        <w:pStyle w:val="5"/>
      </w:pPr>
      <w:r>
        <w:rPr>
          <w:rFonts w:hint="eastAsia"/>
        </w:rPr>
        <w:t>4.2.4环保投诉情况</w:t>
      </w:r>
    </w:p>
    <w:p>
      <w:pPr>
        <w:ind w:firstLine="480" w:firstLineChars="200"/>
        <w:rPr>
          <w:rFonts w:hint="eastAsia"/>
        </w:rPr>
      </w:pPr>
      <w:r>
        <w:rPr>
          <w:rFonts w:hint="eastAsia"/>
          <w:lang w:eastAsia="zh-CN"/>
        </w:rPr>
        <w:t>重庆市万州区启豪套装门厂</w:t>
      </w:r>
      <w:r>
        <w:rPr>
          <w:rFonts w:hint="eastAsia"/>
        </w:rPr>
        <w:t>在</w:t>
      </w:r>
      <w:r>
        <w:rPr>
          <w:rFonts w:hint="eastAsia"/>
          <w:lang w:val="en-US" w:eastAsia="zh-CN"/>
        </w:rPr>
        <w:t>营运</w:t>
      </w:r>
      <w:r>
        <w:rPr>
          <w:rFonts w:hint="eastAsia"/>
        </w:rPr>
        <w:t>期间未出现过环保投诉。</w:t>
      </w:r>
    </w:p>
    <w:p>
      <w:pPr>
        <w:pStyle w:val="4"/>
      </w:pPr>
      <w:bookmarkStart w:id="53" w:name="_Toc13958"/>
      <w:r>
        <w:t>4.3环保设施投资及“三同时”落实情况</w:t>
      </w:r>
      <w:bookmarkEnd w:id="52"/>
      <w:bookmarkEnd w:id="53"/>
    </w:p>
    <w:p>
      <w:pPr>
        <w:spacing w:line="460" w:lineRule="atLeast"/>
        <w:ind w:firstLine="600" w:firstLineChars="250"/>
      </w:pPr>
      <w:r>
        <w:rPr>
          <w:rFonts w:hint="eastAsia" w:ascii="Times New Roman" w:hAnsi="Times New Roman"/>
          <w:color w:val="000000"/>
          <w:sz w:val="24"/>
        </w:rPr>
        <w:t>本项目总投资</w:t>
      </w:r>
      <w:r>
        <w:rPr>
          <w:rFonts w:hint="eastAsia"/>
          <w:color w:val="000000"/>
          <w:sz w:val="24"/>
          <w:lang w:val="en-US" w:eastAsia="zh-CN"/>
        </w:rPr>
        <w:t>2</w:t>
      </w:r>
      <w:r>
        <w:rPr>
          <w:rFonts w:hint="eastAsia" w:ascii="Times New Roman" w:hAnsi="Times New Roman"/>
          <w:color w:val="000000"/>
          <w:sz w:val="24"/>
          <w:lang w:val="en-US" w:eastAsia="zh-CN"/>
        </w:rPr>
        <w:t>00</w:t>
      </w:r>
      <w:r>
        <w:rPr>
          <w:rFonts w:hint="eastAsia" w:ascii="Times New Roman" w:hAnsi="Times New Roman"/>
          <w:color w:val="000000"/>
          <w:sz w:val="24"/>
        </w:rPr>
        <w:t>万元，其中环保投资</w:t>
      </w:r>
      <w:r>
        <w:rPr>
          <w:rFonts w:hint="eastAsia"/>
          <w:color w:val="000000"/>
          <w:sz w:val="24"/>
          <w:lang w:val="en-US" w:eastAsia="zh-CN"/>
        </w:rPr>
        <w:t>45</w:t>
      </w:r>
      <w:r>
        <w:rPr>
          <w:rFonts w:hint="eastAsia" w:ascii="Times New Roman" w:hAnsi="Times New Roman"/>
          <w:color w:val="000000"/>
          <w:sz w:val="24"/>
          <w:lang w:val="en-US" w:eastAsia="zh-CN"/>
        </w:rPr>
        <w:t>万元</w:t>
      </w:r>
      <w:r>
        <w:rPr>
          <w:rFonts w:hint="eastAsia" w:ascii="Times New Roman" w:hAnsi="Times New Roman"/>
          <w:color w:val="000000"/>
          <w:sz w:val="24"/>
        </w:rPr>
        <w:t>，占总投资的</w:t>
      </w:r>
      <w:r>
        <w:rPr>
          <w:rFonts w:hint="eastAsia"/>
          <w:color w:val="000000"/>
          <w:sz w:val="24"/>
          <w:lang w:val="en-US" w:eastAsia="zh-CN"/>
        </w:rPr>
        <w:t>22.5</w:t>
      </w:r>
      <w:r>
        <w:rPr>
          <w:rFonts w:hint="eastAsia" w:ascii="Times New Roman" w:hAnsi="Times New Roman"/>
          <w:color w:val="000000"/>
          <w:sz w:val="24"/>
          <w:lang w:val="en-US" w:eastAsia="zh-CN"/>
        </w:rPr>
        <w:t>%</w:t>
      </w:r>
      <w:r>
        <w:rPr>
          <w:rFonts w:hint="eastAsia" w:ascii="Times New Roman" w:hAnsi="Times New Roman"/>
          <w:color w:val="000000"/>
          <w:sz w:val="24"/>
        </w:rPr>
        <w:t>。其实际环保投资及建设情况见</w:t>
      </w:r>
      <w:r>
        <w:t>表4-1。</w:t>
      </w:r>
    </w:p>
    <w:p>
      <w:pPr>
        <w:pStyle w:val="2"/>
        <w:jc w:val="center"/>
        <w:rPr>
          <w:rFonts w:hint="default" w:hAnsi="宋体"/>
          <w:b/>
          <w:bCs/>
          <w:color w:val="000000"/>
          <w:sz w:val="24"/>
          <w:szCs w:val="22"/>
        </w:rPr>
      </w:pPr>
      <w:r>
        <w:rPr>
          <w:rFonts w:hint="eastAsia"/>
          <w:b/>
          <w:bCs/>
          <w:sz w:val="21"/>
          <w:szCs w:val="21"/>
        </w:rPr>
        <w:t xml:space="preserve">表4-1  </w:t>
      </w:r>
      <w:r>
        <w:rPr>
          <w:rFonts w:hint="default" w:hAnsi="宋体"/>
          <w:b/>
          <w:bCs/>
          <w:color w:val="000000"/>
          <w:sz w:val="24"/>
          <w:szCs w:val="22"/>
        </w:rPr>
        <w:t>项目污染治理措施落实情况一览表</w:t>
      </w:r>
    </w:p>
    <w:tbl>
      <w:tblPr>
        <w:tblStyle w:val="2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04"/>
        <w:gridCol w:w="345"/>
        <w:gridCol w:w="1125"/>
        <w:gridCol w:w="2363"/>
        <w:gridCol w:w="2488"/>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op w:val="single" w:color="auto" w:sz="4" w:space="0"/>
              <w:bottom w:val="single" w:color="auto" w:sz="4" w:space="0"/>
              <w:tl2br w:val="single" w:color="auto" w:sz="4" w:space="0"/>
            </w:tcBorders>
            <w:noWrap w:val="0"/>
            <w:vAlign w:val="center"/>
          </w:tcPr>
          <w:p>
            <w:pPr>
              <w:jc w:val="left"/>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内容</w:t>
            </w:r>
          </w:p>
          <w:p>
            <w:pPr>
              <w:jc w:val="left"/>
              <w:rPr>
                <w:rFonts w:hint="eastAsia" w:ascii="Times New Roman" w:hAnsi="Times New Roman" w:eastAsia="宋体"/>
                <w:b/>
                <w:bCs/>
                <w:color w:val="000000"/>
                <w:sz w:val="21"/>
                <w:szCs w:val="21"/>
                <w:lang w:eastAsia="zh-CN"/>
              </w:rPr>
            </w:pPr>
          </w:p>
          <w:p>
            <w:pPr>
              <w:jc w:val="left"/>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类型</w:t>
            </w:r>
          </w:p>
        </w:tc>
        <w:tc>
          <w:tcPr>
            <w:tcW w:w="597"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排放源</w:t>
            </w:r>
          </w:p>
        </w:tc>
        <w:tc>
          <w:tcPr>
            <w:tcW w:w="795" w:type="pct"/>
            <w:gridSpan w:val="2"/>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污染物</w:t>
            </w:r>
          </w:p>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名称</w:t>
            </w:r>
          </w:p>
        </w:tc>
        <w:tc>
          <w:tcPr>
            <w:tcW w:w="1279"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环评要求的处理方式</w:t>
            </w:r>
          </w:p>
        </w:tc>
        <w:tc>
          <w:tcPr>
            <w:tcW w:w="1347"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实际处理方式</w:t>
            </w:r>
          </w:p>
        </w:tc>
        <w:tc>
          <w:tcPr>
            <w:tcW w:w="534" w:type="pct"/>
            <w:tcBorders>
              <w:top w:val="single" w:color="auto" w:sz="4" w:space="0"/>
              <w:bottom w:val="single" w:color="auto" w:sz="4" w:space="0"/>
            </w:tcBorders>
            <w:noWrap w:val="0"/>
            <w:vAlign w:val="center"/>
          </w:tcPr>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治理</w:t>
            </w:r>
          </w:p>
          <w:p>
            <w:pPr>
              <w:jc w:val="center"/>
              <w:rPr>
                <w:rFonts w:hint="eastAsia" w:ascii="Times New Roman" w:hAnsi="Times New Roman" w:eastAsia="宋体"/>
                <w:b/>
                <w:bCs/>
                <w:color w:val="000000"/>
                <w:sz w:val="21"/>
                <w:szCs w:val="21"/>
                <w:lang w:eastAsia="zh-CN"/>
              </w:rPr>
            </w:pPr>
            <w:r>
              <w:rPr>
                <w:rFonts w:hint="eastAsia" w:ascii="Times New Roman" w:hAnsi="Times New Roman" w:eastAsia="宋体"/>
                <w:b/>
                <w:bCs/>
                <w:color w:val="000000"/>
                <w:sz w:val="21"/>
                <w:szCs w:val="21"/>
                <w:lang w:eastAsia="zh-CN"/>
              </w:rPr>
              <w:t>投资</w:t>
            </w:r>
          </w:p>
          <w:p>
            <w:pPr>
              <w:jc w:val="center"/>
              <w:rPr>
                <w:rFonts w:hint="eastAsia" w:ascii="Times New Roman" w:hAnsi="Times New Roman" w:eastAsia="宋体"/>
                <w:b/>
                <w:bCs/>
                <w:color w:val="000000"/>
                <w:sz w:val="21"/>
                <w:szCs w:val="21"/>
                <w:lang w:eastAsia="zh-CN"/>
              </w:rPr>
            </w:pPr>
            <w:r>
              <w:rPr>
                <w:rFonts w:hint="eastAsia"/>
                <w:b/>
                <w:bCs/>
                <w:color w:val="000000"/>
                <w:sz w:val="21"/>
                <w:szCs w:val="21"/>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restar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废气</w:t>
            </w: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eastAsia"/>
                <w:color w:val="auto"/>
                <w:sz w:val="21"/>
                <w:szCs w:val="21"/>
              </w:rPr>
              <w:t>木工区及打磨区</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颗粒物</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eastAsia"/>
                <w:color w:val="auto"/>
                <w:sz w:val="21"/>
                <w:szCs w:val="21"/>
              </w:rPr>
              <w:t>布袋除尘器+集中抽排风+15m排气筒（1#）</w:t>
            </w:r>
          </w:p>
        </w:tc>
        <w:tc>
          <w:tcPr>
            <w:tcW w:w="2488" w:type="dxa"/>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rPr>
              <w:t>布袋除尘器+集中抽排风+15m排气筒（1#）</w:t>
            </w:r>
          </w:p>
        </w:tc>
        <w:tc>
          <w:tcPr>
            <w:tcW w:w="534" w:type="pct"/>
            <w:vMerge w:val="restar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rPr>
            </w:pPr>
            <w:r>
              <w:rPr>
                <w:rFonts w:hint="eastAsia"/>
                <w:color w:val="auto"/>
                <w:sz w:val="21"/>
                <w:szCs w:val="21"/>
              </w:rPr>
              <w:t>喷漆房</w:t>
            </w:r>
          </w:p>
          <w:p>
            <w:pPr>
              <w:widowControl w:val="0"/>
              <w:spacing w:line="240" w:lineRule="auto"/>
              <w:jc w:val="center"/>
              <w:rPr>
                <w:rFonts w:hint="eastAsia"/>
                <w:color w:val="auto"/>
                <w:sz w:val="21"/>
                <w:szCs w:val="21"/>
                <w:lang w:val="en-US" w:eastAsia="zh-CN"/>
              </w:rPr>
            </w:pPr>
            <w:r>
              <w:rPr>
                <w:rFonts w:hint="eastAsia"/>
                <w:color w:val="auto"/>
                <w:sz w:val="21"/>
                <w:szCs w:val="21"/>
              </w:rPr>
              <w:t>晾干房</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颗粒物、非甲烷总烃、二甲苯</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rPr>
              <w:t>水帘+UV光解+活性炭+15m排气筒（2#）</w:t>
            </w:r>
          </w:p>
        </w:tc>
        <w:tc>
          <w:tcPr>
            <w:tcW w:w="2488" w:type="dxa"/>
            <w:tcBorders>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rPr>
              <w:t>水帘+UV光解+活性炭+15m排气筒（2#）</w:t>
            </w:r>
          </w:p>
        </w:tc>
        <w:tc>
          <w:tcPr>
            <w:tcW w:w="534" w:type="pct"/>
            <w:vMerge w:val="continue"/>
            <w:tcBorders>
              <w:bottom w:val="single" w:color="auto" w:sz="4" w:space="0"/>
            </w:tcBorders>
            <w:noWrap w:val="0"/>
            <w:vAlign w:val="center"/>
          </w:tcPr>
          <w:p>
            <w:pPr>
              <w:widowControl w:val="0"/>
              <w:spacing w:line="240" w:lineRule="auto"/>
              <w:jc w:val="center"/>
              <w:rPr>
                <w:rFonts w:hint="default"/>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废水</w:t>
            </w: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日常办公</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default"/>
                <w:color w:val="auto"/>
                <w:sz w:val="21"/>
                <w:szCs w:val="21"/>
                <w:lang w:val="en-US" w:eastAsia="zh-CN"/>
              </w:rPr>
              <w:t>生活污水</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default"/>
                <w:color w:val="auto"/>
                <w:sz w:val="21"/>
                <w:szCs w:val="21"/>
                <w:lang w:val="en-US" w:eastAsia="zh-CN"/>
              </w:rPr>
              <w:t>化粪池收集后用作农肥，不外排</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eastAsia"/>
                <w:color w:val="auto"/>
                <w:sz w:val="21"/>
                <w:szCs w:val="21"/>
                <w:lang w:val="en-US" w:eastAsia="zh-CN"/>
              </w:rPr>
              <w:t>与农户签订协议</w:t>
            </w:r>
            <w:r>
              <w:rPr>
                <w:rFonts w:hint="default"/>
                <w:color w:val="auto"/>
                <w:sz w:val="21"/>
                <w:szCs w:val="21"/>
                <w:lang w:val="en-US" w:eastAsia="zh-CN"/>
              </w:rPr>
              <w:t>作农肥，不外排</w:t>
            </w:r>
          </w:p>
        </w:tc>
        <w:tc>
          <w:tcPr>
            <w:tcW w:w="534" w:type="pct"/>
            <w:tcBorders>
              <w:top w:val="single" w:color="auto" w:sz="4" w:space="0"/>
              <w:bottom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restart"/>
            <w:noWrap w:val="0"/>
            <w:vAlign w:val="center"/>
          </w:tcPr>
          <w:p>
            <w:pPr>
              <w:widowControl w:val="0"/>
              <w:spacing w:line="240" w:lineRule="auto"/>
              <w:jc w:val="center"/>
              <w:rPr>
                <w:color w:val="auto"/>
                <w:sz w:val="21"/>
                <w:szCs w:val="21"/>
              </w:rPr>
            </w:pPr>
          </w:p>
          <w:p>
            <w:pPr>
              <w:widowControl w:val="0"/>
              <w:spacing w:line="240" w:lineRule="auto"/>
              <w:jc w:val="center"/>
              <w:rPr>
                <w:rFonts w:hint="eastAsia"/>
                <w:color w:val="auto"/>
                <w:sz w:val="21"/>
                <w:szCs w:val="21"/>
                <w:lang w:val="en-US" w:eastAsia="zh-CN"/>
              </w:rPr>
            </w:pPr>
            <w:r>
              <w:rPr>
                <w:color w:val="auto"/>
                <w:sz w:val="21"/>
                <w:szCs w:val="21"/>
              </w:rPr>
              <w:t>固体废物</w:t>
            </w:r>
          </w:p>
        </w:tc>
        <w:tc>
          <w:tcPr>
            <w:tcW w:w="597" w:type="pct"/>
            <w:vMerge w:val="restar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厂区</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生活垃圾</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集中收集，由市政环卫部门统一清运处置</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集中收集，由市政环卫部门统一清运处置</w:t>
            </w:r>
          </w:p>
        </w:tc>
        <w:tc>
          <w:tcPr>
            <w:tcW w:w="534"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restart"/>
            <w:tcBorders>
              <w:top w:val="single" w:color="auto" w:sz="4" w:space="0"/>
              <w:bottom w:val="single" w:color="auto" w:sz="4" w:space="0"/>
            </w:tcBorders>
            <w:noWrap w:val="0"/>
            <w:vAlign w:val="center"/>
          </w:tcPr>
          <w:p>
            <w:pPr>
              <w:spacing w:line="240" w:lineRule="auto"/>
              <w:jc w:val="center"/>
              <w:rPr>
                <w:rFonts w:hint="default"/>
                <w:color w:val="auto"/>
                <w:sz w:val="21"/>
                <w:szCs w:val="21"/>
                <w:lang w:val="en-US" w:eastAsia="zh-CN"/>
              </w:rPr>
            </w:pPr>
            <w:r>
              <w:rPr>
                <w:sz w:val="21"/>
                <w:szCs w:val="21"/>
              </w:rPr>
              <w:t>一般固废</w:t>
            </w:r>
          </w:p>
        </w:tc>
        <w:tc>
          <w:tcPr>
            <w:tcW w:w="609" w:type="pct"/>
            <w:tcBorders>
              <w:top w:val="single" w:color="auto" w:sz="4" w:space="0"/>
              <w:bottom w:val="single" w:color="auto" w:sz="4" w:space="0"/>
            </w:tcBorders>
            <w:noWrap w:val="0"/>
            <w:vAlign w:val="center"/>
          </w:tcPr>
          <w:p>
            <w:pPr>
              <w:spacing w:line="240" w:lineRule="auto"/>
              <w:jc w:val="center"/>
              <w:rPr>
                <w:rFonts w:hint="default"/>
                <w:color w:val="auto"/>
                <w:sz w:val="21"/>
                <w:szCs w:val="21"/>
                <w:lang w:val="en-US" w:eastAsia="zh-CN"/>
              </w:rPr>
            </w:pPr>
            <w:r>
              <w:rPr>
                <w:rFonts w:hint="eastAsia"/>
                <w:sz w:val="21"/>
                <w:szCs w:val="21"/>
              </w:rPr>
              <w:t>边角料</w:t>
            </w:r>
          </w:p>
        </w:tc>
        <w:tc>
          <w:tcPr>
            <w:tcW w:w="1279" w:type="pct"/>
            <w:vMerge w:val="restart"/>
            <w:tcBorders>
              <w:top w:val="single" w:color="auto" w:sz="4" w:space="0"/>
            </w:tcBorders>
            <w:noWrap w:val="0"/>
            <w:vAlign w:val="center"/>
          </w:tcPr>
          <w:p>
            <w:pPr>
              <w:spacing w:line="240" w:lineRule="auto"/>
              <w:jc w:val="center"/>
              <w:rPr>
                <w:rFonts w:hint="eastAsia"/>
                <w:color w:val="auto"/>
                <w:sz w:val="21"/>
                <w:szCs w:val="21"/>
                <w:lang w:val="en-US" w:eastAsia="zh-CN"/>
              </w:rPr>
            </w:pPr>
            <w:r>
              <w:rPr>
                <w:rFonts w:hint="eastAsia"/>
                <w:sz w:val="21"/>
                <w:szCs w:val="21"/>
              </w:rPr>
              <w:t>外售给其它企业综合利用，不可回收部分交由环卫部门处理</w:t>
            </w:r>
          </w:p>
        </w:tc>
        <w:tc>
          <w:tcPr>
            <w:tcW w:w="1347" w:type="pct"/>
            <w:vMerge w:val="restart"/>
            <w:tcBorders>
              <w:top w:val="single" w:color="auto" w:sz="4" w:space="0"/>
            </w:tcBorders>
            <w:noWrap w:val="0"/>
            <w:vAlign w:val="center"/>
          </w:tcPr>
          <w:p>
            <w:pPr>
              <w:spacing w:line="240" w:lineRule="auto"/>
              <w:jc w:val="center"/>
              <w:rPr>
                <w:rFonts w:hint="eastAsia" w:ascii="Times New Roman" w:hAnsi="Times New Roman" w:eastAsia="宋体" w:cstheme="minorBidi"/>
                <w:color w:val="auto"/>
                <w:sz w:val="21"/>
                <w:szCs w:val="21"/>
                <w:lang w:val="en-US" w:eastAsia="zh-CN" w:bidi="ar-SA"/>
              </w:rPr>
            </w:pPr>
            <w:r>
              <w:rPr>
                <w:rFonts w:hint="eastAsia"/>
                <w:sz w:val="21"/>
                <w:szCs w:val="21"/>
              </w:rPr>
              <w:t>外售给其它企业综合利用，不可回收部分交由环卫部门处理</w:t>
            </w:r>
          </w:p>
          <w:p>
            <w:pPr>
              <w:spacing w:line="240" w:lineRule="auto"/>
              <w:jc w:val="center"/>
              <w:rPr>
                <w:rFonts w:hint="eastAsia"/>
                <w:color w:val="auto"/>
                <w:sz w:val="21"/>
                <w:szCs w:val="21"/>
                <w:lang w:val="en-US" w:eastAsia="zh-CN"/>
              </w:rPr>
            </w:pPr>
          </w:p>
        </w:tc>
        <w:tc>
          <w:tcPr>
            <w:tcW w:w="534" w:type="pct"/>
            <w:vMerge w:val="restar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spacing w:line="240" w:lineRule="auto"/>
              <w:jc w:val="center"/>
              <w:rPr>
                <w:rFonts w:hint="default"/>
                <w:color w:val="auto"/>
                <w:sz w:val="21"/>
                <w:szCs w:val="21"/>
                <w:lang w:val="en-US" w:eastAsia="zh-CN"/>
              </w:rPr>
            </w:pPr>
            <w:r>
              <w:rPr>
                <w:rFonts w:hint="eastAsia"/>
                <w:sz w:val="21"/>
                <w:szCs w:val="21"/>
              </w:rPr>
              <w:t xml:space="preserve">木工尘渣 </w:t>
            </w:r>
          </w:p>
        </w:tc>
        <w:tc>
          <w:tcPr>
            <w:tcW w:w="1279" w:type="pct"/>
            <w:vMerge w:val="continue"/>
            <w:tcBorders>
              <w:top w:val="single" w:color="auto" w:sz="4" w:space="0"/>
            </w:tcBorders>
            <w:noWrap w:val="0"/>
            <w:vAlign w:val="center"/>
          </w:tcPr>
          <w:p>
            <w:pPr>
              <w:spacing w:line="240" w:lineRule="auto"/>
              <w:jc w:val="center"/>
              <w:rPr>
                <w:rFonts w:hint="eastAsia"/>
                <w:color w:val="auto"/>
                <w:sz w:val="21"/>
                <w:szCs w:val="21"/>
                <w:lang w:val="en-US" w:eastAsia="zh-CN"/>
              </w:rPr>
            </w:pPr>
          </w:p>
        </w:tc>
        <w:tc>
          <w:tcPr>
            <w:tcW w:w="1347" w:type="pct"/>
            <w:vMerge w:val="continue"/>
            <w:noWrap w:val="0"/>
            <w:vAlign w:val="center"/>
          </w:tcPr>
          <w:p>
            <w:pPr>
              <w:spacing w:line="240" w:lineRule="auto"/>
              <w:jc w:val="center"/>
              <w:rPr>
                <w:rFonts w:hint="eastAsia"/>
                <w:color w:val="auto"/>
                <w:sz w:val="21"/>
                <w:szCs w:val="21"/>
                <w:lang w:val="en-US" w:eastAsia="zh-CN"/>
              </w:rPr>
            </w:pPr>
          </w:p>
        </w:tc>
        <w:tc>
          <w:tcPr>
            <w:tcW w:w="534" w:type="pct"/>
            <w:vMerge w:val="continue"/>
            <w:noWrap w:val="0"/>
            <w:vAlign w:val="center"/>
          </w:tcPr>
          <w:p>
            <w:pPr>
              <w:widowControl w:val="0"/>
              <w:spacing w:line="240" w:lineRule="auto"/>
              <w:jc w:val="center"/>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spacing w:line="240" w:lineRule="auto"/>
              <w:jc w:val="center"/>
              <w:rPr>
                <w:rFonts w:hint="default"/>
                <w:color w:val="auto"/>
                <w:sz w:val="21"/>
                <w:szCs w:val="21"/>
                <w:lang w:val="en-US" w:eastAsia="zh-CN"/>
              </w:rPr>
            </w:pPr>
            <w:r>
              <w:rPr>
                <w:rFonts w:hint="eastAsia"/>
                <w:sz w:val="21"/>
                <w:szCs w:val="21"/>
              </w:rPr>
              <w:t>批灰打磨粉尘</w:t>
            </w:r>
          </w:p>
        </w:tc>
        <w:tc>
          <w:tcPr>
            <w:tcW w:w="1279" w:type="pct"/>
            <w:vMerge w:val="continue"/>
            <w:tcBorders>
              <w:top w:val="single" w:color="auto" w:sz="4" w:space="0"/>
            </w:tcBorders>
            <w:noWrap w:val="0"/>
            <w:vAlign w:val="center"/>
          </w:tcPr>
          <w:p>
            <w:pPr>
              <w:spacing w:line="240" w:lineRule="auto"/>
              <w:jc w:val="center"/>
              <w:rPr>
                <w:rFonts w:hint="eastAsia"/>
                <w:color w:val="auto"/>
                <w:sz w:val="21"/>
                <w:szCs w:val="21"/>
                <w:lang w:val="en-US" w:eastAsia="zh-CN"/>
              </w:rPr>
            </w:pPr>
          </w:p>
        </w:tc>
        <w:tc>
          <w:tcPr>
            <w:tcW w:w="1347" w:type="pct"/>
            <w:vMerge w:val="continue"/>
            <w:noWrap w:val="0"/>
            <w:vAlign w:val="center"/>
          </w:tcPr>
          <w:p>
            <w:pPr>
              <w:spacing w:line="240" w:lineRule="auto"/>
              <w:jc w:val="center"/>
              <w:rPr>
                <w:rFonts w:hint="eastAsia"/>
                <w:color w:val="auto"/>
                <w:sz w:val="21"/>
                <w:szCs w:val="21"/>
                <w:lang w:val="en-US" w:eastAsia="zh-CN"/>
              </w:rPr>
            </w:pPr>
          </w:p>
        </w:tc>
        <w:tc>
          <w:tcPr>
            <w:tcW w:w="534" w:type="pct"/>
            <w:vMerge w:val="continue"/>
            <w:noWrap w:val="0"/>
            <w:vAlign w:val="center"/>
          </w:tcPr>
          <w:p>
            <w:pPr>
              <w:widowControl w:val="0"/>
              <w:spacing w:line="240" w:lineRule="auto"/>
              <w:jc w:val="center"/>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restart"/>
            <w:tcBorders>
              <w:top w:val="single" w:color="auto" w:sz="4" w:space="0"/>
              <w:bottom w:val="single" w:color="auto" w:sz="4" w:space="0"/>
            </w:tcBorders>
            <w:noWrap w:val="0"/>
            <w:vAlign w:val="center"/>
          </w:tcPr>
          <w:p>
            <w:pPr>
              <w:spacing w:line="240" w:lineRule="auto"/>
              <w:jc w:val="center"/>
              <w:rPr>
                <w:rFonts w:hint="eastAsia"/>
                <w:color w:val="auto"/>
                <w:sz w:val="21"/>
                <w:szCs w:val="21"/>
                <w:lang w:val="en-US" w:eastAsia="zh-CN"/>
              </w:rPr>
            </w:pPr>
            <w:r>
              <w:rPr>
                <w:sz w:val="21"/>
                <w:szCs w:val="21"/>
              </w:rPr>
              <w:t>危险废物</w:t>
            </w:r>
          </w:p>
        </w:tc>
        <w:tc>
          <w:tcPr>
            <w:tcW w:w="609" w:type="pct"/>
            <w:tcBorders>
              <w:top w:val="single" w:color="auto" w:sz="4" w:space="0"/>
              <w:bottom w:val="single" w:color="auto" w:sz="4" w:space="0"/>
            </w:tcBorders>
            <w:noWrap w:val="0"/>
            <w:vAlign w:val="center"/>
          </w:tcPr>
          <w:p>
            <w:pPr>
              <w:spacing w:line="240" w:lineRule="auto"/>
              <w:jc w:val="center"/>
              <w:rPr>
                <w:color w:val="auto"/>
                <w:sz w:val="21"/>
                <w:szCs w:val="21"/>
              </w:rPr>
            </w:pPr>
            <w:r>
              <w:rPr>
                <w:rFonts w:hint="eastAsia"/>
                <w:sz w:val="21"/>
                <w:szCs w:val="21"/>
              </w:rPr>
              <w:t>废胶桶</w:t>
            </w:r>
          </w:p>
        </w:tc>
        <w:tc>
          <w:tcPr>
            <w:tcW w:w="1279" w:type="pct"/>
            <w:vMerge w:val="restart"/>
            <w:tcBorders>
              <w:top w:val="single" w:color="auto" w:sz="4" w:space="0"/>
            </w:tcBorders>
            <w:noWrap w:val="0"/>
            <w:vAlign w:val="center"/>
          </w:tcPr>
          <w:p>
            <w:pPr>
              <w:spacing w:line="240" w:lineRule="auto"/>
              <w:jc w:val="center"/>
              <w:rPr>
                <w:rFonts w:hint="eastAsia"/>
                <w:color w:val="auto"/>
                <w:sz w:val="21"/>
                <w:szCs w:val="21"/>
                <w:lang w:val="en-US" w:eastAsia="zh-CN"/>
              </w:rPr>
            </w:pPr>
            <w:r>
              <w:rPr>
                <w:rFonts w:hint="eastAsia"/>
                <w:kern w:val="24"/>
                <w:sz w:val="21"/>
                <w:szCs w:val="21"/>
              </w:rPr>
              <w:t>收集后暂存于危废储存间，定期交由有危废处理资质的单位处理</w:t>
            </w:r>
          </w:p>
        </w:tc>
        <w:tc>
          <w:tcPr>
            <w:tcW w:w="1347" w:type="pct"/>
            <w:vMerge w:val="restart"/>
            <w:tcBorders>
              <w:top w:val="single" w:color="auto" w:sz="4" w:space="0"/>
            </w:tcBorders>
            <w:noWrap w:val="0"/>
            <w:vAlign w:val="center"/>
          </w:tcPr>
          <w:p>
            <w:pPr>
              <w:spacing w:line="240" w:lineRule="auto"/>
              <w:jc w:val="center"/>
              <w:rPr>
                <w:rFonts w:hint="eastAsia" w:ascii="Times New Roman" w:hAnsi="Times New Roman" w:eastAsia="宋体" w:cstheme="minorBidi"/>
                <w:color w:val="auto"/>
                <w:sz w:val="21"/>
                <w:szCs w:val="21"/>
                <w:lang w:val="en-US" w:eastAsia="zh-CN" w:bidi="ar-SA"/>
              </w:rPr>
            </w:pPr>
            <w:r>
              <w:rPr>
                <w:rFonts w:hint="eastAsia"/>
                <w:kern w:val="24"/>
                <w:sz w:val="21"/>
                <w:szCs w:val="21"/>
              </w:rPr>
              <w:t>收集后暂存于危废储存间，定期交由有危废处理资质的单位</w:t>
            </w:r>
            <w:r>
              <w:rPr>
                <w:rFonts w:hint="eastAsia"/>
                <w:kern w:val="24"/>
                <w:sz w:val="21"/>
                <w:szCs w:val="21"/>
                <w:lang w:eastAsia="zh-CN"/>
              </w:rPr>
              <w:t>（重庆巨光实业有限公司）</w:t>
            </w:r>
            <w:r>
              <w:rPr>
                <w:rFonts w:hint="eastAsia"/>
                <w:kern w:val="24"/>
                <w:sz w:val="21"/>
                <w:szCs w:val="21"/>
              </w:rPr>
              <w:t>处理</w:t>
            </w:r>
          </w:p>
          <w:p>
            <w:pPr>
              <w:spacing w:line="240" w:lineRule="auto"/>
              <w:jc w:val="both"/>
              <w:rPr>
                <w:color w:val="auto"/>
                <w:sz w:val="21"/>
                <w:szCs w:val="21"/>
              </w:rPr>
            </w:pPr>
          </w:p>
        </w:tc>
        <w:tc>
          <w:tcPr>
            <w:tcW w:w="534" w:type="pct"/>
            <w:vMerge w:val="restart"/>
            <w:tcBorders>
              <w:top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spacing w:line="240" w:lineRule="auto"/>
              <w:jc w:val="center"/>
              <w:rPr>
                <w:color w:val="auto"/>
                <w:sz w:val="21"/>
                <w:szCs w:val="21"/>
              </w:rPr>
            </w:pPr>
            <w:r>
              <w:rPr>
                <w:rFonts w:hint="eastAsia"/>
                <w:sz w:val="21"/>
                <w:szCs w:val="21"/>
              </w:rPr>
              <w:t>废漆桶</w:t>
            </w:r>
          </w:p>
        </w:tc>
        <w:tc>
          <w:tcPr>
            <w:tcW w:w="1279" w:type="pct"/>
            <w:vMerge w:val="continue"/>
            <w:noWrap w:val="0"/>
            <w:vAlign w:val="center"/>
          </w:tcPr>
          <w:p>
            <w:pPr>
              <w:spacing w:line="240" w:lineRule="auto"/>
              <w:jc w:val="center"/>
              <w:rPr>
                <w:rFonts w:hint="eastAsia"/>
                <w:color w:val="auto"/>
                <w:sz w:val="21"/>
                <w:szCs w:val="21"/>
                <w:lang w:val="en-US" w:eastAsia="zh-CN"/>
              </w:rPr>
            </w:pPr>
          </w:p>
        </w:tc>
        <w:tc>
          <w:tcPr>
            <w:tcW w:w="1347" w:type="pct"/>
            <w:vMerge w:val="continue"/>
            <w:noWrap w:val="0"/>
            <w:vAlign w:val="center"/>
          </w:tcPr>
          <w:p>
            <w:pPr>
              <w:spacing w:line="240" w:lineRule="auto"/>
              <w:jc w:val="center"/>
              <w:rPr>
                <w:color w:val="auto"/>
                <w:sz w:val="21"/>
                <w:szCs w:val="21"/>
              </w:rPr>
            </w:pPr>
          </w:p>
        </w:tc>
        <w:tc>
          <w:tcPr>
            <w:tcW w:w="534" w:type="pct"/>
            <w:vMerge w:val="continue"/>
            <w:noWrap w:val="0"/>
            <w:vAlign w:val="center"/>
          </w:tcPr>
          <w:p>
            <w:pPr>
              <w:widowControl w:val="0"/>
              <w:spacing w:line="240" w:lineRule="auto"/>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spacing w:line="240" w:lineRule="auto"/>
              <w:jc w:val="center"/>
              <w:rPr>
                <w:rFonts w:hint="eastAsia"/>
                <w:sz w:val="21"/>
                <w:szCs w:val="21"/>
              </w:rPr>
            </w:pPr>
            <w:r>
              <w:rPr>
                <w:rFonts w:hint="eastAsia"/>
                <w:sz w:val="21"/>
                <w:szCs w:val="21"/>
              </w:rPr>
              <w:t xml:space="preserve">废活性炭 </w:t>
            </w:r>
          </w:p>
        </w:tc>
        <w:tc>
          <w:tcPr>
            <w:tcW w:w="1279" w:type="pct"/>
            <w:vMerge w:val="continue"/>
            <w:noWrap w:val="0"/>
            <w:vAlign w:val="center"/>
          </w:tcPr>
          <w:p>
            <w:pPr>
              <w:spacing w:line="240" w:lineRule="auto"/>
              <w:jc w:val="center"/>
              <w:rPr>
                <w:rFonts w:hint="eastAsia"/>
                <w:color w:val="auto"/>
                <w:sz w:val="21"/>
                <w:szCs w:val="21"/>
                <w:lang w:val="en-US" w:eastAsia="zh-CN"/>
              </w:rPr>
            </w:pPr>
          </w:p>
        </w:tc>
        <w:tc>
          <w:tcPr>
            <w:tcW w:w="1347" w:type="pct"/>
            <w:vMerge w:val="continue"/>
            <w:noWrap w:val="0"/>
            <w:vAlign w:val="center"/>
          </w:tcPr>
          <w:p>
            <w:pPr>
              <w:spacing w:line="240" w:lineRule="auto"/>
              <w:jc w:val="center"/>
              <w:rPr>
                <w:color w:val="auto"/>
                <w:sz w:val="21"/>
                <w:szCs w:val="21"/>
              </w:rPr>
            </w:pPr>
          </w:p>
        </w:tc>
        <w:tc>
          <w:tcPr>
            <w:tcW w:w="534" w:type="pct"/>
            <w:vMerge w:val="continue"/>
            <w:noWrap w:val="0"/>
            <w:vAlign w:val="center"/>
          </w:tcPr>
          <w:p>
            <w:pPr>
              <w:widowControl w:val="0"/>
              <w:spacing w:line="240" w:lineRule="auto"/>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spacing w:line="240" w:lineRule="auto"/>
              <w:jc w:val="center"/>
              <w:rPr>
                <w:rFonts w:hint="default"/>
                <w:color w:val="auto"/>
                <w:sz w:val="21"/>
                <w:szCs w:val="21"/>
                <w:lang w:val="en-US" w:eastAsia="zh-CN"/>
              </w:rPr>
            </w:pPr>
            <w:r>
              <w:rPr>
                <w:rFonts w:hint="eastAsia"/>
                <w:sz w:val="21"/>
                <w:szCs w:val="21"/>
              </w:rPr>
              <w:t xml:space="preserve">漆渣 </w:t>
            </w:r>
          </w:p>
        </w:tc>
        <w:tc>
          <w:tcPr>
            <w:tcW w:w="1279" w:type="pct"/>
            <w:vMerge w:val="continue"/>
            <w:noWrap w:val="0"/>
            <w:vAlign w:val="center"/>
          </w:tcPr>
          <w:p>
            <w:pPr>
              <w:spacing w:line="240" w:lineRule="auto"/>
              <w:jc w:val="center"/>
              <w:rPr>
                <w:rFonts w:hint="eastAsia"/>
                <w:color w:val="auto"/>
                <w:sz w:val="21"/>
                <w:szCs w:val="21"/>
                <w:lang w:val="en-US" w:eastAsia="zh-CN"/>
              </w:rPr>
            </w:pPr>
          </w:p>
        </w:tc>
        <w:tc>
          <w:tcPr>
            <w:tcW w:w="1347" w:type="pct"/>
            <w:vMerge w:val="continue"/>
            <w:noWrap w:val="0"/>
            <w:vAlign w:val="center"/>
          </w:tcPr>
          <w:p>
            <w:pPr>
              <w:spacing w:line="240" w:lineRule="auto"/>
              <w:jc w:val="center"/>
              <w:rPr>
                <w:rFonts w:hint="eastAsia"/>
                <w:color w:val="auto"/>
                <w:sz w:val="21"/>
                <w:szCs w:val="21"/>
                <w:lang w:val="en-US" w:eastAsia="zh-CN"/>
              </w:rPr>
            </w:pPr>
          </w:p>
        </w:tc>
        <w:tc>
          <w:tcPr>
            <w:tcW w:w="534" w:type="pct"/>
            <w:vMerge w:val="continue"/>
            <w:noWrap w:val="0"/>
            <w:vAlign w:val="center"/>
          </w:tcPr>
          <w:p>
            <w:pPr>
              <w:widowControl w:val="0"/>
              <w:spacing w:line="240" w:lineRule="auto"/>
              <w:jc w:val="center"/>
              <w:rPr>
                <w:rFonts w:hint="eastAsia"/>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spacing w:line="240" w:lineRule="auto"/>
              <w:jc w:val="center"/>
              <w:rPr>
                <w:rFonts w:hint="eastAsia"/>
                <w:sz w:val="21"/>
                <w:szCs w:val="21"/>
              </w:rPr>
            </w:pPr>
            <w:r>
              <w:rPr>
                <w:rFonts w:hint="eastAsia"/>
                <w:sz w:val="21"/>
                <w:szCs w:val="21"/>
              </w:rPr>
              <w:t>废砂纸</w:t>
            </w:r>
          </w:p>
        </w:tc>
        <w:tc>
          <w:tcPr>
            <w:tcW w:w="1279" w:type="pct"/>
            <w:vMerge w:val="continue"/>
            <w:noWrap w:val="0"/>
            <w:vAlign w:val="center"/>
          </w:tcPr>
          <w:p>
            <w:pPr>
              <w:spacing w:line="240" w:lineRule="auto"/>
              <w:jc w:val="center"/>
              <w:rPr>
                <w:color w:val="auto"/>
                <w:sz w:val="21"/>
                <w:szCs w:val="21"/>
              </w:rPr>
            </w:pPr>
          </w:p>
        </w:tc>
        <w:tc>
          <w:tcPr>
            <w:tcW w:w="1347" w:type="pct"/>
            <w:vMerge w:val="continue"/>
            <w:noWrap w:val="0"/>
            <w:vAlign w:val="center"/>
          </w:tcPr>
          <w:p>
            <w:pPr>
              <w:spacing w:line="240" w:lineRule="auto"/>
              <w:jc w:val="center"/>
              <w:rPr>
                <w:color w:val="auto"/>
                <w:sz w:val="21"/>
                <w:szCs w:val="21"/>
              </w:rPr>
            </w:pPr>
          </w:p>
        </w:tc>
        <w:tc>
          <w:tcPr>
            <w:tcW w:w="534" w:type="pct"/>
            <w:vMerge w:val="continue"/>
            <w:noWrap w:val="0"/>
            <w:vAlign w:val="center"/>
          </w:tcPr>
          <w:p>
            <w:pPr>
              <w:widowControl w:val="0"/>
              <w:spacing w:line="240" w:lineRule="auto"/>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Merge w:val="continue"/>
            <w:noWrap w:val="0"/>
            <w:vAlign w:val="center"/>
          </w:tcPr>
          <w:p>
            <w:pPr>
              <w:widowControl w:val="0"/>
              <w:spacing w:line="240" w:lineRule="auto"/>
              <w:jc w:val="center"/>
              <w:rPr>
                <w:rFonts w:hint="eastAsia"/>
                <w:color w:val="auto"/>
                <w:sz w:val="21"/>
                <w:szCs w:val="21"/>
                <w:lang w:val="en-US" w:eastAsia="zh-CN"/>
              </w:rPr>
            </w:pPr>
          </w:p>
        </w:tc>
        <w:tc>
          <w:tcPr>
            <w:tcW w:w="597" w:type="pct"/>
            <w:vMerge w:val="continue"/>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p>
        </w:tc>
        <w:tc>
          <w:tcPr>
            <w:tcW w:w="186" w:type="pct"/>
            <w:vMerge w:val="continue"/>
            <w:tcBorders>
              <w:top w:val="single" w:color="auto" w:sz="4" w:space="0"/>
              <w:bottom w:val="single" w:color="auto" w:sz="4" w:space="0"/>
            </w:tcBorders>
            <w:noWrap w:val="0"/>
            <w:vAlign w:val="center"/>
          </w:tcPr>
          <w:p>
            <w:pPr>
              <w:spacing w:line="240" w:lineRule="auto"/>
              <w:jc w:val="center"/>
              <w:rPr>
                <w:rFonts w:hint="eastAsia"/>
                <w:color w:val="auto"/>
                <w:sz w:val="21"/>
                <w:szCs w:val="21"/>
                <w:lang w:val="en-US" w:eastAsia="zh-CN"/>
              </w:rPr>
            </w:pPr>
          </w:p>
        </w:tc>
        <w:tc>
          <w:tcPr>
            <w:tcW w:w="609" w:type="pct"/>
            <w:tcBorders>
              <w:top w:val="single" w:color="auto" w:sz="4" w:space="0"/>
              <w:bottom w:val="single" w:color="auto" w:sz="4" w:space="0"/>
            </w:tcBorders>
            <w:noWrap w:val="0"/>
            <w:vAlign w:val="center"/>
          </w:tcPr>
          <w:p>
            <w:pPr>
              <w:spacing w:line="240" w:lineRule="auto"/>
              <w:jc w:val="center"/>
              <w:rPr>
                <w:rFonts w:hint="default"/>
                <w:color w:val="auto"/>
                <w:sz w:val="21"/>
                <w:szCs w:val="21"/>
                <w:lang w:val="en-US" w:eastAsia="zh-CN"/>
              </w:rPr>
            </w:pPr>
            <w:r>
              <w:rPr>
                <w:rFonts w:hint="eastAsia"/>
                <w:sz w:val="21"/>
                <w:szCs w:val="21"/>
              </w:rPr>
              <w:t>废手套</w:t>
            </w:r>
          </w:p>
        </w:tc>
        <w:tc>
          <w:tcPr>
            <w:tcW w:w="1279" w:type="pct"/>
            <w:tcBorders>
              <w:top w:val="single" w:color="auto" w:sz="4" w:space="0"/>
              <w:bottom w:val="single" w:color="auto" w:sz="4" w:space="0"/>
            </w:tcBorders>
            <w:noWrap w:val="0"/>
            <w:vAlign w:val="center"/>
          </w:tcPr>
          <w:p>
            <w:pPr>
              <w:spacing w:line="240" w:lineRule="auto"/>
              <w:jc w:val="center"/>
              <w:rPr>
                <w:rFonts w:hint="eastAsia"/>
                <w:color w:val="auto"/>
                <w:sz w:val="21"/>
                <w:szCs w:val="21"/>
                <w:lang w:val="en-US" w:eastAsia="zh-CN"/>
              </w:rPr>
            </w:pPr>
            <w:r>
              <w:rPr>
                <w:rFonts w:hint="eastAsia"/>
                <w:kern w:val="24"/>
                <w:sz w:val="21"/>
                <w:szCs w:val="21"/>
              </w:rPr>
              <w:t>收集后交由环卫部门统一处置</w:t>
            </w:r>
          </w:p>
        </w:tc>
        <w:tc>
          <w:tcPr>
            <w:tcW w:w="1347" w:type="pct"/>
            <w:tcBorders>
              <w:top w:val="single" w:color="auto" w:sz="4" w:space="0"/>
              <w:bottom w:val="single" w:color="auto" w:sz="4" w:space="0"/>
            </w:tcBorders>
            <w:noWrap w:val="0"/>
            <w:vAlign w:val="center"/>
          </w:tcPr>
          <w:p>
            <w:pPr>
              <w:spacing w:line="240" w:lineRule="auto"/>
              <w:jc w:val="center"/>
              <w:rPr>
                <w:rFonts w:hint="eastAsia" w:ascii="Times New Roman" w:hAnsi="Times New Roman" w:eastAsia="宋体" w:cstheme="minorBidi"/>
                <w:color w:val="auto"/>
                <w:sz w:val="21"/>
                <w:szCs w:val="21"/>
                <w:lang w:val="en-US" w:eastAsia="zh-CN" w:bidi="ar-SA"/>
              </w:rPr>
            </w:pPr>
            <w:r>
              <w:rPr>
                <w:rFonts w:hint="eastAsia"/>
                <w:kern w:val="24"/>
                <w:sz w:val="21"/>
                <w:szCs w:val="21"/>
              </w:rPr>
              <w:t>收集后交由环卫部门统一处置</w:t>
            </w:r>
          </w:p>
        </w:tc>
        <w:tc>
          <w:tcPr>
            <w:tcW w:w="534" w:type="pc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噪声</w:t>
            </w:r>
          </w:p>
        </w:tc>
        <w:tc>
          <w:tcPr>
            <w:tcW w:w="597" w:type="pct"/>
            <w:tcBorders>
              <w:top w:val="single" w:color="auto" w:sz="4" w:space="0"/>
              <w:bottom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车间</w:t>
            </w:r>
          </w:p>
        </w:tc>
        <w:tc>
          <w:tcPr>
            <w:tcW w:w="795" w:type="pct"/>
            <w:gridSpan w:val="2"/>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噪声</w:t>
            </w:r>
          </w:p>
        </w:tc>
        <w:tc>
          <w:tcPr>
            <w:tcW w:w="1279"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对设备采用基础减振、厂房主体结构隔音等措施</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color w:val="auto"/>
                <w:sz w:val="21"/>
                <w:szCs w:val="21"/>
              </w:rPr>
              <w:t>对设备采用基础减振、厂房主体结构隔音等措施</w:t>
            </w:r>
          </w:p>
        </w:tc>
        <w:tc>
          <w:tcPr>
            <w:tcW w:w="53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color w:val="auto"/>
                <w:sz w:val="21"/>
                <w:szCs w:val="21"/>
              </w:rPr>
              <w:t>环境风险</w:t>
            </w:r>
          </w:p>
        </w:tc>
        <w:tc>
          <w:tcPr>
            <w:tcW w:w="2673" w:type="pct"/>
            <w:gridSpan w:val="4"/>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sz w:val="21"/>
                <w:szCs w:val="21"/>
              </w:rPr>
              <w:t>在生产场所、油漆存储区及危废暂存间的地面应采取防渗防腐措施</w:t>
            </w:r>
          </w:p>
        </w:tc>
        <w:tc>
          <w:tcPr>
            <w:tcW w:w="1347" w:type="pct"/>
            <w:tcBorders>
              <w:top w:val="single" w:color="auto" w:sz="4" w:space="0"/>
              <w:bottom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sz w:val="21"/>
                <w:szCs w:val="21"/>
              </w:rPr>
              <w:t>在生产场所、油漆存储区及危废暂存间的地面应采取防渗防腐措施</w:t>
            </w:r>
            <w:r>
              <w:rPr>
                <w:color w:val="auto"/>
                <w:sz w:val="21"/>
                <w:szCs w:val="21"/>
              </w:rPr>
              <w:t>；配备足量灭火设备以及消防设施等</w:t>
            </w:r>
          </w:p>
        </w:tc>
        <w:tc>
          <w:tcPr>
            <w:tcW w:w="534" w:type="pct"/>
            <w:tcBorders>
              <w:top w:val="single" w:color="auto" w:sz="4" w:space="0"/>
            </w:tcBorders>
            <w:noWrap w:val="0"/>
            <w:vAlign w:val="center"/>
          </w:tcPr>
          <w:p>
            <w:pPr>
              <w:widowControl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65" w:type="pct"/>
            <w:gridSpan w:val="6"/>
            <w:tcBorders>
              <w:top w:val="single" w:color="auto" w:sz="4" w:space="0"/>
            </w:tcBorders>
            <w:noWrap w:val="0"/>
            <w:vAlign w:val="center"/>
          </w:tcPr>
          <w:p>
            <w:pPr>
              <w:widowControl w:val="0"/>
              <w:spacing w:line="240" w:lineRule="auto"/>
              <w:jc w:val="center"/>
              <w:rPr>
                <w:rFonts w:hint="eastAsia"/>
                <w:color w:val="auto"/>
                <w:sz w:val="21"/>
                <w:szCs w:val="21"/>
                <w:lang w:val="en-US" w:eastAsia="zh-CN"/>
              </w:rPr>
            </w:pPr>
            <w:r>
              <w:rPr>
                <w:rFonts w:hint="eastAsia"/>
                <w:color w:val="auto"/>
                <w:sz w:val="21"/>
                <w:szCs w:val="21"/>
                <w:lang w:val="en-US" w:eastAsia="zh-CN"/>
              </w:rPr>
              <w:t>合  计</w:t>
            </w:r>
          </w:p>
        </w:tc>
        <w:tc>
          <w:tcPr>
            <w:tcW w:w="534" w:type="pct"/>
            <w:tcBorders>
              <w:top w:val="single" w:color="auto" w:sz="4" w:space="0"/>
            </w:tcBorders>
            <w:noWrap w:val="0"/>
            <w:vAlign w:val="center"/>
          </w:tcPr>
          <w:p>
            <w:pPr>
              <w:widowControl w:val="0"/>
              <w:spacing w:line="240" w:lineRule="auto"/>
              <w:jc w:val="center"/>
              <w:rPr>
                <w:rFonts w:hint="default"/>
                <w:color w:val="auto"/>
                <w:sz w:val="21"/>
                <w:szCs w:val="21"/>
                <w:lang w:val="en-US" w:eastAsia="zh-CN"/>
              </w:rPr>
            </w:pPr>
            <w:r>
              <w:rPr>
                <w:rFonts w:hint="eastAsia"/>
                <w:color w:val="auto"/>
                <w:sz w:val="21"/>
                <w:szCs w:val="21"/>
                <w:lang w:val="en-US" w:eastAsia="zh-CN"/>
              </w:rPr>
              <w:t>45.0</w:t>
            </w:r>
          </w:p>
        </w:tc>
      </w:tr>
    </w:tbl>
    <w:p>
      <w:pPr>
        <w:ind w:firstLine="480" w:firstLineChars="200"/>
        <w:rPr>
          <w:rFonts w:hint="eastAsia" w:eastAsia="宋体"/>
          <w:lang w:eastAsia="zh-CN"/>
        </w:rPr>
      </w:pPr>
      <w:r>
        <w:t>根据企业自查后提供的相关资料和报告编制人员的现场踏勘，结合项目环评、环评批复文件、环保设计材料等要求，该项目的建设内容、环保设施及措施的建设与环评及批复无重大变</w:t>
      </w:r>
      <w:r>
        <w:rPr>
          <w:rFonts w:hint="eastAsia"/>
        </w:rPr>
        <w:t>动</w:t>
      </w:r>
      <w:r>
        <w:rPr>
          <w:rFonts w:hint="eastAsia"/>
          <w:lang w:eastAsia="zh-CN"/>
        </w:rPr>
        <w:t>。</w:t>
      </w:r>
    </w:p>
    <w:p>
      <w:pPr>
        <w:sectPr>
          <w:pgSz w:w="11905" w:h="16838"/>
          <w:pgMar w:top="1083" w:right="1440" w:bottom="1083" w:left="1440" w:header="737" w:footer="510" w:gutter="0"/>
          <w:cols w:space="0" w:num="1"/>
          <w:docGrid w:type="lines" w:linePitch="322" w:charSpace="0"/>
        </w:sectPr>
      </w:pPr>
      <w:r>
        <w:br w:type="page"/>
      </w:r>
    </w:p>
    <w:p>
      <w:pPr>
        <w:pStyle w:val="3"/>
      </w:pPr>
      <w:bookmarkStart w:id="54" w:name="_Toc7916"/>
      <w:bookmarkStart w:id="55" w:name="_Toc497833596"/>
      <w:r>
        <w:t>5 建设项目环评报告书的主要结论与建议及审批部门决定</w:t>
      </w:r>
      <w:bookmarkEnd w:id="54"/>
      <w:bookmarkEnd w:id="55"/>
    </w:p>
    <w:p>
      <w:pPr>
        <w:pStyle w:val="4"/>
      </w:pPr>
      <w:bookmarkStart w:id="56" w:name="_Toc239752863"/>
      <w:bookmarkStart w:id="57" w:name="_Toc240167870"/>
      <w:bookmarkStart w:id="58" w:name="_Toc427855152"/>
      <w:bookmarkStart w:id="59" w:name="_Toc427855253"/>
      <w:bookmarkStart w:id="60" w:name="_Toc408406364"/>
      <w:bookmarkStart w:id="61" w:name="_Toc240167715"/>
      <w:bookmarkStart w:id="62" w:name="_Toc402788538"/>
      <w:bookmarkStart w:id="63" w:name="_Toc497833597"/>
      <w:bookmarkStart w:id="64" w:name="_Toc16597"/>
      <w:r>
        <w:t>5.1 建设项目环评报告书</w:t>
      </w:r>
      <w:r>
        <w:rPr>
          <w:rFonts w:hint="eastAsia"/>
          <w:lang w:eastAsia="zh-CN"/>
        </w:rPr>
        <w:t>（表）</w:t>
      </w:r>
      <w:r>
        <w:t>的主要结论</w:t>
      </w:r>
      <w:bookmarkEnd w:id="56"/>
      <w:bookmarkEnd w:id="57"/>
      <w:bookmarkEnd w:id="58"/>
      <w:bookmarkEnd w:id="59"/>
      <w:bookmarkEnd w:id="60"/>
      <w:bookmarkEnd w:id="61"/>
      <w:bookmarkEnd w:id="62"/>
      <w:r>
        <w:t>与建议</w:t>
      </w:r>
      <w:bookmarkEnd w:id="63"/>
      <w:bookmarkEnd w:id="64"/>
    </w:p>
    <w:p>
      <w:pPr>
        <w:pStyle w:val="5"/>
      </w:pPr>
      <w:bookmarkStart w:id="65" w:name="_Toc497833598"/>
      <w:bookmarkStart w:id="66" w:name="_Toc427855254"/>
      <w:bookmarkStart w:id="67" w:name="_Toc427855153"/>
      <w:r>
        <w:t>5.1.1 项目概况</w:t>
      </w:r>
    </w:p>
    <w:p>
      <w:pPr>
        <w:ind w:firstLine="480" w:firstLineChars="200"/>
        <w:rPr>
          <w:rFonts w:hint="default" w:eastAsia="宋体"/>
          <w:lang w:val="en-US" w:eastAsia="zh-CN"/>
        </w:rPr>
      </w:pPr>
      <w:r>
        <w:rPr>
          <w:rFonts w:hint="eastAsia"/>
          <w:lang w:eastAsia="zh-CN"/>
        </w:rPr>
        <w:t>重庆市万州区启豪套装门厂位于重庆市万州区天城镇董家居委会1组80号，租用厂房进行生产，年产套装门2300套，其中生态门（又名免漆门）1500套、油漆门800套。</w:t>
      </w:r>
    </w:p>
    <w:p>
      <w:pPr>
        <w:pStyle w:val="5"/>
      </w:pPr>
      <w:r>
        <w:t>5.1.2 产业政策及选址符合性</w:t>
      </w:r>
    </w:p>
    <w:p>
      <w:pPr>
        <w:snapToGrid w:val="0"/>
        <w:spacing w:line="355" w:lineRule="auto"/>
        <w:ind w:firstLine="480" w:firstLineChars="200"/>
      </w:pPr>
      <w:r>
        <w:t>（1）产业政策</w:t>
      </w:r>
    </w:p>
    <w:p>
      <w:pPr>
        <w:snapToGrid w:val="0"/>
        <w:spacing w:line="355" w:lineRule="auto"/>
        <w:ind w:firstLine="480" w:firstLineChars="200"/>
      </w:pPr>
      <w:r>
        <w:rPr>
          <w:rFonts w:hint="eastAsia"/>
        </w:rPr>
        <w:t>根据《国民经济行业分类》中行业划分，拟建项目属于 C2032 木质家具制造，对照国家《产业结构调整指导目录（2011 年本）（2013 年修正）》中的规定，拟建项目不属于鼓励类、限制类和淘汰类，符合国家有关法律、法规和政策规定，属于允许类，</w:t>
      </w:r>
      <w:r>
        <w:t>符合国家的相关产业政策规定。</w:t>
      </w:r>
    </w:p>
    <w:p>
      <w:pPr>
        <w:snapToGrid w:val="0"/>
        <w:spacing w:line="355" w:lineRule="auto"/>
        <w:ind w:firstLine="480" w:firstLineChars="200"/>
        <w:rPr>
          <w:kern w:val="0"/>
        </w:rPr>
      </w:pPr>
      <w:r>
        <w:t>（2）项目规划</w:t>
      </w:r>
      <w:r>
        <w:rPr>
          <w:bCs/>
        </w:rPr>
        <w:t>、选址合理性分析</w:t>
      </w:r>
    </w:p>
    <w:p>
      <w:pPr>
        <w:snapToGrid w:val="0"/>
        <w:spacing w:line="355" w:lineRule="auto"/>
        <w:ind w:firstLine="480" w:firstLineChars="200"/>
      </w:pPr>
      <w:r>
        <w:rPr>
          <w:rFonts w:hint="eastAsia"/>
          <w:bCs/>
        </w:rPr>
        <w:t>根据万州区城市总体规划，拟建项目位于城市规划区外，根据重庆市万州区天城镇人民政府出具的场地证明，拟建项目位于天城镇董家社区的工业相对集中区，符合天城镇用地规划。</w:t>
      </w:r>
    </w:p>
    <w:p>
      <w:pPr>
        <w:pStyle w:val="5"/>
      </w:pPr>
      <w:r>
        <w:t>5.1.</w:t>
      </w:r>
      <w:r>
        <w:rPr>
          <w:rFonts w:hint="eastAsia"/>
        </w:rPr>
        <w:t>3</w:t>
      </w:r>
      <w:r>
        <w:t xml:space="preserve"> 工程所在地环境功能区划、环境质量现状</w:t>
      </w:r>
    </w:p>
    <w:p>
      <w:pPr>
        <w:snapToGrid w:val="0"/>
        <w:ind w:firstLine="480"/>
        <w:jc w:val="left"/>
      </w:pPr>
      <w:r>
        <w:rPr>
          <w:rFonts w:hint="eastAsia"/>
          <w:bCs/>
        </w:rPr>
        <w:t>万州区环境空气经过整治措施后，</w:t>
      </w:r>
      <w:r>
        <w:t>PM</w:t>
      </w:r>
      <w:r>
        <w:rPr>
          <w:vertAlign w:val="subscript"/>
        </w:rPr>
        <w:t>10</w:t>
      </w:r>
      <w:r>
        <w:rPr>
          <w:rFonts w:hint="eastAsia"/>
        </w:rPr>
        <w:t>、</w:t>
      </w:r>
      <w:r>
        <w:t>SO</w:t>
      </w:r>
      <w:r>
        <w:rPr>
          <w:vertAlign w:val="subscript"/>
        </w:rPr>
        <w:t>2</w:t>
      </w:r>
      <w:r>
        <w:t>、NO</w:t>
      </w:r>
      <w:r>
        <w:rPr>
          <w:vertAlign w:val="subscript"/>
        </w:rPr>
        <w:t>2</w:t>
      </w:r>
      <w:r>
        <w:t>、PM</w:t>
      </w:r>
      <w:r>
        <w:rPr>
          <w:rFonts w:hint="eastAsia"/>
          <w:vertAlign w:val="subscript"/>
        </w:rPr>
        <w:t>2.5</w:t>
      </w:r>
      <w:r>
        <w:rPr>
          <w:rFonts w:hint="eastAsia"/>
        </w:rPr>
        <w:t>、</w:t>
      </w:r>
      <w:r>
        <w:t>O</w:t>
      </w:r>
      <w:r>
        <w:rPr>
          <w:rFonts w:hint="eastAsia"/>
          <w:vertAlign w:val="subscript"/>
        </w:rPr>
        <w:t>3</w:t>
      </w:r>
      <w:r>
        <w:rPr>
          <w:rFonts w:hint="eastAsia"/>
        </w:rPr>
        <w:t>、</w:t>
      </w:r>
      <w:r>
        <w:rPr>
          <w:rFonts w:hint="eastAsia"/>
          <w:bCs/>
        </w:rPr>
        <w:t>CO</w:t>
      </w:r>
      <w:r>
        <w:t>均能满足《环境空气质量标准》（GB3095-2012）二级标准要求；</w:t>
      </w:r>
      <w:r>
        <w:rPr>
          <w:rFonts w:hint="eastAsia"/>
        </w:rPr>
        <w:t>非甲烷总烃满足河北省《环境空气质量 非甲烷总烃限值》(DB13/1577-2012)中二级标准限值要求，二甲苯满足</w:t>
      </w:r>
      <w:r>
        <w:rPr>
          <w:rFonts w:hint="eastAsia"/>
          <w:spacing w:val="-2"/>
          <w:kern w:val="0"/>
        </w:rPr>
        <w:t>《环境影响评价技术导则大气环境》(HJ2.2-2018)中附录D其他污染物空气质量浓度参考限值</w:t>
      </w:r>
      <w:r>
        <w:rPr>
          <w:rFonts w:hint="eastAsia"/>
          <w:bCs/>
        </w:rPr>
        <w:t>；</w:t>
      </w:r>
      <w:r>
        <w:rPr>
          <w:bCs/>
        </w:rPr>
        <w:t>本项目最终受纳水体为</w:t>
      </w:r>
      <w:r>
        <w:t>长江</w:t>
      </w:r>
      <w:r>
        <w:rPr>
          <w:bCs/>
        </w:rPr>
        <w:t>，</w:t>
      </w:r>
      <w:r>
        <w:t>长江</w:t>
      </w:r>
      <w:r>
        <w:rPr>
          <w:bCs/>
        </w:rPr>
        <w:t>水质均满足《地表水环境质量标准》</w:t>
      </w:r>
      <w:r>
        <w:rPr>
          <w:rFonts w:hint="eastAsia" w:ascii="宋体" w:hAnsi="宋体" w:cs="宋体"/>
          <w:bCs/>
        </w:rPr>
        <w:t>Ⅲ</w:t>
      </w:r>
      <w:r>
        <w:rPr>
          <w:bCs/>
        </w:rPr>
        <w:t>类水域水质标准要求；</w:t>
      </w:r>
      <w:r>
        <w:t>声环境满足《声环境质量标准》（GB3096-2008）中的</w:t>
      </w:r>
      <w:r>
        <w:rPr>
          <w:rFonts w:hint="eastAsia"/>
          <w:bCs/>
        </w:rPr>
        <w:t>2</w:t>
      </w:r>
      <w:r>
        <w:t>类</w:t>
      </w:r>
      <w:r>
        <w:rPr>
          <w:bCs/>
        </w:rPr>
        <w:t>区标准。</w:t>
      </w:r>
    </w:p>
    <w:p>
      <w:pPr>
        <w:pStyle w:val="5"/>
      </w:pPr>
      <w:r>
        <w:rPr>
          <w:rFonts w:hint="eastAsia"/>
          <w:lang w:eastAsia="zh-CN"/>
        </w:rPr>
        <w:t xml:space="preserve">5.1.5 </w:t>
      </w:r>
      <w:r>
        <w:t xml:space="preserve"> </w:t>
      </w:r>
      <w:r>
        <w:rPr>
          <w:rFonts w:hint="eastAsia"/>
        </w:rPr>
        <w:t>环境影响及污染防治措施</w:t>
      </w:r>
    </w:p>
    <w:p>
      <w:pPr>
        <w:snapToGrid w:val="0"/>
        <w:spacing w:line="355" w:lineRule="auto"/>
        <w:ind w:firstLine="480" w:firstLineChars="200"/>
        <w:rPr>
          <w:kern w:val="0"/>
        </w:rPr>
      </w:pPr>
      <w:r>
        <w:rPr>
          <w:kern w:val="0"/>
        </w:rPr>
        <w:t>（1）施工期环境影响及污染防治措施</w:t>
      </w:r>
    </w:p>
    <w:p>
      <w:pPr>
        <w:snapToGrid w:val="0"/>
        <w:spacing w:line="355" w:lineRule="auto"/>
        <w:ind w:firstLine="480" w:firstLineChars="200"/>
        <w:rPr>
          <w:b/>
          <w:snapToGrid w:val="0"/>
          <w:kern w:val="0"/>
        </w:rPr>
      </w:pPr>
      <w:r>
        <w:rPr>
          <w:snapToGrid w:val="0"/>
          <w:kern w:val="0"/>
        </w:rPr>
        <w:t>本项目施工期主要涉及到新设备安装，</w:t>
      </w:r>
      <w:r>
        <w:rPr>
          <w:rFonts w:hint="eastAsia"/>
          <w:snapToGrid w:val="0"/>
          <w:kern w:val="0"/>
        </w:rPr>
        <w:t>不进行土建施工，因此施工期对环境的影响很小</w:t>
      </w:r>
      <w:r>
        <w:t>。</w:t>
      </w:r>
    </w:p>
    <w:p>
      <w:pPr>
        <w:snapToGrid w:val="0"/>
        <w:spacing w:line="355" w:lineRule="auto"/>
        <w:ind w:firstLine="480" w:firstLineChars="200"/>
      </w:pPr>
      <w:r>
        <w:rPr>
          <w:kern w:val="0"/>
        </w:rPr>
        <w:t>（2）营运期环境影响及污染防治措施</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eastAsia" w:eastAsia="宋体"/>
          <w:snapToGrid w:val="0"/>
          <w:kern w:val="0"/>
        </w:rPr>
      </w:pPr>
      <w:r>
        <w:rPr>
          <w:rFonts w:eastAsia="宋体"/>
          <w:snapToGrid w:val="0"/>
          <w:kern w:val="0"/>
        </w:rPr>
        <w:t>项目建成后，所排各项污染物经</w:t>
      </w:r>
      <w:r>
        <w:rPr>
          <w:rFonts w:hint="eastAsia" w:eastAsia="宋体"/>
          <w:snapToGrid w:val="0"/>
          <w:kern w:val="0"/>
        </w:rPr>
        <w:t>治理</w:t>
      </w:r>
      <w:r>
        <w:rPr>
          <w:rFonts w:eastAsia="宋体"/>
          <w:snapToGrid w:val="0"/>
          <w:kern w:val="0"/>
        </w:rPr>
        <w:t>后，均能达标排放，对环境影响小。地表水环境：</w:t>
      </w:r>
      <w:r>
        <w:rPr>
          <w:rFonts w:hint="eastAsia" w:eastAsia="宋体"/>
          <w:snapToGrid w:val="0"/>
          <w:kern w:val="0"/>
        </w:rPr>
        <w:t>项目无生产废水；生活污水经生化池处理后还田，不排放，对地表水环境的影响很小。</w:t>
      </w:r>
    </w:p>
    <w:p>
      <w:pPr>
        <w:ind w:firstLine="480" w:firstLineChars="200"/>
        <w:rPr>
          <w:rFonts w:hint="eastAsia"/>
        </w:rPr>
      </w:pPr>
      <w:r>
        <w:t>大气环境：</w:t>
      </w:r>
      <w:r>
        <w:rPr>
          <w:rFonts w:hint="eastAsia"/>
        </w:rPr>
        <w:t>项目产生的废气污染物包括木工粉尘（颗粒物）、打磨粉尘、喷漆废气等。木工粉尘、打磨粉尘、油磨粉尘通过布袋除尘器处理后通过一套集中抽排风设施送到1#排气筒排放，喷漆废气通过喷漆房配备的</w:t>
      </w:r>
      <w:r>
        <w:rPr>
          <w:rFonts w:hint="eastAsia"/>
          <w:bCs/>
        </w:rPr>
        <w:t>“水帘+UV光解+活性炭”装置处理后由 1 根15m 高的排气筒（2#排气筒）排放，经过预测可知，废气经过处理后能够达到相应的排放标准，对环境的影响很小</w:t>
      </w:r>
      <w:r>
        <w:t>。</w:t>
      </w:r>
    </w:p>
    <w:p>
      <w:pPr>
        <w:ind w:firstLine="480" w:firstLineChars="200"/>
      </w:pPr>
      <w:r>
        <w:t>声环境：采取基础减振、建筑隔声、距离衰减后，四周厂界昼间噪声均能满足《工业企业厂界环境噪声排放标准》（GB12348-2008）中相应的</w:t>
      </w:r>
      <w:r>
        <w:rPr>
          <w:rFonts w:hint="eastAsia"/>
        </w:rPr>
        <w:t>2</w:t>
      </w:r>
      <w:r>
        <w:t>类标准。</w:t>
      </w:r>
    </w:p>
    <w:p>
      <w:pPr>
        <w:spacing w:line="440" w:lineRule="exact"/>
        <w:ind w:firstLine="470" w:firstLineChars="196"/>
      </w:pPr>
      <w:r>
        <w:rPr>
          <w:bCs/>
        </w:rPr>
        <w:t>固废：</w:t>
      </w:r>
      <w:r>
        <w:rPr>
          <w:rFonts w:hint="eastAsia"/>
        </w:rPr>
        <w:t>木工加工边角料和木工尘渣外售给其它企业综合利用，不可回收部分交由环卫部门处理；废漆桶、胶桶、活性炭等定期交有资质的单位处置或由厂家回收处置，其中废手套混入生活垃圾的部分全程可不按危险废物处理；生活垃圾委托当地环卫部门处置。</w:t>
      </w:r>
    </w:p>
    <w:p>
      <w:pPr>
        <w:pStyle w:val="5"/>
      </w:pPr>
      <w:r>
        <w:t>5.1.</w:t>
      </w:r>
      <w:r>
        <w:rPr>
          <w:rFonts w:hint="eastAsia"/>
          <w:lang w:val="en-US" w:eastAsia="zh-CN"/>
        </w:rPr>
        <w:t>6</w:t>
      </w:r>
      <w:r>
        <w:t>总量控制</w:t>
      </w:r>
    </w:p>
    <w:p>
      <w:pPr>
        <w:ind w:firstLine="512" w:firstLineChars="200"/>
        <w:outlineLvl w:val="0"/>
        <w:rPr>
          <w:bCs/>
          <w:spacing w:val="8"/>
          <w:kern w:val="24"/>
        </w:rPr>
      </w:pPr>
      <w:r>
        <w:rPr>
          <w:bCs/>
          <w:spacing w:val="8"/>
          <w:kern w:val="24"/>
        </w:rPr>
        <w:t>本项目污染物排放总量按达标排放量进行控制，根据工程分析，本评价提出的污染物总量指标为：</w:t>
      </w:r>
    </w:p>
    <w:p>
      <w:pPr>
        <w:ind w:firstLine="512" w:firstLineChars="200"/>
        <w:outlineLvl w:val="0"/>
        <w:rPr>
          <w:bCs/>
          <w:spacing w:val="8"/>
          <w:kern w:val="24"/>
        </w:rPr>
      </w:pPr>
      <w:r>
        <w:rPr>
          <w:rFonts w:hint="eastAsia"/>
          <w:bCs/>
          <w:spacing w:val="8"/>
          <w:kern w:val="24"/>
        </w:rPr>
        <w:t>废气：颗粒物0.1313t/a；非甲烷总烃0.015t/a；二甲苯0.0015t/a</w:t>
      </w:r>
      <w:r>
        <w:rPr>
          <w:bCs/>
          <w:spacing w:val="8"/>
          <w:kern w:val="24"/>
        </w:rPr>
        <w:t>。</w:t>
      </w:r>
    </w:p>
    <w:p>
      <w:pPr>
        <w:autoSpaceDE w:val="0"/>
        <w:autoSpaceDN w:val="0"/>
        <w:ind w:firstLine="512" w:firstLineChars="200"/>
        <w:jc w:val="left"/>
        <w:textAlignment w:val="baseline"/>
        <w:rPr>
          <w:rFonts w:hint="eastAsia"/>
          <w:bCs/>
          <w:spacing w:val="8"/>
          <w:kern w:val="24"/>
        </w:rPr>
      </w:pPr>
      <w:r>
        <w:rPr>
          <w:bCs/>
          <w:spacing w:val="8"/>
          <w:kern w:val="24"/>
        </w:rPr>
        <w:t>固废：一般工业固体废弃物</w:t>
      </w:r>
      <w:r>
        <w:rPr>
          <w:rFonts w:hint="eastAsia"/>
          <w:bCs/>
          <w:spacing w:val="8"/>
          <w:kern w:val="24"/>
        </w:rPr>
        <w:t>1.603</w:t>
      </w:r>
      <w:r>
        <w:rPr>
          <w:bCs/>
          <w:spacing w:val="8"/>
          <w:kern w:val="24"/>
        </w:rPr>
        <w:t>t/a</w:t>
      </w:r>
      <w:r>
        <w:rPr>
          <w:rFonts w:hint="eastAsia"/>
          <w:bCs/>
          <w:spacing w:val="8"/>
          <w:kern w:val="24"/>
        </w:rPr>
        <w:t>；危险废物1.253t/a；生活垃圾2.2t/a</w:t>
      </w:r>
      <w:r>
        <w:rPr>
          <w:bCs/>
          <w:spacing w:val="8"/>
          <w:kern w:val="24"/>
        </w:rPr>
        <w:t>。总量指标来源按照《重庆市环保局关于印发重庆市工业企业排污权有偿使用和交易工作实施细则（实行）的通知》(渝环发〔2015〕45号)实施，同时应</w:t>
      </w:r>
      <w:r>
        <w:rPr>
          <w:rFonts w:hint="eastAsia"/>
          <w:bCs/>
          <w:spacing w:val="8"/>
          <w:kern w:val="24"/>
        </w:rPr>
        <w:t>根据《重庆市环境保护局关于印发重庆市工业企业排污权有偿使用和交易工作实施细则的通知》（渝环〔2017〕249号）的相关要求购买总量。</w:t>
      </w:r>
    </w:p>
    <w:p>
      <w:pPr>
        <w:pStyle w:val="5"/>
        <w:keepNext w:val="0"/>
        <w:keepLines w:val="0"/>
        <w:pageBreakBefore w:val="0"/>
        <w:widowControl w:val="0"/>
        <w:kinsoku/>
        <w:wordWrap/>
        <w:overflowPunct/>
        <w:topLinePunct w:val="0"/>
        <w:autoSpaceDE/>
        <w:autoSpaceDN/>
        <w:bidi w:val="0"/>
        <w:adjustRightInd w:val="0"/>
        <w:snapToGrid w:val="0"/>
        <w:textAlignment w:val="auto"/>
      </w:pPr>
      <w:r>
        <w:t>5.1.</w:t>
      </w:r>
      <w:r>
        <w:rPr>
          <w:rFonts w:hint="eastAsia"/>
        </w:rPr>
        <w:t>8</w:t>
      </w:r>
      <w:r>
        <w:t xml:space="preserve"> 综合结论</w:t>
      </w:r>
    </w:p>
    <w:p>
      <w:pPr>
        <w:autoSpaceDE w:val="0"/>
        <w:autoSpaceDN w:val="0"/>
        <w:ind w:firstLine="512" w:firstLineChars="200"/>
        <w:jc w:val="left"/>
        <w:textAlignment w:val="baseline"/>
      </w:pPr>
      <w:r>
        <w:rPr>
          <w:bCs/>
          <w:spacing w:val="8"/>
          <w:kern w:val="24"/>
        </w:rPr>
        <w:t>综上所述，项目</w:t>
      </w:r>
      <w:r>
        <w:rPr>
          <w:rFonts w:hint="eastAsia"/>
          <w:bCs/>
          <w:spacing w:val="8"/>
          <w:kern w:val="24"/>
        </w:rPr>
        <w:t>建设内容</w:t>
      </w:r>
      <w:r>
        <w:rPr>
          <w:bCs/>
          <w:spacing w:val="8"/>
          <w:kern w:val="24"/>
        </w:rPr>
        <w:t>符合</w:t>
      </w:r>
      <w:r>
        <w:rPr>
          <w:rFonts w:hint="eastAsia"/>
          <w:bCs/>
          <w:spacing w:val="8"/>
          <w:kern w:val="24"/>
        </w:rPr>
        <w:t>国家</w:t>
      </w:r>
      <w:r>
        <w:rPr>
          <w:bCs/>
          <w:spacing w:val="8"/>
          <w:kern w:val="24"/>
        </w:rPr>
        <w:t>产业政策</w:t>
      </w:r>
      <w:r>
        <w:rPr>
          <w:rFonts w:hint="eastAsia"/>
          <w:bCs/>
          <w:spacing w:val="8"/>
          <w:kern w:val="24"/>
        </w:rPr>
        <w:t>要求</w:t>
      </w:r>
      <w:r>
        <w:rPr>
          <w:bCs/>
          <w:spacing w:val="8"/>
          <w:kern w:val="24"/>
        </w:rPr>
        <w:t>，项目</w:t>
      </w:r>
      <w:r>
        <w:rPr>
          <w:rFonts w:hint="eastAsia"/>
          <w:bCs/>
          <w:spacing w:val="8"/>
          <w:kern w:val="24"/>
        </w:rPr>
        <w:t>位于天城镇董家社区工业集中区，</w:t>
      </w:r>
      <w:r>
        <w:rPr>
          <w:bCs/>
          <w:spacing w:val="8"/>
          <w:kern w:val="24"/>
        </w:rPr>
        <w:t>符合</w:t>
      </w:r>
      <w:r>
        <w:rPr>
          <w:rFonts w:hint="eastAsia"/>
          <w:bCs/>
          <w:spacing w:val="8"/>
          <w:kern w:val="24"/>
        </w:rPr>
        <w:t>万州区天城镇人民政府</w:t>
      </w:r>
      <w:r>
        <w:rPr>
          <w:bCs/>
          <w:spacing w:val="8"/>
          <w:kern w:val="24"/>
        </w:rPr>
        <w:t>规划，选址合理。项目产生的废气、污水、噪声、固废采用的污染控制和治理措施可靠，经济技术可行，不会对地表水、环境空气、声环境产生明显影响，不会改变区域环境功能。项目实施后，在各项污染治理措施实施且确保全部污染物达标排放的前提下，本项目对当地及区域的环境质量影响甚微。从环境保护角度而言，本项目的实施是可行的。</w:t>
      </w:r>
    </w:p>
    <w:p>
      <w:pPr>
        <w:pStyle w:val="5"/>
      </w:pPr>
      <w:r>
        <w:t>5.1.</w:t>
      </w:r>
      <w:r>
        <w:rPr>
          <w:rFonts w:hint="eastAsia"/>
        </w:rPr>
        <w:t>9</w:t>
      </w:r>
      <w:r>
        <w:t xml:space="preserve"> </w:t>
      </w:r>
      <w:r>
        <w:rPr>
          <w:rFonts w:hint="eastAsia"/>
        </w:rPr>
        <w:t>建议</w:t>
      </w:r>
    </w:p>
    <w:bookmarkEnd w:id="65"/>
    <w:bookmarkEnd w:id="66"/>
    <w:bookmarkEnd w:id="67"/>
    <w:p>
      <w:pPr>
        <w:pStyle w:val="19"/>
        <w:widowControl w:val="0"/>
        <w:numPr>
          <w:ilvl w:val="0"/>
          <w:numId w:val="3"/>
        </w:numPr>
        <w:autoSpaceDE w:val="0"/>
        <w:autoSpaceDN w:val="0"/>
        <w:adjustRightInd w:val="0"/>
        <w:spacing w:before="0" w:beforeAutospacing="0" w:after="0" w:afterAutospacing="0" w:line="460" w:lineRule="exact"/>
        <w:ind w:left="-100" w:leftChars="0" w:firstLine="520" w:firstLineChars="0"/>
        <w:jc w:val="both"/>
        <w:rPr>
          <w:rFonts w:hint="eastAsia" w:ascii="Times New Roman" w:hAnsi="Times New Roman" w:cs="Times New Roman"/>
          <w:color w:val="auto"/>
          <w:sz w:val="26"/>
          <w:szCs w:val="22"/>
          <w:lang w:bidi="ar"/>
        </w:rPr>
      </w:pPr>
      <w:bookmarkStart w:id="68" w:name="_Toc427855261"/>
      <w:bookmarkStart w:id="69" w:name="_Toc497833611"/>
      <w:bookmarkStart w:id="70" w:name="_Toc427855160"/>
      <w:r>
        <w:rPr>
          <w:rFonts w:hint="eastAsia" w:ascii="Times New Roman" w:hAnsi="Times New Roman" w:cs="Times New Roman"/>
          <w:color w:val="auto"/>
          <w:sz w:val="26"/>
          <w:szCs w:val="22"/>
          <w:lang w:bidi="ar"/>
        </w:rPr>
        <w:t>必须按国家有关建筑防火规范要求，配置相应的灭火器材和灭火设施。加强对职工防火的宣传教育和消防训练，确保灭火设施的应急使用。</w:t>
      </w:r>
    </w:p>
    <w:p>
      <w:pPr>
        <w:pStyle w:val="19"/>
        <w:widowControl w:val="0"/>
        <w:numPr>
          <w:ilvl w:val="0"/>
          <w:numId w:val="3"/>
        </w:numPr>
        <w:autoSpaceDE w:val="0"/>
        <w:autoSpaceDN w:val="0"/>
        <w:adjustRightInd w:val="0"/>
        <w:spacing w:before="0" w:beforeAutospacing="0" w:after="0" w:afterAutospacing="0" w:line="460" w:lineRule="exact"/>
        <w:ind w:left="-100" w:leftChars="0" w:firstLine="520" w:firstLineChars="0"/>
        <w:jc w:val="both"/>
        <w:rPr>
          <w:rFonts w:ascii="Times New Roman" w:hAnsi="Times New Roman" w:cs="Times New Roman"/>
          <w:color w:val="auto"/>
          <w:sz w:val="26"/>
          <w:szCs w:val="22"/>
          <w:lang w:bidi="ar"/>
        </w:rPr>
      </w:pPr>
      <w:r>
        <w:rPr>
          <w:rFonts w:ascii="Times New Roman" w:hAnsi="Times New Roman" w:cs="Times New Roman"/>
          <w:color w:val="auto"/>
          <w:sz w:val="26"/>
          <w:szCs w:val="22"/>
          <w:lang w:bidi="ar"/>
        </w:rPr>
        <w:t>建设方应认真落实环保“三同时”，加强对环保治理设施的维护和管理，确保污染治理设施正常运行和污染物达标排放。</w:t>
      </w:r>
    </w:p>
    <w:p>
      <w:pPr>
        <w:pStyle w:val="19"/>
        <w:widowControl w:val="0"/>
        <w:numPr>
          <w:ilvl w:val="0"/>
          <w:numId w:val="3"/>
        </w:numPr>
        <w:autoSpaceDE w:val="0"/>
        <w:autoSpaceDN w:val="0"/>
        <w:adjustRightInd w:val="0"/>
        <w:spacing w:before="0" w:beforeAutospacing="0" w:after="0" w:afterAutospacing="0" w:line="460" w:lineRule="exact"/>
        <w:ind w:left="-100" w:leftChars="0" w:firstLine="520" w:firstLineChars="0"/>
        <w:jc w:val="both"/>
        <w:rPr>
          <w:rFonts w:ascii="Times New Roman" w:hAnsi="Times New Roman" w:cs="Times New Roman"/>
          <w:color w:val="auto"/>
          <w:sz w:val="26"/>
          <w:szCs w:val="22"/>
          <w:lang w:bidi="ar"/>
        </w:rPr>
      </w:pPr>
      <w:r>
        <w:t>当项目实际的建设内容、生产规模、产品方案等因素有较大变动时，建设方应按项目建设程序重新报批。</w:t>
      </w:r>
    </w:p>
    <w:p>
      <w:pPr>
        <w:pStyle w:val="4"/>
      </w:pPr>
      <w:bookmarkStart w:id="71" w:name="_Toc23479"/>
      <w:r>
        <w:t>5.2 审批部门审批决定</w:t>
      </w:r>
      <w:bookmarkEnd w:id="68"/>
      <w:bookmarkEnd w:id="69"/>
      <w:bookmarkEnd w:id="70"/>
      <w:bookmarkEnd w:id="71"/>
    </w:p>
    <w:p>
      <w:pPr>
        <w:ind w:firstLine="480" w:firstLineChars="200"/>
        <w:rPr>
          <w:rFonts w:hint="eastAsia"/>
          <w:lang w:val="en-US" w:eastAsia="zh-CN"/>
        </w:rPr>
      </w:pPr>
      <w:r>
        <w:rPr>
          <w:rFonts w:hint="eastAsia"/>
          <w:lang w:val="en-US" w:eastAsia="zh-CN"/>
        </w:rPr>
        <w:t>原文抄录《重庆市建设项目环境影响评价文件批准书》渝（万）环准【2019】87号，详见附件1。</w:t>
      </w:r>
    </w:p>
    <w:p>
      <w:pPr>
        <w:ind w:firstLine="480" w:firstLineChars="200"/>
        <w:rPr>
          <w:rFonts w:hint="eastAsia"/>
          <w:lang w:val="en-US" w:eastAsia="zh-CN"/>
        </w:rPr>
      </w:pPr>
      <w:r>
        <w:rPr>
          <w:rFonts w:hint="eastAsia"/>
          <w:lang w:val="en-US" w:eastAsia="zh-CN"/>
        </w:rPr>
        <w:t>你单位报送的套装门生产项目环境影响评价文件审批申请表及相关材料收悉。经研究，现审批如下。</w:t>
      </w:r>
    </w:p>
    <w:p>
      <w:pPr>
        <w:ind w:firstLine="480" w:firstLineChars="200"/>
        <w:rPr>
          <w:rFonts w:hint="eastAsia"/>
          <w:lang w:val="en-US" w:eastAsia="zh-CN"/>
        </w:rPr>
      </w:pPr>
      <w:r>
        <w:rPr>
          <w:rFonts w:hint="eastAsia"/>
          <w:lang w:val="en-US" w:eastAsia="zh-CN"/>
        </w:rPr>
        <w:t>一、根据《中华人民共和国环境影响评价法》等法律法规规定，我局原则同意江苏苏辰勘察设计研究院有限公司编制的《重庆市万州区启豪套装门厂套装门生产项目环境影响报告表》结论和提出的环境保护措施。</w:t>
      </w:r>
    </w:p>
    <w:p>
      <w:pPr>
        <w:ind w:firstLine="480" w:firstLineChars="200"/>
        <w:rPr>
          <w:rFonts w:hint="eastAsia"/>
          <w:lang w:val="en-US" w:eastAsia="zh-CN"/>
        </w:rPr>
      </w:pPr>
      <w:r>
        <w:rPr>
          <w:rFonts w:hint="eastAsia"/>
          <w:lang w:val="en-US" w:eastAsia="zh-CN"/>
        </w:rPr>
        <w:t>二、 项目主要建设内容为：该项目租用位于万州区天城镇董家居委会1组两栋闲置厂房，占地面积1750m</w:t>
      </w:r>
      <w:r>
        <w:rPr>
          <w:rFonts w:hint="eastAsia"/>
          <w:vertAlign w:val="superscript"/>
          <w:lang w:val="en-US" w:eastAsia="zh-CN"/>
        </w:rPr>
        <w:t>2</w:t>
      </w:r>
      <w:r>
        <w:rPr>
          <w:rFonts w:hint="eastAsia"/>
          <w:lang w:val="en-US" w:eastAsia="zh-CN"/>
        </w:rPr>
        <w:t>，总建筑面积3400m</w:t>
      </w:r>
      <w:r>
        <w:rPr>
          <w:rFonts w:hint="eastAsia"/>
          <w:vertAlign w:val="superscript"/>
          <w:lang w:val="en-US" w:eastAsia="zh-CN"/>
        </w:rPr>
        <w:t>2</w:t>
      </w:r>
      <w:r>
        <w:rPr>
          <w:rFonts w:hint="eastAsia"/>
          <w:lang w:val="en-US" w:eastAsia="zh-CN"/>
        </w:rPr>
        <w:t>，购置生产设施设备，配套建设废气处理、危废暂存间等环保工程。年生产套装门2300套，其中生态门（又名免漆门）1500套、油漆门800套。项目总投资200万元，其中环保投资42.5万元。</w:t>
      </w:r>
    </w:p>
    <w:p>
      <w:pPr>
        <w:ind w:firstLine="480" w:firstLineChars="200"/>
        <w:rPr>
          <w:rFonts w:hint="eastAsia"/>
          <w:lang w:val="en-US" w:eastAsia="zh-CN"/>
        </w:rPr>
      </w:pPr>
      <w:r>
        <w:rPr>
          <w:rFonts w:hint="eastAsia"/>
          <w:lang w:val="en-US" w:eastAsia="zh-CN"/>
        </w:rPr>
        <w:t>三、项目污染物排放标准及污染物排放总量控制指标为：</w:t>
      </w:r>
    </w:p>
    <w:p>
      <w:pPr>
        <w:ind w:firstLine="480" w:firstLineChars="200"/>
        <w:rPr>
          <w:rFonts w:hint="eastAsia"/>
          <w:lang w:val="en-US" w:eastAsia="zh-CN"/>
        </w:rPr>
      </w:pPr>
      <w:r>
        <w:rPr>
          <w:rFonts w:hint="eastAsia"/>
          <w:lang w:val="en-US" w:eastAsia="zh-CN"/>
        </w:rPr>
        <w:t>（一）污染物排放标准。废气：执行《家具制造业大气污染物排放标准》（ DB50/757-2017）；噪声：执行《工业企业厂界环境噪声排放标准》（GB12348- 2008）2类标准。若涉及其它污染物排放，执行现行标准。</w:t>
      </w:r>
    </w:p>
    <w:p>
      <w:pPr>
        <w:ind w:firstLine="480" w:firstLineChars="200"/>
        <w:rPr>
          <w:rFonts w:hint="eastAsia"/>
          <w:lang w:val="en-US" w:eastAsia="zh-CN"/>
        </w:rPr>
      </w:pPr>
      <w:r>
        <w:rPr>
          <w:rFonts w:hint="eastAsia"/>
          <w:lang w:val="en-US" w:eastAsia="zh-CN"/>
        </w:rPr>
        <w:t>（二）总量控制指标。按照《重庆市人民政府办公厅关于印发重庆市进一步推进排污权（污水、废气、垃圾）有偿使用和交易工作实施方案的通知》（渝府办发[2014]178号）等文件要求执行。</w:t>
      </w:r>
    </w:p>
    <w:p>
      <w:pPr>
        <w:ind w:firstLine="480" w:firstLineChars="200"/>
        <w:rPr>
          <w:rFonts w:hint="eastAsia"/>
          <w:lang w:val="en-US" w:eastAsia="zh-CN"/>
        </w:rPr>
      </w:pPr>
      <w:r>
        <w:rPr>
          <w:rFonts w:hint="eastAsia"/>
          <w:lang w:val="en-US" w:eastAsia="zh-CN"/>
        </w:rPr>
        <w:t>四、项目建设与运营管理中，必须认真落实《环境影响报告表》提出的各项污染防治及生态保护措施，实施清洁生产，减少污染物产生和排放，重点应做好以下工作：</w:t>
      </w:r>
    </w:p>
    <w:p>
      <w:pPr>
        <w:ind w:firstLine="480" w:firstLineChars="200"/>
        <w:rPr>
          <w:rFonts w:hint="eastAsia"/>
          <w:lang w:val="en-US" w:eastAsia="zh-CN"/>
        </w:rPr>
      </w:pPr>
      <w:r>
        <w:rPr>
          <w:rFonts w:hint="eastAsia"/>
          <w:lang w:val="en-US" w:eastAsia="zh-CN"/>
        </w:rPr>
        <w:t>（一）落实废水处理措施。实行雨污分流。喷漆废气净化用水经絮凝沉淀处理后循环使用，禁止外排；生活污水经生化池处理后还田农用，不外排。</w:t>
      </w:r>
    </w:p>
    <w:p>
      <w:pPr>
        <w:ind w:firstLine="480" w:firstLineChars="200"/>
        <w:rPr>
          <w:rFonts w:hint="eastAsia"/>
          <w:lang w:val="en-US" w:eastAsia="zh-CN"/>
        </w:rPr>
      </w:pPr>
      <w:r>
        <w:rPr>
          <w:rFonts w:hint="eastAsia"/>
          <w:lang w:val="en-US" w:eastAsia="zh-CN"/>
        </w:rPr>
        <w:t>（二）加强大气污染防治。对项目废气进行收集处理，减少无组织排放。木工粉尘、打磨粉尘和油磨粉尘分别经布袋除尘器处理后通过15m高1#排气筒排放；喷漆废气（含油漆晾干废气）经“水帘+UV光解+活性炭吸附”装置处理后通过15m高2#排气筒排放。各项污染物排放应满足相应排放标准。</w:t>
      </w:r>
    </w:p>
    <w:p>
      <w:pPr>
        <w:ind w:firstLine="480" w:firstLineChars="200"/>
        <w:rPr>
          <w:rFonts w:hint="eastAsia"/>
          <w:lang w:val="en-US" w:eastAsia="zh-CN"/>
        </w:rPr>
      </w:pPr>
      <w:r>
        <w:rPr>
          <w:rFonts w:hint="eastAsia"/>
          <w:lang w:val="en-US" w:eastAsia="zh-CN"/>
        </w:rPr>
        <w:t>（三）做好噪声防治工作。选用低噪声设备，并合理布局噪声源。对高噪声设备采取减振、隔声、消声等降噪措施，确保厂界噪声达到《工业企业厂界环境噪声排放标准》（GB12348- 2008）2类标准。</w:t>
      </w:r>
    </w:p>
    <w:p>
      <w:pPr>
        <w:ind w:firstLine="480" w:firstLineChars="200"/>
        <w:rPr>
          <w:rFonts w:hint="eastAsia"/>
          <w:lang w:val="en-US" w:eastAsia="zh-CN"/>
        </w:rPr>
      </w:pPr>
      <w:r>
        <w:rPr>
          <w:rFonts w:hint="eastAsia"/>
          <w:lang w:val="en-US" w:eastAsia="zh-CN"/>
        </w:rPr>
        <w:t>（四）妥善处理固体废物。实施分类收集和处置，做到“减量化、资源化、无害化”。废漆桶、废胶桶、漆渣、废砂纸及废活性炭等危险废物，按规定交有危废处理资质的单位安全处置；废边角料、除尘灰和废包装收集后外售综合利用；废手套及生活垃圾分类收集后交由环卫部门清运处置。危废暂存间设置应符合《危险废物贮存污染控制标准》</w:t>
      </w:r>
      <w:r>
        <w:rPr>
          <w:rFonts w:hint="eastAsia" w:hAnsi="宋体"/>
        </w:rPr>
        <w:t>（GB18597-2001）</w:t>
      </w:r>
      <w:r>
        <w:rPr>
          <w:rFonts w:hint="eastAsia"/>
          <w:lang w:val="en-US" w:eastAsia="zh-CN"/>
        </w:rPr>
        <w:t>；采取“防扬散、防流失和防渗漏”措施，不得对环境造成二次污染。</w:t>
      </w:r>
    </w:p>
    <w:p>
      <w:pPr>
        <w:ind w:firstLine="480" w:firstLineChars="200"/>
        <w:rPr>
          <w:rFonts w:hint="eastAsia"/>
          <w:lang w:val="en-US" w:eastAsia="zh-CN"/>
        </w:rPr>
      </w:pPr>
      <w:r>
        <w:rPr>
          <w:rFonts w:hint="eastAsia"/>
          <w:lang w:val="en-US" w:eastAsia="zh-CN"/>
        </w:rPr>
        <w:t>（五）强化环境风险防范。落实各项应急管理措施和风险防范措施，妥善储存油漆及稀释剂，储存区地面应采取防腐防渗措.施，设置围堰。加强环境管理，严格安全操作规程，防止因事故引发环境污染。</w:t>
      </w:r>
    </w:p>
    <w:p>
      <w:pPr>
        <w:ind w:firstLine="480" w:firstLineChars="200"/>
        <w:rPr>
          <w:rFonts w:hint="eastAsia"/>
          <w:lang w:val="en-US" w:eastAsia="zh-CN"/>
        </w:rPr>
      </w:pPr>
      <w:r>
        <w:rPr>
          <w:rFonts w:hint="eastAsia"/>
          <w:lang w:val="en-US" w:eastAsia="zh-CN"/>
        </w:rPr>
        <w:t>（六）主动公开环境信息，接受社会监督。建立畅通的公众参与渠道，及时解决公众合理的环境诉求，妥善处理环保投诉和纠纷。</w:t>
      </w:r>
    </w:p>
    <w:p>
      <w:pPr>
        <w:ind w:firstLine="480" w:firstLineChars="200"/>
        <w:rPr>
          <w:rFonts w:hint="eastAsia"/>
          <w:lang w:val="en-US" w:eastAsia="zh-CN"/>
        </w:rPr>
      </w:pPr>
      <w:r>
        <w:rPr>
          <w:rFonts w:hint="eastAsia"/>
          <w:lang w:val="en-US" w:eastAsia="zh-CN"/>
        </w:rPr>
        <w:t>五、项目建设必须严格执行环境保护设施与主体工程同时设计、同时施工、同时投入使用的环境保护“三同时”制度。环保投资应纳入工程投资概算，并予以落实。项目建成后，六、若项目的性质、规模、地点、采用的生产工艺或者防治污染、防止生态破坏的措施发生重大变动，你单位应当重新报批该项目的环境影响评价文件。</w:t>
      </w:r>
    </w:p>
    <w:p>
      <w:pPr>
        <w:ind w:firstLine="480" w:firstLineChars="200"/>
      </w:pPr>
    </w:p>
    <w:p/>
    <w:p>
      <w:pPr>
        <w:pStyle w:val="3"/>
        <w:keepNext/>
        <w:keepLines/>
        <w:pageBreakBefore/>
        <w:widowControl/>
        <w:kinsoku/>
        <w:wordWrap/>
        <w:overflowPunct/>
        <w:topLinePunct w:val="0"/>
        <w:autoSpaceDE/>
        <w:autoSpaceDN/>
        <w:bidi w:val="0"/>
        <w:adjustRightInd w:val="0"/>
        <w:snapToGrid w:val="0"/>
        <w:textAlignment w:val="auto"/>
      </w:pPr>
      <w:bookmarkStart w:id="72" w:name="_Toc497833612"/>
      <w:bookmarkStart w:id="73" w:name="_Toc4972"/>
      <w:r>
        <w:t>6 验收执行标准</w:t>
      </w:r>
      <w:bookmarkEnd w:id="72"/>
      <w:bookmarkEnd w:id="73"/>
    </w:p>
    <w:p>
      <w:pPr>
        <w:pStyle w:val="4"/>
      </w:pPr>
      <w:bookmarkStart w:id="74" w:name="_Toc29873"/>
      <w:r>
        <w:t>6.1 废气排放执行标准</w:t>
      </w:r>
      <w:bookmarkEnd w:id="74"/>
    </w:p>
    <w:p>
      <w:pPr>
        <w:ind w:firstLine="480" w:firstLineChars="200"/>
        <w:rPr>
          <w:rFonts w:hint="eastAsia" w:ascii="Times New Roman" w:hAnsi="Times New Roman"/>
          <w:lang w:val="en-US" w:eastAsia="zh-CN"/>
        </w:rPr>
      </w:pPr>
      <w:r>
        <w:rPr>
          <w:rFonts w:hint="eastAsia" w:ascii="Times New Roman" w:hAnsi="Times New Roman"/>
          <w:lang w:val="en-US" w:eastAsia="zh-CN"/>
        </w:rPr>
        <w:t>根据《</w:t>
      </w:r>
      <w:r>
        <w:rPr>
          <w:rFonts w:hint="eastAsia"/>
          <w:lang w:val="en-US" w:eastAsia="zh-CN"/>
        </w:rPr>
        <w:t>重庆市万州区启豪套装门厂套装门生产项目</w:t>
      </w:r>
      <w:r>
        <w:rPr>
          <w:rFonts w:hint="eastAsia" w:ascii="Times New Roman" w:hAnsi="Times New Roman"/>
          <w:lang w:val="en-US" w:eastAsia="zh-CN"/>
        </w:rPr>
        <w:t>环境影响报告表》及</w:t>
      </w:r>
      <w:r>
        <w:rPr>
          <w:rFonts w:hint="eastAsia"/>
          <w:lang w:val="en-US" w:eastAsia="zh-CN"/>
        </w:rPr>
        <w:t>渝（万）环准【2019】87号</w:t>
      </w:r>
      <w:r>
        <w:rPr>
          <w:rFonts w:hint="eastAsia" w:ascii="Times New Roman" w:hAnsi="Times New Roman"/>
          <w:lang w:val="en-US" w:eastAsia="zh-CN"/>
        </w:rPr>
        <w:t>文件，项目运营期产生废气主要为有组织排放二甲苯</w:t>
      </w:r>
      <w:r>
        <w:rPr>
          <w:rFonts w:hint="eastAsia"/>
          <w:lang w:val="en-US" w:eastAsia="zh-CN"/>
        </w:rPr>
        <w:t>、</w:t>
      </w:r>
      <w:r>
        <w:rPr>
          <w:rFonts w:hint="eastAsia" w:ascii="Times New Roman" w:hAnsi="Times New Roman"/>
          <w:lang w:val="en-US" w:eastAsia="zh-CN"/>
        </w:rPr>
        <w:t>非甲烷总烃</w:t>
      </w:r>
      <w:r>
        <w:rPr>
          <w:rFonts w:hint="eastAsia"/>
          <w:lang w:val="en-US" w:eastAsia="zh-CN"/>
        </w:rPr>
        <w:t>、</w:t>
      </w:r>
      <w:r>
        <w:rPr>
          <w:rFonts w:hint="eastAsia" w:ascii="Times New Roman" w:hAnsi="Times New Roman"/>
          <w:lang w:val="en-US" w:eastAsia="zh-CN"/>
        </w:rPr>
        <w:t>颗粒物，执行</w:t>
      </w:r>
      <w:r>
        <w:rPr>
          <w:rFonts w:hint="eastAsia"/>
        </w:rPr>
        <w:t>《家具制造业大气污染物排放标准》（DB50/757-2017）表2</w:t>
      </w:r>
      <w:r>
        <w:rPr>
          <w:rFonts w:hint="eastAsia"/>
          <w:lang w:eastAsia="zh-CN"/>
        </w:rPr>
        <w:t>限值，详</w:t>
      </w:r>
      <w:r>
        <w:rPr>
          <w:rFonts w:hint="eastAsia" w:ascii="Times New Roman" w:hAnsi="Times New Roman"/>
          <w:lang w:val="en-US" w:eastAsia="zh-CN"/>
        </w:rPr>
        <w:t>见下表6-1。</w:t>
      </w:r>
    </w:p>
    <w:p>
      <w:pPr>
        <w:spacing w:line="240" w:lineRule="auto"/>
        <w:jc w:val="center"/>
        <w:rPr>
          <w:b/>
          <w:bCs/>
          <w:sz w:val="21"/>
          <w:szCs w:val="21"/>
        </w:rPr>
      </w:pPr>
      <w:r>
        <w:rPr>
          <w:b/>
          <w:bCs/>
          <w:sz w:val="21"/>
          <w:szCs w:val="21"/>
        </w:rPr>
        <w:t>表6-1 工程运行期厂界废气最高允许排放浓度   单位：mg/m</w:t>
      </w:r>
      <w:r>
        <w:rPr>
          <w:b/>
          <w:bCs/>
          <w:sz w:val="21"/>
          <w:szCs w:val="21"/>
          <w:vertAlign w:val="superscript"/>
        </w:rPr>
        <w:t>3</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2186"/>
        <w:gridCol w:w="2809"/>
        <w:gridCol w:w="2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sz w:val="21"/>
                <w:szCs w:val="21"/>
              </w:rPr>
            </w:pPr>
            <w:bookmarkStart w:id="75" w:name="_Toc496520945"/>
            <w:bookmarkStart w:id="76" w:name="_Toc497833614"/>
            <w:r>
              <w:rPr>
                <w:sz w:val="21"/>
                <w:szCs w:val="21"/>
              </w:rPr>
              <w:t>序号</w:t>
            </w:r>
          </w:p>
        </w:tc>
        <w:tc>
          <w:tcPr>
            <w:tcW w:w="1183" w:type="pct"/>
          </w:tcPr>
          <w:p>
            <w:pPr>
              <w:widowControl w:val="0"/>
              <w:spacing w:line="240" w:lineRule="auto"/>
              <w:jc w:val="center"/>
              <w:rPr>
                <w:sz w:val="21"/>
                <w:szCs w:val="21"/>
              </w:rPr>
            </w:pPr>
            <w:r>
              <w:rPr>
                <w:rFonts w:hint="eastAsia"/>
                <w:sz w:val="21"/>
                <w:szCs w:val="21"/>
              </w:rPr>
              <w:t>污染因子</w:t>
            </w:r>
          </w:p>
        </w:tc>
        <w:tc>
          <w:tcPr>
            <w:tcW w:w="1520" w:type="pct"/>
          </w:tcPr>
          <w:p>
            <w:pPr>
              <w:widowControl w:val="0"/>
              <w:spacing w:line="240" w:lineRule="auto"/>
              <w:jc w:val="center"/>
              <w:rPr>
                <w:sz w:val="21"/>
                <w:szCs w:val="21"/>
              </w:rPr>
            </w:pPr>
            <w:r>
              <w:rPr>
                <w:rFonts w:hint="eastAsia"/>
                <w:sz w:val="21"/>
                <w:szCs w:val="21"/>
              </w:rPr>
              <w:t>排放浓度（mg/m</w:t>
            </w:r>
            <w:r>
              <w:rPr>
                <w:rFonts w:hint="eastAsia"/>
                <w:sz w:val="21"/>
                <w:szCs w:val="21"/>
                <w:vertAlign w:val="superscript"/>
              </w:rPr>
              <w:t>3</w:t>
            </w:r>
            <w:r>
              <w:rPr>
                <w:rFonts w:hint="eastAsia"/>
                <w:sz w:val="21"/>
                <w:szCs w:val="21"/>
              </w:rPr>
              <w:t>）</w:t>
            </w:r>
          </w:p>
        </w:tc>
        <w:tc>
          <w:tcPr>
            <w:tcW w:w="1490" w:type="pct"/>
          </w:tcPr>
          <w:p>
            <w:pPr>
              <w:widowControl w:val="0"/>
              <w:spacing w:line="240" w:lineRule="auto"/>
              <w:jc w:val="center"/>
              <w:rPr>
                <w:sz w:val="21"/>
                <w:szCs w:val="21"/>
              </w:rPr>
            </w:pPr>
            <w:r>
              <w:rPr>
                <w:rFonts w:hint="eastAsia"/>
                <w:sz w:val="21"/>
                <w:szCs w:val="21"/>
              </w:rPr>
              <w:t>无组织排放（mg/m</w:t>
            </w:r>
            <w:r>
              <w:rPr>
                <w:rFonts w:hint="eastAsia"/>
                <w:sz w:val="21"/>
                <w:szCs w:val="21"/>
                <w:vertAlign w:val="superscript"/>
              </w:rPr>
              <w:t>3</w:t>
            </w: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rFonts w:hint="default" w:ascii="Times New Roman" w:hAnsi="Times New Roman"/>
                <w:sz w:val="21"/>
                <w:szCs w:val="21"/>
              </w:rPr>
            </w:pPr>
            <w:r>
              <w:rPr>
                <w:rFonts w:hint="default" w:ascii="Times New Roman" w:hAnsi="Times New Roman"/>
                <w:sz w:val="21"/>
                <w:szCs w:val="21"/>
              </w:rPr>
              <w:t>1</w:t>
            </w:r>
          </w:p>
        </w:tc>
        <w:tc>
          <w:tcPr>
            <w:tcW w:w="2186" w:type="dxa"/>
            <w:vAlign w:val="center"/>
          </w:tcPr>
          <w:p>
            <w:pPr>
              <w:widowControl w:val="0"/>
              <w:adjustRightInd/>
              <w:spacing w:line="240" w:lineRule="auto"/>
              <w:jc w:val="center"/>
              <w:rPr>
                <w:rFonts w:hint="eastAsia" w:ascii="Times New Roman" w:hAnsi="Times New Roman"/>
                <w:sz w:val="21"/>
                <w:szCs w:val="21"/>
                <w:lang w:eastAsia="zh-CN"/>
              </w:rPr>
            </w:pPr>
            <w:r>
              <w:rPr>
                <w:sz w:val="21"/>
                <w:szCs w:val="22"/>
              </w:rPr>
              <w:t>二甲苯</w:t>
            </w:r>
          </w:p>
        </w:tc>
        <w:tc>
          <w:tcPr>
            <w:tcW w:w="2809" w:type="dxa"/>
            <w:vAlign w:val="center"/>
          </w:tcPr>
          <w:p>
            <w:pPr>
              <w:widowControl w:val="0"/>
              <w:adjustRightInd/>
              <w:spacing w:line="240" w:lineRule="auto"/>
              <w:jc w:val="center"/>
              <w:rPr>
                <w:rFonts w:hint="default" w:ascii="Times New Roman" w:hAnsi="Times New Roman"/>
                <w:sz w:val="21"/>
                <w:szCs w:val="21"/>
                <w:lang w:val="en-US" w:eastAsia="zh-CN"/>
              </w:rPr>
            </w:pPr>
            <w:r>
              <w:rPr>
                <w:sz w:val="21"/>
                <w:szCs w:val="22"/>
              </w:rPr>
              <w:t>30</w:t>
            </w:r>
          </w:p>
        </w:tc>
        <w:tc>
          <w:tcPr>
            <w:tcW w:w="2754" w:type="dxa"/>
            <w:vAlign w:val="center"/>
          </w:tcPr>
          <w:p>
            <w:pPr>
              <w:widowControl w:val="0"/>
              <w:adjustRightInd/>
              <w:spacing w:line="240" w:lineRule="auto"/>
              <w:jc w:val="center"/>
              <w:rPr>
                <w:rFonts w:hint="default" w:ascii="Times New Roman" w:hAnsi="Times New Roman"/>
                <w:sz w:val="21"/>
                <w:szCs w:val="21"/>
                <w:lang w:val="en-US" w:eastAsia="zh-CN"/>
              </w:rPr>
            </w:pPr>
            <w:r>
              <w:rPr>
                <w:sz w:val="21"/>
                <w:szCs w:val="22"/>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2</w:t>
            </w:r>
          </w:p>
        </w:tc>
        <w:tc>
          <w:tcPr>
            <w:tcW w:w="2186" w:type="dxa"/>
            <w:vAlign w:val="center"/>
          </w:tcPr>
          <w:p>
            <w:pPr>
              <w:widowControl w:val="0"/>
              <w:adjustRightInd/>
              <w:spacing w:line="240" w:lineRule="auto"/>
              <w:jc w:val="center"/>
              <w:rPr>
                <w:rFonts w:hint="eastAsia" w:ascii="Times New Roman" w:hAnsi="Times New Roman"/>
                <w:sz w:val="21"/>
                <w:szCs w:val="21"/>
                <w:lang w:val="en-US" w:eastAsia="zh-CN"/>
              </w:rPr>
            </w:pPr>
            <w:r>
              <w:rPr>
                <w:sz w:val="21"/>
                <w:szCs w:val="22"/>
              </w:rPr>
              <w:t>非甲烷总烃</w:t>
            </w:r>
          </w:p>
        </w:tc>
        <w:tc>
          <w:tcPr>
            <w:tcW w:w="2809" w:type="dxa"/>
            <w:vAlign w:val="center"/>
          </w:tcPr>
          <w:p>
            <w:pPr>
              <w:widowControl w:val="0"/>
              <w:adjustRightInd/>
              <w:spacing w:line="240" w:lineRule="auto"/>
              <w:jc w:val="center"/>
              <w:rPr>
                <w:rFonts w:hint="eastAsia" w:ascii="Times New Roman" w:hAnsi="Times New Roman"/>
                <w:sz w:val="21"/>
                <w:szCs w:val="21"/>
                <w:lang w:val="en-US" w:eastAsia="zh-CN"/>
              </w:rPr>
            </w:pPr>
            <w:r>
              <w:rPr>
                <w:sz w:val="21"/>
                <w:szCs w:val="22"/>
              </w:rPr>
              <w:t>40</w:t>
            </w:r>
          </w:p>
        </w:tc>
        <w:tc>
          <w:tcPr>
            <w:tcW w:w="2754" w:type="dxa"/>
            <w:vAlign w:val="center"/>
          </w:tcPr>
          <w:p>
            <w:pPr>
              <w:widowControl w:val="0"/>
              <w:adjustRightInd/>
              <w:spacing w:line="240" w:lineRule="auto"/>
              <w:jc w:val="center"/>
              <w:rPr>
                <w:rFonts w:hint="eastAsia" w:ascii="Times New Roman" w:hAnsi="Times New Roman"/>
                <w:sz w:val="21"/>
                <w:szCs w:val="21"/>
                <w:lang w:val="en-US" w:eastAsia="zh-CN"/>
              </w:rPr>
            </w:pPr>
            <w:r>
              <w:rPr>
                <w:sz w:val="21"/>
                <w:szCs w:val="2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tcPr>
          <w:p>
            <w:pPr>
              <w:widowControl w:val="0"/>
              <w:spacing w:line="240" w:lineRule="auto"/>
              <w:jc w:val="center"/>
              <w:rPr>
                <w:rFonts w:hint="eastAsia" w:ascii="Times New Roman" w:hAnsi="Times New Roman"/>
                <w:sz w:val="21"/>
                <w:szCs w:val="21"/>
                <w:lang w:val="en-US" w:eastAsia="zh-CN"/>
              </w:rPr>
            </w:pPr>
            <w:r>
              <w:rPr>
                <w:rFonts w:hint="eastAsia" w:ascii="Times New Roman" w:hAnsi="Times New Roman"/>
                <w:sz w:val="21"/>
                <w:szCs w:val="21"/>
                <w:lang w:val="en-US" w:eastAsia="zh-CN"/>
              </w:rPr>
              <w:t>3</w:t>
            </w:r>
          </w:p>
        </w:tc>
        <w:tc>
          <w:tcPr>
            <w:tcW w:w="2186" w:type="dxa"/>
            <w:vAlign w:val="center"/>
          </w:tcPr>
          <w:p>
            <w:pPr>
              <w:widowControl w:val="0"/>
              <w:adjustRightInd/>
              <w:spacing w:line="240" w:lineRule="auto"/>
              <w:jc w:val="center"/>
              <w:rPr>
                <w:rFonts w:hint="eastAsia" w:ascii="Times New Roman" w:hAnsi="Times New Roman"/>
                <w:sz w:val="21"/>
                <w:szCs w:val="21"/>
                <w:lang w:val="en-US" w:eastAsia="zh-CN"/>
              </w:rPr>
            </w:pPr>
            <w:r>
              <w:rPr>
                <w:sz w:val="21"/>
                <w:szCs w:val="22"/>
              </w:rPr>
              <w:t>颗粒物</w:t>
            </w:r>
          </w:p>
        </w:tc>
        <w:tc>
          <w:tcPr>
            <w:tcW w:w="2809" w:type="dxa"/>
            <w:vAlign w:val="center"/>
          </w:tcPr>
          <w:p>
            <w:pPr>
              <w:widowControl w:val="0"/>
              <w:adjustRightInd/>
              <w:spacing w:line="240" w:lineRule="auto"/>
              <w:jc w:val="center"/>
              <w:rPr>
                <w:rFonts w:hint="eastAsia" w:ascii="Times New Roman" w:hAnsi="Times New Roman"/>
                <w:sz w:val="21"/>
                <w:szCs w:val="21"/>
                <w:lang w:val="en-US" w:eastAsia="zh-CN"/>
              </w:rPr>
            </w:pPr>
            <w:r>
              <w:rPr>
                <w:sz w:val="21"/>
                <w:szCs w:val="22"/>
              </w:rPr>
              <w:t>100</w:t>
            </w:r>
          </w:p>
        </w:tc>
        <w:tc>
          <w:tcPr>
            <w:tcW w:w="2754" w:type="dxa"/>
            <w:vAlign w:val="center"/>
          </w:tcPr>
          <w:p>
            <w:pPr>
              <w:widowControl w:val="0"/>
              <w:adjustRightInd/>
              <w:spacing w:line="240" w:lineRule="auto"/>
              <w:jc w:val="center"/>
              <w:rPr>
                <w:rFonts w:hint="eastAsia" w:ascii="Times New Roman" w:hAnsi="Times New Roman"/>
                <w:sz w:val="21"/>
                <w:szCs w:val="21"/>
                <w:lang w:val="en-US" w:eastAsia="zh-CN"/>
              </w:rPr>
            </w:pPr>
            <w:r>
              <w:rPr>
                <w:sz w:val="21"/>
                <w:szCs w:val="22"/>
              </w:rPr>
              <w:t>1.0</w:t>
            </w:r>
          </w:p>
        </w:tc>
      </w:tr>
    </w:tbl>
    <w:p>
      <w:pPr>
        <w:pStyle w:val="4"/>
      </w:pPr>
      <w:bookmarkStart w:id="77" w:name="_Toc4967"/>
      <w:r>
        <w:t xml:space="preserve">6.2 </w:t>
      </w:r>
      <w:bookmarkEnd w:id="75"/>
      <w:bookmarkEnd w:id="76"/>
      <w:bookmarkStart w:id="78" w:name="_Toc408406387"/>
      <w:bookmarkStart w:id="79" w:name="_Toc496520952"/>
      <w:bookmarkStart w:id="80" w:name="_Toc497833615"/>
      <w:bookmarkStart w:id="81" w:name="_Toc427855283"/>
      <w:r>
        <w:t>噪声执行标准</w:t>
      </w:r>
      <w:bookmarkEnd w:id="77"/>
      <w:bookmarkEnd w:id="78"/>
      <w:bookmarkEnd w:id="79"/>
      <w:bookmarkEnd w:id="80"/>
      <w:bookmarkEnd w:id="81"/>
    </w:p>
    <w:p>
      <w:pPr>
        <w:ind w:firstLine="480" w:firstLineChars="200"/>
      </w:pPr>
      <w:r>
        <w:t>项目厂界噪声执行《工业企业厂界环境噪声排放标准》(GB12348-2008)</w:t>
      </w:r>
      <w:r>
        <w:rPr>
          <w:rFonts w:hint="eastAsia"/>
          <w:lang w:val="en-US" w:eastAsia="zh-CN"/>
        </w:rPr>
        <w:t>2</w:t>
      </w:r>
      <w:r>
        <w:t>类标准，标准限值见表6</w:t>
      </w:r>
      <w:r>
        <w:rPr>
          <w:rFonts w:hint="eastAsia"/>
        </w:rPr>
        <w:t>-3</w:t>
      </w:r>
      <w:r>
        <w:t>。</w:t>
      </w:r>
    </w:p>
    <w:p>
      <w:pPr>
        <w:spacing w:line="240" w:lineRule="auto"/>
        <w:jc w:val="center"/>
        <w:rPr>
          <w:b/>
          <w:bCs/>
          <w:sz w:val="21"/>
          <w:szCs w:val="21"/>
        </w:rPr>
      </w:pPr>
      <w:r>
        <w:rPr>
          <w:b/>
          <w:bCs/>
          <w:sz w:val="21"/>
          <w:szCs w:val="21"/>
        </w:rPr>
        <w:t>表6</w:t>
      </w:r>
      <w:r>
        <w:rPr>
          <w:rFonts w:hint="eastAsia"/>
          <w:b/>
          <w:bCs/>
          <w:sz w:val="21"/>
          <w:szCs w:val="21"/>
        </w:rPr>
        <w:t>-3</w:t>
      </w:r>
      <w:r>
        <w:rPr>
          <w:b/>
          <w:bCs/>
          <w:sz w:val="21"/>
          <w:szCs w:val="21"/>
        </w:rPr>
        <w:t xml:space="preserve">  噪声排放标准限值           单位：dB(A)</w:t>
      </w:r>
    </w:p>
    <w:tbl>
      <w:tblPr>
        <w:tblStyle w:val="22"/>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073"/>
        <w:gridCol w:w="980"/>
        <w:gridCol w:w="981"/>
        <w:gridCol w:w="620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tblHeader/>
          <w:jc w:val="center"/>
        </w:trPr>
        <w:tc>
          <w:tcPr>
            <w:tcW w:w="581" w:type="pct"/>
            <w:vMerge w:val="restart"/>
            <w:vAlign w:val="center"/>
          </w:tcPr>
          <w:p>
            <w:pPr>
              <w:spacing w:line="240" w:lineRule="auto"/>
              <w:jc w:val="center"/>
              <w:rPr>
                <w:sz w:val="21"/>
                <w:szCs w:val="21"/>
              </w:rPr>
            </w:pPr>
            <w:r>
              <w:rPr>
                <w:sz w:val="21"/>
                <w:szCs w:val="21"/>
              </w:rPr>
              <w:t>项目</w:t>
            </w:r>
          </w:p>
        </w:tc>
        <w:tc>
          <w:tcPr>
            <w:tcW w:w="1061" w:type="pct"/>
            <w:gridSpan w:val="2"/>
            <w:vAlign w:val="center"/>
          </w:tcPr>
          <w:p>
            <w:pPr>
              <w:spacing w:line="240" w:lineRule="auto"/>
              <w:jc w:val="center"/>
              <w:rPr>
                <w:sz w:val="21"/>
                <w:szCs w:val="21"/>
              </w:rPr>
            </w:pPr>
            <w:r>
              <w:rPr>
                <w:sz w:val="21"/>
                <w:szCs w:val="21"/>
              </w:rPr>
              <w:t>标准限值</w:t>
            </w:r>
          </w:p>
        </w:tc>
        <w:tc>
          <w:tcPr>
            <w:tcW w:w="3356" w:type="pct"/>
            <w:vMerge w:val="restart"/>
            <w:vAlign w:val="center"/>
          </w:tcPr>
          <w:p>
            <w:pPr>
              <w:spacing w:line="240" w:lineRule="auto"/>
              <w:jc w:val="center"/>
              <w:rPr>
                <w:sz w:val="21"/>
                <w:szCs w:val="21"/>
              </w:rPr>
            </w:pPr>
            <w:r>
              <w:rPr>
                <w:sz w:val="21"/>
                <w:szCs w:val="21"/>
              </w:rPr>
              <w:t>执行标准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Merge w:val="continue"/>
            <w:vAlign w:val="center"/>
          </w:tcPr>
          <w:p>
            <w:pPr>
              <w:spacing w:line="240" w:lineRule="auto"/>
              <w:jc w:val="center"/>
              <w:rPr>
                <w:sz w:val="21"/>
                <w:szCs w:val="21"/>
              </w:rPr>
            </w:pPr>
          </w:p>
        </w:tc>
        <w:tc>
          <w:tcPr>
            <w:tcW w:w="530" w:type="pct"/>
            <w:vAlign w:val="center"/>
          </w:tcPr>
          <w:p>
            <w:pPr>
              <w:spacing w:line="240" w:lineRule="auto"/>
              <w:jc w:val="center"/>
              <w:rPr>
                <w:sz w:val="21"/>
                <w:szCs w:val="21"/>
              </w:rPr>
            </w:pPr>
            <w:r>
              <w:rPr>
                <w:sz w:val="21"/>
                <w:szCs w:val="21"/>
              </w:rPr>
              <w:t>昼间</w:t>
            </w:r>
          </w:p>
        </w:tc>
        <w:tc>
          <w:tcPr>
            <w:tcW w:w="530" w:type="pct"/>
            <w:vAlign w:val="center"/>
          </w:tcPr>
          <w:p>
            <w:pPr>
              <w:spacing w:line="240" w:lineRule="auto"/>
              <w:jc w:val="center"/>
              <w:rPr>
                <w:sz w:val="21"/>
                <w:szCs w:val="21"/>
              </w:rPr>
            </w:pPr>
            <w:r>
              <w:rPr>
                <w:sz w:val="21"/>
                <w:szCs w:val="21"/>
              </w:rPr>
              <w:t>夜间</w:t>
            </w:r>
          </w:p>
        </w:tc>
        <w:tc>
          <w:tcPr>
            <w:tcW w:w="3356" w:type="pct"/>
            <w:vMerge w:val="continue"/>
            <w:vAlign w:val="center"/>
          </w:tcPr>
          <w:p>
            <w:pPr>
              <w:spacing w:line="240" w:lineRule="auto"/>
              <w:jc w:val="center"/>
              <w:rPr>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81" w:type="pct"/>
            <w:vAlign w:val="center"/>
          </w:tcPr>
          <w:p>
            <w:pPr>
              <w:spacing w:line="240" w:lineRule="auto"/>
              <w:jc w:val="center"/>
              <w:rPr>
                <w:sz w:val="21"/>
                <w:szCs w:val="21"/>
              </w:rPr>
            </w:pPr>
            <w:r>
              <w:rPr>
                <w:sz w:val="21"/>
                <w:szCs w:val="21"/>
              </w:rPr>
              <w:t>厂界</w:t>
            </w:r>
          </w:p>
        </w:tc>
        <w:tc>
          <w:tcPr>
            <w:tcW w:w="530"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60</w:t>
            </w:r>
          </w:p>
        </w:tc>
        <w:tc>
          <w:tcPr>
            <w:tcW w:w="530" w:type="pct"/>
            <w:vAlign w:val="center"/>
          </w:tcPr>
          <w:p>
            <w:pPr>
              <w:spacing w:line="240" w:lineRule="auto"/>
              <w:jc w:val="center"/>
              <w:rPr>
                <w:rFonts w:hint="default" w:eastAsia="宋体"/>
                <w:sz w:val="21"/>
                <w:szCs w:val="21"/>
                <w:lang w:val="en-US" w:eastAsia="zh-CN"/>
              </w:rPr>
            </w:pPr>
            <w:r>
              <w:rPr>
                <w:rFonts w:hint="eastAsia"/>
                <w:sz w:val="21"/>
                <w:szCs w:val="21"/>
                <w:lang w:val="en-US" w:eastAsia="zh-CN"/>
              </w:rPr>
              <w:t>50</w:t>
            </w:r>
          </w:p>
        </w:tc>
        <w:tc>
          <w:tcPr>
            <w:tcW w:w="3356" w:type="pct"/>
            <w:vAlign w:val="center"/>
          </w:tcPr>
          <w:p>
            <w:pPr>
              <w:spacing w:line="240" w:lineRule="auto"/>
              <w:jc w:val="center"/>
              <w:rPr>
                <w:sz w:val="21"/>
                <w:szCs w:val="21"/>
              </w:rPr>
            </w:pPr>
            <w:r>
              <w:rPr>
                <w:sz w:val="21"/>
                <w:szCs w:val="21"/>
              </w:rPr>
              <w:t>《工业企业厂界环境噪声排放标准》（GB12348-2008）</w:t>
            </w:r>
            <w:r>
              <w:rPr>
                <w:rFonts w:hint="eastAsia"/>
                <w:sz w:val="21"/>
                <w:szCs w:val="21"/>
                <w:lang w:val="en-US" w:eastAsia="zh-CN"/>
              </w:rPr>
              <w:t>2</w:t>
            </w:r>
            <w:r>
              <w:rPr>
                <w:sz w:val="21"/>
                <w:szCs w:val="21"/>
              </w:rPr>
              <w:t>类标准</w:t>
            </w:r>
          </w:p>
        </w:tc>
      </w:tr>
    </w:tbl>
    <w:p>
      <w:pPr>
        <w:pStyle w:val="4"/>
      </w:pPr>
      <w:bookmarkStart w:id="82" w:name="_Toc534643360"/>
      <w:bookmarkStart w:id="83" w:name="_Toc7330"/>
      <w:r>
        <w:rPr>
          <w:rFonts w:hint="eastAsia"/>
        </w:rPr>
        <w:t>6.</w:t>
      </w:r>
      <w:bookmarkEnd w:id="82"/>
      <w:r>
        <w:rPr>
          <w:rFonts w:hint="eastAsia"/>
          <w:lang w:val="en-US" w:eastAsia="zh-CN"/>
        </w:rPr>
        <w:t>3</w:t>
      </w:r>
      <w:r>
        <w:rPr>
          <w:rFonts w:hint="eastAsia"/>
        </w:rPr>
        <w:t>固体废物污染管控标准要求</w:t>
      </w:r>
      <w:bookmarkEnd w:id="83"/>
    </w:p>
    <w:p>
      <w:pPr>
        <w:ind w:firstLine="480" w:firstLineChars="200"/>
        <w:rPr>
          <w:rFonts w:hint="eastAsia"/>
          <w:lang w:val="en-US" w:eastAsia="zh-CN"/>
        </w:rPr>
      </w:pPr>
      <w:r>
        <w:rPr>
          <w:rFonts w:hint="eastAsia"/>
        </w:rPr>
        <w:t>根据环评及批复要求，</w:t>
      </w:r>
      <w:r>
        <w:rPr>
          <w:rFonts w:hint="eastAsia"/>
          <w:lang w:val="en-US" w:eastAsia="zh-CN"/>
        </w:rPr>
        <w:t>木工加工边角料和木工尘渣外售给其它企业综合利用，不可回收部分交由环卫部门处理；废漆桶、胶桶、活性炭等定期交有资质的单位处置或由厂家回收处置，其中废手套混入生活垃圾的部分全程可不按危险废物处理；生活垃圾委托当地环卫部门处置。一般工业固废贮存应符合《一般工业固体废物贮存、处置场污染控制标准》(GB18599-2001)相应要求；生活垃圾收集后交由环卫部门处理。</w:t>
      </w:r>
    </w:p>
    <w:p/>
    <w:p>
      <w:pPr>
        <w:pStyle w:val="11"/>
        <w:sectPr>
          <w:pgSz w:w="11905" w:h="16838"/>
          <w:pgMar w:top="1083" w:right="1440" w:bottom="1083" w:left="1440" w:header="680" w:footer="567" w:gutter="0"/>
          <w:cols w:space="0" w:num="1"/>
          <w:docGrid w:type="lines" w:linePitch="322" w:charSpace="0"/>
        </w:sectPr>
      </w:pPr>
    </w:p>
    <w:p>
      <w:pPr>
        <w:pStyle w:val="3"/>
      </w:pPr>
      <w:bookmarkStart w:id="84" w:name="_Toc497833617"/>
      <w:bookmarkStart w:id="85" w:name="_Toc2570"/>
      <w:r>
        <w:t>7 验收监测内容</w:t>
      </w:r>
      <w:bookmarkEnd w:id="84"/>
      <w:bookmarkEnd w:id="85"/>
    </w:p>
    <w:p>
      <w:pPr>
        <w:pStyle w:val="4"/>
      </w:pPr>
      <w:bookmarkStart w:id="86" w:name="_Toc16467"/>
      <w:bookmarkStart w:id="87" w:name="_Toc15091"/>
      <w:r>
        <w:rPr>
          <w:rFonts w:hint="eastAsia"/>
        </w:rPr>
        <w:t>7.1验收监测内容</w:t>
      </w:r>
      <w:bookmarkEnd w:id="86"/>
      <w:bookmarkEnd w:id="87"/>
    </w:p>
    <w:p>
      <w:pPr>
        <w:ind w:firstLine="480" w:firstLineChars="200"/>
        <w:rPr>
          <w:rFonts w:hint="eastAsia"/>
        </w:rPr>
      </w:pPr>
      <w:r>
        <w:rPr>
          <w:rFonts w:hint="eastAsia"/>
        </w:rPr>
        <w:t>根据环评、环评批复、该项目行业的特征污染物及该项目周围敏感目标的情况，确定了该项目验收监测的监测因子和频次。本次验收监测的监测点位见、因子及频次详见表7-1。本次验收的监测布点示意图详见图 7.1。</w:t>
      </w:r>
    </w:p>
    <w:p>
      <w:pPr>
        <w:spacing w:line="240" w:lineRule="auto"/>
        <w:jc w:val="center"/>
      </w:pPr>
      <w:r>
        <w:rPr>
          <w:b/>
          <w:bCs/>
          <w:sz w:val="21"/>
          <w:szCs w:val="21"/>
        </w:rPr>
        <w:t>表7-1  监测点位、监测因子等要求一览表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2690"/>
        <w:gridCol w:w="1537"/>
        <w:gridCol w:w="3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pct"/>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检测类别</w:t>
            </w:r>
          </w:p>
        </w:tc>
        <w:tc>
          <w:tcPr>
            <w:tcW w:w="1578" w:type="pct"/>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检测点位名称和编号</w:t>
            </w:r>
          </w:p>
        </w:tc>
        <w:tc>
          <w:tcPr>
            <w:tcW w:w="902" w:type="pct"/>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检测频次</w:t>
            </w:r>
          </w:p>
        </w:tc>
        <w:tc>
          <w:tcPr>
            <w:tcW w:w="1766" w:type="pct"/>
            <w:noWrap w:val="0"/>
            <w:vAlign w:val="center"/>
          </w:tcPr>
          <w:p>
            <w:pPr>
              <w:widowControl w:val="0"/>
              <w:spacing w:line="240" w:lineRule="auto"/>
              <w:jc w:val="center"/>
              <w:rPr>
                <w:rFonts w:hint="default" w:ascii="Times New Roman" w:hAnsi="Times New Roman"/>
                <w:b/>
                <w:bCs/>
                <w:color w:val="auto"/>
                <w:sz w:val="21"/>
                <w:szCs w:val="21"/>
              </w:rPr>
            </w:pPr>
            <w:r>
              <w:rPr>
                <w:rFonts w:hint="default" w:ascii="Times New Roman" w:hAnsi="Times New Roman"/>
                <w:b/>
                <w:bCs/>
                <w:color w:val="auto"/>
                <w:sz w:val="21"/>
                <w:szCs w:val="21"/>
              </w:rPr>
              <w:t>检测项目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restart"/>
            <w:noWrap w:val="0"/>
            <w:vAlign w:val="center"/>
          </w:tcPr>
          <w:p>
            <w:pPr>
              <w:widowControl w:val="0"/>
              <w:spacing w:line="240" w:lineRule="auto"/>
              <w:jc w:val="center"/>
              <w:rPr>
                <w:rFonts w:ascii="Times New Roman" w:hAnsi="Times New Roman"/>
                <w:color w:val="auto"/>
                <w:sz w:val="21"/>
                <w:szCs w:val="21"/>
              </w:rPr>
            </w:pPr>
            <w:r>
              <w:rPr>
                <w:rFonts w:hint="default" w:ascii="Times New Roman" w:hAnsi="Times New Roman"/>
                <w:color w:val="auto"/>
                <w:sz w:val="21"/>
                <w:szCs w:val="21"/>
              </w:rPr>
              <w:t>有组织废气</w:t>
            </w:r>
          </w:p>
        </w:tc>
        <w:tc>
          <w:tcPr>
            <w:tcW w:w="1578" w:type="pct"/>
            <w:noWrap w:val="0"/>
            <w:vAlign w:val="center"/>
          </w:tcPr>
          <w:p>
            <w:pPr>
              <w:snapToGrid w:val="0"/>
              <w:spacing w:line="240" w:lineRule="auto"/>
              <w:jc w:val="center"/>
              <w:rPr>
                <w:rFonts w:hint="default" w:eastAsia="宋体"/>
                <w:sz w:val="21"/>
                <w:szCs w:val="21"/>
                <w:lang w:val="en-US" w:eastAsia="zh-CN"/>
              </w:rPr>
            </w:pPr>
            <w:r>
              <w:rPr>
                <w:rFonts w:hint="eastAsia" w:eastAsia="宋体"/>
                <w:sz w:val="21"/>
                <w:szCs w:val="21"/>
                <w:lang w:val="en-US" w:eastAsia="zh-CN"/>
              </w:rPr>
              <w:t>1#排气筒进口（D1）、</w:t>
            </w:r>
          </w:p>
          <w:p>
            <w:pPr>
              <w:snapToGrid w:val="0"/>
              <w:spacing w:line="240" w:lineRule="auto"/>
              <w:jc w:val="center"/>
              <w:rPr>
                <w:rFonts w:hint="eastAsia" w:eastAsia="宋体"/>
                <w:sz w:val="21"/>
                <w:szCs w:val="21"/>
                <w:lang w:eastAsia="zh-CN"/>
              </w:rPr>
            </w:pPr>
            <w:r>
              <w:rPr>
                <w:rFonts w:hint="eastAsia" w:eastAsia="宋体"/>
                <w:sz w:val="21"/>
                <w:szCs w:val="21"/>
                <w:lang w:val="en-US" w:eastAsia="zh-CN"/>
              </w:rPr>
              <w:t>1#排气筒出口（FQ1）</w:t>
            </w:r>
          </w:p>
        </w:tc>
        <w:tc>
          <w:tcPr>
            <w:tcW w:w="902" w:type="pct"/>
            <w:vMerge w:val="restart"/>
            <w:noWrap w:val="0"/>
            <w:vAlign w:val="center"/>
          </w:tcPr>
          <w:p>
            <w:pPr>
              <w:snapToGrid w:val="0"/>
              <w:spacing w:line="240" w:lineRule="auto"/>
              <w:jc w:val="center"/>
              <w:rPr>
                <w:rFonts w:hint="default" w:eastAsia="宋体"/>
                <w:sz w:val="21"/>
                <w:szCs w:val="21"/>
                <w:lang w:eastAsia="zh-CN"/>
              </w:rPr>
            </w:pPr>
            <w:r>
              <w:rPr>
                <w:rFonts w:hint="eastAsia" w:eastAsia="宋体"/>
                <w:sz w:val="21"/>
                <w:szCs w:val="21"/>
                <w:lang w:val="en-US" w:eastAsia="zh-CN"/>
              </w:rPr>
              <w:t>3</w:t>
            </w:r>
            <w:r>
              <w:rPr>
                <w:rFonts w:hint="default" w:eastAsia="宋体"/>
                <w:sz w:val="21"/>
                <w:szCs w:val="21"/>
                <w:lang w:eastAsia="zh-CN"/>
              </w:rPr>
              <w:t>次/天</w:t>
            </w:r>
            <w:r>
              <w:rPr>
                <w:rFonts w:hint="eastAsia" w:eastAsia="宋体"/>
                <w:sz w:val="21"/>
                <w:szCs w:val="21"/>
                <w:lang w:eastAsia="zh-CN"/>
              </w:rPr>
              <w:t>，</w:t>
            </w:r>
          </w:p>
          <w:p>
            <w:pPr>
              <w:snapToGrid w:val="0"/>
              <w:spacing w:line="240" w:lineRule="auto"/>
              <w:jc w:val="center"/>
              <w:rPr>
                <w:rFonts w:hint="eastAsia" w:eastAsia="宋体"/>
                <w:sz w:val="21"/>
                <w:szCs w:val="21"/>
                <w:lang w:eastAsia="zh-CN"/>
              </w:rPr>
            </w:pPr>
            <w:r>
              <w:rPr>
                <w:rFonts w:hint="default" w:eastAsia="宋体"/>
                <w:sz w:val="21"/>
                <w:szCs w:val="21"/>
                <w:lang w:eastAsia="zh-CN"/>
              </w:rPr>
              <w:t>监测2天</w:t>
            </w:r>
          </w:p>
        </w:tc>
        <w:tc>
          <w:tcPr>
            <w:tcW w:w="1766" w:type="pct"/>
            <w:noWrap w:val="0"/>
            <w:vAlign w:val="center"/>
          </w:tcPr>
          <w:p>
            <w:pPr>
              <w:snapToGrid w:val="0"/>
              <w:spacing w:line="240" w:lineRule="auto"/>
              <w:jc w:val="center"/>
              <w:rPr>
                <w:rFonts w:hint="eastAsia" w:eastAsia="宋体"/>
                <w:sz w:val="21"/>
                <w:szCs w:val="21"/>
                <w:lang w:eastAsia="zh-CN"/>
              </w:rPr>
            </w:pPr>
            <w:r>
              <w:rPr>
                <w:rFonts w:hint="eastAsia" w:eastAsia="宋体"/>
                <w:sz w:val="21"/>
                <w:szCs w:val="21"/>
                <w:lang w:eastAsia="zh-CN"/>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2" w:type="pct"/>
            <w:vMerge w:val="continue"/>
            <w:noWrap w:val="0"/>
            <w:vAlign w:val="center"/>
          </w:tcPr>
          <w:p>
            <w:pPr>
              <w:widowControl w:val="0"/>
              <w:spacing w:line="240" w:lineRule="auto"/>
              <w:jc w:val="center"/>
              <w:rPr>
                <w:rFonts w:hint="default" w:ascii="Times New Roman" w:hAnsi="Times New Roman"/>
                <w:color w:val="auto"/>
                <w:sz w:val="21"/>
                <w:szCs w:val="21"/>
              </w:rPr>
            </w:pPr>
          </w:p>
        </w:tc>
        <w:tc>
          <w:tcPr>
            <w:tcW w:w="1578" w:type="pct"/>
            <w:noWrap w:val="0"/>
            <w:vAlign w:val="center"/>
          </w:tcPr>
          <w:p>
            <w:pPr>
              <w:snapToGrid w:val="0"/>
              <w:spacing w:line="240" w:lineRule="auto"/>
              <w:jc w:val="center"/>
              <w:rPr>
                <w:rFonts w:hint="default" w:eastAsia="宋体"/>
                <w:sz w:val="21"/>
                <w:szCs w:val="21"/>
                <w:lang w:val="en-US" w:eastAsia="zh-CN"/>
              </w:rPr>
            </w:pPr>
            <w:r>
              <w:rPr>
                <w:rFonts w:hint="eastAsia" w:eastAsia="宋体"/>
                <w:sz w:val="21"/>
                <w:szCs w:val="21"/>
                <w:lang w:val="en-US" w:eastAsia="zh-CN"/>
              </w:rPr>
              <w:t>2#排气筒进口（D2）、</w:t>
            </w:r>
          </w:p>
          <w:p>
            <w:pPr>
              <w:snapToGrid w:val="0"/>
              <w:spacing w:line="240" w:lineRule="auto"/>
              <w:jc w:val="center"/>
              <w:rPr>
                <w:rFonts w:hint="eastAsia" w:eastAsia="宋体"/>
                <w:sz w:val="21"/>
                <w:szCs w:val="21"/>
                <w:lang w:val="en-US" w:eastAsia="zh-CN"/>
              </w:rPr>
            </w:pPr>
            <w:r>
              <w:rPr>
                <w:rFonts w:hint="eastAsia" w:eastAsia="宋体"/>
                <w:sz w:val="21"/>
                <w:szCs w:val="21"/>
                <w:lang w:val="en-US" w:eastAsia="zh-CN"/>
              </w:rPr>
              <w:t>2#排气筒出口（FQ2）</w:t>
            </w:r>
          </w:p>
        </w:tc>
        <w:tc>
          <w:tcPr>
            <w:tcW w:w="902" w:type="pct"/>
            <w:vMerge w:val="continue"/>
            <w:noWrap w:val="0"/>
            <w:vAlign w:val="center"/>
          </w:tcPr>
          <w:p>
            <w:pPr>
              <w:snapToGrid w:val="0"/>
              <w:spacing w:line="240" w:lineRule="auto"/>
              <w:jc w:val="center"/>
              <w:rPr>
                <w:rFonts w:hint="default" w:eastAsia="宋体"/>
                <w:sz w:val="21"/>
                <w:szCs w:val="21"/>
                <w:lang w:eastAsia="zh-CN"/>
              </w:rPr>
            </w:pPr>
          </w:p>
        </w:tc>
        <w:tc>
          <w:tcPr>
            <w:tcW w:w="1766" w:type="pct"/>
            <w:noWrap w:val="0"/>
            <w:vAlign w:val="center"/>
          </w:tcPr>
          <w:p>
            <w:pPr>
              <w:snapToGrid w:val="0"/>
              <w:spacing w:line="240" w:lineRule="auto"/>
              <w:jc w:val="center"/>
              <w:rPr>
                <w:rFonts w:hint="eastAsia" w:eastAsia="宋体"/>
                <w:sz w:val="21"/>
                <w:szCs w:val="21"/>
                <w:lang w:eastAsia="zh-CN"/>
              </w:rPr>
            </w:pPr>
            <w:r>
              <w:rPr>
                <w:rFonts w:hint="eastAsia" w:eastAsia="宋体"/>
                <w:sz w:val="21"/>
                <w:szCs w:val="21"/>
                <w:lang w:eastAsia="zh-CN"/>
              </w:rPr>
              <w:t>颗粒物、非甲烷总烃、二甲苯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pct"/>
            <w:noWrap w:val="0"/>
            <w:vAlign w:val="center"/>
          </w:tcPr>
          <w:p>
            <w:pPr>
              <w:widowControl w:val="0"/>
              <w:spacing w:line="240" w:lineRule="auto"/>
              <w:jc w:val="center"/>
              <w:rPr>
                <w:rFonts w:ascii="Times New Roman" w:hAnsi="Times New Roman"/>
                <w:color w:val="auto"/>
                <w:sz w:val="21"/>
                <w:szCs w:val="21"/>
              </w:rPr>
            </w:pPr>
            <w:r>
              <w:rPr>
                <w:rFonts w:hint="default" w:ascii="Times New Roman" w:hAnsi="Times New Roman"/>
                <w:color w:val="auto"/>
                <w:sz w:val="21"/>
                <w:szCs w:val="21"/>
              </w:rPr>
              <w:t>无组织废气</w:t>
            </w:r>
          </w:p>
        </w:tc>
        <w:tc>
          <w:tcPr>
            <w:tcW w:w="1578" w:type="pct"/>
            <w:noWrap w:val="0"/>
            <w:vAlign w:val="center"/>
          </w:tcPr>
          <w:p>
            <w:pPr>
              <w:snapToGrid w:val="0"/>
              <w:spacing w:line="240" w:lineRule="auto"/>
              <w:jc w:val="center"/>
              <w:rPr>
                <w:rFonts w:hint="eastAsia" w:eastAsia="宋体"/>
                <w:sz w:val="21"/>
                <w:szCs w:val="21"/>
                <w:lang w:val="en-US" w:eastAsia="zh-CN"/>
              </w:rPr>
            </w:pPr>
            <w:r>
              <w:rPr>
                <w:rFonts w:hint="eastAsia" w:eastAsia="宋体"/>
                <w:sz w:val="21"/>
                <w:szCs w:val="21"/>
                <w:lang w:val="en-US" w:eastAsia="zh-CN"/>
              </w:rPr>
              <w:t>项目东侧厂界</w:t>
            </w:r>
            <w:r>
              <w:rPr>
                <w:rFonts w:hint="default" w:eastAsia="宋体"/>
                <w:sz w:val="21"/>
                <w:szCs w:val="21"/>
                <w:lang w:val="en-US" w:eastAsia="zh-CN"/>
              </w:rPr>
              <w:t>（B</w:t>
            </w:r>
            <w:r>
              <w:rPr>
                <w:rFonts w:hint="eastAsia" w:eastAsia="宋体"/>
                <w:sz w:val="21"/>
                <w:szCs w:val="21"/>
                <w:lang w:val="en-US" w:eastAsia="zh-CN"/>
              </w:rPr>
              <w:t>1</w:t>
            </w:r>
            <w:r>
              <w:rPr>
                <w:rFonts w:hint="default" w:eastAsia="宋体"/>
                <w:sz w:val="21"/>
                <w:szCs w:val="21"/>
                <w:lang w:val="en-US" w:eastAsia="zh-CN"/>
              </w:rPr>
              <w:t>）</w:t>
            </w:r>
            <w:r>
              <w:rPr>
                <w:rFonts w:hint="eastAsia" w:eastAsia="宋体"/>
                <w:sz w:val="21"/>
                <w:szCs w:val="21"/>
                <w:lang w:val="en-US" w:eastAsia="zh-CN"/>
              </w:rPr>
              <w:t>、</w:t>
            </w:r>
          </w:p>
          <w:p>
            <w:pPr>
              <w:snapToGrid w:val="0"/>
              <w:spacing w:line="240" w:lineRule="auto"/>
              <w:jc w:val="center"/>
              <w:rPr>
                <w:rFonts w:hint="eastAsia" w:eastAsia="宋体"/>
                <w:sz w:val="21"/>
                <w:szCs w:val="21"/>
                <w:lang w:val="en-US" w:eastAsia="zh-CN"/>
              </w:rPr>
            </w:pPr>
            <w:r>
              <w:rPr>
                <w:rFonts w:hint="eastAsia" w:eastAsia="宋体"/>
                <w:sz w:val="21"/>
                <w:szCs w:val="21"/>
                <w:lang w:val="en-US" w:eastAsia="zh-CN"/>
              </w:rPr>
              <w:t>项目西北侧厂界</w:t>
            </w:r>
            <w:r>
              <w:rPr>
                <w:rFonts w:hint="default" w:eastAsia="宋体"/>
                <w:sz w:val="21"/>
                <w:szCs w:val="21"/>
                <w:lang w:val="en-US" w:eastAsia="zh-CN"/>
              </w:rPr>
              <w:t>（B</w:t>
            </w:r>
            <w:r>
              <w:rPr>
                <w:rFonts w:hint="eastAsia" w:eastAsia="宋体"/>
                <w:sz w:val="21"/>
                <w:szCs w:val="21"/>
                <w:lang w:val="en-US" w:eastAsia="zh-CN"/>
              </w:rPr>
              <w:t>2</w:t>
            </w:r>
            <w:r>
              <w:rPr>
                <w:rFonts w:hint="default" w:eastAsia="宋体"/>
                <w:sz w:val="21"/>
                <w:szCs w:val="21"/>
                <w:lang w:val="en-US" w:eastAsia="zh-CN"/>
              </w:rPr>
              <w:t>）</w:t>
            </w:r>
          </w:p>
        </w:tc>
        <w:tc>
          <w:tcPr>
            <w:tcW w:w="902" w:type="pct"/>
            <w:vMerge w:val="continue"/>
            <w:noWrap w:val="0"/>
            <w:vAlign w:val="center"/>
          </w:tcPr>
          <w:p>
            <w:pPr>
              <w:widowControl w:val="0"/>
              <w:spacing w:line="240" w:lineRule="auto"/>
              <w:jc w:val="center"/>
              <w:rPr>
                <w:rFonts w:ascii="Times New Roman" w:hAnsi="Times New Roman"/>
                <w:color w:val="auto"/>
                <w:sz w:val="21"/>
                <w:szCs w:val="21"/>
              </w:rPr>
            </w:pPr>
          </w:p>
        </w:tc>
        <w:tc>
          <w:tcPr>
            <w:tcW w:w="1766" w:type="pct"/>
            <w:noWrap w:val="0"/>
            <w:vAlign w:val="center"/>
          </w:tcPr>
          <w:p>
            <w:pPr>
              <w:widowControl w:val="0"/>
              <w:spacing w:line="240" w:lineRule="auto"/>
              <w:jc w:val="center"/>
              <w:rPr>
                <w:rFonts w:ascii="Times New Roman" w:hAnsi="Times New Roman"/>
                <w:color w:val="auto"/>
                <w:sz w:val="21"/>
                <w:szCs w:val="21"/>
              </w:rPr>
            </w:pPr>
            <w:r>
              <w:rPr>
                <w:rFonts w:hint="eastAsia"/>
                <w:sz w:val="21"/>
                <w:szCs w:val="21"/>
              </w:rPr>
              <w:t>颗粒物、非甲烷总烃、二甲苯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52" w:type="pct"/>
            <w:noWrap w:val="0"/>
            <w:vAlign w:val="center"/>
          </w:tcPr>
          <w:p>
            <w:pPr>
              <w:widowControl w:val="0"/>
              <w:spacing w:line="240" w:lineRule="auto"/>
              <w:jc w:val="center"/>
              <w:rPr>
                <w:rFonts w:hint="default" w:ascii="Times New Roman" w:hAnsi="Times New Roman"/>
                <w:color w:val="auto"/>
                <w:sz w:val="21"/>
                <w:szCs w:val="21"/>
              </w:rPr>
            </w:pPr>
            <w:r>
              <w:rPr>
                <w:rFonts w:hint="default" w:ascii="Times New Roman" w:hAnsi="Times New Roman"/>
                <w:color w:val="auto"/>
                <w:sz w:val="21"/>
                <w:szCs w:val="21"/>
              </w:rPr>
              <w:t>噪声</w:t>
            </w:r>
          </w:p>
        </w:tc>
        <w:tc>
          <w:tcPr>
            <w:tcW w:w="1578" w:type="pct"/>
            <w:noWrap w:val="0"/>
            <w:vAlign w:val="center"/>
          </w:tcPr>
          <w:p>
            <w:pPr>
              <w:snapToGrid w:val="0"/>
              <w:spacing w:line="240" w:lineRule="auto"/>
              <w:jc w:val="center"/>
              <w:rPr>
                <w:rFonts w:hint="default" w:eastAsia="宋体"/>
                <w:sz w:val="21"/>
                <w:szCs w:val="21"/>
                <w:lang w:val="en-US" w:eastAsia="zh-CN"/>
              </w:rPr>
            </w:pPr>
            <w:r>
              <w:rPr>
                <w:rFonts w:hint="eastAsia" w:eastAsia="宋体"/>
                <w:sz w:val="21"/>
                <w:szCs w:val="21"/>
                <w:lang w:val="en-US" w:eastAsia="zh-CN"/>
              </w:rPr>
              <w:t>厂界外北侧</w:t>
            </w:r>
            <w:r>
              <w:rPr>
                <w:rFonts w:hint="default" w:eastAsia="宋体"/>
                <w:sz w:val="21"/>
                <w:szCs w:val="21"/>
                <w:lang w:val="en-US" w:eastAsia="zh-CN"/>
              </w:rPr>
              <w:t>1m处（C1）、</w:t>
            </w:r>
          </w:p>
          <w:p>
            <w:pPr>
              <w:snapToGrid w:val="0"/>
              <w:spacing w:line="240" w:lineRule="auto"/>
              <w:jc w:val="center"/>
              <w:rPr>
                <w:rFonts w:hint="eastAsia" w:eastAsia="宋体"/>
                <w:sz w:val="21"/>
                <w:szCs w:val="21"/>
                <w:lang w:val="en-US" w:eastAsia="zh-CN"/>
              </w:rPr>
            </w:pPr>
            <w:r>
              <w:rPr>
                <w:rFonts w:hint="eastAsia" w:eastAsia="宋体"/>
                <w:sz w:val="21"/>
                <w:szCs w:val="21"/>
                <w:lang w:val="en-US" w:eastAsia="zh-CN"/>
              </w:rPr>
              <w:t>厂界外西侧</w:t>
            </w:r>
            <w:r>
              <w:rPr>
                <w:rFonts w:hint="default" w:eastAsia="宋体"/>
                <w:sz w:val="21"/>
                <w:szCs w:val="21"/>
                <w:lang w:val="en-US" w:eastAsia="zh-CN"/>
              </w:rPr>
              <w:t>1m处（C2）</w:t>
            </w:r>
            <w:r>
              <w:rPr>
                <w:rFonts w:hint="eastAsia" w:eastAsia="宋体"/>
                <w:sz w:val="21"/>
                <w:szCs w:val="21"/>
                <w:lang w:val="en-US" w:eastAsia="zh-CN"/>
              </w:rPr>
              <w:t>、</w:t>
            </w:r>
          </w:p>
          <w:p>
            <w:pPr>
              <w:snapToGrid w:val="0"/>
              <w:spacing w:line="240" w:lineRule="auto"/>
              <w:jc w:val="center"/>
              <w:rPr>
                <w:rFonts w:hint="eastAsia" w:eastAsia="宋体"/>
                <w:sz w:val="21"/>
                <w:szCs w:val="21"/>
                <w:lang w:val="en-US" w:eastAsia="zh-CN"/>
              </w:rPr>
            </w:pPr>
            <w:r>
              <w:rPr>
                <w:rFonts w:hint="eastAsia" w:eastAsia="宋体"/>
                <w:sz w:val="21"/>
                <w:szCs w:val="21"/>
                <w:lang w:val="en-US" w:eastAsia="zh-CN"/>
              </w:rPr>
              <w:t>厂界外东侧1m处（C3）、</w:t>
            </w:r>
          </w:p>
          <w:p>
            <w:pPr>
              <w:snapToGrid w:val="0"/>
              <w:spacing w:line="240" w:lineRule="auto"/>
              <w:jc w:val="center"/>
              <w:rPr>
                <w:rFonts w:hint="eastAsia" w:eastAsia="宋体"/>
                <w:sz w:val="21"/>
                <w:szCs w:val="21"/>
                <w:lang w:val="en-US" w:eastAsia="zh-CN"/>
              </w:rPr>
            </w:pPr>
            <w:r>
              <w:rPr>
                <w:rFonts w:hint="eastAsia" w:eastAsia="宋体"/>
                <w:sz w:val="21"/>
                <w:szCs w:val="21"/>
                <w:lang w:val="en-US" w:eastAsia="zh-CN"/>
              </w:rPr>
              <w:t>厂界外南侧1m处（C4）</w:t>
            </w:r>
          </w:p>
        </w:tc>
        <w:tc>
          <w:tcPr>
            <w:tcW w:w="902" w:type="pct"/>
            <w:noWrap w:val="0"/>
            <w:vAlign w:val="center"/>
          </w:tcPr>
          <w:p>
            <w:pPr>
              <w:widowControl w:val="0"/>
              <w:spacing w:line="240" w:lineRule="auto"/>
              <w:jc w:val="center"/>
              <w:rPr>
                <w:rFonts w:hint="default" w:ascii="Times New Roman" w:hAnsi="Times New Roman"/>
                <w:color w:val="auto"/>
                <w:sz w:val="21"/>
                <w:szCs w:val="21"/>
              </w:rPr>
            </w:pPr>
            <w:r>
              <w:rPr>
                <w:rFonts w:hint="default" w:ascii="Times New Roman" w:hAnsi="Times New Roman"/>
                <w:color w:val="auto"/>
                <w:sz w:val="21"/>
                <w:szCs w:val="21"/>
              </w:rPr>
              <w:t>昼</w:t>
            </w:r>
            <w:r>
              <w:rPr>
                <w:rFonts w:hint="eastAsia" w:ascii="Times New Roman" w:hAnsi="Times New Roman"/>
                <w:color w:val="auto"/>
                <w:sz w:val="21"/>
                <w:szCs w:val="21"/>
                <w:lang w:eastAsia="zh-CN"/>
              </w:rPr>
              <w:t>夜</w:t>
            </w:r>
            <w:r>
              <w:rPr>
                <w:rFonts w:hint="default" w:ascii="Times New Roman" w:hAnsi="Times New Roman"/>
                <w:color w:val="auto"/>
                <w:sz w:val="21"/>
                <w:szCs w:val="21"/>
                <w:lang w:val="en-US" w:eastAsia="zh-CN"/>
              </w:rPr>
              <w:t>1</w:t>
            </w:r>
            <w:r>
              <w:rPr>
                <w:rFonts w:hint="default" w:ascii="Times New Roman" w:hAnsi="Times New Roman"/>
                <w:color w:val="auto"/>
                <w:sz w:val="21"/>
                <w:szCs w:val="21"/>
              </w:rPr>
              <w:t>次/天，</w:t>
            </w:r>
          </w:p>
          <w:p>
            <w:pPr>
              <w:widowControl w:val="0"/>
              <w:spacing w:line="240" w:lineRule="auto"/>
              <w:jc w:val="center"/>
              <w:rPr>
                <w:rFonts w:hint="default" w:ascii="Times New Roman" w:hAnsi="Times New Roman"/>
                <w:color w:val="auto"/>
                <w:sz w:val="21"/>
                <w:szCs w:val="21"/>
              </w:rPr>
            </w:pPr>
            <w:r>
              <w:rPr>
                <w:rFonts w:hint="default" w:ascii="Times New Roman" w:hAnsi="Times New Roman"/>
                <w:color w:val="auto"/>
                <w:sz w:val="21"/>
                <w:szCs w:val="21"/>
                <w:lang w:eastAsia="zh-CN"/>
              </w:rPr>
              <w:t>监测2天</w:t>
            </w:r>
          </w:p>
        </w:tc>
        <w:tc>
          <w:tcPr>
            <w:tcW w:w="1766" w:type="pct"/>
            <w:noWrap w:val="0"/>
            <w:vAlign w:val="center"/>
          </w:tcPr>
          <w:p>
            <w:pPr>
              <w:widowControl w:val="0"/>
              <w:spacing w:line="240" w:lineRule="auto"/>
              <w:jc w:val="center"/>
              <w:rPr>
                <w:rFonts w:hint="default" w:ascii="Times New Roman" w:hAnsi="Times New Roman"/>
                <w:color w:val="auto"/>
                <w:sz w:val="21"/>
                <w:szCs w:val="21"/>
                <w:lang w:eastAsia="zh-CN"/>
              </w:rPr>
            </w:pPr>
            <w:r>
              <w:rPr>
                <w:rFonts w:hint="default" w:ascii="Times New Roman" w:hAnsi="Times New Roman"/>
                <w:color w:val="auto"/>
                <w:sz w:val="21"/>
                <w:szCs w:val="21"/>
              </w:rPr>
              <w:t>厂界噪声</w:t>
            </w:r>
          </w:p>
        </w:tc>
      </w:tr>
    </w:tbl>
    <w:p>
      <w:pPr>
        <w:pStyle w:val="2"/>
      </w:pPr>
    </w:p>
    <w:p>
      <w:pPr>
        <w:pStyle w:val="2"/>
        <w:rPr>
          <w:rFonts w:hint="eastAsia" w:eastAsia="宋体"/>
          <w:lang w:eastAsia="zh-CN"/>
        </w:rPr>
      </w:pPr>
      <w:r>
        <w:rPr>
          <w:rFonts w:hint="eastAsia" w:eastAsia="宋体"/>
          <w:lang w:eastAsia="zh-CN"/>
        </w:rPr>
        <w:drawing>
          <wp:inline distT="0" distB="0" distL="114300" distR="114300">
            <wp:extent cx="5271770" cy="3810635"/>
            <wp:effectExtent l="0" t="0" r="5080" b="18415"/>
            <wp:docPr id="3" name="图片 3" descr="1653874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3874996(1)"/>
                    <pic:cNvPicPr>
                      <a:picLocks noChangeAspect="1"/>
                    </pic:cNvPicPr>
                  </pic:nvPicPr>
                  <pic:blipFill>
                    <a:blip r:embed="rId29"/>
                    <a:stretch>
                      <a:fillRect/>
                    </a:stretch>
                  </pic:blipFill>
                  <pic:spPr>
                    <a:xfrm>
                      <a:off x="0" y="0"/>
                      <a:ext cx="5271770" cy="3810635"/>
                    </a:xfrm>
                    <a:prstGeom prst="rect">
                      <a:avLst/>
                    </a:prstGeom>
                  </pic:spPr>
                </pic:pic>
              </a:graphicData>
            </a:graphic>
          </wp:inline>
        </w:drawing>
      </w:r>
    </w:p>
    <w:p>
      <w:pPr>
        <w:pStyle w:val="2"/>
      </w:pPr>
    </w:p>
    <w:p>
      <w:pPr>
        <w:jc w:val="center"/>
        <w:rPr>
          <w:rFonts w:hint="default" w:eastAsia="宋体"/>
          <w:b/>
          <w:bCs/>
          <w:sz w:val="21"/>
          <w:szCs w:val="21"/>
          <w:lang w:val="en-US" w:eastAsia="zh-CN"/>
        </w:rPr>
        <w:sectPr>
          <w:pgSz w:w="11906" w:h="16838"/>
          <w:pgMar w:top="1440" w:right="1800" w:bottom="1440" w:left="1800" w:header="1077" w:footer="992" w:gutter="0"/>
          <w:cols w:space="720" w:num="1"/>
          <w:docGrid w:type="lines" w:linePitch="312" w:charSpace="0"/>
        </w:sectPr>
      </w:pPr>
      <w:bookmarkStart w:id="88" w:name="_Toc497833622"/>
      <w:r>
        <w:rPr>
          <w:rFonts w:hint="eastAsia"/>
          <w:b/>
          <w:bCs/>
          <w:sz w:val="21"/>
          <w:szCs w:val="21"/>
          <w:lang w:eastAsia="zh-CN"/>
        </w:rPr>
        <w:t>图</w:t>
      </w:r>
      <w:r>
        <w:rPr>
          <w:rFonts w:hint="eastAsia"/>
          <w:b/>
          <w:bCs/>
          <w:sz w:val="21"/>
          <w:szCs w:val="21"/>
          <w:lang w:val="en-US" w:eastAsia="zh-CN"/>
        </w:rPr>
        <w:t xml:space="preserve">7.1 </w:t>
      </w:r>
      <w:r>
        <w:rPr>
          <w:rFonts w:cs="Times New Roman"/>
          <w:b/>
          <w:bCs/>
          <w:sz w:val="21"/>
          <w:szCs w:val="21"/>
        </w:rPr>
        <w:t>监测布点示意图</w:t>
      </w:r>
    </w:p>
    <w:p>
      <w:pPr>
        <w:pStyle w:val="3"/>
      </w:pPr>
      <w:bookmarkStart w:id="89" w:name="_Toc16263"/>
      <w:r>
        <w:t>8 质量保证及质量控制</w:t>
      </w:r>
      <w:bookmarkEnd w:id="88"/>
      <w:bookmarkEnd w:id="89"/>
    </w:p>
    <w:p>
      <w:pPr>
        <w:pStyle w:val="4"/>
      </w:pPr>
      <w:bookmarkStart w:id="90" w:name="_Toc497833623"/>
      <w:bookmarkStart w:id="91" w:name="_Toc9173"/>
      <w:bookmarkStart w:id="92" w:name="bookmark2"/>
      <w:r>
        <w:t>8.1</w:t>
      </w:r>
      <w:bookmarkEnd w:id="90"/>
      <w:r>
        <w:rPr>
          <w:rFonts w:hint="eastAsia"/>
        </w:rPr>
        <w:t>监测分析方法与监测依据</w:t>
      </w:r>
      <w:bookmarkEnd w:id="91"/>
    </w:p>
    <w:p>
      <w:r>
        <w:t>项目</w:t>
      </w:r>
      <w:r>
        <w:rPr>
          <w:rFonts w:hint="eastAsia"/>
          <w:lang w:eastAsia="zh-CN"/>
        </w:rPr>
        <w:t>监测所使用</w:t>
      </w:r>
      <w:r>
        <w:rPr>
          <w:rFonts w:hint="eastAsia"/>
          <w:lang w:val="en-US" w:eastAsia="zh-CN"/>
        </w:rPr>
        <w:t>检测方法</w:t>
      </w:r>
      <w:r>
        <w:t>详见表8.</w:t>
      </w:r>
      <w:r>
        <w:rPr>
          <w:rFonts w:hint="eastAsia"/>
          <w:lang w:val="en-US" w:eastAsia="zh-CN"/>
        </w:rPr>
        <w:t>1</w:t>
      </w:r>
      <w:r>
        <w:t>。</w:t>
      </w:r>
    </w:p>
    <w:p>
      <w:pPr>
        <w:spacing w:line="360" w:lineRule="auto"/>
        <w:jc w:val="center"/>
        <w:rPr>
          <w:b/>
          <w:bCs/>
          <w:sz w:val="21"/>
          <w:szCs w:val="21"/>
        </w:rPr>
      </w:pPr>
      <w:r>
        <w:rPr>
          <w:b/>
          <w:bCs/>
          <w:sz w:val="21"/>
          <w:szCs w:val="21"/>
        </w:rPr>
        <w:t xml:space="preserve">表8-1  </w:t>
      </w:r>
      <w:r>
        <w:rPr>
          <w:rFonts w:hint="eastAsia"/>
          <w:b/>
          <w:bCs/>
          <w:sz w:val="21"/>
          <w:szCs w:val="21"/>
          <w:lang w:val="en-US" w:eastAsia="zh-CN"/>
        </w:rPr>
        <w:t>检测方法及采样仪器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4143"/>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spacing w:line="240" w:lineRule="auto"/>
              <w:jc w:val="center"/>
              <w:rPr>
                <w:rFonts w:hint="default" w:eastAsia="宋体"/>
                <w:b/>
                <w:bCs/>
                <w:sz w:val="21"/>
                <w:szCs w:val="21"/>
                <w:lang w:val="en-US" w:eastAsia="zh-CN"/>
              </w:rPr>
            </w:pPr>
            <w:r>
              <w:rPr>
                <w:rFonts w:hint="default" w:eastAsia="宋体"/>
                <w:b/>
                <w:bCs/>
                <w:sz w:val="21"/>
                <w:szCs w:val="21"/>
                <w:lang w:val="en-US" w:eastAsia="zh-CN"/>
              </w:rPr>
              <w:t>检测项目</w:t>
            </w:r>
          </w:p>
        </w:tc>
        <w:tc>
          <w:tcPr>
            <w:tcW w:w="2431" w:type="pct"/>
            <w:noWrap w:val="0"/>
            <w:vAlign w:val="center"/>
          </w:tcPr>
          <w:p>
            <w:pPr>
              <w:spacing w:line="240" w:lineRule="auto"/>
              <w:jc w:val="center"/>
              <w:rPr>
                <w:rFonts w:hint="default" w:eastAsia="宋体"/>
                <w:b/>
                <w:bCs/>
                <w:sz w:val="21"/>
                <w:szCs w:val="21"/>
                <w:lang w:val="en-US" w:eastAsia="zh-CN"/>
              </w:rPr>
            </w:pPr>
            <w:r>
              <w:rPr>
                <w:rFonts w:hint="default" w:eastAsia="宋体"/>
                <w:b/>
                <w:bCs/>
                <w:sz w:val="21"/>
                <w:szCs w:val="21"/>
                <w:lang w:val="en-US" w:eastAsia="zh-CN"/>
              </w:rPr>
              <w:t>检测方法</w:t>
            </w:r>
          </w:p>
        </w:tc>
        <w:tc>
          <w:tcPr>
            <w:tcW w:w="1580" w:type="pct"/>
            <w:noWrap w:val="0"/>
            <w:vAlign w:val="center"/>
          </w:tcPr>
          <w:p>
            <w:pPr>
              <w:spacing w:line="240" w:lineRule="auto"/>
              <w:jc w:val="center"/>
              <w:rPr>
                <w:rFonts w:hint="default" w:eastAsia="宋体"/>
                <w:b/>
                <w:bCs/>
                <w:sz w:val="21"/>
                <w:szCs w:val="21"/>
                <w:lang w:val="en-US" w:eastAsia="zh-CN"/>
              </w:rPr>
            </w:pPr>
            <w:r>
              <w:rPr>
                <w:rFonts w:hint="default" w:eastAsia="宋体"/>
                <w:b/>
                <w:bCs/>
                <w:sz w:val="21"/>
                <w:szCs w:val="21"/>
                <w:lang w:val="en-US" w:eastAsia="zh-CN"/>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vMerge w:val="restar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颗粒物</w:t>
            </w:r>
          </w:p>
        </w:tc>
        <w:tc>
          <w:tcPr>
            <w:tcW w:w="2431"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 xml:space="preserve">固定污染源废气 低浓度颗粒物的测定 </w:t>
            </w:r>
          </w:p>
          <w:p>
            <w:pPr>
              <w:spacing w:line="240" w:lineRule="auto"/>
              <w:jc w:val="center"/>
              <w:rPr>
                <w:rFonts w:hint="default" w:eastAsia="宋体"/>
                <w:sz w:val="21"/>
                <w:szCs w:val="21"/>
                <w:lang w:val="en-US" w:eastAsia="zh-CN"/>
              </w:rPr>
            </w:pPr>
            <w:r>
              <w:rPr>
                <w:rFonts w:hint="default" w:eastAsia="宋体"/>
                <w:sz w:val="21"/>
                <w:szCs w:val="21"/>
                <w:lang w:val="en-US" w:eastAsia="zh-CN"/>
              </w:rPr>
              <w:t>重量法</w:t>
            </w:r>
          </w:p>
        </w:tc>
        <w:tc>
          <w:tcPr>
            <w:tcW w:w="1580"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HJ 836-2017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vMerge w:val="continue"/>
            <w:noWrap w:val="0"/>
            <w:vAlign w:val="center"/>
          </w:tcPr>
          <w:p>
            <w:pPr>
              <w:spacing w:line="240" w:lineRule="auto"/>
              <w:jc w:val="center"/>
              <w:rPr>
                <w:rFonts w:hint="default" w:eastAsia="宋体"/>
                <w:sz w:val="21"/>
                <w:szCs w:val="21"/>
                <w:lang w:val="en-US" w:eastAsia="zh-CN"/>
              </w:rPr>
            </w:pPr>
          </w:p>
        </w:tc>
        <w:tc>
          <w:tcPr>
            <w:tcW w:w="2431"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固定污染源排气中颗粒物的测定与气态污染物的采样方法</w:t>
            </w:r>
          </w:p>
        </w:tc>
        <w:tc>
          <w:tcPr>
            <w:tcW w:w="1580"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GB/T 16157-1996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vMerge w:val="restar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非甲烷总烃</w:t>
            </w:r>
          </w:p>
        </w:tc>
        <w:tc>
          <w:tcPr>
            <w:tcW w:w="2431"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固定污染源废气 总烃、甲烷和非甲烷总烃的测定 气相色谱法</w:t>
            </w:r>
          </w:p>
        </w:tc>
        <w:tc>
          <w:tcPr>
            <w:tcW w:w="1580"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vMerge w:val="continue"/>
            <w:noWrap w:val="0"/>
            <w:vAlign w:val="center"/>
          </w:tcPr>
          <w:p>
            <w:pPr>
              <w:spacing w:line="240" w:lineRule="auto"/>
              <w:jc w:val="center"/>
              <w:rPr>
                <w:rFonts w:hint="eastAsia" w:eastAsia="宋体"/>
                <w:sz w:val="21"/>
                <w:szCs w:val="21"/>
                <w:lang w:val="en-US" w:eastAsia="zh-CN"/>
              </w:rPr>
            </w:pPr>
          </w:p>
        </w:tc>
        <w:tc>
          <w:tcPr>
            <w:tcW w:w="2431"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 xml:space="preserve">环境空气 总烃、甲烷和非甲烷总烃的测定 </w:t>
            </w:r>
          </w:p>
          <w:p>
            <w:pPr>
              <w:spacing w:line="240" w:lineRule="auto"/>
              <w:jc w:val="center"/>
              <w:rPr>
                <w:rFonts w:hint="eastAsia" w:eastAsia="宋体"/>
                <w:sz w:val="21"/>
                <w:szCs w:val="21"/>
                <w:lang w:val="en-US" w:eastAsia="zh-CN"/>
              </w:rPr>
            </w:pPr>
            <w:r>
              <w:rPr>
                <w:rFonts w:hint="default" w:eastAsia="宋体"/>
                <w:sz w:val="21"/>
                <w:szCs w:val="21"/>
                <w:lang w:val="en-US" w:eastAsia="zh-CN"/>
              </w:rPr>
              <w:t>直接进样-气相色谱法</w:t>
            </w:r>
          </w:p>
        </w:tc>
        <w:tc>
          <w:tcPr>
            <w:tcW w:w="1580"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HJ 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vMerge w:val="restar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二甲苯</w:t>
            </w:r>
          </w:p>
        </w:tc>
        <w:tc>
          <w:tcPr>
            <w:tcW w:w="2431"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活性炭吸附二硫化碳解吸气相色谱法</w:t>
            </w:r>
          </w:p>
        </w:tc>
        <w:tc>
          <w:tcPr>
            <w:tcW w:w="1580"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《空气和废气监测分析方法》（第四版）（6.2.1.1）国家环境保护总局（2003年）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vMerge w:val="continue"/>
            <w:noWrap w:val="0"/>
            <w:vAlign w:val="center"/>
          </w:tcPr>
          <w:p>
            <w:pPr>
              <w:spacing w:line="240" w:lineRule="auto"/>
              <w:jc w:val="center"/>
              <w:rPr>
                <w:rFonts w:hint="eastAsia" w:eastAsia="宋体"/>
                <w:sz w:val="21"/>
                <w:szCs w:val="21"/>
                <w:lang w:val="en-US" w:eastAsia="zh-CN"/>
              </w:rPr>
            </w:pPr>
          </w:p>
        </w:tc>
        <w:tc>
          <w:tcPr>
            <w:tcW w:w="2431"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 xml:space="preserve">环境空气 苯系物的测定 </w:t>
            </w:r>
          </w:p>
          <w:p>
            <w:pPr>
              <w:spacing w:line="240" w:lineRule="auto"/>
              <w:jc w:val="center"/>
              <w:rPr>
                <w:rFonts w:hint="eastAsia" w:eastAsia="宋体"/>
                <w:sz w:val="21"/>
                <w:szCs w:val="21"/>
                <w:lang w:val="en-US" w:eastAsia="zh-CN"/>
              </w:rPr>
            </w:pPr>
            <w:r>
              <w:rPr>
                <w:rFonts w:hint="eastAsia" w:eastAsia="宋体"/>
                <w:sz w:val="21"/>
                <w:szCs w:val="21"/>
                <w:lang w:val="en-US" w:eastAsia="zh-CN"/>
              </w:rPr>
              <w:t>活性炭吸附/二硫化碳解吸-气相色谱法</w:t>
            </w:r>
          </w:p>
        </w:tc>
        <w:tc>
          <w:tcPr>
            <w:tcW w:w="1580"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HJ 584-2010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总悬浮颗粒物</w:t>
            </w:r>
          </w:p>
        </w:tc>
        <w:tc>
          <w:tcPr>
            <w:tcW w:w="2431"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环境空气 总悬浮颗粒物的测定 重量法</w:t>
            </w:r>
          </w:p>
        </w:tc>
        <w:tc>
          <w:tcPr>
            <w:tcW w:w="1580"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GB/T 15432-1995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7"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厂界噪声</w:t>
            </w:r>
          </w:p>
        </w:tc>
        <w:tc>
          <w:tcPr>
            <w:tcW w:w="2431"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工业企业厂界环境噪声排放标准</w:t>
            </w:r>
          </w:p>
        </w:tc>
        <w:tc>
          <w:tcPr>
            <w:tcW w:w="1580"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GB 12348-2008</w:t>
            </w:r>
          </w:p>
        </w:tc>
      </w:tr>
    </w:tbl>
    <w:p>
      <w:pPr>
        <w:pStyle w:val="4"/>
      </w:pPr>
      <w:bookmarkStart w:id="93" w:name="_Toc14594"/>
      <w:r>
        <w:t>8.2监测仪器</w:t>
      </w:r>
      <w:bookmarkEnd w:id="93"/>
    </w:p>
    <w:bookmarkEnd w:id="92"/>
    <w:p>
      <w:pPr>
        <w:rPr>
          <w:rFonts w:hint="eastAsia" w:eastAsia="宋体"/>
          <w:lang w:eastAsia="zh-CN"/>
        </w:rPr>
      </w:pPr>
      <w:r>
        <w:t>项目</w:t>
      </w:r>
      <w:r>
        <w:rPr>
          <w:rFonts w:hint="eastAsia"/>
          <w:lang w:eastAsia="zh-CN"/>
        </w:rPr>
        <w:t>分析</w:t>
      </w:r>
      <w:r>
        <w:t>所使用的</w:t>
      </w:r>
      <w:r>
        <w:rPr>
          <w:rFonts w:hint="eastAsia"/>
          <w:lang w:val="en-US" w:eastAsia="zh-CN"/>
        </w:rPr>
        <w:t>检测方法及检测仪器</w:t>
      </w:r>
      <w:r>
        <w:t>详见表8</w:t>
      </w:r>
      <w:r>
        <w:rPr>
          <w:rFonts w:hint="eastAsia"/>
        </w:rPr>
        <w:t>-2</w:t>
      </w:r>
      <w:r>
        <w:rPr>
          <w:rFonts w:hint="eastAsia"/>
          <w:lang w:eastAsia="zh-CN"/>
        </w:rPr>
        <w:t>。</w:t>
      </w:r>
    </w:p>
    <w:p>
      <w:pPr>
        <w:spacing w:line="240" w:lineRule="auto"/>
        <w:jc w:val="center"/>
        <w:rPr>
          <w:b/>
          <w:bCs/>
          <w:sz w:val="21"/>
          <w:szCs w:val="21"/>
        </w:rPr>
      </w:pPr>
      <w:r>
        <w:rPr>
          <w:b/>
          <w:bCs/>
          <w:sz w:val="21"/>
          <w:szCs w:val="21"/>
        </w:rPr>
        <w:t>表8</w:t>
      </w:r>
      <w:r>
        <w:rPr>
          <w:rFonts w:hint="eastAsia"/>
          <w:b/>
          <w:bCs/>
          <w:sz w:val="21"/>
          <w:szCs w:val="21"/>
        </w:rPr>
        <w:t>-2</w:t>
      </w:r>
      <w:r>
        <w:rPr>
          <w:b/>
          <w:bCs/>
          <w:sz w:val="21"/>
          <w:szCs w:val="21"/>
        </w:rPr>
        <w:t xml:space="preserve">  </w:t>
      </w:r>
      <w:r>
        <w:rPr>
          <w:rFonts w:hint="eastAsia"/>
          <w:b/>
          <w:bCs/>
          <w:sz w:val="21"/>
          <w:szCs w:val="21"/>
          <w:lang w:val="en-US" w:eastAsia="zh-CN"/>
        </w:rPr>
        <w:t>检测方法及检测仪器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3722"/>
        <w:gridCol w:w="1666"/>
        <w:gridCol w:w="1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3" w:type="pct"/>
            <w:noWrap w:val="0"/>
            <w:vAlign w:val="center"/>
          </w:tcPr>
          <w:p>
            <w:pPr>
              <w:spacing w:line="240" w:lineRule="auto"/>
              <w:jc w:val="center"/>
              <w:rPr>
                <w:rFonts w:hint="default" w:eastAsia="宋体"/>
                <w:b/>
                <w:bCs/>
                <w:sz w:val="21"/>
                <w:szCs w:val="21"/>
                <w:lang w:val="en-US" w:eastAsia="zh-CN"/>
              </w:rPr>
            </w:pPr>
            <w:r>
              <w:rPr>
                <w:rFonts w:hint="default" w:eastAsia="宋体"/>
                <w:b/>
                <w:bCs/>
                <w:sz w:val="21"/>
                <w:szCs w:val="21"/>
                <w:lang w:val="en-US" w:eastAsia="zh-CN"/>
              </w:rPr>
              <w:t>检测项目</w:t>
            </w:r>
          </w:p>
        </w:tc>
        <w:tc>
          <w:tcPr>
            <w:tcW w:w="2183" w:type="pct"/>
            <w:noWrap w:val="0"/>
            <w:vAlign w:val="center"/>
          </w:tcPr>
          <w:p>
            <w:pPr>
              <w:spacing w:line="240" w:lineRule="auto"/>
              <w:jc w:val="center"/>
              <w:rPr>
                <w:rFonts w:hint="default" w:eastAsia="宋体"/>
                <w:b/>
                <w:bCs/>
                <w:sz w:val="21"/>
                <w:szCs w:val="21"/>
                <w:lang w:val="en-US" w:eastAsia="zh-CN"/>
              </w:rPr>
            </w:pPr>
            <w:r>
              <w:rPr>
                <w:rFonts w:hint="default" w:eastAsia="宋体"/>
                <w:b/>
                <w:bCs/>
                <w:sz w:val="21"/>
                <w:szCs w:val="21"/>
                <w:lang w:val="en-US" w:eastAsia="zh-CN"/>
              </w:rPr>
              <w:t>仪器名称及型号</w:t>
            </w:r>
          </w:p>
        </w:tc>
        <w:tc>
          <w:tcPr>
            <w:tcW w:w="977" w:type="pct"/>
            <w:noWrap w:val="0"/>
            <w:vAlign w:val="center"/>
          </w:tcPr>
          <w:p>
            <w:pPr>
              <w:spacing w:line="240" w:lineRule="auto"/>
              <w:jc w:val="center"/>
              <w:rPr>
                <w:rFonts w:hint="default" w:eastAsia="宋体"/>
                <w:b/>
                <w:bCs/>
                <w:sz w:val="21"/>
                <w:szCs w:val="21"/>
                <w:lang w:val="en-US" w:eastAsia="zh-CN"/>
              </w:rPr>
            </w:pPr>
            <w:r>
              <w:rPr>
                <w:rFonts w:hint="default" w:eastAsia="宋体"/>
                <w:b/>
                <w:bCs/>
                <w:sz w:val="21"/>
                <w:szCs w:val="21"/>
                <w:lang w:val="en-US" w:eastAsia="zh-CN"/>
              </w:rPr>
              <w:t>仪器编号</w:t>
            </w:r>
          </w:p>
        </w:tc>
        <w:tc>
          <w:tcPr>
            <w:tcW w:w="1004" w:type="pct"/>
            <w:noWrap w:val="0"/>
            <w:vAlign w:val="center"/>
          </w:tcPr>
          <w:p>
            <w:pPr>
              <w:spacing w:line="240" w:lineRule="auto"/>
              <w:jc w:val="center"/>
              <w:rPr>
                <w:rFonts w:hint="default" w:eastAsia="宋体"/>
                <w:b/>
                <w:bCs/>
                <w:sz w:val="21"/>
                <w:szCs w:val="21"/>
                <w:lang w:val="en-US" w:eastAsia="zh-CN"/>
              </w:rPr>
            </w:pPr>
            <w:r>
              <w:rPr>
                <w:rFonts w:hint="eastAsia" w:eastAsia="宋体"/>
                <w:b/>
                <w:bCs/>
                <w:sz w:val="21"/>
                <w:szCs w:val="21"/>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restar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颗粒物</w:t>
            </w:r>
          </w:p>
        </w:tc>
        <w:tc>
          <w:tcPr>
            <w:tcW w:w="2183" w:type="pct"/>
            <w:vMerge w:val="restar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智能烟尘烟气分析仪 EM-3088-2.0</w:t>
            </w:r>
          </w:p>
        </w:tc>
        <w:tc>
          <w:tcPr>
            <w:tcW w:w="977" w:type="pc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C09-03</w:t>
            </w:r>
          </w:p>
        </w:tc>
        <w:tc>
          <w:tcPr>
            <w:tcW w:w="1004" w:type="pct"/>
            <w:vMerge w:val="restar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仪器在计量检定有效期内使用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default" w:eastAsia="宋体"/>
                <w:sz w:val="21"/>
                <w:szCs w:val="21"/>
                <w:lang w:val="en-US" w:eastAsia="zh-CN"/>
              </w:rPr>
            </w:pPr>
          </w:p>
        </w:tc>
        <w:tc>
          <w:tcPr>
            <w:tcW w:w="2183" w:type="pct"/>
            <w:vMerge w:val="continue"/>
            <w:noWrap w:val="0"/>
            <w:vAlign w:val="center"/>
          </w:tcPr>
          <w:p>
            <w:pPr>
              <w:spacing w:line="240" w:lineRule="auto"/>
              <w:jc w:val="center"/>
              <w:rPr>
                <w:rFonts w:hint="default" w:eastAsia="宋体"/>
                <w:sz w:val="21"/>
                <w:szCs w:val="21"/>
                <w:lang w:val="en-US" w:eastAsia="zh-CN"/>
              </w:rPr>
            </w:pPr>
          </w:p>
        </w:tc>
        <w:tc>
          <w:tcPr>
            <w:tcW w:w="977" w:type="pc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C09-04</w:t>
            </w:r>
          </w:p>
        </w:tc>
        <w:tc>
          <w:tcPr>
            <w:tcW w:w="1004" w:type="pct"/>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default" w:eastAsia="宋体"/>
                <w:sz w:val="21"/>
                <w:szCs w:val="21"/>
                <w:lang w:val="en-US" w:eastAsia="zh-CN"/>
              </w:rPr>
            </w:pPr>
          </w:p>
        </w:tc>
        <w:tc>
          <w:tcPr>
            <w:tcW w:w="2183"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电热鼓风干燥箱 DHG-9140A</w:t>
            </w:r>
          </w:p>
        </w:tc>
        <w:tc>
          <w:tcPr>
            <w:tcW w:w="977" w:type="pc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B13-07</w:t>
            </w:r>
          </w:p>
        </w:tc>
        <w:tc>
          <w:tcPr>
            <w:tcW w:w="1004" w:type="pct"/>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default" w:eastAsia="宋体"/>
                <w:sz w:val="21"/>
                <w:szCs w:val="21"/>
                <w:lang w:val="en-US" w:eastAsia="zh-CN"/>
              </w:rPr>
            </w:pPr>
          </w:p>
        </w:tc>
        <w:tc>
          <w:tcPr>
            <w:tcW w:w="2183"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电子天平 AUW120D</w:t>
            </w:r>
          </w:p>
        </w:tc>
        <w:tc>
          <w:tcPr>
            <w:tcW w:w="977" w:type="pc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A10-05</w:t>
            </w:r>
          </w:p>
        </w:tc>
        <w:tc>
          <w:tcPr>
            <w:tcW w:w="1004" w:type="pct"/>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restar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非甲烷总烃</w:t>
            </w:r>
          </w:p>
        </w:tc>
        <w:tc>
          <w:tcPr>
            <w:tcW w:w="2183" w:type="pct"/>
            <w:vMerge w:val="restar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智能烟尘烟气分析仪 EM-3088-2.0</w:t>
            </w:r>
          </w:p>
        </w:tc>
        <w:tc>
          <w:tcPr>
            <w:tcW w:w="977"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C09-03</w:t>
            </w:r>
          </w:p>
        </w:tc>
        <w:tc>
          <w:tcPr>
            <w:tcW w:w="1004" w:type="pct"/>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default" w:eastAsia="宋体"/>
                <w:sz w:val="21"/>
                <w:szCs w:val="21"/>
                <w:lang w:val="en-US" w:eastAsia="zh-CN"/>
              </w:rPr>
            </w:pPr>
          </w:p>
        </w:tc>
        <w:tc>
          <w:tcPr>
            <w:tcW w:w="2183" w:type="pct"/>
            <w:vMerge w:val="continue"/>
            <w:noWrap w:val="0"/>
            <w:vAlign w:val="center"/>
          </w:tcPr>
          <w:p>
            <w:pPr>
              <w:spacing w:line="240" w:lineRule="auto"/>
              <w:jc w:val="center"/>
              <w:rPr>
                <w:rFonts w:hint="eastAsia" w:eastAsia="宋体"/>
                <w:sz w:val="21"/>
                <w:szCs w:val="21"/>
                <w:lang w:val="en-US" w:eastAsia="zh-CN"/>
              </w:rPr>
            </w:pPr>
          </w:p>
        </w:tc>
        <w:tc>
          <w:tcPr>
            <w:tcW w:w="977"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C09-04</w:t>
            </w:r>
          </w:p>
        </w:tc>
        <w:tc>
          <w:tcPr>
            <w:tcW w:w="1004" w:type="pct"/>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default" w:eastAsia="宋体"/>
                <w:sz w:val="21"/>
                <w:szCs w:val="21"/>
                <w:lang w:val="en-US" w:eastAsia="zh-CN"/>
              </w:rPr>
            </w:pPr>
          </w:p>
        </w:tc>
        <w:tc>
          <w:tcPr>
            <w:tcW w:w="2183"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气相色谱仪 GC9790plus</w:t>
            </w:r>
          </w:p>
        </w:tc>
        <w:tc>
          <w:tcPr>
            <w:tcW w:w="977"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A01-01</w:t>
            </w:r>
          </w:p>
        </w:tc>
        <w:tc>
          <w:tcPr>
            <w:tcW w:w="1004" w:type="pct"/>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restar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二甲苯</w:t>
            </w:r>
          </w:p>
        </w:tc>
        <w:tc>
          <w:tcPr>
            <w:tcW w:w="2183" w:type="pct"/>
            <w:vMerge w:val="restar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智能烟尘烟气分析仪 EM-3088-2.0</w:t>
            </w:r>
          </w:p>
        </w:tc>
        <w:tc>
          <w:tcPr>
            <w:tcW w:w="977"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C09-0</w:t>
            </w:r>
            <w:r>
              <w:rPr>
                <w:rFonts w:hint="eastAsia" w:eastAsia="宋体"/>
                <w:sz w:val="21"/>
                <w:szCs w:val="21"/>
                <w:lang w:val="en-US" w:eastAsia="zh-CN"/>
              </w:rPr>
              <w:t>3</w:t>
            </w:r>
          </w:p>
        </w:tc>
        <w:tc>
          <w:tcPr>
            <w:tcW w:w="1004" w:type="pct"/>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eastAsia" w:eastAsia="宋体"/>
                <w:sz w:val="21"/>
                <w:szCs w:val="21"/>
                <w:lang w:val="en-US" w:eastAsia="zh-CN"/>
              </w:rPr>
            </w:pPr>
          </w:p>
        </w:tc>
        <w:tc>
          <w:tcPr>
            <w:tcW w:w="2183" w:type="pct"/>
            <w:vMerge w:val="continue"/>
            <w:noWrap w:val="0"/>
            <w:vAlign w:val="center"/>
          </w:tcPr>
          <w:p>
            <w:pPr>
              <w:spacing w:line="240" w:lineRule="auto"/>
              <w:jc w:val="center"/>
              <w:rPr>
                <w:rFonts w:hint="eastAsia" w:eastAsia="宋体"/>
                <w:sz w:val="21"/>
                <w:szCs w:val="21"/>
                <w:lang w:val="en-US" w:eastAsia="zh-CN"/>
              </w:rPr>
            </w:pPr>
          </w:p>
        </w:tc>
        <w:tc>
          <w:tcPr>
            <w:tcW w:w="977"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C09-0</w:t>
            </w:r>
            <w:r>
              <w:rPr>
                <w:rFonts w:hint="eastAsia" w:eastAsia="宋体"/>
                <w:sz w:val="21"/>
                <w:szCs w:val="21"/>
                <w:lang w:val="en-US" w:eastAsia="zh-CN"/>
              </w:rPr>
              <w:t>4</w:t>
            </w:r>
          </w:p>
        </w:tc>
        <w:tc>
          <w:tcPr>
            <w:tcW w:w="1004" w:type="pct"/>
            <w:vMerge w:val="continue"/>
            <w:noWrap w:val="0"/>
            <w:vAlign w:val="center"/>
          </w:tcPr>
          <w:p>
            <w:pPr>
              <w:spacing w:line="240" w:lineRule="auto"/>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eastAsia" w:eastAsia="宋体"/>
                <w:sz w:val="21"/>
                <w:szCs w:val="21"/>
                <w:lang w:val="en-US" w:eastAsia="zh-CN"/>
              </w:rPr>
            </w:pPr>
          </w:p>
        </w:tc>
        <w:tc>
          <w:tcPr>
            <w:tcW w:w="2183" w:type="pct"/>
            <w:vMerge w:val="restar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智能双路烟气采样器 崂应</w:t>
            </w:r>
            <w:r>
              <w:rPr>
                <w:rFonts w:hint="eastAsia" w:eastAsia="宋体"/>
                <w:sz w:val="21"/>
                <w:szCs w:val="21"/>
                <w:lang w:val="en-US" w:eastAsia="zh-CN"/>
              </w:rPr>
              <w:t xml:space="preserve"> </w:t>
            </w:r>
            <w:r>
              <w:rPr>
                <w:rFonts w:hint="default" w:eastAsia="宋体"/>
                <w:sz w:val="21"/>
                <w:szCs w:val="21"/>
                <w:lang w:val="en-US" w:eastAsia="zh-CN"/>
              </w:rPr>
              <w:t>3072</w:t>
            </w:r>
          </w:p>
        </w:tc>
        <w:tc>
          <w:tcPr>
            <w:tcW w:w="977"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C11-01</w:t>
            </w:r>
          </w:p>
        </w:tc>
        <w:tc>
          <w:tcPr>
            <w:tcW w:w="1004" w:type="pct"/>
            <w:vMerge w:val="continue"/>
            <w:noWrap w:val="0"/>
            <w:vAlign w:val="center"/>
          </w:tcPr>
          <w:p>
            <w:pPr>
              <w:spacing w:line="240" w:lineRule="auto"/>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default" w:eastAsia="宋体"/>
                <w:sz w:val="21"/>
                <w:szCs w:val="21"/>
                <w:lang w:val="en-US" w:eastAsia="zh-CN"/>
              </w:rPr>
            </w:pPr>
          </w:p>
        </w:tc>
        <w:tc>
          <w:tcPr>
            <w:tcW w:w="2183" w:type="pct"/>
            <w:vMerge w:val="continue"/>
            <w:noWrap w:val="0"/>
            <w:vAlign w:val="center"/>
          </w:tcPr>
          <w:p>
            <w:pPr>
              <w:spacing w:line="240" w:lineRule="auto"/>
              <w:jc w:val="center"/>
              <w:rPr>
                <w:rFonts w:hint="default" w:eastAsia="宋体"/>
                <w:sz w:val="21"/>
                <w:szCs w:val="21"/>
                <w:lang w:val="en-US" w:eastAsia="zh-CN"/>
              </w:rPr>
            </w:pPr>
          </w:p>
        </w:tc>
        <w:tc>
          <w:tcPr>
            <w:tcW w:w="977" w:type="pc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C11-02</w:t>
            </w:r>
          </w:p>
        </w:tc>
        <w:tc>
          <w:tcPr>
            <w:tcW w:w="1004" w:type="pct"/>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eastAsia" w:eastAsia="宋体"/>
                <w:sz w:val="21"/>
                <w:szCs w:val="21"/>
                <w:lang w:val="en-US" w:eastAsia="zh-CN"/>
              </w:rPr>
            </w:pPr>
          </w:p>
        </w:tc>
        <w:tc>
          <w:tcPr>
            <w:tcW w:w="2183" w:type="pct"/>
            <w:vMerge w:val="restar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智能综合采样器</w:t>
            </w:r>
            <w:r>
              <w:rPr>
                <w:rFonts w:hint="eastAsia" w:eastAsia="宋体"/>
                <w:sz w:val="21"/>
                <w:szCs w:val="21"/>
                <w:lang w:val="en-US" w:eastAsia="zh-CN"/>
              </w:rPr>
              <w:t xml:space="preserve"> </w:t>
            </w:r>
            <w:r>
              <w:rPr>
                <w:rFonts w:hint="default" w:eastAsia="宋体"/>
                <w:sz w:val="21"/>
                <w:szCs w:val="21"/>
                <w:lang w:val="en-US" w:eastAsia="zh-CN"/>
              </w:rPr>
              <w:t>ADS-2062E-2.0</w:t>
            </w:r>
          </w:p>
        </w:tc>
        <w:tc>
          <w:tcPr>
            <w:tcW w:w="977" w:type="pc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C16-24</w:t>
            </w:r>
          </w:p>
        </w:tc>
        <w:tc>
          <w:tcPr>
            <w:tcW w:w="1004" w:type="pct"/>
            <w:vMerge w:val="continue"/>
            <w:noWrap w:val="0"/>
            <w:vAlign w:val="center"/>
          </w:tcPr>
          <w:p>
            <w:pPr>
              <w:spacing w:line="240" w:lineRule="auto"/>
              <w:jc w:val="center"/>
              <w:rPr>
                <w:rFonts w:hint="default"/>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restart"/>
            <w:noWrap w:val="0"/>
            <w:vAlign w:val="center"/>
          </w:tcPr>
          <w:p>
            <w:pPr>
              <w:spacing w:line="240" w:lineRule="auto"/>
              <w:jc w:val="center"/>
              <w:rPr>
                <w:rFonts w:hint="eastAsia" w:eastAsia="宋体"/>
                <w:sz w:val="21"/>
                <w:szCs w:val="21"/>
                <w:lang w:val="en-US" w:eastAsia="zh-CN"/>
              </w:rPr>
            </w:pPr>
          </w:p>
        </w:tc>
        <w:tc>
          <w:tcPr>
            <w:tcW w:w="2183" w:type="pct"/>
            <w:vMerge w:val="continue"/>
            <w:noWrap w:val="0"/>
            <w:vAlign w:val="center"/>
          </w:tcPr>
          <w:p>
            <w:pPr>
              <w:spacing w:line="240" w:lineRule="auto"/>
              <w:jc w:val="center"/>
              <w:rPr>
                <w:rFonts w:hint="default" w:eastAsia="宋体"/>
                <w:sz w:val="21"/>
                <w:szCs w:val="21"/>
                <w:lang w:val="en-US" w:eastAsia="zh-CN"/>
              </w:rPr>
            </w:pPr>
          </w:p>
        </w:tc>
        <w:tc>
          <w:tcPr>
            <w:tcW w:w="977"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C16-25</w:t>
            </w:r>
          </w:p>
        </w:tc>
        <w:tc>
          <w:tcPr>
            <w:tcW w:w="1004" w:type="pct"/>
            <w:vMerge w:val="continue"/>
            <w:noWrap w:val="0"/>
            <w:vAlign w:val="center"/>
          </w:tcPr>
          <w:p>
            <w:pPr>
              <w:spacing w:line="240" w:lineRule="auto"/>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eastAsia" w:eastAsia="宋体"/>
                <w:sz w:val="21"/>
                <w:szCs w:val="21"/>
                <w:lang w:val="en-US" w:eastAsia="zh-CN"/>
              </w:rPr>
            </w:pPr>
          </w:p>
        </w:tc>
        <w:tc>
          <w:tcPr>
            <w:tcW w:w="2183"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 xml:space="preserve">气相色谱仪 </w:t>
            </w:r>
            <w:r>
              <w:rPr>
                <w:rFonts w:hint="eastAsia" w:eastAsia="宋体"/>
                <w:sz w:val="21"/>
                <w:szCs w:val="21"/>
                <w:lang w:val="en-US" w:eastAsia="zh-CN"/>
              </w:rPr>
              <w:t>7890B</w:t>
            </w:r>
          </w:p>
        </w:tc>
        <w:tc>
          <w:tcPr>
            <w:tcW w:w="977" w:type="pc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A01-0</w:t>
            </w:r>
            <w:r>
              <w:rPr>
                <w:rFonts w:hint="eastAsia" w:eastAsia="宋体"/>
                <w:sz w:val="21"/>
                <w:szCs w:val="21"/>
                <w:lang w:val="en-US" w:eastAsia="zh-CN"/>
              </w:rPr>
              <w:t>3</w:t>
            </w:r>
          </w:p>
        </w:tc>
        <w:tc>
          <w:tcPr>
            <w:tcW w:w="1004" w:type="pct"/>
            <w:vMerge w:val="continue"/>
            <w:noWrap w:val="0"/>
            <w:vAlign w:val="center"/>
          </w:tcPr>
          <w:p>
            <w:pPr>
              <w:spacing w:line="240" w:lineRule="auto"/>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restar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总悬浮颗粒物</w:t>
            </w:r>
          </w:p>
        </w:tc>
        <w:tc>
          <w:tcPr>
            <w:tcW w:w="2183" w:type="pct"/>
            <w:vMerge w:val="restar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智能综合采样器</w:t>
            </w:r>
            <w:r>
              <w:rPr>
                <w:rFonts w:hint="eastAsia" w:eastAsia="宋体"/>
                <w:sz w:val="21"/>
                <w:szCs w:val="21"/>
                <w:lang w:val="en-US" w:eastAsia="zh-CN"/>
              </w:rPr>
              <w:t xml:space="preserve"> </w:t>
            </w:r>
            <w:r>
              <w:rPr>
                <w:rFonts w:hint="default" w:eastAsia="宋体"/>
                <w:sz w:val="21"/>
                <w:szCs w:val="21"/>
                <w:lang w:val="en-US" w:eastAsia="zh-CN"/>
              </w:rPr>
              <w:t>ADS-2062E-2.0</w:t>
            </w:r>
          </w:p>
        </w:tc>
        <w:tc>
          <w:tcPr>
            <w:tcW w:w="977"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C16-24</w:t>
            </w:r>
          </w:p>
        </w:tc>
        <w:tc>
          <w:tcPr>
            <w:tcW w:w="1004" w:type="pct"/>
            <w:vMerge w:val="continue"/>
            <w:noWrap w:val="0"/>
            <w:vAlign w:val="center"/>
          </w:tcPr>
          <w:p>
            <w:pPr>
              <w:spacing w:line="240" w:lineRule="auto"/>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eastAsia" w:eastAsia="宋体"/>
                <w:sz w:val="21"/>
                <w:szCs w:val="21"/>
                <w:lang w:val="en-US" w:eastAsia="zh-CN"/>
              </w:rPr>
            </w:pPr>
          </w:p>
        </w:tc>
        <w:tc>
          <w:tcPr>
            <w:tcW w:w="2183" w:type="pct"/>
            <w:vMerge w:val="continue"/>
            <w:noWrap w:val="0"/>
            <w:vAlign w:val="center"/>
          </w:tcPr>
          <w:p>
            <w:pPr>
              <w:spacing w:line="240" w:lineRule="auto"/>
              <w:jc w:val="center"/>
              <w:rPr>
                <w:rFonts w:hint="default" w:eastAsia="宋体"/>
                <w:sz w:val="21"/>
                <w:szCs w:val="21"/>
                <w:lang w:val="en-US" w:eastAsia="zh-CN"/>
              </w:rPr>
            </w:pPr>
          </w:p>
        </w:tc>
        <w:tc>
          <w:tcPr>
            <w:tcW w:w="977"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C16-25</w:t>
            </w:r>
          </w:p>
        </w:tc>
        <w:tc>
          <w:tcPr>
            <w:tcW w:w="1004" w:type="pct"/>
            <w:vMerge w:val="continue"/>
            <w:noWrap w:val="0"/>
            <w:vAlign w:val="center"/>
          </w:tcPr>
          <w:p>
            <w:pPr>
              <w:spacing w:line="240" w:lineRule="auto"/>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eastAsia" w:eastAsia="宋体"/>
                <w:sz w:val="21"/>
                <w:szCs w:val="21"/>
                <w:lang w:val="en-US" w:eastAsia="zh-CN"/>
              </w:rPr>
            </w:pPr>
          </w:p>
        </w:tc>
        <w:tc>
          <w:tcPr>
            <w:tcW w:w="2183"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电子天平 AUW120D</w:t>
            </w:r>
          </w:p>
        </w:tc>
        <w:tc>
          <w:tcPr>
            <w:tcW w:w="977"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A10-05</w:t>
            </w:r>
          </w:p>
        </w:tc>
        <w:tc>
          <w:tcPr>
            <w:tcW w:w="1004" w:type="pct"/>
            <w:vMerge w:val="continue"/>
            <w:noWrap w:val="0"/>
            <w:vAlign w:val="center"/>
          </w:tcPr>
          <w:p>
            <w:pPr>
              <w:spacing w:line="240" w:lineRule="auto"/>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restart"/>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厂界噪声</w:t>
            </w:r>
          </w:p>
        </w:tc>
        <w:tc>
          <w:tcPr>
            <w:tcW w:w="2183"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多功能声级计 AWA</w:t>
            </w:r>
            <w:r>
              <w:rPr>
                <w:rFonts w:hint="eastAsia" w:eastAsia="宋体"/>
                <w:sz w:val="21"/>
                <w:szCs w:val="21"/>
                <w:lang w:val="en-US" w:eastAsia="zh-CN"/>
              </w:rPr>
              <w:t>5688</w:t>
            </w:r>
          </w:p>
        </w:tc>
        <w:tc>
          <w:tcPr>
            <w:tcW w:w="977"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C17-09</w:t>
            </w:r>
          </w:p>
        </w:tc>
        <w:tc>
          <w:tcPr>
            <w:tcW w:w="1004" w:type="pct"/>
            <w:vMerge w:val="continue"/>
            <w:noWrap w:val="0"/>
            <w:vAlign w:val="center"/>
          </w:tcPr>
          <w:p>
            <w:pPr>
              <w:spacing w:line="240" w:lineRule="auto"/>
              <w:jc w:val="center"/>
              <w:rPr>
                <w:rFonts w:hint="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3" w:type="pct"/>
            <w:vMerge w:val="continue"/>
            <w:noWrap w:val="0"/>
            <w:vAlign w:val="center"/>
          </w:tcPr>
          <w:p>
            <w:pPr>
              <w:spacing w:line="240" w:lineRule="auto"/>
              <w:jc w:val="center"/>
              <w:rPr>
                <w:rFonts w:hint="eastAsia" w:eastAsia="宋体"/>
                <w:sz w:val="21"/>
                <w:szCs w:val="21"/>
                <w:lang w:val="en-US" w:eastAsia="zh-CN"/>
              </w:rPr>
            </w:pPr>
          </w:p>
        </w:tc>
        <w:tc>
          <w:tcPr>
            <w:tcW w:w="2183" w:type="pct"/>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声校准器 AWA6</w:t>
            </w:r>
            <w:r>
              <w:rPr>
                <w:rFonts w:hint="eastAsia" w:eastAsia="宋体"/>
                <w:sz w:val="21"/>
                <w:szCs w:val="21"/>
                <w:lang w:val="en-US" w:eastAsia="zh-CN"/>
              </w:rPr>
              <w:t>022</w:t>
            </w:r>
            <w:r>
              <w:rPr>
                <w:rFonts w:hint="default" w:eastAsia="宋体"/>
                <w:sz w:val="21"/>
                <w:szCs w:val="21"/>
                <w:lang w:val="en-US" w:eastAsia="zh-CN"/>
              </w:rPr>
              <w:t>A</w:t>
            </w:r>
          </w:p>
        </w:tc>
        <w:tc>
          <w:tcPr>
            <w:tcW w:w="977" w:type="pc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C18-09</w:t>
            </w:r>
          </w:p>
        </w:tc>
        <w:tc>
          <w:tcPr>
            <w:tcW w:w="1004" w:type="pct"/>
            <w:vMerge w:val="continue"/>
            <w:noWrap w:val="0"/>
            <w:vAlign w:val="center"/>
          </w:tcPr>
          <w:p>
            <w:pPr>
              <w:spacing w:line="240" w:lineRule="auto"/>
              <w:jc w:val="center"/>
              <w:rPr>
                <w:rFonts w:hint="eastAsia"/>
                <w:sz w:val="21"/>
                <w:szCs w:val="21"/>
                <w:lang w:val="en-US" w:eastAsia="zh-CN"/>
              </w:rPr>
            </w:pPr>
          </w:p>
        </w:tc>
      </w:tr>
    </w:tbl>
    <w:p>
      <w:pPr>
        <w:pStyle w:val="4"/>
      </w:pPr>
      <w:bookmarkStart w:id="94" w:name="_Toc25563"/>
      <w:bookmarkStart w:id="95" w:name="_Toc10917"/>
      <w:r>
        <w:rPr>
          <w:rFonts w:hint="eastAsia"/>
        </w:rPr>
        <w:t>8.3 质量保证</w:t>
      </w:r>
      <w:bookmarkEnd w:id="94"/>
      <w:bookmarkEnd w:id="95"/>
    </w:p>
    <w:p>
      <w:pPr>
        <w:ind w:firstLine="480" w:firstLineChars="200"/>
      </w:pPr>
      <w:r>
        <w:rPr>
          <w:rFonts w:hint="eastAsia"/>
        </w:rPr>
        <w:t>监测过程中的质量保证措施按国家环境保护总局颁发的《环境监测质量保证管理规定》（暂行）要求进行，实施全过程质量保证。保证了监测过程中生产工况负荷满足验收监测技术规范要求和各监测点位布置的科学性和可比性；监测人员经过考核并持有合格证书；监测数据实行了三级审核制度，经过校对、校核，最后由技术负责人审定。验收监测期间，</w:t>
      </w:r>
      <w:r>
        <w:rPr>
          <w:rFonts w:hint="eastAsia"/>
          <w:lang w:val="zh-CN"/>
        </w:rPr>
        <w:t>重庆市万州区启豪套装门厂</w:t>
      </w:r>
      <w:r>
        <w:rPr>
          <w:rFonts w:hint="eastAsia"/>
        </w:rPr>
        <w:t>正常生产。</w:t>
      </w:r>
      <w:r>
        <w:rPr>
          <w:rFonts w:hint="eastAsia"/>
          <w:lang w:eastAsia="zh-CN"/>
        </w:rPr>
        <w:t>重庆市万州区启豪套装门厂</w:t>
      </w:r>
      <w:r>
        <w:rPr>
          <w:rFonts w:hint="eastAsia"/>
        </w:rPr>
        <w:t>正常生产，设计生产量为</w:t>
      </w:r>
      <w:r>
        <w:rPr>
          <w:rFonts w:hint="eastAsia"/>
          <w:lang w:val="en-US" w:eastAsia="zh-CN"/>
        </w:rPr>
        <w:t>2300套/年</w:t>
      </w:r>
      <w:r>
        <w:rPr>
          <w:rFonts w:hint="eastAsia"/>
        </w:rPr>
        <w:t>，检测期间生产量为</w:t>
      </w:r>
      <w:r>
        <w:rPr>
          <w:rFonts w:hint="eastAsia"/>
          <w:lang w:val="en-US" w:eastAsia="zh-CN"/>
        </w:rPr>
        <w:t>10套/天</w:t>
      </w:r>
      <w:r>
        <w:rPr>
          <w:rFonts w:hint="eastAsia"/>
        </w:rPr>
        <w:t>，检测期间工况负荷为</w:t>
      </w:r>
      <w:r>
        <w:rPr>
          <w:rFonts w:hint="eastAsia"/>
          <w:lang w:val="en-US" w:eastAsia="zh-CN"/>
        </w:rPr>
        <w:t>96</w:t>
      </w:r>
      <w:r>
        <w:rPr>
          <w:rFonts w:hint="eastAsia"/>
        </w:rPr>
        <w:t>%。满足验收要求。</w:t>
      </w:r>
    </w:p>
    <w:p>
      <w:pPr>
        <w:pStyle w:val="4"/>
      </w:pPr>
      <w:bookmarkStart w:id="96" w:name="_Toc1318"/>
      <w:bookmarkStart w:id="97" w:name="_Toc7147"/>
      <w:r>
        <w:rPr>
          <w:rFonts w:hint="eastAsia"/>
        </w:rPr>
        <w:t>8.3.1</w:t>
      </w:r>
      <w:bookmarkStart w:id="98" w:name="_Toc524414941"/>
      <w:bookmarkStart w:id="99" w:name="_Toc524412961"/>
      <w:r>
        <w:rPr>
          <w:rFonts w:hint="eastAsia"/>
          <w:lang w:val="en-US" w:eastAsia="zh-CN"/>
        </w:rPr>
        <w:t>废</w:t>
      </w:r>
      <w:r>
        <w:rPr>
          <w:rFonts w:hint="eastAsia"/>
        </w:rPr>
        <w:t>水</w:t>
      </w:r>
      <w:bookmarkEnd w:id="96"/>
      <w:bookmarkEnd w:id="97"/>
      <w:bookmarkEnd w:id="98"/>
      <w:bookmarkEnd w:id="99"/>
    </w:p>
    <w:p>
      <w:pPr>
        <w:ind w:firstLine="480" w:firstLineChars="200"/>
      </w:pPr>
      <w:r>
        <w:rPr>
          <w:rFonts w:hint="eastAsia"/>
        </w:rPr>
        <w:t>为保证监测数据准确、可靠，在水样的采集、保存、实验室分析和数据计算的全过程按照《环境水质监测质量保证手册（第二版）》的要求进行。按照三个10％的要求，采集10％的平行样，实验室分析过程中做10％的分析平行样。</w:t>
      </w:r>
    </w:p>
    <w:p>
      <w:pPr>
        <w:pStyle w:val="4"/>
      </w:pPr>
      <w:bookmarkStart w:id="100" w:name="_Toc10362"/>
      <w:bookmarkStart w:id="101" w:name="_Toc20436"/>
      <w:bookmarkStart w:id="102" w:name="_Toc524412962"/>
      <w:bookmarkStart w:id="103" w:name="_Toc524414942"/>
      <w:r>
        <w:rPr>
          <w:rFonts w:hint="eastAsia"/>
        </w:rPr>
        <w:t>8.3.2废气</w:t>
      </w:r>
      <w:bookmarkEnd w:id="100"/>
      <w:bookmarkEnd w:id="101"/>
      <w:bookmarkEnd w:id="102"/>
      <w:bookmarkEnd w:id="103"/>
    </w:p>
    <w:p>
      <w:pPr>
        <w:ind w:firstLine="480" w:firstLineChars="200"/>
      </w:pPr>
      <w:r>
        <w:t>技术要求按照《固定源废气监测技术规范HJ/T 397-2007》执行、布点与采样按《空气和废气监测分析方法》(第四版)、固定污染源排气中颗粒物测定与气态污染物采样方法 GB/T 16157-1996执行。废气采样器在进入现场前对采样器流量计、流速计等进行校核。室内计量器具在检定有效期内。被测排放物的浓度在仪器测试量程的有效范围即仪器量程的30％～70％之间；避免被测排放物中共存污染物因子对仪器分析的交叉干扰，监测结果可靠。</w:t>
      </w:r>
    </w:p>
    <w:p>
      <w:pPr>
        <w:pStyle w:val="4"/>
      </w:pPr>
      <w:bookmarkStart w:id="104" w:name="_Toc1226"/>
      <w:bookmarkStart w:id="105" w:name="_Toc2268"/>
      <w:bookmarkStart w:id="106" w:name="_Toc524412963"/>
      <w:bookmarkStart w:id="107" w:name="_Toc524414943"/>
      <w:r>
        <w:rPr>
          <w:rFonts w:hint="eastAsia"/>
        </w:rPr>
        <w:t>8.3.3噪声</w:t>
      </w:r>
      <w:bookmarkEnd w:id="104"/>
      <w:bookmarkEnd w:id="105"/>
      <w:bookmarkEnd w:id="106"/>
      <w:bookmarkEnd w:id="107"/>
    </w:p>
    <w:p>
      <w:pPr>
        <w:ind w:firstLine="480" w:firstLineChars="200"/>
        <w:sectPr>
          <w:pgSz w:w="11906" w:h="16838"/>
          <w:pgMar w:top="1440" w:right="1800" w:bottom="1440" w:left="1800" w:header="1020" w:footer="992" w:gutter="0"/>
          <w:cols w:space="720" w:num="1"/>
          <w:docGrid w:type="lines" w:linePitch="312" w:charSpace="0"/>
        </w:sectPr>
      </w:pPr>
      <w:r>
        <w:rPr>
          <w:rFonts w:hint="eastAsia"/>
        </w:rPr>
        <w:t>噪声监测时严格按照国家标准方法的有关规定进行监测。工况正常，天气符合测量要求。测试前后对声级计进行校准，</w:t>
      </w:r>
      <w:r>
        <w:t>测量前后灵敏度相差均</w:t>
      </w:r>
      <w:r>
        <w:rPr>
          <w:rFonts w:hint="eastAsia"/>
        </w:rPr>
        <w:t>在0.5</w:t>
      </w:r>
      <w:r>
        <w:t>dB</w:t>
      </w:r>
      <w:r>
        <w:rPr>
          <w:rFonts w:hint="eastAsia"/>
        </w:rPr>
        <w:t>范围。</w:t>
      </w:r>
    </w:p>
    <w:p>
      <w:pPr>
        <w:pStyle w:val="3"/>
      </w:pPr>
      <w:bookmarkStart w:id="108" w:name="_Toc8182"/>
      <w:r>
        <w:t>9 验收监测结果</w:t>
      </w:r>
      <w:bookmarkEnd w:id="108"/>
    </w:p>
    <w:p>
      <w:pPr>
        <w:ind w:firstLine="480" w:firstLineChars="200"/>
      </w:pPr>
      <w:r>
        <w:t>本次验收我公司委托</w:t>
      </w:r>
      <w:r>
        <w:rPr>
          <w:rFonts w:hint="eastAsia"/>
          <w:lang w:eastAsia="zh-CN"/>
        </w:rPr>
        <w:t>重庆厦美环保科技有限公司</w:t>
      </w:r>
      <w:r>
        <w:t>对本项目</w:t>
      </w:r>
      <w:r>
        <w:rPr>
          <w:rFonts w:hint="eastAsia"/>
          <w:lang w:eastAsia="zh-CN"/>
        </w:rPr>
        <w:t>有</w:t>
      </w:r>
      <w:r>
        <w:rPr>
          <w:rFonts w:hint="default"/>
        </w:rPr>
        <w:t>组织废气、无组织废气、噪声</w:t>
      </w:r>
      <w:r>
        <w:rPr>
          <w:rFonts w:hint="eastAsia"/>
        </w:rPr>
        <w:t>进行了监测</w:t>
      </w:r>
      <w:r>
        <w:t>。监测报告见附件。具体监测和分析结果如下：</w:t>
      </w:r>
    </w:p>
    <w:p>
      <w:pPr>
        <w:pStyle w:val="4"/>
      </w:pPr>
      <w:bookmarkStart w:id="109" w:name="_Toc497833630"/>
      <w:bookmarkStart w:id="110" w:name="_Toc4760"/>
      <w:r>
        <w:t>9.1生产工况</w:t>
      </w:r>
      <w:bookmarkEnd w:id="109"/>
      <w:bookmarkEnd w:id="110"/>
    </w:p>
    <w:p>
      <w:pPr>
        <w:ind w:firstLine="480" w:firstLineChars="200"/>
        <w:rPr>
          <w:rFonts w:hint="eastAsia"/>
          <w:lang w:val="en-US" w:eastAsia="zh-CN"/>
        </w:rPr>
      </w:pPr>
      <w:r>
        <w:rPr>
          <w:rFonts w:hint="eastAsia"/>
          <w:lang w:val="en-US" w:eastAsia="zh-CN"/>
        </w:rPr>
        <w:t>验收监测期间（2022年5月11日至18日），重庆市万州区启豪套装门厂处理工况和环保设施运行正常，</w:t>
      </w:r>
      <w:r>
        <w:rPr>
          <w:rFonts w:hint="eastAsia"/>
        </w:rPr>
        <w:t>设计生产量为</w:t>
      </w:r>
      <w:r>
        <w:rPr>
          <w:rFonts w:hint="eastAsia"/>
          <w:lang w:val="en-US" w:eastAsia="zh-CN"/>
        </w:rPr>
        <w:t>2300套/年</w:t>
      </w:r>
      <w:r>
        <w:rPr>
          <w:rFonts w:hint="eastAsia"/>
        </w:rPr>
        <w:t>，检测期间生产量为</w:t>
      </w:r>
      <w:r>
        <w:rPr>
          <w:rFonts w:hint="eastAsia"/>
          <w:lang w:val="en-US" w:eastAsia="zh-CN"/>
        </w:rPr>
        <w:t>10套/天</w:t>
      </w:r>
      <w:r>
        <w:rPr>
          <w:rFonts w:hint="eastAsia"/>
        </w:rPr>
        <w:t>，检测期间工况负荷为</w:t>
      </w:r>
      <w:r>
        <w:rPr>
          <w:rFonts w:hint="eastAsia"/>
          <w:lang w:val="en-US" w:eastAsia="zh-CN"/>
        </w:rPr>
        <w:t>96</w:t>
      </w:r>
      <w:r>
        <w:rPr>
          <w:rFonts w:hint="eastAsia"/>
        </w:rPr>
        <w:t>%</w:t>
      </w:r>
      <w:r>
        <w:rPr>
          <w:rFonts w:hint="default"/>
          <w:lang w:val="en-US" w:eastAsia="zh-CN"/>
        </w:rPr>
        <w:t>。</w:t>
      </w:r>
    </w:p>
    <w:p>
      <w:pPr>
        <w:pStyle w:val="4"/>
      </w:pPr>
      <w:bookmarkStart w:id="111" w:name="_Toc12500"/>
      <w:bookmarkStart w:id="112" w:name="_Toc497833631"/>
      <w:r>
        <w:t>9.2 环境保护设施调试效果</w:t>
      </w:r>
      <w:bookmarkEnd w:id="111"/>
      <w:bookmarkEnd w:id="112"/>
    </w:p>
    <w:p>
      <w:pPr>
        <w:pStyle w:val="5"/>
      </w:pPr>
      <w:bookmarkStart w:id="113" w:name="_Toc497833632"/>
      <w:r>
        <w:t xml:space="preserve">9.2.1 </w:t>
      </w:r>
      <w:bookmarkEnd w:id="113"/>
      <w:r>
        <w:rPr>
          <w:rFonts w:hint="eastAsia"/>
          <w:lang w:val="en-US" w:eastAsia="zh-CN"/>
        </w:rPr>
        <w:t>无组织废气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厂区无组织</w:t>
      </w:r>
      <w:r>
        <w:t>监测结果详见表9</w:t>
      </w:r>
      <w:r>
        <w:rPr>
          <w:rFonts w:hint="eastAsia"/>
        </w:rPr>
        <w:t>-</w:t>
      </w:r>
      <w:r>
        <w:rPr>
          <w:rFonts w:hint="eastAsia"/>
          <w:lang w:val="en-US" w:eastAsia="zh-CN"/>
        </w:rPr>
        <w:t>1</w:t>
      </w:r>
      <w:r>
        <w:t>。</w:t>
      </w:r>
    </w:p>
    <w:p>
      <w:pPr>
        <w:spacing w:line="360" w:lineRule="auto"/>
        <w:jc w:val="center"/>
        <w:rPr>
          <w:b/>
          <w:bCs/>
          <w:sz w:val="21"/>
          <w:szCs w:val="21"/>
        </w:rPr>
      </w:pPr>
      <w:r>
        <w:rPr>
          <w:b/>
          <w:bCs/>
          <w:sz w:val="21"/>
          <w:szCs w:val="21"/>
        </w:rPr>
        <w:t>表9</w:t>
      </w:r>
      <w:r>
        <w:rPr>
          <w:rFonts w:hint="eastAsia"/>
          <w:b/>
          <w:bCs/>
          <w:sz w:val="21"/>
          <w:szCs w:val="21"/>
        </w:rPr>
        <w:t>-</w:t>
      </w:r>
      <w:r>
        <w:rPr>
          <w:rFonts w:hint="eastAsia"/>
          <w:b/>
          <w:bCs/>
          <w:sz w:val="21"/>
          <w:szCs w:val="21"/>
          <w:lang w:val="en-US" w:eastAsia="zh-CN"/>
        </w:rPr>
        <w:t>1  无组织废气检测结果一览表</w:t>
      </w:r>
    </w:p>
    <w:tbl>
      <w:tblPr>
        <w:tblStyle w:val="22"/>
        <w:tblW w:w="4856" w:type="pct"/>
        <w:jc w:val="center"/>
        <w:tblLayout w:type="autofit"/>
        <w:tblCellMar>
          <w:top w:w="0" w:type="dxa"/>
          <w:left w:w="108" w:type="dxa"/>
          <w:bottom w:w="0" w:type="dxa"/>
          <w:right w:w="108" w:type="dxa"/>
        </w:tblCellMar>
      </w:tblPr>
      <w:tblGrid>
        <w:gridCol w:w="1253"/>
        <w:gridCol w:w="1047"/>
        <w:gridCol w:w="1253"/>
        <w:gridCol w:w="1806"/>
        <w:gridCol w:w="1806"/>
        <w:gridCol w:w="1810"/>
      </w:tblGrid>
      <w:tr>
        <w:tblPrEx>
          <w:tblCellMar>
            <w:top w:w="0" w:type="dxa"/>
            <w:left w:w="108" w:type="dxa"/>
            <w:bottom w:w="0" w:type="dxa"/>
            <w:right w:w="108" w:type="dxa"/>
          </w:tblCellMar>
        </w:tblPrEx>
        <w:trPr>
          <w:trHeight w:val="454" w:hRule="atLeast"/>
          <w:jc w:val="center"/>
        </w:trPr>
        <w:tc>
          <w:tcPr>
            <w:tcW w:w="698" w:type="pct"/>
            <w:vMerge w:val="restart"/>
            <w:tcBorders>
              <w:top w:val="single" w:color="000000" w:sz="4" w:space="0"/>
              <w:left w:val="single" w:color="000000" w:sz="4" w:space="0"/>
              <w:bottom w:val="single" w:color="000000" w:sz="4" w:space="0"/>
              <w:right w:val="single" w:color="000000" w:sz="4" w:space="0"/>
            </w:tcBorders>
            <w:noWrap w:val="0"/>
            <w:vAlign w:val="center"/>
          </w:tcPr>
          <w:p>
            <w:pPr>
              <w:ind w:left="-113" w:leftChars="0" w:right="-113" w:rightChars="0"/>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采样时间</w:t>
            </w:r>
          </w:p>
        </w:tc>
        <w:tc>
          <w:tcPr>
            <w:tcW w:w="583" w:type="pct"/>
            <w:vMerge w:val="restart"/>
            <w:tcBorders>
              <w:top w:val="single" w:color="000000" w:sz="4" w:space="0"/>
              <w:left w:val="single" w:color="000000" w:sz="4" w:space="0"/>
              <w:bottom w:val="single" w:color="000000" w:sz="4" w:space="0"/>
              <w:right w:val="single" w:color="000000" w:sz="4" w:space="0"/>
            </w:tcBorders>
            <w:noWrap w:val="0"/>
            <w:vAlign w:val="center"/>
          </w:tcPr>
          <w:p>
            <w:pPr>
              <w:ind w:left="-113" w:right="-113"/>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检测点位</w:t>
            </w:r>
          </w:p>
        </w:tc>
        <w:tc>
          <w:tcPr>
            <w:tcW w:w="698" w:type="pct"/>
            <w:vMerge w:val="restart"/>
            <w:tcBorders>
              <w:top w:val="single" w:color="000000" w:sz="4" w:space="0"/>
              <w:left w:val="single" w:color="000000" w:sz="4" w:space="0"/>
              <w:bottom w:val="single" w:color="000000" w:sz="4" w:space="0"/>
              <w:right w:val="single" w:color="000000" w:sz="4" w:space="0"/>
            </w:tcBorders>
            <w:noWrap w:val="0"/>
            <w:vAlign w:val="center"/>
          </w:tcPr>
          <w:p>
            <w:pPr>
              <w:ind w:left="-113" w:right="-113"/>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检测频次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widowControl/>
              <w:ind w:left="-113" w:leftChars="0" w:right="-113" w:rightChars="0"/>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总悬浮颗粒物</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widowControl/>
              <w:ind w:left="-113" w:leftChars="0" w:right="-113" w:rightChars="0"/>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非甲烷总烃</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widowControl/>
              <w:ind w:left="-113" w:leftChars="0" w:right="-113" w:rightChars="0"/>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二甲苯</w:t>
            </w:r>
          </w:p>
        </w:tc>
      </w:tr>
      <w:tr>
        <w:tblPrEx>
          <w:tblCellMar>
            <w:top w:w="0" w:type="dxa"/>
            <w:left w:w="108" w:type="dxa"/>
            <w:bottom w:w="0" w:type="dxa"/>
            <w:right w:w="108" w:type="dxa"/>
          </w:tblCellMar>
        </w:tblPrEx>
        <w:trPr>
          <w:trHeight w:val="454" w:hRule="atLeast"/>
          <w:jc w:val="center"/>
        </w:trPr>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b/>
                <w:sz w:val="21"/>
                <w:szCs w:val="21"/>
              </w:rPr>
            </w:pPr>
          </w:p>
        </w:tc>
        <w:tc>
          <w:tcPr>
            <w:tcW w:w="5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b/>
                <w:sz w:val="21"/>
                <w:szCs w:val="21"/>
              </w:rPr>
            </w:pPr>
          </w:p>
        </w:tc>
        <w:tc>
          <w:tcPr>
            <w:tcW w:w="698"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b/>
                <w:sz w:val="21"/>
                <w:szCs w:val="21"/>
              </w:rPr>
            </w:pP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bCs/>
                <w:kern w:val="1"/>
                <w:sz w:val="21"/>
                <w:szCs w:val="21"/>
                <w:lang w:val="en-US" w:eastAsia="zh-CN" w:bidi="ar-SA"/>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p>
        </w:tc>
      </w:tr>
      <w:tr>
        <w:tblPrEx>
          <w:tblCellMar>
            <w:top w:w="0" w:type="dxa"/>
            <w:left w:w="108" w:type="dxa"/>
            <w:bottom w:w="0" w:type="dxa"/>
            <w:right w:w="108" w:type="dxa"/>
          </w:tblCellMar>
        </w:tblPrEx>
        <w:trPr>
          <w:trHeight w:val="454" w:hRule="atLeast"/>
          <w:jc w:val="center"/>
        </w:trPr>
        <w:tc>
          <w:tcPr>
            <w:tcW w:w="698" w:type="pct"/>
            <w:vMerge w:val="restart"/>
            <w:tcBorders>
              <w:top w:val="single" w:color="auto"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5月11日</w:t>
            </w:r>
          </w:p>
        </w:tc>
        <w:tc>
          <w:tcPr>
            <w:tcW w:w="583" w:type="pct"/>
            <w:vMerge w:val="restart"/>
            <w:tcBorders>
              <w:top w:val="single" w:color="auto"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rPr>
              <w:t>B</w:t>
            </w:r>
            <w:r>
              <w:rPr>
                <w:rFonts w:hint="default" w:ascii="Times New Roman" w:hAnsi="Times New Roman" w:eastAsia="宋体" w:cs="Times New Roman"/>
                <w:kern w:val="1"/>
                <w:sz w:val="21"/>
                <w:szCs w:val="21"/>
                <w:lang w:val="en-US" w:eastAsia="zh-CN"/>
              </w:rPr>
              <w:t>1</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rPr>
              <w:t>第一次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0.206</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1.08</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1"/>
                <w:szCs w:val="21"/>
                <w:lang w:val="en-US" w:eastAsia="zh-CN"/>
              </w:rPr>
            </w:pPr>
          </w:p>
        </w:tc>
        <w:tc>
          <w:tcPr>
            <w:tcW w:w="5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rPr>
              <w:t>第二次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0.247</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1.02</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1"/>
                <w:szCs w:val="21"/>
                <w:lang w:val="en-US" w:eastAsia="zh-CN"/>
              </w:rPr>
            </w:pPr>
          </w:p>
        </w:tc>
        <w:tc>
          <w:tcPr>
            <w:tcW w:w="583"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r>
              <w:rPr>
                <w:rFonts w:hint="default" w:ascii="Times New Roman" w:hAnsi="Times New Roman" w:eastAsia="宋体" w:cs="Times New Roman"/>
                <w:kern w:val="1"/>
                <w:sz w:val="21"/>
                <w:szCs w:val="21"/>
              </w:rPr>
              <w:t>第三次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0.269</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0.90</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1"/>
                <w:szCs w:val="21"/>
                <w:lang w:val="en-US" w:eastAsia="zh-CN"/>
              </w:rPr>
            </w:pPr>
          </w:p>
        </w:tc>
        <w:tc>
          <w:tcPr>
            <w:tcW w:w="583" w:type="pct"/>
            <w:vMerge w:val="restart"/>
            <w:tcBorders>
              <w:top w:val="single" w:color="auto"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rPr>
              <w:t>B2</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rPr>
              <w:t>第一次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0.319</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0.55</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1"/>
                <w:szCs w:val="21"/>
                <w:lang w:val="en-US" w:eastAsia="zh-CN"/>
              </w:rPr>
            </w:pPr>
          </w:p>
        </w:tc>
        <w:tc>
          <w:tcPr>
            <w:tcW w:w="583"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rPr>
              <w:t>第二次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0.342</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0.54</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continue"/>
            <w:tcBorders>
              <w:left w:val="single" w:color="000000" w:sz="4" w:space="0"/>
              <w:right w:val="single" w:color="000000" w:sz="4" w:space="0"/>
            </w:tcBorders>
            <w:noWrap w:val="0"/>
            <w:vAlign w:val="center"/>
          </w:tcPr>
          <w:p>
            <w:pPr>
              <w:jc w:val="center"/>
              <w:rPr>
                <w:rFonts w:hint="default" w:ascii="Times New Roman" w:hAnsi="Times New Roman" w:eastAsia="宋体" w:cs="Times New Roman"/>
                <w:sz w:val="21"/>
                <w:szCs w:val="21"/>
                <w:lang w:val="en-US" w:eastAsia="zh-CN"/>
              </w:rPr>
            </w:pPr>
          </w:p>
        </w:tc>
        <w:tc>
          <w:tcPr>
            <w:tcW w:w="583" w:type="pct"/>
            <w:vMerge w:val="continue"/>
            <w:tcBorders>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r>
              <w:rPr>
                <w:rFonts w:hint="default" w:ascii="Times New Roman" w:hAnsi="Times New Roman" w:eastAsia="宋体" w:cs="Times New Roman"/>
                <w:kern w:val="1"/>
                <w:sz w:val="21"/>
                <w:szCs w:val="21"/>
              </w:rPr>
              <w:t>第三次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0.384</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0.55</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restart"/>
            <w:tcBorders>
              <w:top w:val="single" w:color="auto"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5月12日</w:t>
            </w:r>
          </w:p>
        </w:tc>
        <w:tc>
          <w:tcPr>
            <w:tcW w:w="583" w:type="pct"/>
            <w:vMerge w:val="restart"/>
            <w:tcBorders>
              <w:top w:val="single" w:color="auto"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eastAsia="zh-CN"/>
              </w:rPr>
            </w:pPr>
            <w:r>
              <w:rPr>
                <w:rFonts w:hint="default" w:ascii="Times New Roman" w:hAnsi="Times New Roman" w:eastAsia="宋体" w:cs="Times New Roman"/>
                <w:kern w:val="1"/>
                <w:sz w:val="21"/>
                <w:szCs w:val="21"/>
              </w:rPr>
              <w:t>B</w:t>
            </w:r>
            <w:r>
              <w:rPr>
                <w:rFonts w:hint="default" w:ascii="Times New Roman" w:hAnsi="Times New Roman" w:eastAsia="宋体" w:cs="Times New Roman"/>
                <w:kern w:val="1"/>
                <w:sz w:val="21"/>
                <w:szCs w:val="21"/>
                <w:lang w:val="en-US" w:eastAsia="zh-CN"/>
              </w:rPr>
              <w:t>1</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r>
              <w:rPr>
                <w:rFonts w:hint="default" w:ascii="Times New Roman" w:hAnsi="Times New Roman" w:eastAsia="宋体" w:cs="Times New Roman"/>
                <w:kern w:val="1"/>
                <w:sz w:val="21"/>
                <w:szCs w:val="21"/>
              </w:rPr>
              <w:t>第一次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0.226</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1.14</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continue"/>
            <w:tcBorders>
              <w:left w:val="single" w:color="000000" w:sz="4" w:space="0"/>
              <w:right w:val="single" w:color="000000" w:sz="4" w:space="0"/>
            </w:tcBorders>
            <w:noWrap w:val="0"/>
            <w:vAlign w:val="center"/>
          </w:tcPr>
          <w:p>
            <w:pPr>
              <w:jc w:val="left"/>
              <w:rPr>
                <w:rFonts w:hint="default" w:ascii="Times New Roman" w:hAnsi="Times New Roman" w:eastAsia="宋体" w:cs="Times New Roman"/>
                <w:kern w:val="1"/>
                <w:sz w:val="21"/>
                <w:szCs w:val="21"/>
              </w:rPr>
            </w:pPr>
          </w:p>
        </w:tc>
        <w:tc>
          <w:tcPr>
            <w:tcW w:w="5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kern w:val="1"/>
                <w:sz w:val="21"/>
                <w:szCs w:val="21"/>
              </w:rPr>
            </w:pP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r>
              <w:rPr>
                <w:rFonts w:hint="default" w:ascii="Times New Roman" w:hAnsi="Times New Roman" w:eastAsia="宋体" w:cs="Times New Roman"/>
                <w:kern w:val="1"/>
                <w:sz w:val="21"/>
                <w:szCs w:val="21"/>
              </w:rPr>
              <w:t>第二次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0.248</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0.85</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continue"/>
            <w:tcBorders>
              <w:left w:val="single" w:color="000000" w:sz="4" w:space="0"/>
              <w:right w:val="single" w:color="000000" w:sz="4" w:space="0"/>
            </w:tcBorders>
            <w:noWrap w:val="0"/>
            <w:vAlign w:val="center"/>
          </w:tcPr>
          <w:p>
            <w:pPr>
              <w:jc w:val="left"/>
              <w:rPr>
                <w:rFonts w:hint="default" w:ascii="Times New Roman" w:hAnsi="Times New Roman" w:eastAsia="宋体" w:cs="Times New Roman"/>
                <w:kern w:val="1"/>
                <w:sz w:val="21"/>
                <w:szCs w:val="21"/>
              </w:rPr>
            </w:pPr>
          </w:p>
        </w:tc>
        <w:tc>
          <w:tcPr>
            <w:tcW w:w="583" w:type="pct"/>
            <w:vMerge w:val="continue"/>
            <w:tcBorders>
              <w:top w:val="single" w:color="000000" w:sz="4" w:space="0"/>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kern w:val="1"/>
                <w:sz w:val="21"/>
                <w:szCs w:val="21"/>
              </w:rPr>
            </w:pP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r>
              <w:rPr>
                <w:rFonts w:hint="default" w:ascii="Times New Roman" w:hAnsi="Times New Roman" w:eastAsia="宋体" w:cs="Times New Roman"/>
                <w:kern w:val="1"/>
                <w:sz w:val="21"/>
                <w:szCs w:val="21"/>
              </w:rPr>
              <w:t>第三次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0.212</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0.89</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continue"/>
            <w:tcBorders>
              <w:left w:val="single" w:color="000000" w:sz="4" w:space="0"/>
              <w:right w:val="single" w:color="000000" w:sz="4" w:space="0"/>
            </w:tcBorders>
            <w:noWrap w:val="0"/>
            <w:vAlign w:val="center"/>
          </w:tcPr>
          <w:p>
            <w:pPr>
              <w:jc w:val="left"/>
              <w:rPr>
                <w:rFonts w:hint="default" w:ascii="Times New Roman" w:hAnsi="Times New Roman" w:eastAsia="宋体" w:cs="Times New Roman"/>
                <w:kern w:val="1"/>
                <w:sz w:val="21"/>
                <w:szCs w:val="21"/>
              </w:rPr>
            </w:pPr>
          </w:p>
        </w:tc>
        <w:tc>
          <w:tcPr>
            <w:tcW w:w="583" w:type="pct"/>
            <w:vMerge w:val="restart"/>
            <w:tcBorders>
              <w:top w:val="single" w:color="000000" w:sz="4" w:space="0"/>
              <w:left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r>
              <w:rPr>
                <w:rFonts w:hint="default" w:ascii="Times New Roman" w:hAnsi="Times New Roman" w:eastAsia="宋体" w:cs="Times New Roman"/>
                <w:kern w:val="1"/>
                <w:sz w:val="21"/>
                <w:szCs w:val="21"/>
                <w:lang w:val="en-US" w:eastAsia="zh-CN"/>
              </w:rPr>
              <w:t>B2</w:t>
            </w: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r>
              <w:rPr>
                <w:rFonts w:hint="default" w:ascii="Times New Roman" w:hAnsi="Times New Roman" w:eastAsia="宋体" w:cs="Times New Roman"/>
                <w:kern w:val="1"/>
                <w:sz w:val="21"/>
                <w:szCs w:val="21"/>
              </w:rPr>
              <w:t>第一次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0.395</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0.58</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continue"/>
            <w:tcBorders>
              <w:left w:val="single" w:color="000000" w:sz="4" w:space="0"/>
              <w:right w:val="single" w:color="000000" w:sz="4" w:space="0"/>
            </w:tcBorders>
            <w:noWrap w:val="0"/>
            <w:vAlign w:val="center"/>
          </w:tcPr>
          <w:p>
            <w:pPr>
              <w:jc w:val="left"/>
              <w:rPr>
                <w:rFonts w:hint="default" w:ascii="Times New Roman" w:hAnsi="Times New Roman" w:eastAsia="宋体" w:cs="Times New Roman"/>
                <w:kern w:val="1"/>
                <w:sz w:val="21"/>
                <w:szCs w:val="21"/>
              </w:rPr>
            </w:pPr>
          </w:p>
        </w:tc>
        <w:tc>
          <w:tcPr>
            <w:tcW w:w="583" w:type="pct"/>
            <w:vMerge w:val="continue"/>
            <w:tcBorders>
              <w:left w:val="single" w:color="000000" w:sz="4" w:space="0"/>
              <w:right w:val="single" w:color="000000" w:sz="4" w:space="0"/>
            </w:tcBorders>
            <w:noWrap w:val="0"/>
            <w:vAlign w:val="center"/>
          </w:tcPr>
          <w:p>
            <w:pPr>
              <w:jc w:val="left"/>
              <w:rPr>
                <w:rFonts w:hint="default" w:ascii="Times New Roman" w:hAnsi="Times New Roman" w:eastAsia="宋体" w:cs="Times New Roman"/>
                <w:kern w:val="1"/>
                <w:sz w:val="21"/>
                <w:szCs w:val="21"/>
              </w:rPr>
            </w:pP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r>
              <w:rPr>
                <w:rFonts w:hint="default" w:ascii="Times New Roman" w:hAnsi="Times New Roman" w:eastAsia="宋体" w:cs="Times New Roman"/>
                <w:kern w:val="1"/>
                <w:sz w:val="21"/>
                <w:szCs w:val="21"/>
              </w:rPr>
              <w:t>第二次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0.343</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0.58</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698" w:type="pct"/>
            <w:vMerge w:val="continue"/>
            <w:tcBorders>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kern w:val="1"/>
                <w:sz w:val="21"/>
                <w:szCs w:val="21"/>
              </w:rPr>
            </w:pPr>
          </w:p>
        </w:tc>
        <w:tc>
          <w:tcPr>
            <w:tcW w:w="583" w:type="pct"/>
            <w:vMerge w:val="continue"/>
            <w:tcBorders>
              <w:left w:val="single" w:color="000000" w:sz="4" w:space="0"/>
              <w:bottom w:val="single" w:color="000000" w:sz="4" w:space="0"/>
              <w:right w:val="single" w:color="000000" w:sz="4" w:space="0"/>
            </w:tcBorders>
            <w:noWrap w:val="0"/>
            <w:vAlign w:val="center"/>
          </w:tcPr>
          <w:p>
            <w:pPr>
              <w:jc w:val="left"/>
              <w:rPr>
                <w:rFonts w:hint="default" w:ascii="Times New Roman" w:hAnsi="Times New Roman" w:eastAsia="宋体" w:cs="Times New Roman"/>
                <w:kern w:val="1"/>
                <w:sz w:val="21"/>
                <w:szCs w:val="21"/>
              </w:rPr>
            </w:pPr>
          </w:p>
        </w:tc>
        <w:tc>
          <w:tcPr>
            <w:tcW w:w="698"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rPr>
            </w:pPr>
            <w:r>
              <w:rPr>
                <w:rFonts w:hint="default" w:ascii="Times New Roman" w:hAnsi="Times New Roman" w:eastAsia="宋体" w:cs="Times New Roman"/>
                <w:kern w:val="1"/>
                <w:sz w:val="21"/>
                <w:szCs w:val="21"/>
              </w:rPr>
              <w:t>第三次</w:t>
            </w:r>
          </w:p>
        </w:tc>
        <w:tc>
          <w:tcPr>
            <w:tcW w:w="1006" w:type="pct"/>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bidi="ar-SA"/>
              </w:rPr>
            </w:pPr>
            <w:r>
              <w:rPr>
                <w:rFonts w:hint="default" w:ascii="Times New Roman" w:hAnsi="Times New Roman" w:eastAsia="宋体" w:cs="Times New Roman"/>
                <w:kern w:val="1"/>
                <w:sz w:val="21"/>
                <w:szCs w:val="21"/>
                <w:lang w:val="en-US" w:eastAsia="zh-CN" w:bidi="ar-SA"/>
              </w:rPr>
              <w:t>0.365</w:t>
            </w:r>
          </w:p>
        </w:tc>
        <w:tc>
          <w:tcPr>
            <w:tcW w:w="1006" w:type="pct"/>
            <w:tcBorders>
              <w:top w:val="single" w:color="000000" w:sz="4" w:space="0"/>
              <w:left w:val="single" w:color="000000" w:sz="4" w:space="0"/>
              <w:bottom w:val="single" w:color="000000" w:sz="4" w:space="0"/>
              <w:right w:val="single" w:color="auto"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0.56</w:t>
            </w:r>
          </w:p>
        </w:tc>
        <w:tc>
          <w:tcPr>
            <w:tcW w:w="1006" w:type="pct"/>
            <w:tcBorders>
              <w:top w:val="single" w:color="000000" w:sz="4" w:space="0"/>
              <w:left w:val="single" w:color="auto" w:sz="4" w:space="0"/>
              <w:bottom w:val="single" w:color="000000" w:sz="4" w:space="0"/>
              <w:right w:val="single" w:color="000000" w:sz="4" w:space="0"/>
            </w:tcBorders>
            <w:noWrap w:val="0"/>
            <w:vAlign w:val="center"/>
          </w:tcPr>
          <w:p>
            <w:pPr>
              <w:jc w:val="center"/>
              <w:rPr>
                <w:rFonts w:hint="default" w:ascii="Times New Roman" w:hAnsi="Times New Roman" w:eastAsia="宋体" w:cs="Times New Roman"/>
                <w:kern w:val="1"/>
                <w:sz w:val="21"/>
                <w:szCs w:val="21"/>
                <w:lang w:val="en-US" w:eastAsia="zh-CN"/>
              </w:rPr>
            </w:pPr>
            <w:r>
              <w:rPr>
                <w:rFonts w:hint="default" w:ascii="Times New Roman" w:hAnsi="Times New Roman" w:eastAsia="宋体" w:cs="Times New Roman"/>
                <w:kern w:val="1"/>
                <w:sz w:val="21"/>
                <w:szCs w:val="21"/>
                <w:lang w:val="en-US" w:eastAsia="zh-CN"/>
              </w:rPr>
              <w:t>0.003L</w:t>
            </w:r>
          </w:p>
        </w:tc>
      </w:tr>
      <w:tr>
        <w:tblPrEx>
          <w:tblCellMar>
            <w:top w:w="0" w:type="dxa"/>
            <w:left w:w="108" w:type="dxa"/>
            <w:bottom w:w="0" w:type="dxa"/>
            <w:right w:w="108" w:type="dxa"/>
          </w:tblCellMar>
        </w:tblPrEx>
        <w:trPr>
          <w:trHeight w:val="454" w:hRule="atLeast"/>
          <w:jc w:val="center"/>
        </w:trPr>
        <w:tc>
          <w:tcPr>
            <w:tcW w:w="1281" w:type="pct"/>
            <w:gridSpan w:val="2"/>
            <w:tcBorders>
              <w:top w:val="single" w:color="000000" w:sz="4" w:space="0"/>
              <w:left w:val="single" w:color="000000" w:sz="4" w:space="0"/>
              <w:bottom w:val="single" w:color="000000"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参考标准限值</w:t>
            </w:r>
          </w:p>
        </w:tc>
        <w:tc>
          <w:tcPr>
            <w:tcW w:w="3718" w:type="pct"/>
            <w:gridSpan w:val="4"/>
            <w:tcBorders>
              <w:top w:val="single" w:color="000000" w:sz="4" w:space="0"/>
              <w:left w:val="single" w:color="auto" w:sz="4" w:space="0"/>
              <w:bottom w:val="single" w:color="000000"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总悬浮颗粒物：1.0 mg/m</w:t>
            </w:r>
            <w:r>
              <w:rPr>
                <w:rFonts w:hint="default" w:eastAsia="宋体"/>
                <w:sz w:val="21"/>
                <w:szCs w:val="21"/>
                <w:vertAlign w:val="superscript"/>
                <w:lang w:val="en-US" w:eastAsia="zh-CN"/>
              </w:rPr>
              <w:t>3</w:t>
            </w:r>
            <w:r>
              <w:rPr>
                <w:rFonts w:hint="default" w:eastAsia="宋体"/>
                <w:sz w:val="21"/>
                <w:szCs w:val="21"/>
                <w:lang w:val="en-US" w:eastAsia="zh-CN"/>
              </w:rPr>
              <w:t>；非甲烷总烃：4.0 mg/m</w:t>
            </w:r>
            <w:r>
              <w:rPr>
                <w:rFonts w:hint="default" w:eastAsia="宋体"/>
                <w:sz w:val="21"/>
                <w:szCs w:val="21"/>
                <w:vertAlign w:val="superscript"/>
                <w:lang w:val="en-US" w:eastAsia="zh-CN"/>
              </w:rPr>
              <w:t>3</w:t>
            </w:r>
            <w:r>
              <w:rPr>
                <w:rFonts w:hint="default" w:eastAsia="宋体"/>
                <w:sz w:val="21"/>
                <w:szCs w:val="21"/>
                <w:lang w:val="en-US" w:eastAsia="zh-CN"/>
              </w:rPr>
              <w:t>；二甲苯：/</w:t>
            </w:r>
          </w:p>
        </w:tc>
      </w:tr>
      <w:tr>
        <w:tblPrEx>
          <w:tblCellMar>
            <w:top w:w="0" w:type="dxa"/>
            <w:left w:w="108" w:type="dxa"/>
            <w:bottom w:w="0" w:type="dxa"/>
            <w:right w:w="108" w:type="dxa"/>
          </w:tblCellMar>
        </w:tblPrEx>
        <w:trPr>
          <w:trHeight w:val="454" w:hRule="atLeast"/>
          <w:jc w:val="center"/>
        </w:trPr>
        <w:tc>
          <w:tcPr>
            <w:tcW w:w="1281" w:type="pct"/>
            <w:gridSpan w:val="2"/>
            <w:tcBorders>
              <w:top w:val="single" w:color="000000" w:sz="4" w:space="0"/>
              <w:left w:val="single" w:color="000000" w:sz="4" w:space="0"/>
              <w:bottom w:val="single" w:color="000000"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参考标准依据</w:t>
            </w:r>
          </w:p>
        </w:tc>
        <w:tc>
          <w:tcPr>
            <w:tcW w:w="3718" w:type="pct"/>
            <w:gridSpan w:val="4"/>
            <w:tcBorders>
              <w:top w:val="single" w:color="000000" w:sz="4" w:space="0"/>
              <w:left w:val="single" w:color="auto" w:sz="4" w:space="0"/>
              <w:bottom w:val="single" w:color="000000"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《家具制造业大气污染物排放标准》（DB 50/757-2017）表3</w:t>
            </w:r>
          </w:p>
        </w:tc>
      </w:tr>
      <w:tr>
        <w:tblPrEx>
          <w:tblCellMar>
            <w:top w:w="0" w:type="dxa"/>
            <w:left w:w="108" w:type="dxa"/>
            <w:bottom w:w="0" w:type="dxa"/>
            <w:right w:w="108" w:type="dxa"/>
          </w:tblCellMar>
        </w:tblPrEx>
        <w:trPr>
          <w:trHeight w:val="454" w:hRule="atLeast"/>
          <w:jc w:val="center"/>
        </w:trPr>
        <w:tc>
          <w:tcPr>
            <w:tcW w:w="1281" w:type="pct"/>
            <w:gridSpan w:val="2"/>
            <w:tcBorders>
              <w:top w:val="single" w:color="000000" w:sz="4" w:space="0"/>
              <w:left w:val="single" w:color="000000" w:sz="4" w:space="0"/>
              <w:bottom w:val="single" w:color="000000"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检测结论</w:t>
            </w:r>
          </w:p>
        </w:tc>
        <w:tc>
          <w:tcPr>
            <w:tcW w:w="3718" w:type="pct"/>
            <w:gridSpan w:val="4"/>
            <w:tcBorders>
              <w:top w:val="single" w:color="000000" w:sz="4" w:space="0"/>
              <w:left w:val="single" w:color="auto" w:sz="4" w:space="0"/>
              <w:bottom w:val="single" w:color="000000"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本次检测，无组织废气（B1、B2）：总悬浮颗粒物、非甲烷总烃的检测结果均达标</w:t>
            </w:r>
          </w:p>
        </w:tc>
      </w:tr>
      <w:tr>
        <w:tblPrEx>
          <w:tblCellMar>
            <w:top w:w="0" w:type="dxa"/>
            <w:left w:w="108" w:type="dxa"/>
            <w:bottom w:w="0" w:type="dxa"/>
            <w:right w:w="108" w:type="dxa"/>
          </w:tblCellMar>
        </w:tblPrEx>
        <w:trPr>
          <w:trHeight w:val="454" w:hRule="atLeast"/>
          <w:jc w:val="center"/>
        </w:trPr>
        <w:tc>
          <w:tcPr>
            <w:tcW w:w="1281" w:type="pct"/>
            <w:gridSpan w:val="2"/>
            <w:tcBorders>
              <w:top w:val="single" w:color="000000" w:sz="4" w:space="0"/>
              <w:left w:val="single" w:color="000000" w:sz="4" w:space="0"/>
              <w:bottom w:val="single" w:color="000000"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备注</w:t>
            </w:r>
          </w:p>
        </w:tc>
        <w:tc>
          <w:tcPr>
            <w:tcW w:w="3718" w:type="pct"/>
            <w:gridSpan w:val="4"/>
            <w:tcBorders>
              <w:top w:val="single" w:color="000000" w:sz="4" w:space="0"/>
              <w:left w:val="single" w:color="auto" w:sz="4" w:space="0"/>
              <w:bottom w:val="single" w:color="000000"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“L”表示未检出，检测结果以检出限加“L”表示。</w:t>
            </w:r>
          </w:p>
        </w:tc>
      </w:tr>
    </w:tbl>
    <w:p>
      <w:pPr>
        <w:keepNext w:val="0"/>
        <w:keepLines w:val="0"/>
        <w:pageBreakBefore w:val="0"/>
        <w:widowControl/>
        <w:suppressLineNumbers w:val="0"/>
        <w:kinsoku/>
        <w:wordWrap/>
        <w:overflowPunct/>
        <w:topLinePunct w:val="0"/>
        <w:autoSpaceDE/>
        <w:autoSpaceDN/>
        <w:bidi w:val="0"/>
        <w:adjustRightInd w:val="0"/>
        <w:snapToGrid w:val="0"/>
        <w:ind w:firstLine="480" w:firstLineChars="200"/>
        <w:jc w:val="left"/>
        <w:textAlignment w:val="auto"/>
        <w:rPr>
          <w:rFonts w:hint="eastAsia"/>
          <w:lang w:val="en-US" w:eastAsia="zh-CN"/>
        </w:rPr>
      </w:pPr>
      <w:r>
        <w:rPr>
          <w:rFonts w:hint="eastAsia" w:eastAsia="宋体"/>
          <w:lang w:val="en-US" w:eastAsia="zh-CN"/>
        </w:rPr>
        <w:t>监测结果表明，验收监测期间，项目的无组织废气</w:t>
      </w:r>
      <w:r>
        <w:rPr>
          <w:rFonts w:hint="default" w:eastAsia="宋体"/>
          <w:lang w:val="en-US" w:eastAsia="zh-CN"/>
        </w:rPr>
        <w:t>总悬浮颗粒物、非甲烷总烃</w:t>
      </w:r>
      <w:r>
        <w:rPr>
          <w:rFonts w:hint="eastAsia" w:eastAsia="宋体"/>
          <w:lang w:val="en-US" w:eastAsia="zh-CN"/>
        </w:rPr>
        <w:t>、二甲苯</w:t>
      </w:r>
      <w:r>
        <w:rPr>
          <w:rFonts w:hint="default"/>
          <w:lang w:val="en-US" w:eastAsia="zh-CN"/>
        </w:rPr>
        <w:t>检测结果均</w:t>
      </w:r>
      <w:r>
        <w:rPr>
          <w:rFonts w:hint="eastAsia"/>
          <w:lang w:val="en-US" w:eastAsia="zh-CN"/>
        </w:rPr>
        <w:t>满足《大气污染物综合排放标准》（DB 50/418-2016）表 1。</w:t>
      </w:r>
    </w:p>
    <w:p>
      <w:pPr>
        <w:pStyle w:val="5"/>
      </w:pPr>
      <w:r>
        <w:t>9.2.</w:t>
      </w:r>
      <w:r>
        <w:rPr>
          <w:rFonts w:hint="eastAsia"/>
        </w:rPr>
        <w:t>2</w:t>
      </w:r>
      <w:r>
        <w:rPr>
          <w:rFonts w:hint="eastAsia"/>
          <w:lang w:val="en-US" w:eastAsia="zh-CN"/>
        </w:rPr>
        <w:t>有组织废气</w:t>
      </w:r>
      <w:r>
        <w:rPr>
          <w:rFonts w:hint="eastAsia"/>
        </w:rPr>
        <w:t>监测结果及分析</w:t>
      </w:r>
    </w:p>
    <w:p>
      <w:pPr>
        <w:keepNext w:val="0"/>
        <w:keepLines w:val="0"/>
        <w:pageBreakBefore w:val="0"/>
        <w:widowControl/>
        <w:kinsoku/>
        <w:wordWrap/>
        <w:overflowPunct/>
        <w:topLinePunct w:val="0"/>
        <w:autoSpaceDE/>
        <w:autoSpaceDN/>
        <w:bidi w:val="0"/>
        <w:adjustRightInd w:val="0"/>
        <w:snapToGrid w:val="0"/>
        <w:ind w:firstLine="480" w:firstLineChars="200"/>
        <w:textAlignment w:val="auto"/>
      </w:pPr>
      <w:r>
        <w:rPr>
          <w:rFonts w:hint="eastAsia"/>
          <w:lang w:val="en-US" w:eastAsia="zh-CN"/>
        </w:rPr>
        <w:t>有组织废气</w:t>
      </w:r>
      <w:r>
        <w:t>监测结果见下表</w:t>
      </w:r>
      <w:r>
        <w:rPr>
          <w:rFonts w:hint="eastAsia"/>
          <w:lang w:val="en-US" w:eastAsia="zh-CN"/>
        </w:rPr>
        <w:t>9-2-12</w:t>
      </w:r>
      <w: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eastAsia="宋体"/>
          <w:b/>
          <w:bCs/>
          <w:sz w:val="21"/>
          <w:szCs w:val="21"/>
        </w:rPr>
      </w:pPr>
      <w:r>
        <w:rPr>
          <w:rFonts w:eastAsia="宋体"/>
          <w:b/>
          <w:bCs/>
          <w:sz w:val="21"/>
          <w:szCs w:val="21"/>
        </w:rPr>
        <w:t>表</w:t>
      </w:r>
      <w:r>
        <w:rPr>
          <w:rFonts w:hint="eastAsia" w:eastAsia="宋体"/>
          <w:b/>
          <w:bCs/>
          <w:sz w:val="21"/>
          <w:szCs w:val="21"/>
        </w:rPr>
        <w:t>9-</w:t>
      </w:r>
      <w:r>
        <w:rPr>
          <w:rFonts w:hint="eastAsia" w:eastAsia="宋体"/>
          <w:b/>
          <w:bCs/>
          <w:sz w:val="21"/>
          <w:szCs w:val="21"/>
          <w:lang w:val="en-US" w:eastAsia="zh-CN"/>
        </w:rPr>
        <w:t>2</w:t>
      </w:r>
      <w:r>
        <w:rPr>
          <w:rFonts w:eastAsia="宋体"/>
          <w:b/>
          <w:bCs/>
          <w:sz w:val="21"/>
          <w:szCs w:val="21"/>
        </w:rPr>
        <w:t xml:space="preserve"> </w:t>
      </w:r>
      <w:r>
        <w:rPr>
          <w:rFonts w:hint="eastAsia" w:eastAsia="宋体"/>
          <w:b/>
          <w:bCs/>
          <w:sz w:val="21"/>
          <w:szCs w:val="21"/>
          <w:lang w:val="en-US" w:eastAsia="zh-CN"/>
        </w:rPr>
        <w:t xml:space="preserve">  1#排气筒进、出</w:t>
      </w:r>
      <w:r>
        <w:rPr>
          <w:rFonts w:eastAsia="宋体"/>
          <w:b/>
          <w:bCs/>
          <w:sz w:val="21"/>
          <w:szCs w:val="21"/>
        </w:rPr>
        <w:t>口（</w:t>
      </w:r>
      <w:r>
        <w:rPr>
          <w:rFonts w:hint="eastAsia" w:eastAsia="宋体"/>
          <w:b/>
          <w:bCs/>
          <w:sz w:val="21"/>
          <w:szCs w:val="21"/>
          <w:lang w:val="en-US" w:eastAsia="zh-CN"/>
        </w:rPr>
        <w:t>D1、</w:t>
      </w:r>
      <w:r>
        <w:rPr>
          <w:rFonts w:eastAsia="宋体"/>
          <w:b/>
          <w:bCs/>
          <w:sz w:val="21"/>
          <w:szCs w:val="21"/>
        </w:rPr>
        <w:t>FQ</w:t>
      </w:r>
      <w:r>
        <w:rPr>
          <w:rFonts w:hint="eastAsia" w:eastAsia="宋体"/>
          <w:b/>
          <w:bCs/>
          <w:sz w:val="21"/>
          <w:szCs w:val="21"/>
          <w:lang w:val="en-US" w:eastAsia="zh-CN"/>
        </w:rPr>
        <w:t>1</w:t>
      </w:r>
      <w:r>
        <w:rPr>
          <w:rFonts w:eastAsia="宋体"/>
          <w:b/>
          <w:bCs/>
          <w:sz w:val="21"/>
          <w:szCs w:val="21"/>
        </w:rPr>
        <w:t>）</w:t>
      </w:r>
      <w:r>
        <w:rPr>
          <w:rFonts w:hint="eastAsia" w:eastAsia="宋体"/>
          <w:b/>
          <w:bCs/>
          <w:sz w:val="21"/>
          <w:szCs w:val="21"/>
          <w:lang w:val="en-US" w:eastAsia="zh-CN"/>
        </w:rPr>
        <w:t>废气检测结</w:t>
      </w:r>
      <w:r>
        <w:rPr>
          <w:rFonts w:hint="default" w:eastAsia="宋体"/>
          <w:b/>
          <w:bCs/>
          <w:sz w:val="21"/>
          <w:szCs w:val="21"/>
        </w:rPr>
        <w:t>果一览表</w:t>
      </w:r>
    </w:p>
    <w:p>
      <w:pPr>
        <w:spacing w:line="240" w:lineRule="auto"/>
        <w:rPr>
          <w:rFonts w:hint="eastAsia" w:ascii="Times New Roman" w:hAnsi="Times New Roman" w:eastAsia="宋体" w:cs="Times New Roman"/>
          <w:color w:val="000000"/>
          <w:vertAlign w:val="baseline"/>
          <w:lang w:eastAsia="zh-CN"/>
        </w:rPr>
      </w:pPr>
      <w:r>
        <w:rPr>
          <w:rFonts w:hint="default" w:ascii="Times New Roman" w:hAnsi="Times New Roman" w:cs="Times New Roman"/>
          <w:color w:val="auto"/>
          <w:sz w:val="21"/>
          <w:szCs w:val="21"/>
        </w:rPr>
        <w:t>烟囱高度：</w:t>
      </w:r>
      <w:r>
        <w:rPr>
          <w:rFonts w:hint="eastAsia" w:ascii="Times New Roman" w:hAnsi="Times New Roman" w:cs="Times New Roman"/>
          <w:color w:val="auto"/>
          <w:sz w:val="21"/>
          <w:szCs w:val="21"/>
          <w:lang w:val="en-US" w:eastAsia="zh-CN"/>
        </w:rPr>
        <w:t xml:space="preserve">15 </w:t>
      </w:r>
      <w:r>
        <w:rPr>
          <w:rFonts w:hint="default" w:ascii="Times New Roman" w:hAnsi="Times New Roman" w:cs="Times New Roman"/>
          <w:color w:val="auto"/>
          <w:sz w:val="21"/>
          <w:szCs w:val="21"/>
        </w:rPr>
        <w:t xml:space="preserve">m </w:t>
      </w:r>
      <w:r>
        <w:rPr>
          <w:rFonts w:hint="default" w:ascii="Times New Roman" w:hAnsi="Times New Roman" w:cs="Times New Roman"/>
          <w:color w:val="000000"/>
          <w:sz w:val="21"/>
          <w:szCs w:val="21"/>
        </w:rPr>
        <w:t xml:space="preserve">           </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rPr>
        <w:t xml:space="preserve">    </w:t>
      </w:r>
      <w:r>
        <w:rPr>
          <w:rFonts w:hint="eastAsia" w:cs="Times New Roman"/>
          <w:color w:val="000000"/>
          <w:sz w:val="21"/>
          <w:szCs w:val="21"/>
          <w:lang w:val="en-US" w:eastAsia="zh-CN"/>
        </w:rPr>
        <w:t xml:space="preserve">          </w:t>
      </w:r>
      <w:r>
        <w:rPr>
          <w:rFonts w:hint="default" w:ascii="Times New Roman" w:hAnsi="Times New Roman" w:cs="Times New Roman"/>
          <w:color w:val="000000"/>
          <w:sz w:val="21"/>
          <w:szCs w:val="21"/>
        </w:rPr>
        <w:t xml:space="preserve">          </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rPr>
        <w:t>截面积</w:t>
      </w:r>
      <w:r>
        <w:rPr>
          <w:rFonts w:hint="eastAsia" w:ascii="Times New Roman" w:hAnsi="Times New Roman" w:cs="Times New Roman"/>
          <w:color w:val="000000"/>
          <w:sz w:val="21"/>
          <w:szCs w:val="21"/>
          <w:lang w:eastAsia="zh-CN"/>
        </w:rPr>
        <w:t>分别为</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lang w:val="en-US" w:eastAsia="zh-CN"/>
        </w:rPr>
        <w:t>0.0314</w:t>
      </w:r>
      <w:r>
        <w:rPr>
          <w:rFonts w:hint="default" w:ascii="Times New Roman" w:hAnsi="Times New Roman" w:cs="Times New Roman"/>
          <w:color w:val="000000"/>
          <w:sz w:val="21"/>
          <w:szCs w:val="21"/>
        </w:rPr>
        <w:t xml:space="preserve"> m</w:t>
      </w:r>
      <w:r>
        <w:rPr>
          <w:rFonts w:hint="default"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vertAlign w:val="baseline"/>
          <w:lang w:eastAsia="zh-CN"/>
        </w:rPr>
        <w:t>、</w:t>
      </w:r>
      <w:r>
        <w:rPr>
          <w:rFonts w:hint="eastAsia" w:ascii="Times New Roman" w:hAnsi="Times New Roman" w:cs="Times New Roman"/>
          <w:color w:val="000000"/>
          <w:sz w:val="21"/>
          <w:szCs w:val="21"/>
          <w:lang w:val="en-US" w:eastAsia="zh-CN"/>
        </w:rPr>
        <w:t>0.0134</w:t>
      </w:r>
      <w:r>
        <w:rPr>
          <w:rFonts w:hint="default" w:ascii="Times New Roman" w:hAnsi="Times New Roman" w:cs="Times New Roman"/>
          <w:color w:val="000000"/>
          <w:sz w:val="21"/>
          <w:szCs w:val="21"/>
        </w:rPr>
        <w:t xml:space="preserve"> m</w:t>
      </w:r>
      <w:r>
        <w:rPr>
          <w:rFonts w:hint="default" w:ascii="Times New Roman" w:hAnsi="Times New Roman" w:cs="Times New Roman"/>
          <w:color w:val="000000"/>
          <w:sz w:val="21"/>
          <w:szCs w:val="21"/>
          <w:vertAlign w:val="superscript"/>
        </w:rPr>
        <w:t>2</w:t>
      </w:r>
    </w:p>
    <w:tbl>
      <w:tblPr>
        <w:tblStyle w:val="22"/>
        <w:tblW w:w="9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24"/>
        <w:gridCol w:w="1046"/>
        <w:gridCol w:w="2529"/>
        <w:gridCol w:w="990"/>
        <w:gridCol w:w="1188"/>
        <w:gridCol w:w="118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noWrap w:val="0"/>
            <w:vAlign w:val="center"/>
          </w:tcPr>
          <w:p>
            <w:pPr>
              <w:widowControl/>
              <w:adjustRightInd w:val="0"/>
              <w:snapToGrid w:val="0"/>
              <w:ind w:left="-113" w:leftChars="0" w:right="-113" w:rightChars="0"/>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采样时间</w:t>
            </w:r>
          </w:p>
        </w:tc>
        <w:tc>
          <w:tcPr>
            <w:tcW w:w="1046" w:type="dxa"/>
            <w:noWrap w:val="0"/>
            <w:vAlign w:val="center"/>
          </w:tcPr>
          <w:p>
            <w:pPr>
              <w:widowControl/>
              <w:adjustRightInd w:val="0"/>
              <w:snapToGrid w:val="0"/>
              <w:ind w:left="-113" w:right="-113"/>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检测点位</w:t>
            </w:r>
          </w:p>
        </w:tc>
        <w:tc>
          <w:tcPr>
            <w:tcW w:w="2529" w:type="dxa"/>
            <w:noWrap w:val="0"/>
            <w:vAlign w:val="center"/>
          </w:tcPr>
          <w:p>
            <w:pPr>
              <w:widowControl/>
              <w:adjustRightInd w:val="0"/>
              <w:snapToGrid w:val="0"/>
              <w:ind w:left="-113" w:right="-113"/>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检测项目</w:t>
            </w:r>
          </w:p>
        </w:tc>
        <w:tc>
          <w:tcPr>
            <w:tcW w:w="990" w:type="dxa"/>
            <w:noWrap w:val="0"/>
            <w:vAlign w:val="center"/>
          </w:tcPr>
          <w:p>
            <w:pPr>
              <w:pStyle w:val="53"/>
              <w:ind w:left="0"/>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单位</w:t>
            </w:r>
          </w:p>
        </w:tc>
        <w:tc>
          <w:tcPr>
            <w:tcW w:w="1188" w:type="dxa"/>
            <w:noWrap w:val="0"/>
            <w:vAlign w:val="center"/>
          </w:tcPr>
          <w:p>
            <w:pPr>
              <w:pStyle w:val="53"/>
              <w:ind w:left="0"/>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第一次</w:t>
            </w:r>
          </w:p>
        </w:tc>
        <w:tc>
          <w:tcPr>
            <w:tcW w:w="1188" w:type="dxa"/>
            <w:noWrap w:val="0"/>
            <w:vAlign w:val="center"/>
          </w:tcPr>
          <w:p>
            <w:pPr>
              <w:pStyle w:val="53"/>
              <w:ind w:left="0"/>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第二次</w:t>
            </w:r>
          </w:p>
        </w:tc>
        <w:tc>
          <w:tcPr>
            <w:tcW w:w="1188" w:type="dxa"/>
            <w:noWrap w:val="0"/>
            <w:vAlign w:val="center"/>
          </w:tcPr>
          <w:p>
            <w:pPr>
              <w:pStyle w:val="53"/>
              <w:ind w:left="0"/>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restart"/>
            <w:noWrap w:val="0"/>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月</w:t>
            </w:r>
            <w:r>
              <w:rPr>
                <w:rFonts w:hint="eastAsia" w:ascii="Times New Roman" w:hAnsi="Times New Roman" w:cs="Times New Roman"/>
                <w:sz w:val="21"/>
                <w:szCs w:val="21"/>
                <w:lang w:val="en-US" w:eastAsia="zh-CN"/>
              </w:rPr>
              <w:t>11</w:t>
            </w:r>
            <w:r>
              <w:rPr>
                <w:rFonts w:hint="default" w:ascii="Times New Roman" w:hAnsi="Times New Roman" w:cs="Times New Roman"/>
                <w:sz w:val="21"/>
                <w:szCs w:val="21"/>
                <w:lang w:val="en-US" w:eastAsia="zh-CN"/>
              </w:rPr>
              <w:t>日</w:t>
            </w:r>
          </w:p>
        </w:tc>
        <w:tc>
          <w:tcPr>
            <w:tcW w:w="1046" w:type="dxa"/>
            <w:vMerge w:val="restart"/>
            <w:noWrap w:val="0"/>
            <w:vAlign w:val="center"/>
          </w:tcPr>
          <w:p>
            <w:pPr>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D1</w:t>
            </w: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烟气流速</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m/s</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14.5</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14.0</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eastAsia" w:ascii="Times New Roman" w:hAnsi="Times New Roman" w:cs="Times New Roman"/>
                <w:sz w:val="21"/>
                <w:szCs w:val="21"/>
                <w:lang w:val="en-US" w:eastAsia="zh-CN"/>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烟气流量</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1.42</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1.38</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1.44</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eastAsia" w:ascii="Times New Roman" w:hAnsi="Times New Roman" w:cs="Times New Roman"/>
                <w:sz w:val="21"/>
                <w:szCs w:val="21"/>
                <w:lang w:val="en-US" w:eastAsia="zh-CN"/>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实测浓度</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29.6</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30.1</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default" w:ascii="Times New Roman" w:hAnsi="Times New Roman" w:cs="Times New Roman"/>
                <w:kern w:val="2"/>
                <w:sz w:val="21"/>
                <w:szCs w:val="21"/>
                <w:lang w:val="en-US" w:eastAsia="zh-CN" w:bidi="ar-SA"/>
              </w:rPr>
            </w:pPr>
          </w:p>
        </w:tc>
        <w:tc>
          <w:tcPr>
            <w:tcW w:w="1046" w:type="dxa"/>
            <w:vMerge w:val="restar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FQ1</w:t>
            </w: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烟气流速</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m/s</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13.5</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13.8</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default" w:ascii="Times New Roman" w:hAnsi="Times New Roman" w:cs="Times New Roman"/>
                <w:sz w:val="21"/>
                <w:szCs w:val="21"/>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烟气流量</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1.32</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1.34</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1.30</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default" w:ascii="Times New Roman" w:hAnsi="Times New Roman" w:cs="Times New Roman"/>
                <w:sz w:val="21"/>
                <w:szCs w:val="21"/>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实测浓度</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8.7</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7.9</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default" w:ascii="Times New Roman" w:hAnsi="Times New Roman" w:cs="Times New Roman"/>
                <w:sz w:val="21"/>
                <w:szCs w:val="21"/>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排放浓度</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8.7</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7.9</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default" w:ascii="Times New Roman" w:hAnsi="Times New Roman" w:cs="Times New Roman"/>
                <w:sz w:val="21"/>
                <w:szCs w:val="21"/>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排放速率</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kg/h</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1.15</w:t>
            </w:r>
            <w:r>
              <w:rPr>
                <w:sz w:val="21"/>
                <w:szCs w:val="21"/>
              </w:rPr>
              <w:t>×10</w:t>
            </w:r>
            <w:r>
              <w:rPr>
                <w:rFonts w:hint="eastAsia"/>
                <w:sz w:val="21"/>
                <w:szCs w:val="21"/>
                <w:vertAlign w:val="superscript"/>
                <w:lang w:val="en-US" w:eastAsia="zh-CN"/>
              </w:rPr>
              <w:t>-2</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1.06</w:t>
            </w:r>
            <w:r>
              <w:rPr>
                <w:sz w:val="21"/>
                <w:szCs w:val="21"/>
              </w:rPr>
              <w:t>×10</w:t>
            </w:r>
            <w:r>
              <w:rPr>
                <w:rFonts w:hint="eastAsia"/>
                <w:sz w:val="21"/>
                <w:szCs w:val="21"/>
                <w:vertAlign w:val="superscript"/>
                <w:lang w:val="en-US" w:eastAsia="zh-CN"/>
              </w:rPr>
              <w:t>-2</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1.09</w:t>
            </w:r>
            <w:r>
              <w:rPr>
                <w:sz w:val="21"/>
                <w:szCs w:val="21"/>
              </w:rPr>
              <w:t>×10</w:t>
            </w:r>
            <w:r>
              <w:rPr>
                <w:rFonts w:hint="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restart"/>
            <w:noWrap w:val="0"/>
            <w:vAlign w:val="center"/>
          </w:tcPr>
          <w:p>
            <w:pPr>
              <w:jc w:val="center"/>
              <w:rPr>
                <w:rFonts w:hint="eastAsia"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lang w:val="en-US" w:eastAsia="zh-CN"/>
              </w:rPr>
              <w:t>月</w:t>
            </w:r>
            <w:r>
              <w:rPr>
                <w:rFonts w:hint="eastAsia" w:ascii="Times New Roman" w:hAnsi="Times New Roman" w:cs="Times New Roman"/>
                <w:sz w:val="21"/>
                <w:szCs w:val="21"/>
                <w:lang w:val="en-US" w:eastAsia="zh-CN"/>
              </w:rPr>
              <w:t>12</w:t>
            </w:r>
            <w:r>
              <w:rPr>
                <w:rFonts w:hint="default" w:ascii="Times New Roman" w:hAnsi="Times New Roman" w:cs="Times New Roman"/>
                <w:sz w:val="21"/>
                <w:szCs w:val="21"/>
                <w:lang w:val="en-US" w:eastAsia="zh-CN"/>
              </w:rPr>
              <w:t>日</w:t>
            </w:r>
          </w:p>
        </w:tc>
        <w:tc>
          <w:tcPr>
            <w:tcW w:w="1046" w:type="dxa"/>
            <w:vMerge w:val="restart"/>
            <w:noWrap w:val="0"/>
            <w:vAlign w:val="center"/>
          </w:tcPr>
          <w:p>
            <w:pPr>
              <w:jc w:val="center"/>
              <w:rPr>
                <w:rFonts w:hint="default" w:ascii="Times New Roman" w:hAnsi="Times New Roman" w:cs="Times New Roman"/>
                <w:kern w:val="2"/>
                <w:sz w:val="21"/>
                <w:szCs w:val="21"/>
                <w:lang w:val="en-US" w:eastAsia="zh-CN" w:bidi="ar-SA"/>
              </w:rPr>
            </w:pPr>
            <w:r>
              <w:rPr>
                <w:rFonts w:hint="eastAsia" w:ascii="Times New Roman" w:hAnsi="Times New Roman" w:cs="Times New Roman"/>
                <w:sz w:val="21"/>
                <w:szCs w:val="21"/>
                <w:lang w:val="en-US" w:eastAsia="zh-CN"/>
              </w:rPr>
              <w:t>D1</w:t>
            </w: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烟气流速</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m/s</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13.9</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14.4</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default" w:ascii="Times New Roman" w:hAnsi="Times New Roman" w:cs="Times New Roman"/>
                <w:sz w:val="21"/>
                <w:szCs w:val="21"/>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烟气流量</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1.37</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1.41</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1.39</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default" w:ascii="Times New Roman" w:hAnsi="Times New Roman" w:cs="Times New Roman"/>
                <w:sz w:val="21"/>
                <w:szCs w:val="21"/>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实测浓度</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28.3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28.4</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restart"/>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FQ1</w:t>
            </w: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烟气流速</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m/s</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13.5</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13.6</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default" w:ascii="Times New Roman" w:hAnsi="Times New Roman" w:cs="Times New Roman"/>
                <w:sz w:val="21"/>
                <w:szCs w:val="21"/>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烟气流量</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1.31</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1.32</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1.29</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default" w:ascii="Times New Roman" w:hAnsi="Times New Roman" w:cs="Times New Roman"/>
                <w:sz w:val="21"/>
                <w:szCs w:val="21"/>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实测浓度</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7.4</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8.5</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default" w:ascii="Times New Roman" w:hAnsi="Times New Roman" w:cs="Times New Roman"/>
                <w:sz w:val="21"/>
                <w:szCs w:val="21"/>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排放浓度</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7.4</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8.5</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jc w:val="center"/>
              <w:rPr>
                <w:rFonts w:hint="eastAsia" w:ascii="Times New Roman" w:hAnsi="Times New Roman" w:cs="Times New Roman"/>
                <w:sz w:val="21"/>
                <w:szCs w:val="21"/>
                <w:lang w:val="en-US" w:eastAsia="zh-CN"/>
              </w:rPr>
            </w:pPr>
          </w:p>
        </w:tc>
        <w:tc>
          <w:tcPr>
            <w:tcW w:w="1046" w:type="dxa"/>
            <w:vMerge w:val="continue"/>
            <w:noWrap w:val="0"/>
            <w:vAlign w:val="center"/>
          </w:tcPr>
          <w:p>
            <w:pPr>
              <w:jc w:val="center"/>
              <w:rPr>
                <w:rFonts w:hint="default" w:ascii="Times New Roman" w:hAnsi="Times New Roman" w:cs="Times New Roman"/>
                <w:sz w:val="21"/>
                <w:szCs w:val="21"/>
              </w:rPr>
            </w:pPr>
          </w:p>
        </w:tc>
        <w:tc>
          <w:tcPr>
            <w:tcW w:w="2529"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eastAsia="zh-CN"/>
              </w:rPr>
              <w:t>颗粒物</w:t>
            </w:r>
            <w:r>
              <w:rPr>
                <w:rFonts w:hint="default" w:ascii="Times New Roman" w:hAnsi="Times New Roman" w:cs="Times New Roman"/>
                <w:sz w:val="21"/>
                <w:szCs w:val="21"/>
              </w:rPr>
              <w:t>排放速率</w:t>
            </w:r>
          </w:p>
        </w:tc>
        <w:tc>
          <w:tcPr>
            <w:tcW w:w="990"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kg/h</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9.69</w:t>
            </w:r>
            <w:r>
              <w:rPr>
                <w:sz w:val="21"/>
                <w:szCs w:val="21"/>
              </w:rPr>
              <w:t>×10</w:t>
            </w:r>
            <w:r>
              <w:rPr>
                <w:rFonts w:hint="eastAsia"/>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1.12</w:t>
            </w:r>
            <w:r>
              <w:rPr>
                <w:sz w:val="21"/>
                <w:szCs w:val="21"/>
              </w:rPr>
              <w:t>×10</w:t>
            </w:r>
            <w:r>
              <w:rPr>
                <w:rFonts w:hint="eastAsia"/>
                <w:sz w:val="21"/>
                <w:szCs w:val="21"/>
                <w:vertAlign w:val="superscript"/>
                <w:lang w:val="en-US" w:eastAsia="zh-CN"/>
              </w:rPr>
              <w:t>-2</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1.04</w:t>
            </w:r>
            <w:r>
              <w:rPr>
                <w:sz w:val="21"/>
                <w:szCs w:val="21"/>
              </w:rPr>
              <w:t>×10</w:t>
            </w:r>
            <w:r>
              <w:rPr>
                <w:rFonts w:hint="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70" w:type="dxa"/>
            <w:gridSpan w:val="2"/>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参考标准限值</w:t>
            </w:r>
          </w:p>
        </w:tc>
        <w:tc>
          <w:tcPr>
            <w:tcW w:w="7083" w:type="dxa"/>
            <w:gridSpan w:val="5"/>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颗粒物：</w:t>
            </w:r>
            <w:r>
              <w:rPr>
                <w:rFonts w:hint="eastAsia" w:eastAsia="宋体"/>
                <w:sz w:val="21"/>
                <w:szCs w:val="21"/>
                <w:lang w:val="en-US" w:eastAsia="zh-CN"/>
              </w:rPr>
              <w:t>100</w:t>
            </w:r>
            <w:r>
              <w:rPr>
                <w:rFonts w:hint="default" w:eastAsia="宋体"/>
                <w:sz w:val="21"/>
                <w:szCs w:val="21"/>
                <w:lang w:val="en-US" w:eastAsia="zh-CN"/>
              </w:rPr>
              <w:t xml:space="preserve"> mg/m</w:t>
            </w:r>
            <w:r>
              <w:rPr>
                <w:rFonts w:hint="default" w:eastAsia="宋体"/>
                <w:sz w:val="21"/>
                <w:szCs w:val="21"/>
                <w:vertAlign w:val="superscript"/>
                <w:lang w:val="en-US" w:eastAsia="zh-CN"/>
              </w:rPr>
              <w:t>3</w:t>
            </w:r>
            <w:r>
              <w:rPr>
                <w:rFonts w:hint="eastAsia" w:eastAsia="宋体"/>
                <w:sz w:val="21"/>
                <w:szCs w:val="21"/>
                <w:lang w:val="en-US" w:eastAsia="zh-CN"/>
              </w:rPr>
              <w:t xml:space="preserve">，3.50 </w:t>
            </w:r>
            <w:r>
              <w:rPr>
                <w:rFonts w:hint="default" w:eastAsia="宋体"/>
                <w:sz w:val="21"/>
                <w:szCs w:val="21"/>
                <w:lang w:val="en-US" w:eastAsia="zh-CN"/>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70" w:type="dxa"/>
            <w:gridSpan w:val="2"/>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参考标准依据</w:t>
            </w:r>
          </w:p>
        </w:tc>
        <w:tc>
          <w:tcPr>
            <w:tcW w:w="7083" w:type="dxa"/>
            <w:gridSpan w:val="5"/>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w:t>
            </w:r>
            <w:r>
              <w:rPr>
                <w:rFonts w:hint="eastAsia" w:eastAsia="宋体"/>
                <w:sz w:val="21"/>
                <w:szCs w:val="21"/>
                <w:lang w:val="en-US" w:eastAsia="zh-CN"/>
              </w:rPr>
              <w:t>家具制造业大气污染物</w:t>
            </w:r>
            <w:r>
              <w:rPr>
                <w:rFonts w:hint="default" w:eastAsia="宋体"/>
                <w:sz w:val="21"/>
                <w:szCs w:val="21"/>
                <w:lang w:val="en-US" w:eastAsia="zh-CN"/>
              </w:rPr>
              <w:t>排放标准》（</w:t>
            </w:r>
            <w:r>
              <w:rPr>
                <w:rFonts w:hint="eastAsia" w:eastAsia="宋体"/>
                <w:sz w:val="21"/>
                <w:szCs w:val="21"/>
                <w:lang w:val="en-US" w:eastAsia="zh-CN"/>
              </w:rPr>
              <w:t>DB 50/757-2017</w:t>
            </w:r>
            <w:r>
              <w:rPr>
                <w:rFonts w:hint="default" w:eastAsia="宋体"/>
                <w:sz w:val="21"/>
                <w:szCs w:val="21"/>
                <w:lang w:val="en-US" w:eastAsia="zh-CN"/>
              </w:rPr>
              <w:t>）</w:t>
            </w:r>
            <w:r>
              <w:rPr>
                <w:rFonts w:hint="eastAsia" w:eastAsia="宋体"/>
                <w:sz w:val="21"/>
                <w:szCs w:val="21"/>
                <w:lang w:val="en-US" w:eastAsia="zh-CN"/>
              </w:rPr>
              <w:t>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70" w:type="dxa"/>
            <w:gridSpan w:val="2"/>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检测结论</w:t>
            </w:r>
          </w:p>
        </w:tc>
        <w:tc>
          <w:tcPr>
            <w:tcW w:w="7083" w:type="dxa"/>
            <w:gridSpan w:val="5"/>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本次检测，</w:t>
            </w:r>
            <w:r>
              <w:rPr>
                <w:rFonts w:hint="eastAsia" w:eastAsia="宋体"/>
                <w:sz w:val="21"/>
                <w:szCs w:val="21"/>
                <w:lang w:val="en-US" w:eastAsia="zh-CN"/>
              </w:rPr>
              <w:t>1#排气筒进</w:t>
            </w:r>
            <w:r>
              <w:rPr>
                <w:rFonts w:hint="default" w:eastAsia="宋体"/>
                <w:sz w:val="21"/>
                <w:szCs w:val="21"/>
                <w:lang w:val="en-US" w:eastAsia="zh-CN"/>
              </w:rPr>
              <w:t>口（FQ1）：颗粒物的检测结果达标</w:t>
            </w:r>
          </w:p>
        </w:tc>
      </w:tr>
    </w:tbl>
    <w:p>
      <w:pPr>
        <w:spacing w:line="240" w:lineRule="auto"/>
        <w:jc w:val="both"/>
        <w:rPr>
          <w:b/>
          <w:bCs/>
          <w:sz w:val="21"/>
          <w:szCs w:val="21"/>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b/>
          <w:sz w:val="24"/>
        </w:rPr>
      </w:pPr>
      <w:r>
        <w:rPr>
          <w:b/>
          <w:bCs/>
          <w:sz w:val="21"/>
          <w:szCs w:val="21"/>
        </w:rPr>
        <w:t>表</w:t>
      </w:r>
      <w:r>
        <w:rPr>
          <w:rFonts w:hint="eastAsia"/>
          <w:b/>
          <w:bCs/>
          <w:sz w:val="21"/>
          <w:szCs w:val="21"/>
        </w:rPr>
        <w:t>9-</w:t>
      </w:r>
      <w:r>
        <w:rPr>
          <w:rFonts w:hint="eastAsia"/>
          <w:b/>
          <w:bCs/>
          <w:sz w:val="21"/>
          <w:szCs w:val="21"/>
          <w:lang w:val="en-US" w:eastAsia="zh-CN"/>
        </w:rPr>
        <w:t xml:space="preserve">3 </w:t>
      </w:r>
      <w:r>
        <w:rPr>
          <w:b/>
          <w:bCs/>
          <w:sz w:val="21"/>
          <w:szCs w:val="21"/>
        </w:rPr>
        <w:t xml:space="preserve"> </w:t>
      </w:r>
      <w:r>
        <w:rPr>
          <w:rFonts w:hint="eastAsia" w:eastAsia="宋体"/>
          <w:b/>
          <w:bCs/>
          <w:sz w:val="21"/>
          <w:szCs w:val="21"/>
          <w:lang w:val="en-US" w:eastAsia="zh-CN"/>
        </w:rPr>
        <w:t>2#排气筒进、出</w:t>
      </w:r>
      <w:r>
        <w:rPr>
          <w:rFonts w:eastAsia="宋体"/>
          <w:b/>
          <w:bCs/>
          <w:sz w:val="21"/>
          <w:szCs w:val="21"/>
        </w:rPr>
        <w:t>口（</w:t>
      </w:r>
      <w:r>
        <w:rPr>
          <w:rFonts w:hint="eastAsia" w:eastAsia="宋体"/>
          <w:b/>
          <w:bCs/>
          <w:sz w:val="21"/>
          <w:szCs w:val="21"/>
          <w:lang w:val="en-US" w:eastAsia="zh-CN"/>
        </w:rPr>
        <w:t>D2、</w:t>
      </w:r>
      <w:r>
        <w:rPr>
          <w:rFonts w:eastAsia="宋体"/>
          <w:b/>
          <w:bCs/>
          <w:sz w:val="21"/>
          <w:szCs w:val="21"/>
        </w:rPr>
        <w:t>FQ</w:t>
      </w:r>
      <w:r>
        <w:rPr>
          <w:rFonts w:hint="eastAsia" w:eastAsia="宋体"/>
          <w:b/>
          <w:bCs/>
          <w:sz w:val="21"/>
          <w:szCs w:val="21"/>
          <w:lang w:val="en-US" w:eastAsia="zh-CN"/>
        </w:rPr>
        <w:t>2</w:t>
      </w:r>
      <w:r>
        <w:rPr>
          <w:rFonts w:eastAsia="宋体"/>
          <w:b/>
          <w:bCs/>
          <w:sz w:val="21"/>
          <w:szCs w:val="21"/>
        </w:rPr>
        <w:t>）</w:t>
      </w:r>
      <w:r>
        <w:rPr>
          <w:rFonts w:hint="eastAsia" w:eastAsia="宋体"/>
          <w:b/>
          <w:bCs/>
          <w:sz w:val="21"/>
          <w:szCs w:val="21"/>
          <w:lang w:val="en-US" w:eastAsia="zh-CN"/>
        </w:rPr>
        <w:t>废气检测结</w:t>
      </w:r>
      <w:r>
        <w:rPr>
          <w:rFonts w:hint="default" w:eastAsia="宋体"/>
          <w:b/>
          <w:bCs/>
          <w:sz w:val="21"/>
          <w:szCs w:val="21"/>
        </w:rPr>
        <w:t>果一览表</w:t>
      </w:r>
    </w:p>
    <w:p>
      <w:pPr>
        <w:spacing w:line="240" w:lineRule="auto"/>
        <w:rPr>
          <w:rFonts w:hint="eastAsia" w:ascii="Times New Roman" w:hAnsi="Times New Roman" w:eastAsia="宋体" w:cs="Times New Roman"/>
          <w:color w:val="000000"/>
          <w:sz w:val="21"/>
          <w:szCs w:val="21"/>
          <w:vertAlign w:val="baseline"/>
          <w:lang w:eastAsia="zh-CN"/>
        </w:rPr>
      </w:pPr>
      <w:r>
        <w:rPr>
          <w:rFonts w:hint="default" w:ascii="Times New Roman" w:hAnsi="Times New Roman" w:cs="Times New Roman"/>
          <w:color w:val="auto"/>
          <w:sz w:val="21"/>
          <w:szCs w:val="21"/>
        </w:rPr>
        <w:t>烟囱高度：</w:t>
      </w:r>
      <w:r>
        <w:rPr>
          <w:rFonts w:hint="eastAsia" w:ascii="Times New Roman" w:hAnsi="Times New Roman" w:cs="Times New Roman"/>
          <w:color w:val="auto"/>
          <w:sz w:val="21"/>
          <w:szCs w:val="21"/>
          <w:lang w:val="en-US" w:eastAsia="zh-CN"/>
        </w:rPr>
        <w:t xml:space="preserve">15 </w:t>
      </w:r>
      <w:r>
        <w:rPr>
          <w:rFonts w:hint="default" w:ascii="Times New Roman" w:hAnsi="Times New Roman" w:cs="Times New Roman"/>
          <w:color w:val="auto"/>
          <w:sz w:val="21"/>
          <w:szCs w:val="21"/>
        </w:rPr>
        <w:t xml:space="preserve">m </w:t>
      </w:r>
      <w:r>
        <w:rPr>
          <w:rFonts w:hint="default" w:ascii="Times New Roman" w:hAnsi="Times New Roman" w:cs="Times New Roman"/>
          <w:color w:val="000000"/>
          <w:sz w:val="21"/>
          <w:szCs w:val="21"/>
        </w:rPr>
        <w:t xml:space="preserve">           </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rPr>
        <w:t xml:space="preserve">                      </w:t>
      </w:r>
      <w:r>
        <w:rPr>
          <w:rFonts w:hint="eastAsia" w:ascii="Times New Roman" w:hAnsi="Times New Roman" w:cs="Times New Roman"/>
          <w:color w:val="000000"/>
          <w:sz w:val="21"/>
          <w:szCs w:val="21"/>
          <w:lang w:val="en-US" w:eastAsia="zh-CN"/>
        </w:rPr>
        <w:t xml:space="preserve">              </w:t>
      </w:r>
      <w:r>
        <w:rPr>
          <w:rFonts w:hint="default" w:ascii="Times New Roman" w:hAnsi="Times New Roman" w:cs="Times New Roman"/>
          <w:color w:val="000000"/>
          <w:sz w:val="21"/>
          <w:szCs w:val="21"/>
        </w:rPr>
        <w:t>烟道截面积</w:t>
      </w:r>
      <w:r>
        <w:rPr>
          <w:rFonts w:hint="eastAsia" w:ascii="Times New Roman" w:hAnsi="Times New Roman" w:cs="Times New Roman"/>
          <w:color w:val="000000"/>
          <w:sz w:val="21"/>
          <w:szCs w:val="21"/>
          <w:lang w:eastAsia="zh-CN"/>
        </w:rPr>
        <w:t>均为</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lang w:val="en-US" w:eastAsia="zh-CN"/>
        </w:rPr>
        <w:t>0.1600</w:t>
      </w:r>
      <w:r>
        <w:rPr>
          <w:rFonts w:hint="default" w:ascii="Times New Roman" w:hAnsi="Times New Roman" w:cs="Times New Roman"/>
          <w:color w:val="000000"/>
          <w:sz w:val="21"/>
          <w:szCs w:val="21"/>
        </w:rPr>
        <w:t xml:space="preserve"> m</w:t>
      </w:r>
      <w:r>
        <w:rPr>
          <w:rFonts w:hint="default" w:ascii="Times New Roman" w:hAnsi="Times New Roman" w:cs="Times New Roman"/>
          <w:color w:val="000000"/>
          <w:sz w:val="21"/>
          <w:szCs w:val="21"/>
          <w:vertAlign w:val="superscript"/>
        </w:rPr>
        <w:t>2</w:t>
      </w:r>
    </w:p>
    <w:tbl>
      <w:tblPr>
        <w:tblStyle w:val="22"/>
        <w:tblW w:w="92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24"/>
        <w:gridCol w:w="1046"/>
        <w:gridCol w:w="2224"/>
        <w:gridCol w:w="1295"/>
        <w:gridCol w:w="1188"/>
        <w:gridCol w:w="118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noWrap w:val="0"/>
            <w:vAlign w:val="center"/>
          </w:tcPr>
          <w:p>
            <w:pPr>
              <w:widowControl/>
              <w:adjustRightInd w:val="0"/>
              <w:snapToGrid w:val="0"/>
              <w:ind w:left="-113" w:leftChars="0" w:right="-113" w:rightChars="0"/>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采样时间</w:t>
            </w:r>
          </w:p>
        </w:tc>
        <w:tc>
          <w:tcPr>
            <w:tcW w:w="1046" w:type="dxa"/>
            <w:noWrap w:val="0"/>
            <w:vAlign w:val="center"/>
          </w:tcPr>
          <w:p>
            <w:pPr>
              <w:widowControl/>
              <w:adjustRightInd w:val="0"/>
              <w:snapToGrid w:val="0"/>
              <w:ind w:left="-113" w:right="-113"/>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检测点位</w:t>
            </w:r>
          </w:p>
        </w:tc>
        <w:tc>
          <w:tcPr>
            <w:tcW w:w="2224" w:type="dxa"/>
            <w:noWrap w:val="0"/>
            <w:vAlign w:val="center"/>
          </w:tcPr>
          <w:p>
            <w:pPr>
              <w:widowControl/>
              <w:adjustRightInd w:val="0"/>
              <w:snapToGrid w:val="0"/>
              <w:ind w:left="-113" w:right="-113"/>
              <w:jc w:val="center"/>
              <w:rPr>
                <w:rFonts w:hint="default" w:ascii="Times New Roman" w:hAnsi="Times New Roman" w:eastAsia="宋体" w:cs="Times New Roman"/>
                <w:b/>
                <w:color w:val="000000"/>
                <w:spacing w:val="-2"/>
                <w:w w:val="90"/>
                <w:kern w:val="0"/>
                <w:sz w:val="21"/>
                <w:szCs w:val="21"/>
                <w:lang w:val="en-US" w:eastAsia="zh-CN" w:bidi="ar-SA"/>
              </w:rPr>
            </w:pPr>
            <w:r>
              <w:rPr>
                <w:rFonts w:hint="default" w:ascii="Times New Roman" w:hAnsi="Times New Roman" w:eastAsia="宋体" w:cs="Times New Roman"/>
                <w:b/>
                <w:color w:val="000000"/>
                <w:spacing w:val="-2"/>
                <w:w w:val="90"/>
                <w:kern w:val="0"/>
                <w:sz w:val="21"/>
                <w:szCs w:val="21"/>
                <w:lang w:val="en-US" w:eastAsia="zh-CN" w:bidi="ar-SA"/>
              </w:rPr>
              <w:t>检测项目</w:t>
            </w:r>
          </w:p>
        </w:tc>
        <w:tc>
          <w:tcPr>
            <w:tcW w:w="1295" w:type="dxa"/>
            <w:noWrap w:val="0"/>
            <w:vAlign w:val="center"/>
          </w:tcPr>
          <w:p>
            <w:pPr>
              <w:pStyle w:val="53"/>
              <w:ind w:left="0"/>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单位</w:t>
            </w:r>
          </w:p>
        </w:tc>
        <w:tc>
          <w:tcPr>
            <w:tcW w:w="1188" w:type="dxa"/>
            <w:noWrap w:val="0"/>
            <w:vAlign w:val="center"/>
          </w:tcPr>
          <w:p>
            <w:pPr>
              <w:pStyle w:val="53"/>
              <w:ind w:left="0"/>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第一次</w:t>
            </w:r>
          </w:p>
        </w:tc>
        <w:tc>
          <w:tcPr>
            <w:tcW w:w="1188" w:type="dxa"/>
            <w:noWrap w:val="0"/>
            <w:vAlign w:val="center"/>
          </w:tcPr>
          <w:p>
            <w:pPr>
              <w:pStyle w:val="53"/>
              <w:ind w:left="0"/>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第二次</w:t>
            </w:r>
          </w:p>
        </w:tc>
        <w:tc>
          <w:tcPr>
            <w:tcW w:w="1188" w:type="dxa"/>
            <w:noWrap w:val="0"/>
            <w:vAlign w:val="center"/>
          </w:tcPr>
          <w:p>
            <w:pPr>
              <w:pStyle w:val="53"/>
              <w:ind w:left="0"/>
              <w:rPr>
                <w:rFonts w:hint="default" w:ascii="Times New Roman" w:hAnsi="Times New Roman" w:eastAsia="宋体" w:cs="Times New Roman"/>
                <w:b/>
                <w:kern w:val="0"/>
                <w:sz w:val="21"/>
                <w:szCs w:val="21"/>
              </w:rPr>
            </w:pPr>
            <w:r>
              <w:rPr>
                <w:rFonts w:hint="default" w:ascii="Times New Roman" w:hAnsi="Times New Roman" w:eastAsia="宋体" w:cs="Times New Roman"/>
                <w:b/>
                <w:kern w:val="0"/>
                <w:sz w:val="21"/>
                <w:szCs w:val="21"/>
              </w:rPr>
              <w:t>第三次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restar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5</w:t>
            </w:r>
            <w:r>
              <w:rPr>
                <w:rFonts w:hint="default" w:eastAsia="宋体"/>
                <w:sz w:val="21"/>
                <w:szCs w:val="21"/>
                <w:lang w:val="en-US" w:eastAsia="zh-CN"/>
              </w:rPr>
              <w:t>月</w:t>
            </w:r>
            <w:r>
              <w:rPr>
                <w:rFonts w:hint="eastAsia" w:eastAsia="宋体"/>
                <w:sz w:val="21"/>
                <w:szCs w:val="21"/>
                <w:lang w:val="en-US" w:eastAsia="zh-CN"/>
              </w:rPr>
              <w:t>11</w:t>
            </w:r>
            <w:r>
              <w:rPr>
                <w:rFonts w:hint="default" w:eastAsia="宋体"/>
                <w:sz w:val="21"/>
                <w:szCs w:val="21"/>
                <w:lang w:val="en-US" w:eastAsia="zh-CN"/>
              </w:rPr>
              <w:t>日</w:t>
            </w:r>
          </w:p>
        </w:tc>
        <w:tc>
          <w:tcPr>
            <w:tcW w:w="1046" w:type="dxa"/>
            <w:vMerge w:val="restar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D2</w:t>
            </w: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烟气流速</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m/s</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11.7</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12.1</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eastAsia"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烟气流量</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5.79</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5.97</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5.64</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eastAsia"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颗粒物实测浓度</w:t>
            </w:r>
          </w:p>
        </w:tc>
        <w:tc>
          <w:tcPr>
            <w:tcW w:w="1295"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18.1</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17.8</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eastAsia"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非甲烷总烃</w:t>
            </w:r>
            <w:r>
              <w:rPr>
                <w:rFonts w:hint="default" w:eastAsia="宋体"/>
                <w:sz w:val="21"/>
                <w:szCs w:val="21"/>
                <w:lang w:val="en-US" w:eastAsia="zh-CN"/>
              </w:rPr>
              <w:t>实测浓度</w:t>
            </w:r>
          </w:p>
        </w:tc>
        <w:tc>
          <w:tcPr>
            <w:tcW w:w="1295" w:type="dxa"/>
            <w:noWrap w:val="0"/>
            <w:vAlign w:val="center"/>
          </w:tcPr>
          <w:p>
            <w:pPr>
              <w:jc w:val="center"/>
              <w:rPr>
                <w:rFonts w:hint="default" w:ascii="Times New Roman" w:hAnsi="Times New Roman" w:cs="Times New Roman"/>
                <w:sz w:val="21"/>
                <w:szCs w:val="21"/>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5.15</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5.00</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eastAsia"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二甲苯</w:t>
            </w:r>
            <w:r>
              <w:rPr>
                <w:rFonts w:hint="default" w:eastAsia="宋体"/>
                <w:sz w:val="21"/>
                <w:szCs w:val="21"/>
                <w:lang w:val="en-US" w:eastAsia="zh-CN"/>
              </w:rPr>
              <w:t>实测浓度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restar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5</w:t>
            </w:r>
            <w:r>
              <w:rPr>
                <w:rFonts w:hint="default" w:eastAsia="宋体"/>
                <w:sz w:val="21"/>
                <w:szCs w:val="21"/>
                <w:lang w:val="en-US" w:eastAsia="zh-CN"/>
              </w:rPr>
              <w:t>月</w:t>
            </w:r>
            <w:r>
              <w:rPr>
                <w:rFonts w:hint="eastAsia" w:eastAsia="宋体"/>
                <w:sz w:val="21"/>
                <w:szCs w:val="21"/>
                <w:lang w:val="en-US" w:eastAsia="zh-CN"/>
              </w:rPr>
              <w:t>11</w:t>
            </w:r>
            <w:r>
              <w:rPr>
                <w:rFonts w:hint="default" w:eastAsia="宋体"/>
                <w:sz w:val="21"/>
                <w:szCs w:val="21"/>
                <w:lang w:val="en-US" w:eastAsia="zh-CN"/>
              </w:rPr>
              <w:t>日</w:t>
            </w:r>
          </w:p>
        </w:tc>
        <w:tc>
          <w:tcPr>
            <w:tcW w:w="1046" w:type="dxa"/>
            <w:vMerge w:val="restar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FQ2</w:t>
            </w: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烟气流速</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m/s</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11.1</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eastAsia"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烟气流量</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5.47</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5.55</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5.34</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eastAsia"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颗粒物实测浓度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9.5</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9.8</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default"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颗粒物排放浓度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9.5</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9.8</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颗粒物排放速率</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kg/h</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5.20</w:t>
            </w:r>
            <w:r>
              <w:rPr>
                <w:sz w:val="21"/>
                <w:szCs w:val="21"/>
              </w:rPr>
              <w:t>×10</w:t>
            </w:r>
            <w:r>
              <w:rPr>
                <w:rFonts w:hint="eastAsia"/>
                <w:sz w:val="21"/>
                <w:szCs w:val="21"/>
                <w:vertAlign w:val="superscript"/>
                <w:lang w:val="en-US" w:eastAsia="zh-CN"/>
              </w:rPr>
              <w:t>-2</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5.44</w:t>
            </w:r>
            <w:r>
              <w:rPr>
                <w:sz w:val="21"/>
                <w:szCs w:val="21"/>
              </w:rPr>
              <w:t>×10</w:t>
            </w:r>
            <w:r>
              <w:rPr>
                <w:rFonts w:hint="eastAsia"/>
                <w:sz w:val="21"/>
                <w:szCs w:val="21"/>
                <w:vertAlign w:val="superscript"/>
                <w:lang w:val="en-US" w:eastAsia="zh-CN"/>
              </w:rPr>
              <w:t>-2</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5.29</w:t>
            </w:r>
            <w:r>
              <w:rPr>
                <w:sz w:val="21"/>
                <w:szCs w:val="21"/>
              </w:rPr>
              <w:t>×10</w:t>
            </w:r>
            <w:r>
              <w:rPr>
                <w:rFonts w:hint="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非甲烷总烃</w:t>
            </w:r>
            <w:r>
              <w:rPr>
                <w:rFonts w:hint="default" w:eastAsia="宋体"/>
                <w:sz w:val="21"/>
                <w:szCs w:val="21"/>
                <w:lang w:val="en-US" w:eastAsia="zh-CN"/>
              </w:rPr>
              <w:t>实测浓度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1.21</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1.07</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非甲烷总烃</w:t>
            </w:r>
            <w:r>
              <w:rPr>
                <w:rFonts w:hint="default" w:eastAsia="宋体"/>
                <w:sz w:val="21"/>
                <w:szCs w:val="21"/>
                <w:lang w:val="en-US" w:eastAsia="zh-CN"/>
              </w:rPr>
              <w:t>排放浓度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1.21</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1.07</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非甲烷总烃</w:t>
            </w:r>
            <w:r>
              <w:rPr>
                <w:rFonts w:hint="default" w:eastAsia="宋体"/>
                <w:sz w:val="21"/>
                <w:szCs w:val="21"/>
                <w:lang w:val="en-US" w:eastAsia="zh-CN"/>
              </w:rPr>
              <w:t>排放速率</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kg/h</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6.62</w:t>
            </w:r>
            <w:r>
              <w:rPr>
                <w:sz w:val="21"/>
                <w:szCs w:val="21"/>
              </w:rPr>
              <w:t>×10</w:t>
            </w:r>
            <w:r>
              <w:rPr>
                <w:rFonts w:hint="eastAsia"/>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5.94</w:t>
            </w:r>
            <w:r>
              <w:rPr>
                <w:sz w:val="21"/>
                <w:szCs w:val="21"/>
              </w:rPr>
              <w:t>×10</w:t>
            </w:r>
            <w:r>
              <w:rPr>
                <w:rFonts w:hint="eastAsia"/>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5.66</w:t>
            </w:r>
            <w:r>
              <w:rPr>
                <w:sz w:val="21"/>
                <w:szCs w:val="21"/>
              </w:rPr>
              <w:t>×10</w:t>
            </w:r>
            <w:r>
              <w:rPr>
                <w:rFonts w:hint="eastAsia"/>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二甲苯</w:t>
            </w:r>
            <w:r>
              <w:rPr>
                <w:rFonts w:hint="default" w:eastAsia="宋体"/>
                <w:sz w:val="21"/>
                <w:szCs w:val="21"/>
                <w:lang w:val="en-US" w:eastAsia="zh-CN"/>
              </w:rPr>
              <w:t>实测浓度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二甲苯</w:t>
            </w:r>
            <w:r>
              <w:rPr>
                <w:rFonts w:hint="default" w:eastAsia="宋体"/>
                <w:sz w:val="21"/>
                <w:szCs w:val="21"/>
                <w:lang w:val="en-US" w:eastAsia="zh-CN"/>
              </w:rPr>
              <w:t>排放浓度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二甲苯</w:t>
            </w:r>
            <w:r>
              <w:rPr>
                <w:rFonts w:hint="default" w:eastAsia="宋体"/>
                <w:sz w:val="21"/>
                <w:szCs w:val="21"/>
                <w:lang w:val="en-US" w:eastAsia="zh-CN"/>
              </w:rPr>
              <w:t>排放速率</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kg/h</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eastAsia="宋体"/>
                <w:sz w:val="21"/>
                <w:szCs w:val="21"/>
                <w:lang w:val="en-US" w:eastAsia="zh-CN"/>
              </w:rPr>
              <w:t>N</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N</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restart"/>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5</w:t>
            </w:r>
            <w:r>
              <w:rPr>
                <w:rFonts w:hint="default" w:eastAsia="宋体"/>
                <w:sz w:val="21"/>
                <w:szCs w:val="21"/>
                <w:lang w:val="en-US" w:eastAsia="zh-CN"/>
              </w:rPr>
              <w:t>月</w:t>
            </w:r>
            <w:r>
              <w:rPr>
                <w:rFonts w:hint="eastAsia" w:eastAsia="宋体"/>
                <w:sz w:val="21"/>
                <w:szCs w:val="21"/>
                <w:lang w:val="en-US" w:eastAsia="zh-CN"/>
              </w:rPr>
              <w:t>12</w:t>
            </w:r>
            <w:r>
              <w:rPr>
                <w:rFonts w:hint="default" w:eastAsia="宋体"/>
                <w:sz w:val="21"/>
                <w:szCs w:val="21"/>
                <w:lang w:val="en-US" w:eastAsia="zh-CN"/>
              </w:rPr>
              <w:t>日</w:t>
            </w:r>
          </w:p>
        </w:tc>
        <w:tc>
          <w:tcPr>
            <w:tcW w:w="1046" w:type="dxa"/>
            <w:vMerge w:val="restar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D2</w:t>
            </w: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烟气流速</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m/s</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11.2</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11.9</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烟气流量</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5.56</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5.87</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5.77</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颗粒物实测浓度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18.6</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17.2</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非甲烷总烃</w:t>
            </w:r>
            <w:r>
              <w:rPr>
                <w:rFonts w:hint="default" w:eastAsia="宋体"/>
                <w:sz w:val="21"/>
                <w:szCs w:val="21"/>
                <w:lang w:val="en-US" w:eastAsia="zh-CN"/>
              </w:rPr>
              <w:t>实测浓度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5.70</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5.70</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二甲苯</w:t>
            </w:r>
            <w:r>
              <w:rPr>
                <w:rFonts w:hint="default" w:eastAsia="宋体"/>
                <w:sz w:val="21"/>
                <w:szCs w:val="21"/>
                <w:lang w:val="en-US" w:eastAsia="zh-CN"/>
              </w:rPr>
              <w:t>实测浓度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restart"/>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FQ2</w:t>
            </w: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烟气流速</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m/s</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10.9</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11.2</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烟气流量</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w:t>
            </w:r>
            <w:r>
              <w:rPr>
                <w:rFonts w:hint="default" w:ascii="Times New Roman" w:hAnsi="Times New Roman" w:cs="Times New Roman"/>
                <w:sz w:val="21"/>
                <w:szCs w:val="21"/>
                <w:vertAlign w:val="superscript"/>
              </w:rPr>
              <w:t>3</w:t>
            </w:r>
            <w:r>
              <w:rPr>
                <w:rFonts w:hint="default" w:ascii="Times New Roman" w:hAnsi="Times New Roman" w:cs="Times New Roman"/>
                <w:sz w:val="21"/>
                <w:szCs w:val="21"/>
              </w:rPr>
              <w:t>/h</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5.37</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5.50</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5.60</w:t>
            </w:r>
            <w:r>
              <w:rPr>
                <w:rFonts w:hint="default" w:ascii="Times New Roman" w:hAnsi="Times New Roman" w:cs="Times New Roman"/>
                <w:sz w:val="21"/>
                <w:szCs w:val="21"/>
              </w:rPr>
              <w:t>×10</w:t>
            </w:r>
            <w:r>
              <w:rPr>
                <w:rFonts w:hint="eastAsia" w:ascii="Times New Roman" w:hAnsi="Times New Roman" w:cs="Times New Roman"/>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颗粒物实测浓度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9.6</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8.9</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颗粒物排放浓度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9.6</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8.9</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颗粒物排放速率</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kg/h</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5.16</w:t>
            </w:r>
            <w:r>
              <w:rPr>
                <w:sz w:val="21"/>
                <w:szCs w:val="21"/>
              </w:rPr>
              <w:t>×10</w:t>
            </w:r>
            <w:r>
              <w:rPr>
                <w:rFonts w:hint="eastAsia"/>
                <w:sz w:val="21"/>
                <w:szCs w:val="21"/>
                <w:vertAlign w:val="superscript"/>
                <w:lang w:val="en-US" w:eastAsia="zh-CN"/>
              </w:rPr>
              <w:t>-2</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4.90</w:t>
            </w:r>
            <w:r>
              <w:rPr>
                <w:sz w:val="21"/>
                <w:szCs w:val="21"/>
              </w:rPr>
              <w:t>×10</w:t>
            </w:r>
            <w:r>
              <w:rPr>
                <w:rFonts w:hint="eastAsia"/>
                <w:sz w:val="21"/>
                <w:szCs w:val="21"/>
                <w:vertAlign w:val="superscript"/>
                <w:lang w:val="en-US" w:eastAsia="zh-CN"/>
              </w:rPr>
              <w:t>-2</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5.43</w:t>
            </w:r>
            <w:r>
              <w:rPr>
                <w:sz w:val="21"/>
                <w:szCs w:val="21"/>
              </w:rPr>
              <w:t>×10</w:t>
            </w:r>
            <w:r>
              <w:rPr>
                <w:rFonts w:hint="eastAsia"/>
                <w:sz w:val="21"/>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非甲烷总烃</w:t>
            </w:r>
            <w:r>
              <w:rPr>
                <w:rFonts w:hint="default" w:eastAsia="宋体"/>
                <w:sz w:val="21"/>
                <w:szCs w:val="21"/>
                <w:lang w:val="en-US" w:eastAsia="zh-CN"/>
              </w:rPr>
              <w:t>实测浓度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1.74</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1.56</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非甲烷总烃</w:t>
            </w:r>
            <w:r>
              <w:rPr>
                <w:rFonts w:hint="default" w:eastAsia="宋体"/>
                <w:sz w:val="21"/>
                <w:szCs w:val="21"/>
                <w:lang w:val="en-US" w:eastAsia="zh-CN"/>
              </w:rPr>
              <w:t>排放浓度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1.74</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1.56</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非甲烷总烃</w:t>
            </w:r>
            <w:r>
              <w:rPr>
                <w:rFonts w:hint="default" w:eastAsia="宋体"/>
                <w:sz w:val="21"/>
                <w:szCs w:val="21"/>
                <w:lang w:val="en-US" w:eastAsia="zh-CN"/>
              </w:rPr>
              <w:t>排放速率</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kg/h</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9.34</w:t>
            </w:r>
            <w:r>
              <w:rPr>
                <w:sz w:val="21"/>
                <w:szCs w:val="21"/>
              </w:rPr>
              <w:t>×10</w:t>
            </w:r>
            <w:r>
              <w:rPr>
                <w:rFonts w:hint="eastAsia"/>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8.58</w:t>
            </w:r>
            <w:r>
              <w:rPr>
                <w:sz w:val="21"/>
                <w:szCs w:val="21"/>
              </w:rPr>
              <w:t>×10</w:t>
            </w:r>
            <w:r>
              <w:rPr>
                <w:rFonts w:hint="eastAsia"/>
                <w:sz w:val="21"/>
                <w:szCs w:val="21"/>
                <w:vertAlign w:val="superscript"/>
                <w:lang w:val="en-US" w:eastAsia="zh-CN"/>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sz w:val="21"/>
                <w:szCs w:val="21"/>
                <w:lang w:val="en-US" w:eastAsia="zh-CN"/>
              </w:rPr>
              <w:t>7.11</w:t>
            </w:r>
            <w:r>
              <w:rPr>
                <w:sz w:val="21"/>
                <w:szCs w:val="21"/>
              </w:rPr>
              <w:t>×10</w:t>
            </w:r>
            <w:r>
              <w:rPr>
                <w:rFonts w:hint="eastAsia"/>
                <w:sz w:val="21"/>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二甲苯</w:t>
            </w:r>
            <w:r>
              <w:rPr>
                <w:rFonts w:hint="default" w:eastAsia="宋体"/>
                <w:sz w:val="21"/>
                <w:szCs w:val="21"/>
                <w:lang w:val="en-US" w:eastAsia="zh-CN"/>
              </w:rPr>
              <w:t>实测浓度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二甲苯</w:t>
            </w:r>
            <w:r>
              <w:rPr>
                <w:rFonts w:hint="default" w:eastAsia="宋体"/>
                <w:sz w:val="21"/>
                <w:szCs w:val="21"/>
                <w:lang w:val="en-US" w:eastAsia="zh-CN"/>
              </w:rPr>
              <w:t>排放浓度</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mg/m</w:t>
            </w:r>
            <w:r>
              <w:rPr>
                <w:rFonts w:hint="default" w:ascii="Times New Roman" w:hAnsi="Times New Roman" w:cs="Times New Roman"/>
                <w:sz w:val="21"/>
                <w:szCs w:val="21"/>
                <w:vertAlign w:val="superscript"/>
              </w:rPr>
              <w:t>3</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0.011L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124" w:type="dxa"/>
            <w:vMerge w:val="continue"/>
            <w:noWrap w:val="0"/>
            <w:vAlign w:val="center"/>
          </w:tcPr>
          <w:p>
            <w:pPr>
              <w:spacing w:line="240" w:lineRule="auto"/>
              <w:jc w:val="center"/>
              <w:rPr>
                <w:rFonts w:hint="eastAsia" w:eastAsia="宋体"/>
                <w:sz w:val="21"/>
                <w:szCs w:val="21"/>
                <w:lang w:val="en-US" w:eastAsia="zh-CN"/>
              </w:rPr>
            </w:pPr>
          </w:p>
        </w:tc>
        <w:tc>
          <w:tcPr>
            <w:tcW w:w="1046" w:type="dxa"/>
            <w:vMerge w:val="continue"/>
            <w:noWrap w:val="0"/>
            <w:vAlign w:val="center"/>
          </w:tcPr>
          <w:p>
            <w:pPr>
              <w:spacing w:line="240" w:lineRule="auto"/>
              <w:jc w:val="center"/>
              <w:rPr>
                <w:rFonts w:hint="default" w:eastAsia="宋体"/>
                <w:sz w:val="21"/>
                <w:szCs w:val="21"/>
                <w:lang w:val="en-US" w:eastAsia="zh-CN"/>
              </w:rPr>
            </w:pPr>
          </w:p>
        </w:tc>
        <w:tc>
          <w:tcPr>
            <w:tcW w:w="2224" w:type="dxa"/>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二甲苯</w:t>
            </w:r>
            <w:r>
              <w:rPr>
                <w:rFonts w:hint="default" w:eastAsia="宋体"/>
                <w:sz w:val="21"/>
                <w:szCs w:val="21"/>
                <w:lang w:val="en-US" w:eastAsia="zh-CN"/>
              </w:rPr>
              <w:t>排放速率</w:t>
            </w:r>
          </w:p>
        </w:tc>
        <w:tc>
          <w:tcPr>
            <w:tcW w:w="1295" w:type="dxa"/>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kg/h</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N</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N</w:t>
            </w:r>
          </w:p>
        </w:tc>
        <w:tc>
          <w:tcPr>
            <w:tcW w:w="1188" w:type="dxa"/>
            <w:noWrap w:val="0"/>
            <w:vAlign w:val="center"/>
          </w:tcPr>
          <w:p>
            <w:pPr>
              <w:jc w:val="center"/>
              <w:rPr>
                <w:rFonts w:hint="default" w:ascii="Times New Roman" w:hAnsi="Times New Roman" w:eastAsia="宋体" w:cs="Times New Roman"/>
                <w:kern w:val="2"/>
                <w:sz w:val="21"/>
                <w:szCs w:val="21"/>
                <w:lang w:val="en-US" w:eastAsia="zh-CN" w:bidi="ar-SA"/>
              </w:rPr>
            </w:pPr>
            <w:r>
              <w:rPr>
                <w:rFonts w:hint="eastAsia" w:eastAsia="宋体"/>
                <w:sz w:val="21"/>
                <w:szCs w:val="21"/>
                <w:lang w:val="en-US" w:eastAsia="zh-CN"/>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70" w:type="dxa"/>
            <w:gridSpan w:val="2"/>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参考标准限值</w:t>
            </w:r>
          </w:p>
        </w:tc>
        <w:tc>
          <w:tcPr>
            <w:tcW w:w="7083" w:type="dxa"/>
            <w:gridSpan w:val="5"/>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颗粒物：</w:t>
            </w:r>
            <w:r>
              <w:rPr>
                <w:rFonts w:hint="eastAsia" w:eastAsia="宋体"/>
                <w:sz w:val="21"/>
                <w:szCs w:val="21"/>
                <w:lang w:val="en-US" w:eastAsia="zh-CN"/>
              </w:rPr>
              <w:t>100</w:t>
            </w:r>
            <w:r>
              <w:rPr>
                <w:rFonts w:hint="default" w:eastAsia="宋体"/>
                <w:sz w:val="21"/>
                <w:szCs w:val="21"/>
                <w:lang w:val="en-US" w:eastAsia="zh-CN"/>
              </w:rPr>
              <w:t xml:space="preserve"> mg/m</w:t>
            </w:r>
            <w:r>
              <w:rPr>
                <w:rFonts w:hint="default" w:eastAsia="宋体"/>
                <w:sz w:val="21"/>
                <w:szCs w:val="21"/>
                <w:vertAlign w:val="superscript"/>
                <w:lang w:val="en-US" w:eastAsia="zh-CN"/>
              </w:rPr>
              <w:t>3</w:t>
            </w:r>
            <w:r>
              <w:rPr>
                <w:rFonts w:hint="eastAsia" w:eastAsia="宋体"/>
                <w:sz w:val="21"/>
                <w:szCs w:val="21"/>
                <w:lang w:val="en-US" w:eastAsia="zh-CN"/>
              </w:rPr>
              <w:t xml:space="preserve">，3.50 </w:t>
            </w:r>
            <w:r>
              <w:rPr>
                <w:rFonts w:hint="default" w:eastAsia="宋体"/>
                <w:sz w:val="21"/>
                <w:szCs w:val="21"/>
                <w:lang w:val="en-US" w:eastAsia="zh-CN"/>
              </w:rPr>
              <w:t>kg/h</w:t>
            </w:r>
            <w:r>
              <w:rPr>
                <w:rFonts w:hint="eastAsia" w:eastAsia="宋体"/>
                <w:sz w:val="21"/>
                <w:szCs w:val="21"/>
                <w:lang w:val="en-US" w:eastAsia="zh-CN"/>
              </w:rPr>
              <w:t>；非甲烷总烃</w:t>
            </w:r>
            <w:r>
              <w:rPr>
                <w:rFonts w:hint="default" w:eastAsia="宋体"/>
                <w:sz w:val="21"/>
                <w:szCs w:val="21"/>
                <w:lang w:val="en-US" w:eastAsia="zh-CN"/>
              </w:rPr>
              <w:t>：</w:t>
            </w:r>
            <w:r>
              <w:rPr>
                <w:rFonts w:hint="eastAsia" w:eastAsia="宋体"/>
                <w:sz w:val="21"/>
                <w:szCs w:val="21"/>
                <w:lang w:val="en-US" w:eastAsia="zh-CN"/>
              </w:rPr>
              <w:t>40</w:t>
            </w:r>
            <w:r>
              <w:rPr>
                <w:rFonts w:hint="default" w:eastAsia="宋体"/>
                <w:sz w:val="21"/>
                <w:szCs w:val="21"/>
                <w:lang w:val="en-US" w:eastAsia="zh-CN"/>
              </w:rPr>
              <w:t xml:space="preserve"> mg/m</w:t>
            </w:r>
            <w:r>
              <w:rPr>
                <w:rFonts w:hint="default" w:eastAsia="宋体"/>
                <w:sz w:val="21"/>
                <w:szCs w:val="21"/>
                <w:vertAlign w:val="superscript"/>
                <w:lang w:val="en-US" w:eastAsia="zh-CN"/>
              </w:rPr>
              <w:t>3</w:t>
            </w:r>
            <w:r>
              <w:rPr>
                <w:rFonts w:hint="eastAsia" w:eastAsia="宋体"/>
                <w:sz w:val="21"/>
                <w:szCs w:val="21"/>
                <w:lang w:val="en-US" w:eastAsia="zh-CN"/>
              </w:rPr>
              <w:t xml:space="preserve">，6.48 </w:t>
            </w:r>
            <w:r>
              <w:rPr>
                <w:rFonts w:hint="default" w:eastAsia="宋体"/>
                <w:sz w:val="21"/>
                <w:szCs w:val="21"/>
                <w:lang w:val="en-US" w:eastAsia="zh-CN"/>
              </w:rPr>
              <w:t>kg/h</w:t>
            </w:r>
            <w:r>
              <w:rPr>
                <w:rFonts w:hint="eastAsia" w:eastAsia="宋体"/>
                <w:sz w:val="21"/>
                <w:szCs w:val="21"/>
                <w:lang w:val="en-US" w:eastAsia="zh-CN"/>
              </w:rPr>
              <w:t>；</w:t>
            </w:r>
          </w:p>
          <w:p>
            <w:pPr>
              <w:spacing w:line="240" w:lineRule="auto"/>
              <w:jc w:val="center"/>
              <w:rPr>
                <w:rFonts w:hint="eastAsia" w:eastAsia="宋体"/>
                <w:sz w:val="21"/>
                <w:szCs w:val="21"/>
                <w:lang w:val="en-US" w:eastAsia="zh-CN"/>
              </w:rPr>
            </w:pPr>
            <w:r>
              <w:rPr>
                <w:rFonts w:hint="eastAsia" w:eastAsia="宋体"/>
                <w:sz w:val="21"/>
                <w:szCs w:val="21"/>
                <w:lang w:val="en-US" w:eastAsia="zh-CN"/>
              </w:rPr>
              <w:t>二甲苯</w:t>
            </w:r>
            <w:r>
              <w:rPr>
                <w:rFonts w:hint="default" w:eastAsia="宋体"/>
                <w:sz w:val="21"/>
                <w:szCs w:val="21"/>
                <w:lang w:val="en-US" w:eastAsia="zh-CN"/>
              </w:rPr>
              <w:t>：</w:t>
            </w:r>
            <w:r>
              <w:rPr>
                <w:rFonts w:hint="eastAsia" w:eastAsia="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70" w:type="dxa"/>
            <w:gridSpan w:val="2"/>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参考标准依据</w:t>
            </w:r>
          </w:p>
        </w:tc>
        <w:tc>
          <w:tcPr>
            <w:tcW w:w="7083" w:type="dxa"/>
            <w:gridSpan w:val="5"/>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w:t>
            </w:r>
            <w:r>
              <w:rPr>
                <w:rFonts w:hint="eastAsia" w:eastAsia="宋体"/>
                <w:sz w:val="21"/>
                <w:szCs w:val="21"/>
                <w:lang w:val="en-US" w:eastAsia="zh-CN"/>
              </w:rPr>
              <w:t>家具制造业大气污染物</w:t>
            </w:r>
            <w:r>
              <w:rPr>
                <w:rFonts w:hint="default" w:eastAsia="宋体"/>
                <w:sz w:val="21"/>
                <w:szCs w:val="21"/>
                <w:lang w:val="en-US" w:eastAsia="zh-CN"/>
              </w:rPr>
              <w:t>排放标准》（</w:t>
            </w:r>
            <w:r>
              <w:rPr>
                <w:rFonts w:hint="eastAsia" w:eastAsia="宋体"/>
                <w:sz w:val="21"/>
                <w:szCs w:val="21"/>
                <w:lang w:val="en-US" w:eastAsia="zh-CN"/>
              </w:rPr>
              <w:t>DB 50/757-2017</w:t>
            </w:r>
            <w:r>
              <w:rPr>
                <w:rFonts w:hint="default" w:eastAsia="宋体"/>
                <w:sz w:val="21"/>
                <w:szCs w:val="21"/>
                <w:lang w:val="en-US" w:eastAsia="zh-CN"/>
              </w:rPr>
              <w:t>）</w:t>
            </w:r>
            <w:r>
              <w:rPr>
                <w:rFonts w:hint="eastAsia" w:eastAsia="宋体"/>
                <w:sz w:val="21"/>
                <w:szCs w:val="21"/>
                <w:lang w:val="en-US" w:eastAsia="zh-CN"/>
              </w:rPr>
              <w:t>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70" w:type="dxa"/>
            <w:gridSpan w:val="2"/>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检测结论</w:t>
            </w:r>
          </w:p>
        </w:tc>
        <w:tc>
          <w:tcPr>
            <w:tcW w:w="7083" w:type="dxa"/>
            <w:gridSpan w:val="5"/>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本次检测，</w:t>
            </w:r>
            <w:r>
              <w:rPr>
                <w:rFonts w:hint="eastAsia" w:eastAsia="宋体"/>
                <w:sz w:val="21"/>
                <w:szCs w:val="21"/>
                <w:lang w:val="en-US" w:eastAsia="zh-CN"/>
              </w:rPr>
              <w:t>2#排气筒进</w:t>
            </w:r>
            <w:r>
              <w:rPr>
                <w:rFonts w:hint="default" w:eastAsia="宋体"/>
                <w:sz w:val="21"/>
                <w:szCs w:val="21"/>
                <w:lang w:val="en-US" w:eastAsia="zh-CN"/>
              </w:rPr>
              <w:t>口（FQ</w:t>
            </w:r>
            <w:r>
              <w:rPr>
                <w:rFonts w:hint="eastAsia" w:eastAsia="宋体"/>
                <w:sz w:val="21"/>
                <w:szCs w:val="21"/>
                <w:lang w:val="en-US" w:eastAsia="zh-CN"/>
              </w:rPr>
              <w:t>2</w:t>
            </w:r>
            <w:r>
              <w:rPr>
                <w:rFonts w:hint="default" w:eastAsia="宋体"/>
                <w:sz w:val="21"/>
                <w:szCs w:val="21"/>
                <w:lang w:val="en-US" w:eastAsia="zh-CN"/>
              </w:rPr>
              <w:t>）：颗粒物</w:t>
            </w:r>
            <w:r>
              <w:rPr>
                <w:rFonts w:hint="eastAsia" w:eastAsia="宋体"/>
                <w:sz w:val="21"/>
                <w:szCs w:val="21"/>
                <w:lang w:val="en-US" w:eastAsia="zh-CN"/>
              </w:rPr>
              <w:t>、非甲烷总烃</w:t>
            </w:r>
            <w:r>
              <w:rPr>
                <w:rFonts w:hint="default" w:eastAsia="宋体"/>
                <w:sz w:val="21"/>
                <w:szCs w:val="21"/>
                <w:lang w:val="en-US" w:eastAsia="zh-CN"/>
              </w:rPr>
              <w:t>的检测结果</w:t>
            </w:r>
            <w:r>
              <w:rPr>
                <w:rFonts w:hint="eastAsia" w:eastAsia="宋体"/>
                <w:sz w:val="21"/>
                <w:szCs w:val="21"/>
                <w:lang w:val="en-US" w:eastAsia="zh-CN"/>
              </w:rPr>
              <w:t>均</w:t>
            </w:r>
            <w:r>
              <w:rPr>
                <w:rFonts w:hint="default" w:eastAsia="宋体"/>
                <w:sz w:val="21"/>
                <w:szCs w:val="21"/>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2170" w:type="dxa"/>
            <w:gridSpan w:val="2"/>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备注</w:t>
            </w:r>
          </w:p>
        </w:tc>
        <w:tc>
          <w:tcPr>
            <w:tcW w:w="7083" w:type="dxa"/>
            <w:gridSpan w:val="5"/>
            <w:noWrap w:val="0"/>
            <w:vAlign w:val="center"/>
          </w:tcPr>
          <w:p>
            <w:pPr>
              <w:spacing w:line="240" w:lineRule="auto"/>
              <w:jc w:val="center"/>
              <w:rPr>
                <w:rFonts w:hint="default" w:eastAsia="宋体"/>
                <w:sz w:val="21"/>
                <w:szCs w:val="21"/>
                <w:lang w:val="en-US" w:eastAsia="zh-CN"/>
              </w:rPr>
            </w:pPr>
            <w:r>
              <w:rPr>
                <w:rFonts w:hint="eastAsia" w:eastAsia="宋体"/>
                <w:sz w:val="21"/>
                <w:szCs w:val="21"/>
                <w:lang w:val="en-US" w:eastAsia="zh-CN"/>
              </w:rPr>
              <w:t>“</w:t>
            </w:r>
            <w:r>
              <w:rPr>
                <w:rFonts w:hint="default" w:eastAsia="宋体"/>
                <w:sz w:val="21"/>
                <w:szCs w:val="21"/>
                <w:lang w:val="en-US" w:eastAsia="zh-CN"/>
              </w:rPr>
              <w:t>L</w:t>
            </w:r>
            <w:r>
              <w:rPr>
                <w:rFonts w:hint="eastAsia" w:eastAsia="宋体"/>
                <w:sz w:val="21"/>
                <w:szCs w:val="21"/>
                <w:lang w:val="en-US" w:eastAsia="zh-CN"/>
              </w:rPr>
              <w:t>”</w:t>
            </w:r>
            <w:r>
              <w:rPr>
                <w:rFonts w:hint="default" w:eastAsia="宋体"/>
                <w:sz w:val="21"/>
                <w:szCs w:val="21"/>
                <w:lang w:val="en-US" w:eastAsia="zh-CN"/>
              </w:rPr>
              <w:t>表示未检出，检测结果以检出限加</w:t>
            </w:r>
            <w:r>
              <w:rPr>
                <w:rFonts w:hint="eastAsia" w:eastAsia="宋体"/>
                <w:sz w:val="21"/>
                <w:szCs w:val="21"/>
                <w:lang w:val="en-US" w:eastAsia="zh-CN"/>
              </w:rPr>
              <w:t>“</w:t>
            </w:r>
            <w:r>
              <w:rPr>
                <w:rFonts w:hint="default" w:eastAsia="宋体"/>
                <w:sz w:val="21"/>
                <w:szCs w:val="21"/>
                <w:lang w:val="en-US" w:eastAsia="zh-CN"/>
              </w:rPr>
              <w:t>L</w:t>
            </w:r>
            <w:r>
              <w:rPr>
                <w:rFonts w:hint="eastAsia" w:eastAsia="宋体"/>
                <w:sz w:val="21"/>
                <w:szCs w:val="21"/>
                <w:lang w:val="en-US" w:eastAsia="zh-CN"/>
              </w:rPr>
              <w:t>”</w:t>
            </w:r>
            <w:r>
              <w:rPr>
                <w:rFonts w:hint="default" w:eastAsia="宋体"/>
                <w:sz w:val="21"/>
                <w:szCs w:val="21"/>
                <w:lang w:val="en-US" w:eastAsia="zh-CN"/>
              </w:rPr>
              <w:t>表示；</w:t>
            </w:r>
          </w:p>
          <w:p>
            <w:pPr>
              <w:spacing w:line="240" w:lineRule="auto"/>
              <w:jc w:val="center"/>
              <w:rPr>
                <w:rFonts w:hint="default" w:eastAsia="宋体"/>
                <w:sz w:val="21"/>
                <w:szCs w:val="21"/>
                <w:lang w:val="en-US" w:eastAsia="zh-CN"/>
              </w:rPr>
            </w:pPr>
            <w:r>
              <w:rPr>
                <w:rFonts w:hint="eastAsia" w:eastAsia="宋体"/>
                <w:sz w:val="21"/>
                <w:szCs w:val="21"/>
                <w:lang w:val="en-US" w:eastAsia="zh-CN"/>
              </w:rPr>
              <w:t>“</w:t>
            </w:r>
            <w:r>
              <w:rPr>
                <w:rFonts w:hint="default" w:eastAsia="宋体"/>
                <w:sz w:val="21"/>
                <w:szCs w:val="21"/>
                <w:lang w:val="en-US" w:eastAsia="zh-CN"/>
              </w:rPr>
              <w:t>N</w:t>
            </w:r>
            <w:r>
              <w:rPr>
                <w:rFonts w:hint="eastAsia" w:eastAsia="宋体"/>
                <w:sz w:val="21"/>
                <w:szCs w:val="21"/>
                <w:lang w:val="en-US" w:eastAsia="zh-CN"/>
              </w:rPr>
              <w:t>”</w:t>
            </w:r>
            <w:r>
              <w:rPr>
                <w:rFonts w:hint="default" w:eastAsia="宋体"/>
                <w:sz w:val="21"/>
                <w:szCs w:val="21"/>
                <w:lang w:val="en-US" w:eastAsia="zh-CN"/>
              </w:rPr>
              <w:t>表示无排放速率。</w:t>
            </w:r>
          </w:p>
        </w:tc>
      </w:tr>
    </w:tbl>
    <w:p>
      <w:pPr>
        <w:pStyle w:val="9"/>
        <w:rPr>
          <w:rFonts w:hint="eastAsia"/>
          <w:lang w:val="en-US" w:eastAsia="zh-CN"/>
        </w:rPr>
      </w:pPr>
    </w:p>
    <w:p>
      <w:pPr>
        <w:ind w:firstLine="480" w:firstLineChars="200"/>
      </w:pPr>
      <w:r>
        <w:rPr>
          <w:rFonts w:hint="eastAsia"/>
          <w:lang w:val="en-US" w:eastAsia="zh-CN"/>
        </w:rPr>
        <w:t>检</w:t>
      </w:r>
      <w:r>
        <w:t>测结果表明：验收监测期间，</w:t>
      </w:r>
      <w:r>
        <w:rPr>
          <w:rFonts w:hint="eastAsia"/>
          <w:lang w:val="en-US" w:eastAsia="zh-CN"/>
        </w:rPr>
        <w:t>项目有组织</w:t>
      </w:r>
      <w:r>
        <w:rPr>
          <w:rFonts w:hint="eastAsia" w:eastAsia="宋体"/>
          <w:lang w:val="en-US" w:eastAsia="zh-CN"/>
        </w:rPr>
        <w:t>废气颗粒物、非甲烷总烃、二甲苯满足</w:t>
      </w:r>
      <w:r>
        <w:rPr>
          <w:rFonts w:hint="default" w:eastAsia="宋体"/>
          <w:lang w:val="en-US" w:eastAsia="zh-CN"/>
        </w:rPr>
        <w:t>《</w:t>
      </w:r>
      <w:r>
        <w:rPr>
          <w:rFonts w:hint="eastAsia" w:eastAsia="宋体"/>
          <w:lang w:val="en-US" w:eastAsia="zh-CN"/>
        </w:rPr>
        <w:t>家具制造业大气污染物</w:t>
      </w:r>
      <w:r>
        <w:rPr>
          <w:rFonts w:hint="default" w:eastAsia="宋体"/>
          <w:lang w:val="en-US" w:eastAsia="zh-CN"/>
        </w:rPr>
        <w:t>排放标准》（</w:t>
      </w:r>
      <w:r>
        <w:rPr>
          <w:rFonts w:hint="eastAsia" w:eastAsia="宋体"/>
          <w:lang w:val="en-US" w:eastAsia="zh-CN"/>
        </w:rPr>
        <w:t>DB 50/757-2017</w:t>
      </w:r>
      <w:r>
        <w:rPr>
          <w:rFonts w:hint="default" w:eastAsia="宋体"/>
          <w:lang w:val="en-US" w:eastAsia="zh-CN"/>
        </w:rPr>
        <w:t>）</w:t>
      </w:r>
      <w:r>
        <w:rPr>
          <w:rFonts w:hint="eastAsia" w:eastAsia="宋体"/>
          <w:lang w:val="en-US" w:eastAsia="zh-CN"/>
        </w:rPr>
        <w:t>表2标准。</w:t>
      </w:r>
    </w:p>
    <w:p>
      <w:pPr>
        <w:pStyle w:val="5"/>
        <w:keepNext/>
        <w:keepLines/>
        <w:pageBreakBefore w:val="0"/>
        <w:widowControl/>
        <w:kinsoku/>
        <w:wordWrap/>
        <w:overflowPunct/>
        <w:topLinePunct w:val="0"/>
        <w:autoSpaceDE/>
        <w:autoSpaceDN/>
        <w:bidi w:val="0"/>
        <w:adjustRightInd w:val="0"/>
        <w:snapToGrid w:val="0"/>
        <w:textAlignment w:val="auto"/>
      </w:pPr>
      <w:r>
        <w:t>9.2.</w:t>
      </w:r>
      <w:r>
        <w:rPr>
          <w:rFonts w:hint="eastAsia"/>
          <w:lang w:val="en-US" w:eastAsia="zh-CN"/>
        </w:rPr>
        <w:t>3</w:t>
      </w:r>
      <w:r>
        <w:rPr>
          <w:rFonts w:hint="eastAsia"/>
        </w:rPr>
        <w:t>噪声监测结果及分析</w:t>
      </w:r>
    </w:p>
    <w:p>
      <w:pPr>
        <w:ind w:firstLine="480" w:firstLineChars="200"/>
      </w:pPr>
      <w:r>
        <w:t>噪声监测结果</w:t>
      </w:r>
      <w:r>
        <w:rPr>
          <w:rFonts w:hint="eastAsia"/>
        </w:rPr>
        <w:t>见下表</w:t>
      </w:r>
      <w:r>
        <w:t>9</w:t>
      </w:r>
      <w:r>
        <w:rPr>
          <w:rFonts w:hint="eastAsia"/>
        </w:rPr>
        <w:t>-</w:t>
      </w:r>
      <w:r>
        <w:rPr>
          <w:rFonts w:hint="eastAsia"/>
          <w:lang w:val="en-US" w:eastAsia="zh-CN"/>
        </w:rPr>
        <w:t>4</w:t>
      </w:r>
      <w:r>
        <w:rPr>
          <w:rFonts w:hint="eastAsia"/>
        </w:rPr>
        <w:t>。</w:t>
      </w:r>
    </w:p>
    <w:p>
      <w:pPr>
        <w:jc w:val="center"/>
        <w:rPr>
          <w:b/>
          <w:bCs/>
          <w:color w:val="000000"/>
          <w:sz w:val="24"/>
        </w:rPr>
      </w:pPr>
      <w:r>
        <w:rPr>
          <w:b/>
          <w:bCs/>
          <w:sz w:val="21"/>
          <w:szCs w:val="21"/>
        </w:rPr>
        <w:t>表9</w:t>
      </w:r>
      <w:r>
        <w:rPr>
          <w:rFonts w:hint="eastAsia"/>
          <w:b/>
          <w:bCs/>
          <w:sz w:val="21"/>
          <w:szCs w:val="21"/>
        </w:rPr>
        <w:t>-</w:t>
      </w:r>
      <w:r>
        <w:rPr>
          <w:rFonts w:hint="eastAsia"/>
          <w:b/>
          <w:bCs/>
          <w:sz w:val="21"/>
          <w:szCs w:val="21"/>
          <w:lang w:val="en-US" w:eastAsia="zh-CN"/>
        </w:rPr>
        <w:t>4</w:t>
      </w:r>
      <w:r>
        <w:rPr>
          <w:b/>
          <w:bCs/>
          <w:sz w:val="21"/>
          <w:szCs w:val="21"/>
        </w:rPr>
        <w:t xml:space="preserve"> 厂界噪声监测结果一览表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60"/>
        <w:gridCol w:w="1178"/>
        <w:gridCol w:w="2117"/>
        <w:gridCol w:w="2119"/>
        <w:gridCol w:w="25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pacing w:val="-2"/>
                <w:w w:val="90"/>
                <w:sz w:val="21"/>
                <w:szCs w:val="21"/>
              </w:rPr>
            </w:pPr>
            <w:r>
              <w:rPr>
                <w:rFonts w:hint="default" w:ascii="Times New Roman" w:hAnsi="Times New Roman" w:cs="Times New Roman"/>
                <w:b/>
                <w:color w:val="000000"/>
                <w:spacing w:val="-2"/>
                <w:w w:val="90"/>
                <w:sz w:val="21"/>
                <w:szCs w:val="21"/>
                <w:lang w:eastAsia="zh-CN"/>
              </w:rPr>
              <w:t>检测</w:t>
            </w:r>
            <w:r>
              <w:rPr>
                <w:rFonts w:hint="default" w:ascii="Times New Roman" w:hAnsi="Times New Roman" w:cs="Times New Roman"/>
                <w:b/>
                <w:color w:val="000000"/>
                <w:spacing w:val="-2"/>
                <w:w w:val="90"/>
                <w:sz w:val="21"/>
                <w:szCs w:val="21"/>
              </w:rPr>
              <w:t>时间</w:t>
            </w:r>
          </w:p>
        </w:tc>
        <w:tc>
          <w:tcPr>
            <w:tcW w:w="648"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pacing w:val="-2"/>
                <w:w w:val="90"/>
                <w:sz w:val="21"/>
                <w:szCs w:val="21"/>
              </w:rPr>
            </w:pPr>
            <w:r>
              <w:rPr>
                <w:rFonts w:hint="default" w:ascii="Times New Roman" w:hAnsi="Times New Roman" w:cs="Times New Roman"/>
                <w:b/>
                <w:color w:val="000000"/>
                <w:spacing w:val="-2"/>
                <w:w w:val="90"/>
                <w:sz w:val="21"/>
                <w:szCs w:val="21"/>
              </w:rPr>
              <w:t>检测点位</w:t>
            </w:r>
          </w:p>
        </w:tc>
        <w:tc>
          <w:tcPr>
            <w:tcW w:w="2333"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pacing w:val="-2"/>
                <w:w w:val="90"/>
                <w:sz w:val="21"/>
                <w:szCs w:val="21"/>
              </w:rPr>
            </w:pPr>
            <w:r>
              <w:rPr>
                <w:rFonts w:hint="default" w:ascii="Times New Roman" w:hAnsi="Times New Roman" w:cs="Times New Roman"/>
                <w:b/>
                <w:color w:val="000000"/>
                <w:spacing w:val="-2"/>
                <w:w w:val="90"/>
                <w:sz w:val="21"/>
                <w:szCs w:val="21"/>
              </w:rPr>
              <w:t>检测结果dB(A)</w:t>
            </w:r>
          </w:p>
        </w:tc>
        <w:tc>
          <w:tcPr>
            <w:tcW w:w="137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lang w:bidi="ar"/>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pacing w:val="-2"/>
                <w:w w:val="90"/>
                <w:sz w:val="21"/>
                <w:szCs w:val="21"/>
              </w:rPr>
            </w:pPr>
          </w:p>
        </w:tc>
        <w:tc>
          <w:tcPr>
            <w:tcW w:w="6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pacing w:val="-2"/>
                <w:w w:val="90"/>
                <w:sz w:val="21"/>
                <w:szCs w:val="21"/>
              </w:rPr>
            </w:pPr>
          </w:p>
        </w:tc>
        <w:tc>
          <w:tcPr>
            <w:tcW w:w="2333" w:type="pct"/>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Times New Roman" w:hAnsi="Times New Roman" w:eastAsia="宋体" w:cs="Times New Roman"/>
                <w:b/>
                <w:color w:val="000000"/>
                <w:spacing w:val="-2"/>
                <w:w w:val="90"/>
                <w:sz w:val="21"/>
                <w:szCs w:val="21"/>
                <w:lang w:eastAsia="zh-CN"/>
              </w:rPr>
            </w:pPr>
            <w:r>
              <w:rPr>
                <w:rFonts w:hint="default" w:ascii="Times New Roman" w:hAnsi="Times New Roman" w:cs="Times New Roman"/>
                <w:b/>
                <w:color w:val="000000"/>
                <w:spacing w:val="-2"/>
                <w:w w:val="90"/>
                <w:sz w:val="21"/>
                <w:szCs w:val="21"/>
              </w:rPr>
              <w:t>昼间</w:t>
            </w:r>
          </w:p>
        </w:tc>
        <w:tc>
          <w:tcPr>
            <w:tcW w:w="1377"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pacing w:val="-2"/>
                <w:w w:val="90"/>
                <w:sz w:val="21"/>
                <w:szCs w:val="21"/>
              </w:rPr>
            </w:pPr>
          </w:p>
        </w:tc>
        <w:tc>
          <w:tcPr>
            <w:tcW w:w="6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pacing w:val="-2"/>
                <w:w w:val="90"/>
                <w:sz w:val="21"/>
                <w:szCs w:val="21"/>
              </w:rPr>
            </w:pPr>
          </w:p>
        </w:tc>
        <w:tc>
          <w:tcPr>
            <w:tcW w:w="1166"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pacing w:val="-2"/>
                <w:w w:val="90"/>
                <w:sz w:val="21"/>
                <w:szCs w:val="21"/>
              </w:rPr>
            </w:pPr>
            <w:r>
              <w:rPr>
                <w:rFonts w:hint="default" w:ascii="Times New Roman" w:hAnsi="Times New Roman" w:cs="Times New Roman"/>
                <w:b/>
                <w:color w:val="000000"/>
                <w:spacing w:val="-2"/>
                <w:w w:val="90"/>
                <w:sz w:val="21"/>
                <w:szCs w:val="21"/>
              </w:rPr>
              <w:t>测量值</w:t>
            </w:r>
          </w:p>
        </w:tc>
        <w:tc>
          <w:tcPr>
            <w:tcW w:w="1167"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b/>
                <w:color w:val="000000"/>
                <w:spacing w:val="-2"/>
                <w:w w:val="90"/>
                <w:kern w:val="2"/>
                <w:sz w:val="21"/>
                <w:szCs w:val="21"/>
                <w:lang w:val="en-US" w:eastAsia="zh-CN" w:bidi="ar-SA"/>
              </w:rPr>
            </w:pPr>
            <w:r>
              <w:rPr>
                <w:rFonts w:hint="default" w:ascii="Times New Roman" w:hAnsi="Times New Roman" w:cs="Times New Roman"/>
                <w:b/>
                <w:color w:val="000000"/>
                <w:spacing w:val="-2"/>
                <w:w w:val="90"/>
                <w:sz w:val="21"/>
                <w:szCs w:val="21"/>
              </w:rPr>
              <w:t>报出</w:t>
            </w:r>
            <w:r>
              <w:rPr>
                <w:rFonts w:hint="default" w:ascii="Times New Roman" w:hAnsi="Times New Roman" w:cs="Times New Roman"/>
                <w:b/>
                <w:color w:val="000000"/>
                <w:spacing w:val="-2"/>
                <w:w w:val="90"/>
                <w:sz w:val="21"/>
                <w:szCs w:val="21"/>
                <w:lang w:eastAsia="zh-CN"/>
              </w:rPr>
              <w:t>值</w:t>
            </w:r>
          </w:p>
        </w:tc>
        <w:tc>
          <w:tcPr>
            <w:tcW w:w="1377"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default"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月</w:t>
            </w:r>
            <w:r>
              <w:rPr>
                <w:rFonts w:hint="eastAsia" w:ascii="Times New Roman" w:hAnsi="Times New Roman" w:cs="Times New Roman"/>
                <w:sz w:val="21"/>
                <w:szCs w:val="21"/>
                <w:lang w:val="en-US" w:eastAsia="zh-CN"/>
              </w:rPr>
              <w:t>11</w:t>
            </w:r>
            <w:r>
              <w:rPr>
                <w:rFonts w:hint="default" w:ascii="Times New Roman" w:hAnsi="Times New Roman" w:cs="Times New Roman"/>
                <w:sz w:val="21"/>
                <w:szCs w:val="21"/>
              </w:rPr>
              <w:t>日</w:t>
            </w:r>
          </w:p>
        </w:tc>
        <w:tc>
          <w:tcPr>
            <w:tcW w:w="64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exact"/>
              <w:jc w:val="center"/>
              <w:rPr>
                <w:rFonts w:hint="default" w:ascii="Times New Roman" w:hAnsi="Times New Roman" w:cs="Times New Roman"/>
                <w:sz w:val="21"/>
                <w:szCs w:val="21"/>
              </w:rPr>
            </w:pPr>
            <w:r>
              <w:rPr>
                <w:rFonts w:hint="default" w:ascii="Times New Roman" w:hAnsi="Times New Roman" w:cs="Times New Roman"/>
                <w:sz w:val="21"/>
                <w:szCs w:val="21"/>
              </w:rPr>
              <w:t>C1</w:t>
            </w:r>
          </w:p>
        </w:tc>
        <w:tc>
          <w:tcPr>
            <w:tcW w:w="1166" w:type="pct"/>
            <w:tcBorders>
              <w:top w:val="single" w:color="auto" w:sz="4" w:space="0"/>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54.2</w:t>
            </w:r>
          </w:p>
        </w:tc>
        <w:tc>
          <w:tcPr>
            <w:tcW w:w="1167" w:type="pct"/>
            <w:tcBorders>
              <w:top w:val="single" w:color="auto" w:sz="4" w:space="0"/>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c>
          <w:tcPr>
            <w:tcW w:w="1377" w:type="pct"/>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continue"/>
            <w:tcBorders>
              <w:left w:val="single" w:color="auto" w:sz="4" w:space="0"/>
              <w:right w:val="single" w:color="auto" w:sz="4" w:space="0"/>
            </w:tcBorders>
            <w:noWrap w:val="0"/>
            <w:vAlign w:val="center"/>
          </w:tcPr>
          <w:p>
            <w:pPr>
              <w:rPr>
                <w:rFonts w:hint="default" w:ascii="Times New Roman" w:hAnsi="Times New Roman" w:cs="Times New Roman"/>
                <w:sz w:val="21"/>
                <w:szCs w:val="21"/>
              </w:rPr>
            </w:pPr>
          </w:p>
        </w:tc>
        <w:tc>
          <w:tcPr>
            <w:tcW w:w="6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000000"/>
                <w:sz w:val="21"/>
                <w:szCs w:val="21"/>
              </w:rPr>
            </w:pPr>
            <w:r>
              <w:rPr>
                <w:rFonts w:hint="default" w:ascii="Times New Roman" w:hAnsi="Times New Roman" w:cs="Times New Roman"/>
                <w:sz w:val="21"/>
                <w:szCs w:val="21"/>
              </w:rPr>
              <w:t>C2</w:t>
            </w:r>
          </w:p>
        </w:tc>
        <w:tc>
          <w:tcPr>
            <w:tcW w:w="1166"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50.3</w:t>
            </w:r>
          </w:p>
        </w:tc>
        <w:tc>
          <w:tcPr>
            <w:tcW w:w="1167"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w:t>
            </w:r>
          </w:p>
        </w:tc>
        <w:tc>
          <w:tcPr>
            <w:tcW w:w="1377" w:type="pct"/>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continue"/>
            <w:tcBorders>
              <w:left w:val="single" w:color="auto" w:sz="4" w:space="0"/>
              <w:right w:val="single" w:color="auto" w:sz="4" w:space="0"/>
            </w:tcBorders>
            <w:noWrap w:val="0"/>
            <w:vAlign w:val="center"/>
          </w:tcPr>
          <w:p>
            <w:pPr>
              <w:rPr>
                <w:rFonts w:hint="default" w:ascii="Times New Roman" w:hAnsi="Times New Roman" w:cs="Times New Roman"/>
                <w:sz w:val="21"/>
                <w:szCs w:val="21"/>
              </w:rPr>
            </w:pPr>
          </w:p>
        </w:tc>
        <w:tc>
          <w:tcPr>
            <w:tcW w:w="6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C3</w:t>
            </w:r>
          </w:p>
        </w:tc>
        <w:tc>
          <w:tcPr>
            <w:tcW w:w="1166"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51.1</w:t>
            </w:r>
          </w:p>
        </w:tc>
        <w:tc>
          <w:tcPr>
            <w:tcW w:w="1167"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w:t>
            </w:r>
          </w:p>
        </w:tc>
        <w:tc>
          <w:tcPr>
            <w:tcW w:w="1377" w:type="pct"/>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continue"/>
            <w:tcBorders>
              <w:left w:val="single" w:color="auto" w:sz="4" w:space="0"/>
              <w:right w:val="single" w:color="auto" w:sz="4" w:space="0"/>
            </w:tcBorders>
            <w:noWrap w:val="0"/>
            <w:vAlign w:val="center"/>
          </w:tcPr>
          <w:p>
            <w:pPr>
              <w:rPr>
                <w:rFonts w:hint="default" w:ascii="Times New Roman" w:hAnsi="Times New Roman" w:cs="Times New Roman"/>
                <w:sz w:val="21"/>
                <w:szCs w:val="21"/>
              </w:rPr>
            </w:pPr>
          </w:p>
        </w:tc>
        <w:tc>
          <w:tcPr>
            <w:tcW w:w="6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C4</w:t>
            </w:r>
          </w:p>
        </w:tc>
        <w:tc>
          <w:tcPr>
            <w:tcW w:w="1166"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48.6</w:t>
            </w:r>
          </w:p>
        </w:tc>
        <w:tc>
          <w:tcPr>
            <w:tcW w:w="1167"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49</w:t>
            </w:r>
          </w:p>
        </w:tc>
        <w:tc>
          <w:tcPr>
            <w:tcW w:w="1377" w:type="pct"/>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restart"/>
            <w:tcBorders>
              <w:top w:val="single" w:color="auto" w:sz="4" w:space="0"/>
              <w:left w:val="single" w:color="auto" w:sz="4" w:space="0"/>
              <w:right w:val="single" w:color="auto" w:sz="4" w:space="0"/>
            </w:tcBorders>
            <w:noWrap w:val="0"/>
            <w:vAlign w:val="center"/>
          </w:tcPr>
          <w:p>
            <w:pPr>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5</w:t>
            </w:r>
            <w:r>
              <w:rPr>
                <w:rFonts w:hint="default" w:ascii="Times New Roman" w:hAnsi="Times New Roman" w:cs="Times New Roman"/>
                <w:sz w:val="21"/>
                <w:szCs w:val="21"/>
              </w:rPr>
              <w:t>月</w:t>
            </w:r>
            <w:r>
              <w:rPr>
                <w:rFonts w:hint="eastAsia" w:ascii="Times New Roman" w:hAnsi="Times New Roman" w:cs="Times New Roman"/>
                <w:sz w:val="21"/>
                <w:szCs w:val="21"/>
                <w:lang w:val="en-US" w:eastAsia="zh-CN"/>
              </w:rPr>
              <w:t>12</w:t>
            </w:r>
            <w:r>
              <w:rPr>
                <w:rFonts w:hint="default" w:ascii="Times New Roman" w:hAnsi="Times New Roman" w:cs="Times New Roman"/>
                <w:sz w:val="21"/>
                <w:szCs w:val="21"/>
              </w:rPr>
              <w:t>日</w:t>
            </w:r>
          </w:p>
        </w:tc>
        <w:tc>
          <w:tcPr>
            <w:tcW w:w="648" w:type="pct"/>
            <w:tcBorders>
              <w:top w:val="single" w:color="auto" w:sz="4" w:space="0"/>
              <w:left w:val="single" w:color="auto" w:sz="4" w:space="0"/>
              <w:bottom w:val="single" w:color="auto" w:sz="4" w:space="0"/>
              <w:right w:val="single" w:color="auto" w:sz="4" w:space="0"/>
            </w:tcBorders>
            <w:noWrap w:val="0"/>
            <w:vAlign w:val="center"/>
          </w:tcPr>
          <w:p>
            <w:pPr>
              <w:autoSpaceDE w:val="0"/>
              <w:autoSpaceDN w:val="0"/>
              <w:adjustRightInd w:val="0"/>
              <w:spacing w:line="360" w:lineRule="exact"/>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rPr>
              <w:t>C1</w:t>
            </w:r>
          </w:p>
        </w:tc>
        <w:tc>
          <w:tcPr>
            <w:tcW w:w="1166"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54.6</w:t>
            </w:r>
          </w:p>
        </w:tc>
        <w:tc>
          <w:tcPr>
            <w:tcW w:w="1167"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c>
          <w:tcPr>
            <w:tcW w:w="1377" w:type="pct"/>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continue"/>
            <w:tcBorders>
              <w:left w:val="single" w:color="auto" w:sz="4" w:space="0"/>
              <w:right w:val="single" w:color="auto" w:sz="4" w:space="0"/>
            </w:tcBorders>
            <w:noWrap w:val="0"/>
            <w:vAlign w:val="center"/>
          </w:tcPr>
          <w:p>
            <w:pPr>
              <w:rPr>
                <w:rFonts w:hint="default" w:ascii="Times New Roman" w:hAnsi="Times New Roman" w:cs="Times New Roman"/>
                <w:sz w:val="21"/>
                <w:szCs w:val="21"/>
              </w:rPr>
            </w:pPr>
          </w:p>
        </w:tc>
        <w:tc>
          <w:tcPr>
            <w:tcW w:w="6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000000"/>
                <w:kern w:val="2"/>
                <w:sz w:val="21"/>
                <w:szCs w:val="21"/>
                <w:lang w:val="en-US" w:eastAsia="zh-CN" w:bidi="ar-SA"/>
              </w:rPr>
            </w:pPr>
            <w:r>
              <w:rPr>
                <w:rFonts w:hint="default" w:ascii="Times New Roman" w:hAnsi="Times New Roman" w:cs="Times New Roman"/>
                <w:sz w:val="21"/>
                <w:szCs w:val="21"/>
              </w:rPr>
              <w:t>C2</w:t>
            </w:r>
          </w:p>
        </w:tc>
        <w:tc>
          <w:tcPr>
            <w:tcW w:w="1166"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49.4</w:t>
            </w:r>
          </w:p>
        </w:tc>
        <w:tc>
          <w:tcPr>
            <w:tcW w:w="1167"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49</w:t>
            </w:r>
          </w:p>
        </w:tc>
        <w:tc>
          <w:tcPr>
            <w:tcW w:w="1377" w:type="pct"/>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continue"/>
            <w:tcBorders>
              <w:left w:val="single" w:color="auto" w:sz="4" w:space="0"/>
              <w:right w:val="single" w:color="auto" w:sz="4" w:space="0"/>
            </w:tcBorders>
            <w:noWrap w:val="0"/>
            <w:vAlign w:val="center"/>
          </w:tcPr>
          <w:p>
            <w:pPr>
              <w:rPr>
                <w:rFonts w:hint="default" w:ascii="Times New Roman" w:hAnsi="Times New Roman" w:cs="Times New Roman"/>
                <w:sz w:val="21"/>
                <w:szCs w:val="21"/>
              </w:rPr>
            </w:pPr>
          </w:p>
        </w:tc>
        <w:tc>
          <w:tcPr>
            <w:tcW w:w="6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kern w:val="2"/>
                <w:sz w:val="21"/>
                <w:szCs w:val="21"/>
                <w:lang w:val="en-US" w:eastAsia="zh-CN" w:bidi="ar-SA"/>
              </w:rPr>
            </w:pPr>
            <w:r>
              <w:rPr>
                <w:rFonts w:hint="default" w:ascii="Times New Roman" w:hAnsi="Times New Roman" w:cs="Times New Roman"/>
                <w:sz w:val="21"/>
                <w:szCs w:val="21"/>
                <w:lang w:val="en-US" w:eastAsia="zh-CN"/>
              </w:rPr>
              <w:t>C3</w:t>
            </w:r>
          </w:p>
        </w:tc>
        <w:tc>
          <w:tcPr>
            <w:tcW w:w="1166"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50.7</w:t>
            </w:r>
          </w:p>
        </w:tc>
        <w:tc>
          <w:tcPr>
            <w:tcW w:w="1167" w:type="pct"/>
            <w:tcBorders>
              <w:left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w:t>
            </w:r>
          </w:p>
        </w:tc>
        <w:tc>
          <w:tcPr>
            <w:tcW w:w="1377" w:type="pct"/>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639" w:type="pct"/>
            <w:vMerge w:val="continue"/>
            <w:tcBorders>
              <w:left w:val="single" w:color="auto" w:sz="4" w:space="0"/>
              <w:right w:val="single" w:color="auto" w:sz="4" w:space="0"/>
            </w:tcBorders>
            <w:noWrap w:val="0"/>
            <w:vAlign w:val="center"/>
          </w:tcPr>
          <w:p>
            <w:pPr>
              <w:rPr>
                <w:rFonts w:hint="default" w:ascii="Times New Roman" w:hAnsi="Times New Roman" w:cs="Times New Roman"/>
                <w:sz w:val="21"/>
                <w:szCs w:val="21"/>
              </w:rPr>
            </w:pPr>
          </w:p>
        </w:tc>
        <w:tc>
          <w:tcPr>
            <w:tcW w:w="648" w:type="pc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C4</w:t>
            </w:r>
          </w:p>
        </w:tc>
        <w:tc>
          <w:tcPr>
            <w:tcW w:w="1166" w:type="pct"/>
            <w:tcBorders>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48.9</w:t>
            </w:r>
          </w:p>
        </w:tc>
        <w:tc>
          <w:tcPr>
            <w:tcW w:w="1167" w:type="pct"/>
            <w:tcBorders>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49</w:t>
            </w:r>
          </w:p>
        </w:tc>
        <w:tc>
          <w:tcPr>
            <w:tcW w:w="1377" w:type="pct"/>
            <w:tcBorders>
              <w:top w:val="single" w:color="auto" w:sz="4" w:space="0"/>
              <w:left w:val="single" w:color="auto" w:sz="4" w:space="0"/>
              <w:bottom w:val="single" w:color="auto" w:sz="4" w:space="0"/>
              <w:right w:val="single" w:color="auto" w:sz="4" w:space="0"/>
            </w:tcBorders>
            <w:noWrap w:val="0"/>
            <w:vAlign w:val="center"/>
          </w:tcPr>
          <w:p>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设备噪声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288" w:type="pct"/>
            <w:gridSpan w:val="2"/>
            <w:tcBorders>
              <w:left w:val="single" w:color="auto"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参考标准限值</w:t>
            </w:r>
          </w:p>
        </w:tc>
        <w:tc>
          <w:tcPr>
            <w:tcW w:w="3711" w:type="pct"/>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eastAsia="宋体"/>
                <w:sz w:val="21"/>
                <w:szCs w:val="21"/>
                <w:lang w:val="en-US" w:eastAsia="zh-CN"/>
              </w:rPr>
            </w:pPr>
            <w:r>
              <w:rPr>
                <w:rFonts w:hint="default" w:eastAsia="宋体"/>
                <w:sz w:val="21"/>
                <w:szCs w:val="21"/>
                <w:lang w:val="en-US" w:eastAsia="zh-CN"/>
              </w:rPr>
              <w:t>昼间≤6</w:t>
            </w:r>
            <w:r>
              <w:rPr>
                <w:rFonts w:hint="eastAsia" w:eastAsia="宋体"/>
                <w:sz w:val="21"/>
                <w:szCs w:val="21"/>
                <w:lang w:val="en-US" w:eastAsia="zh-CN"/>
              </w:rPr>
              <w:t>0</w:t>
            </w:r>
            <w:r>
              <w:rPr>
                <w:rFonts w:hint="default" w:eastAsia="宋体"/>
                <w:sz w:val="21"/>
                <w:szCs w:val="21"/>
                <w:lang w:val="en-US" w:eastAsia="zh-CN"/>
              </w:rPr>
              <w:t>dB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288" w:type="pct"/>
            <w:gridSpan w:val="2"/>
            <w:tcBorders>
              <w:left w:val="single" w:color="auto"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参考标准依据</w:t>
            </w:r>
          </w:p>
        </w:tc>
        <w:tc>
          <w:tcPr>
            <w:tcW w:w="3711" w:type="pct"/>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《工业企业厂界环境噪声排放标准》（GB 12348-2008）</w:t>
            </w:r>
          </w:p>
          <w:p>
            <w:pPr>
              <w:spacing w:line="240" w:lineRule="auto"/>
              <w:jc w:val="center"/>
              <w:rPr>
                <w:rFonts w:hint="default" w:eastAsia="宋体"/>
                <w:sz w:val="21"/>
                <w:szCs w:val="21"/>
                <w:lang w:val="en-US" w:eastAsia="zh-CN"/>
              </w:rPr>
            </w:pPr>
            <w:r>
              <w:rPr>
                <w:rFonts w:hint="default" w:eastAsia="宋体"/>
                <w:sz w:val="21"/>
                <w:szCs w:val="21"/>
                <w:lang w:val="en-US" w:eastAsia="zh-CN"/>
              </w:rPr>
              <w:t>表1的</w:t>
            </w:r>
            <w:r>
              <w:rPr>
                <w:rFonts w:hint="eastAsia" w:eastAsia="宋体"/>
                <w:sz w:val="21"/>
                <w:szCs w:val="21"/>
                <w:lang w:val="en-US" w:eastAsia="zh-CN"/>
              </w:rPr>
              <w:t>2</w:t>
            </w:r>
            <w:r>
              <w:rPr>
                <w:rFonts w:hint="default" w:eastAsia="宋体"/>
                <w:sz w:val="21"/>
                <w:szCs w:val="21"/>
                <w:lang w:val="en-US" w:eastAsia="zh-CN"/>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288" w:type="pct"/>
            <w:gridSpan w:val="2"/>
            <w:tcBorders>
              <w:left w:val="single" w:color="auto"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检测结论</w:t>
            </w:r>
          </w:p>
        </w:tc>
        <w:tc>
          <w:tcPr>
            <w:tcW w:w="3711" w:type="pct"/>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本次检测，厂界噪声(C1-C4)的检测结果均达标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454" w:hRule="atLeast"/>
          <w:jc w:val="center"/>
        </w:trPr>
        <w:tc>
          <w:tcPr>
            <w:tcW w:w="1288" w:type="pct"/>
            <w:gridSpan w:val="2"/>
            <w:tcBorders>
              <w:left w:val="single" w:color="auto" w:sz="4" w:space="0"/>
              <w:bottom w:val="single" w:color="auto" w:sz="4" w:space="0"/>
              <w:right w:val="single" w:color="auto" w:sz="4" w:space="0"/>
            </w:tcBorders>
            <w:noWrap w:val="0"/>
            <w:vAlign w:val="center"/>
          </w:tcPr>
          <w:p>
            <w:pPr>
              <w:spacing w:line="240" w:lineRule="auto"/>
              <w:jc w:val="center"/>
              <w:rPr>
                <w:rFonts w:hint="default" w:eastAsia="宋体"/>
                <w:sz w:val="21"/>
                <w:szCs w:val="21"/>
                <w:lang w:val="en-US" w:eastAsia="zh-CN"/>
              </w:rPr>
            </w:pPr>
            <w:r>
              <w:rPr>
                <w:rFonts w:hint="default" w:eastAsia="宋体"/>
                <w:sz w:val="21"/>
                <w:szCs w:val="21"/>
                <w:lang w:val="en-US" w:eastAsia="zh-CN"/>
              </w:rPr>
              <w:t>备注</w:t>
            </w:r>
          </w:p>
        </w:tc>
        <w:tc>
          <w:tcPr>
            <w:tcW w:w="3711" w:type="pct"/>
            <w:gridSpan w:val="3"/>
            <w:tcBorders>
              <w:top w:val="single" w:color="auto" w:sz="4" w:space="0"/>
              <w:left w:val="single" w:color="auto" w:sz="4" w:space="0"/>
              <w:bottom w:val="single" w:color="auto" w:sz="4" w:space="0"/>
              <w:right w:val="single" w:color="auto" w:sz="4" w:space="0"/>
            </w:tcBorders>
            <w:noWrap w:val="0"/>
            <w:vAlign w:val="center"/>
          </w:tcPr>
          <w:p>
            <w:pPr>
              <w:spacing w:line="240" w:lineRule="auto"/>
              <w:jc w:val="center"/>
              <w:rPr>
                <w:rFonts w:hint="eastAsia" w:eastAsia="宋体"/>
                <w:sz w:val="21"/>
                <w:szCs w:val="21"/>
                <w:lang w:val="en-US" w:eastAsia="zh-CN"/>
              </w:rPr>
            </w:pPr>
            <w:r>
              <w:rPr>
                <w:rFonts w:hint="eastAsia" w:eastAsia="宋体"/>
                <w:sz w:val="21"/>
                <w:szCs w:val="21"/>
                <w:lang w:val="en-US" w:eastAsia="zh-CN"/>
              </w:rPr>
              <w:t>该企业夜间不生产，故夜间未进行检测。</w:t>
            </w:r>
          </w:p>
        </w:tc>
      </w:tr>
    </w:tbl>
    <w:p>
      <w:pPr>
        <w:spacing w:line="240" w:lineRule="auto"/>
        <w:jc w:val="center"/>
        <w:rPr>
          <w:b/>
          <w:bCs/>
          <w:sz w:val="21"/>
          <w:szCs w:val="21"/>
        </w:rPr>
      </w:pPr>
    </w:p>
    <w:p>
      <w:pPr>
        <w:ind w:firstLine="480" w:firstLineChars="200"/>
      </w:pPr>
      <w:r>
        <w:rPr>
          <w:rFonts w:hint="eastAsia"/>
        </w:rPr>
        <w:t>根据</w:t>
      </w:r>
      <w:r>
        <w:t>噪声监测结果</w:t>
      </w:r>
      <w:r>
        <w:rPr>
          <w:rFonts w:hint="eastAsia"/>
        </w:rPr>
        <w:t>，项目东侧、</w:t>
      </w:r>
      <w:r>
        <w:rPr>
          <w:rFonts w:hint="eastAsia"/>
          <w:lang w:val="en-US" w:eastAsia="zh-CN"/>
        </w:rPr>
        <w:t>南侧、北侧、</w:t>
      </w:r>
      <w:r>
        <w:rPr>
          <w:rFonts w:hint="eastAsia"/>
        </w:rPr>
        <w:t>西侧厂界噪声监测值均满足《工业企业厂界环境噪声排放标准》（GB 12348-2008）表1的</w:t>
      </w:r>
      <w:r>
        <w:rPr>
          <w:rFonts w:hint="eastAsia"/>
          <w:lang w:val="en-US" w:eastAsia="zh-CN"/>
        </w:rPr>
        <w:t>2</w:t>
      </w:r>
      <w:r>
        <w:rPr>
          <w:rFonts w:hint="eastAsia"/>
        </w:rPr>
        <w:t>类标准限值要求。</w:t>
      </w:r>
    </w:p>
    <w:p>
      <w:pPr>
        <w:sectPr>
          <w:pgSz w:w="11905" w:h="16838"/>
          <w:pgMar w:top="1083" w:right="1440" w:bottom="1083" w:left="1440" w:header="851" w:footer="850" w:gutter="0"/>
          <w:cols w:space="0" w:num="1"/>
          <w:docGrid w:type="lines" w:linePitch="322" w:charSpace="0"/>
        </w:sectPr>
      </w:pPr>
    </w:p>
    <w:p>
      <w:pPr>
        <w:pStyle w:val="3"/>
      </w:pPr>
      <w:bookmarkStart w:id="114" w:name="_Toc497833633"/>
      <w:bookmarkStart w:id="115" w:name="_Toc31099"/>
      <w:r>
        <w:rPr>
          <w:rFonts w:hint="eastAsia"/>
        </w:rPr>
        <w:t>10验收监测结论</w:t>
      </w:r>
      <w:bookmarkEnd w:id="114"/>
      <w:bookmarkEnd w:id="115"/>
    </w:p>
    <w:p>
      <w:pPr>
        <w:pStyle w:val="4"/>
      </w:pPr>
      <w:bookmarkStart w:id="116" w:name="_Toc497833634"/>
      <w:bookmarkStart w:id="117" w:name="_Toc8548"/>
      <w:r>
        <w:t>10.1 环境保护设施调试效果</w:t>
      </w:r>
      <w:bookmarkEnd w:id="116"/>
      <w:bookmarkEnd w:id="117"/>
    </w:p>
    <w:p>
      <w:pPr>
        <w:pStyle w:val="5"/>
      </w:pPr>
      <w:bookmarkStart w:id="118" w:name="_Toc497833635"/>
      <w:r>
        <w:t>10.1.1 废气</w:t>
      </w:r>
    </w:p>
    <w:p>
      <w:pPr>
        <w:ind w:firstLine="480" w:firstLineChars="200"/>
      </w:pPr>
      <w:r>
        <w:rPr>
          <w:rFonts w:hint="eastAsia"/>
        </w:rPr>
        <w:t>监</w:t>
      </w:r>
      <w:r>
        <w:t>测结果表明：验收监测期间，</w:t>
      </w:r>
      <w:r>
        <w:rPr>
          <w:rFonts w:hint="eastAsia"/>
          <w:lang w:val="en-US" w:eastAsia="zh-CN"/>
        </w:rPr>
        <w:t>项目有组织废气</w:t>
      </w:r>
      <w:r>
        <w:rPr>
          <w:rFonts w:hint="eastAsia" w:ascii="Times New Roman" w:hAnsi="Times New Roman"/>
          <w:lang w:val="en-US" w:eastAsia="zh-CN"/>
        </w:rPr>
        <w:t>二甲苯</w:t>
      </w:r>
      <w:r>
        <w:rPr>
          <w:rFonts w:hint="eastAsia"/>
          <w:lang w:val="en-US" w:eastAsia="zh-CN"/>
        </w:rPr>
        <w:t>、</w:t>
      </w:r>
      <w:r>
        <w:rPr>
          <w:rFonts w:hint="eastAsia" w:ascii="Times New Roman" w:hAnsi="Times New Roman"/>
          <w:lang w:val="en-US" w:eastAsia="zh-CN"/>
        </w:rPr>
        <w:t>非甲烷总烃</w:t>
      </w:r>
      <w:r>
        <w:rPr>
          <w:rFonts w:hint="eastAsia"/>
          <w:lang w:val="en-US" w:eastAsia="zh-CN"/>
        </w:rPr>
        <w:t>、</w:t>
      </w:r>
      <w:r>
        <w:rPr>
          <w:rFonts w:hint="eastAsia" w:ascii="Times New Roman" w:hAnsi="Times New Roman"/>
          <w:lang w:val="en-US" w:eastAsia="zh-CN"/>
        </w:rPr>
        <w:t>颗粒物</w:t>
      </w:r>
      <w:r>
        <w:rPr>
          <w:rFonts w:hint="eastAsia"/>
          <w:lang w:val="en-US" w:eastAsia="zh-CN"/>
        </w:rPr>
        <w:t>满足</w:t>
      </w:r>
      <w:r>
        <w:rPr>
          <w:rFonts w:hint="eastAsia"/>
        </w:rPr>
        <w:t>《家具制造业大气污染物排放标准》（DB50/757-2017）表2</w:t>
      </w:r>
      <w:r>
        <w:rPr>
          <w:rFonts w:hint="eastAsia"/>
          <w:lang w:eastAsia="zh-CN"/>
        </w:rPr>
        <w:t>限值。</w:t>
      </w:r>
      <w:r>
        <w:rPr>
          <w:rFonts w:hint="eastAsia"/>
          <w:lang w:val="en-US" w:eastAsia="zh-CN"/>
        </w:rPr>
        <w:t>无组织废气中的</w:t>
      </w:r>
      <w:r>
        <w:rPr>
          <w:rFonts w:hint="eastAsia" w:ascii="Times New Roman" w:hAnsi="Times New Roman"/>
          <w:lang w:val="en-US" w:eastAsia="zh-CN"/>
        </w:rPr>
        <w:t>二甲苯</w:t>
      </w:r>
      <w:r>
        <w:rPr>
          <w:rFonts w:hint="eastAsia"/>
          <w:lang w:val="en-US" w:eastAsia="zh-CN"/>
        </w:rPr>
        <w:t>、</w:t>
      </w:r>
      <w:r>
        <w:rPr>
          <w:rFonts w:hint="eastAsia" w:ascii="Times New Roman" w:hAnsi="Times New Roman"/>
          <w:lang w:val="en-US" w:eastAsia="zh-CN"/>
        </w:rPr>
        <w:t>非甲烷总烃</w:t>
      </w:r>
      <w:r>
        <w:rPr>
          <w:rFonts w:hint="eastAsia"/>
          <w:lang w:val="en-US" w:eastAsia="zh-CN"/>
        </w:rPr>
        <w:t>、</w:t>
      </w:r>
      <w:r>
        <w:rPr>
          <w:rFonts w:hint="eastAsia" w:ascii="Times New Roman" w:hAnsi="Times New Roman"/>
          <w:lang w:val="en-US" w:eastAsia="zh-CN"/>
        </w:rPr>
        <w:t>颗粒物</w:t>
      </w:r>
      <w:r>
        <w:rPr>
          <w:rFonts w:hint="eastAsia"/>
          <w:lang w:val="en-US" w:eastAsia="zh-CN"/>
        </w:rPr>
        <w:t>均满足</w:t>
      </w:r>
      <w:r>
        <w:rPr>
          <w:bCs/>
          <w:color w:val="auto"/>
          <w:sz w:val="24"/>
        </w:rPr>
        <w:t>《</w:t>
      </w:r>
      <w:r>
        <w:rPr>
          <w:rFonts w:hint="eastAsia"/>
          <w:bCs/>
          <w:color w:val="auto"/>
          <w:sz w:val="24"/>
          <w:lang w:eastAsia="zh-CN"/>
        </w:rPr>
        <w:t>家具制造业大气污染物</w:t>
      </w:r>
      <w:r>
        <w:rPr>
          <w:bCs/>
          <w:color w:val="auto"/>
          <w:sz w:val="24"/>
        </w:rPr>
        <w:t>排放标准》（</w:t>
      </w:r>
      <w:r>
        <w:rPr>
          <w:rFonts w:hint="eastAsia"/>
          <w:bCs/>
          <w:color w:val="auto"/>
          <w:sz w:val="24"/>
          <w:lang w:val="en-US" w:eastAsia="zh-CN"/>
        </w:rPr>
        <w:t>DB 50/757-2017</w:t>
      </w:r>
      <w:r>
        <w:rPr>
          <w:bCs/>
          <w:color w:val="auto"/>
          <w:sz w:val="24"/>
        </w:rPr>
        <w:t>）</w:t>
      </w:r>
      <w:r>
        <w:rPr>
          <w:rFonts w:hint="eastAsia" w:ascii="Times New Roman" w:hAnsi="Times New Roman" w:cs="Times New Roman"/>
          <w:color w:val="auto"/>
          <w:sz w:val="24"/>
          <w:lang w:val="en-US" w:eastAsia="zh-CN"/>
        </w:rPr>
        <w:t>表3</w:t>
      </w:r>
      <w:r>
        <w:rPr>
          <w:rFonts w:hint="eastAsia" w:cs="Times New Roman"/>
          <w:color w:val="auto"/>
          <w:sz w:val="24"/>
          <w:lang w:val="en-US" w:eastAsia="zh-CN"/>
        </w:rPr>
        <w:t>标准</w:t>
      </w:r>
      <w:r>
        <w:t>。</w:t>
      </w:r>
    </w:p>
    <w:p>
      <w:pPr>
        <w:pStyle w:val="5"/>
      </w:pPr>
      <w:r>
        <w:t xml:space="preserve">10.1.2 </w:t>
      </w:r>
      <w:bookmarkEnd w:id="118"/>
      <w:bookmarkStart w:id="119" w:name="_Toc497833636"/>
      <w:r>
        <w:t xml:space="preserve"> 噪声</w:t>
      </w:r>
      <w:bookmarkEnd w:id="119"/>
    </w:p>
    <w:p>
      <w:pPr>
        <w:ind w:firstLine="720" w:firstLineChars="300"/>
        <w:rPr>
          <w:lang w:val="zh-CN"/>
        </w:rPr>
      </w:pPr>
      <w:r>
        <w:rPr>
          <w:lang w:val="zh-CN"/>
        </w:rPr>
        <w:t>监测结果表明，该项目厂界噪声满足《工业企业厂界环境噪声排放标准》（GB12348-2008）的</w:t>
      </w:r>
      <w:r>
        <w:rPr>
          <w:rFonts w:hint="eastAsia"/>
          <w:lang w:val="en-US" w:eastAsia="zh-CN"/>
        </w:rPr>
        <w:t>2</w:t>
      </w:r>
      <w:r>
        <w:rPr>
          <w:lang w:val="zh-CN"/>
        </w:rPr>
        <w:t>类标准。</w:t>
      </w:r>
    </w:p>
    <w:p>
      <w:pPr>
        <w:pStyle w:val="5"/>
        <w:rPr>
          <w:rFonts w:hint="eastAsia" w:eastAsia="宋体"/>
          <w:lang w:val="zh-CN" w:eastAsia="zh-CN"/>
        </w:rPr>
      </w:pPr>
      <w:r>
        <w:t>10.1.</w:t>
      </w:r>
      <w:r>
        <w:rPr>
          <w:rFonts w:hint="eastAsia"/>
          <w:lang w:val="en-US" w:eastAsia="zh-CN"/>
        </w:rPr>
        <w:t>3</w:t>
      </w:r>
      <w:r>
        <w:t xml:space="preserve">  </w:t>
      </w:r>
      <w:r>
        <w:rPr>
          <w:rFonts w:hint="eastAsia"/>
          <w:lang w:eastAsia="zh-CN"/>
        </w:rPr>
        <w:t>固废</w:t>
      </w:r>
    </w:p>
    <w:p>
      <w:pPr>
        <w:ind w:firstLine="480" w:firstLineChars="200"/>
        <w:rPr>
          <w:rFonts w:hint="eastAsia"/>
          <w:lang w:val="en-US" w:eastAsia="zh-CN"/>
        </w:rPr>
      </w:pPr>
      <w:r>
        <w:rPr>
          <w:rFonts w:hint="eastAsia"/>
          <w:lang w:val="en-US" w:eastAsia="zh-CN"/>
        </w:rPr>
        <w:t>固体废物主要包括一般工业固废、危险废物、生活垃圾。其中木工加工边角料和木工尘渣外售给其它企业综合利用，不可回收部分交由环卫部门处理；废漆桶、胶桶、活性炭等定期交有资质的单位处置或由厂家回收处置，其中废手套混入生活垃圾的部分全程可不按危险废物处理；生活垃圾委托当地环卫部门处置。</w:t>
      </w:r>
    </w:p>
    <w:p>
      <w:pPr>
        <w:pStyle w:val="4"/>
      </w:pPr>
      <w:bookmarkStart w:id="120" w:name="_Toc6447"/>
      <w:bookmarkStart w:id="121" w:name="_Toc497833639"/>
      <w:bookmarkStart w:id="122" w:name="_Toc31520"/>
      <w:r>
        <w:t>10.2</w:t>
      </w:r>
      <w:bookmarkEnd w:id="120"/>
      <w:bookmarkEnd w:id="121"/>
      <w:bookmarkStart w:id="123" w:name="_Toc497833640"/>
      <w:bookmarkStart w:id="124" w:name="_Toc13610"/>
      <w:bookmarkStart w:id="125" w:name="_Toc13754664"/>
      <w:bookmarkStart w:id="126" w:name="_Toc497833641"/>
      <w:bookmarkStart w:id="127" w:name="_Toc3746"/>
      <w:r>
        <w:t>环境管理检查</w:t>
      </w:r>
      <w:bookmarkEnd w:id="122"/>
      <w:bookmarkEnd w:id="123"/>
      <w:bookmarkEnd w:id="124"/>
      <w:bookmarkEnd w:id="125"/>
    </w:p>
    <w:p>
      <w:pPr>
        <w:ind w:firstLine="480" w:firstLineChars="200"/>
        <w:rPr>
          <w:rFonts w:hint="eastAsia"/>
        </w:rPr>
      </w:pPr>
      <w:r>
        <w:rPr>
          <w:rFonts w:hint="eastAsia"/>
        </w:rPr>
        <w:t>与项目有关的各项环保档案资料（例如：环评报告</w:t>
      </w:r>
      <w:r>
        <w:rPr>
          <w:rFonts w:hint="eastAsia"/>
          <w:lang w:eastAsia="zh-CN"/>
        </w:rPr>
        <w:t>表</w:t>
      </w:r>
      <w:r>
        <w:rPr>
          <w:rFonts w:hint="eastAsia"/>
        </w:rPr>
        <w:t>、环评批复、执行标准等批复和文件）齐备，均由办公室归档保管，符合环保要求。</w:t>
      </w:r>
    </w:p>
    <w:p>
      <w:pPr>
        <w:pStyle w:val="4"/>
      </w:pPr>
      <w:bookmarkStart w:id="128" w:name="_Toc15542"/>
      <w:r>
        <w:t>10.</w:t>
      </w:r>
      <w:r>
        <w:rPr>
          <w:rFonts w:hint="eastAsia"/>
          <w:lang w:val="en-US" w:eastAsia="zh-CN"/>
        </w:rPr>
        <w:t>3</w:t>
      </w:r>
      <w:r>
        <w:t xml:space="preserve"> 综合结论</w:t>
      </w:r>
      <w:bookmarkEnd w:id="126"/>
      <w:bookmarkEnd w:id="127"/>
      <w:bookmarkEnd w:id="128"/>
    </w:p>
    <w:p>
      <w:pPr>
        <w:pStyle w:val="11"/>
        <w:ind w:firstLine="472" w:firstLineChars="200"/>
      </w:pPr>
      <w:r>
        <w:rPr>
          <w:rFonts w:hint="eastAsia"/>
          <w:lang w:eastAsia="zh-CN"/>
        </w:rPr>
        <w:t>重庆市万州区启豪套装门厂套装门生产项目</w:t>
      </w:r>
      <w:r>
        <w:t>环保手续齐全，经现场检查已基本按环评及其批复要求落实了各项污染治理设施。</w:t>
      </w:r>
      <w:r>
        <w:rPr>
          <w:rFonts w:hint="eastAsia"/>
          <w:lang w:val="en-US" w:eastAsia="zh-CN"/>
        </w:rPr>
        <w:t>工程建设期间与调试运行过程中，未发生重大污染和环保投诉事件。现有环保设施能符合运营期污染物排放及处置要求，满足竣工环保验收条件。</w:t>
      </w:r>
      <w:r>
        <w:t>本次竣工环保验收经过为期2天的现场验收监测，各项监测指标均能满足相应标准要求。综上所述，</w:t>
      </w:r>
      <w:r>
        <w:rPr>
          <w:rFonts w:hint="eastAsia"/>
          <w:lang w:eastAsia="zh-CN"/>
        </w:rPr>
        <w:t>重庆市万州区启豪套装门厂套装门生产项目</w:t>
      </w:r>
      <w:r>
        <w:t>符合竣工环保验收要求，建议通过环保竣工验收。</w:t>
      </w:r>
    </w:p>
    <w:p>
      <w:pPr>
        <w:pStyle w:val="4"/>
      </w:pPr>
      <w:bookmarkStart w:id="129" w:name="_Toc497833642"/>
      <w:bookmarkStart w:id="130" w:name="_Toc7985"/>
      <w:bookmarkStart w:id="131" w:name="_Toc514"/>
      <w:r>
        <w:t>10.</w:t>
      </w:r>
      <w:r>
        <w:rPr>
          <w:rFonts w:hint="eastAsia"/>
          <w:lang w:val="en-US" w:eastAsia="zh-CN"/>
        </w:rPr>
        <w:t>4</w:t>
      </w:r>
      <w:r>
        <w:t xml:space="preserve"> 建议</w:t>
      </w:r>
      <w:bookmarkEnd w:id="129"/>
      <w:bookmarkEnd w:id="130"/>
      <w:r>
        <w:t>与要求</w:t>
      </w:r>
      <w:bookmarkEnd w:id="131"/>
    </w:p>
    <w:p>
      <w:pPr>
        <w:numPr>
          <w:ilvl w:val="0"/>
          <w:numId w:val="4"/>
        </w:numPr>
        <w:tabs>
          <w:tab w:val="left" w:pos="1455"/>
        </w:tabs>
        <w:spacing w:line="460" w:lineRule="atLeast"/>
        <w:ind w:firstLine="480" w:firstLineChars="200"/>
        <w:jc w:val="left"/>
        <w:rPr>
          <w:rFonts w:hint="eastAsia" w:ascii="Times New Roman" w:hAnsi="Times New Roman"/>
          <w:color w:val="000000"/>
          <w:sz w:val="24"/>
          <w:szCs w:val="24"/>
          <w:lang w:val="en-US" w:eastAsia="zh-CN"/>
        </w:rPr>
      </w:pPr>
      <w:bookmarkStart w:id="132" w:name="_Toc16519460"/>
      <w:bookmarkStart w:id="133" w:name="_Toc27817"/>
      <w:bookmarkStart w:id="134" w:name="_Toc17100877"/>
      <w:r>
        <w:rPr>
          <w:rFonts w:hint="eastAsia" w:ascii="Times New Roman" w:hAnsi="Times New Roman"/>
          <w:color w:val="000000"/>
          <w:sz w:val="24"/>
          <w:szCs w:val="24"/>
          <w:lang w:val="en-US" w:eastAsia="zh-CN"/>
        </w:rPr>
        <w:t xml:space="preserve">加强废气处理设施的维修和保养，保证废气处理设施正常运行，保证废气达标排放。 </w:t>
      </w:r>
    </w:p>
    <w:bookmarkEnd w:id="132"/>
    <w:bookmarkEnd w:id="133"/>
    <w:bookmarkEnd w:id="134"/>
    <w:p>
      <w:pPr>
        <w:pStyle w:val="3"/>
        <w:keepNext/>
        <w:keepLines/>
        <w:pageBreakBefore/>
        <w:widowControl/>
        <w:kinsoku/>
        <w:wordWrap/>
        <w:overflowPunct/>
        <w:topLinePunct w:val="0"/>
        <w:autoSpaceDE/>
        <w:autoSpaceDN/>
        <w:bidi w:val="0"/>
        <w:adjustRightInd w:val="0"/>
        <w:snapToGrid w:val="0"/>
        <w:textAlignment w:val="auto"/>
      </w:pPr>
      <w:bookmarkStart w:id="135" w:name="_Toc28981"/>
      <w:bookmarkStart w:id="136" w:name="_Toc28832"/>
      <w:r>
        <w:rPr>
          <w:rFonts w:hint="eastAsia"/>
        </w:rPr>
        <w:t>1</w:t>
      </w:r>
      <w:r>
        <w:rPr>
          <w:rFonts w:hint="eastAsia"/>
          <w:lang w:val="en-US" w:eastAsia="zh-CN"/>
        </w:rPr>
        <w:t xml:space="preserve">1 </w:t>
      </w:r>
      <w:r>
        <w:t>附图附件</w:t>
      </w:r>
      <w:bookmarkEnd w:id="135"/>
      <w:bookmarkEnd w:id="136"/>
    </w:p>
    <w:p>
      <w:pPr>
        <w:pStyle w:val="4"/>
      </w:pPr>
      <w:bookmarkStart w:id="137" w:name="_Toc15208"/>
      <w:bookmarkStart w:id="138" w:name="_Toc4913"/>
      <w:r>
        <w:rPr>
          <w:rFonts w:hint="eastAsia"/>
        </w:rPr>
        <w:t>1</w:t>
      </w:r>
      <w:r>
        <w:rPr>
          <w:rFonts w:hint="eastAsia"/>
          <w:lang w:val="en-US" w:eastAsia="zh-CN"/>
        </w:rPr>
        <w:t>1</w:t>
      </w:r>
      <w:r>
        <w:t>.1附图:</w:t>
      </w:r>
      <w:bookmarkEnd w:id="137"/>
      <w:bookmarkEnd w:id="138"/>
    </w:p>
    <w:p>
      <w:pPr>
        <w:tabs>
          <w:tab w:val="left" w:pos="1455"/>
        </w:tabs>
        <w:spacing w:line="460" w:lineRule="atLeast"/>
        <w:ind w:firstLine="720" w:firstLineChars="300"/>
        <w:jc w:val="left"/>
        <w:rPr>
          <w:rFonts w:ascii="Times New Roman" w:hAnsi="Times New Roman"/>
          <w:color w:val="000000"/>
          <w:sz w:val="24"/>
          <w:szCs w:val="24"/>
        </w:rPr>
      </w:pPr>
      <w:r>
        <w:rPr>
          <w:rFonts w:ascii="Times New Roman" w:hAnsi="Times New Roman"/>
          <w:color w:val="000000"/>
          <w:sz w:val="24"/>
          <w:szCs w:val="24"/>
        </w:rPr>
        <w:t>附图1</w:t>
      </w:r>
      <w:r>
        <w:rPr>
          <w:rFonts w:hint="eastAsia" w:ascii="Times New Roman" w:hAnsi="Times New Roman"/>
          <w:color w:val="000000"/>
          <w:sz w:val="24"/>
          <w:szCs w:val="24"/>
          <w:lang w:val="en-US" w:eastAsia="zh-CN"/>
        </w:rPr>
        <w:t xml:space="preserve">  </w:t>
      </w:r>
      <w:r>
        <w:rPr>
          <w:rFonts w:ascii="Times New Roman" w:hAnsi="Times New Roman"/>
          <w:color w:val="000000"/>
          <w:sz w:val="24"/>
          <w:szCs w:val="24"/>
        </w:rPr>
        <w:t>项目地理位置图</w:t>
      </w:r>
      <w:r>
        <w:rPr>
          <w:rFonts w:ascii="Times New Roman" w:hAnsi="Times New Roman"/>
          <w:color w:val="000000"/>
          <w:sz w:val="24"/>
          <w:szCs w:val="24"/>
        </w:rPr>
        <w:tab/>
      </w:r>
    </w:p>
    <w:p>
      <w:pPr>
        <w:tabs>
          <w:tab w:val="left" w:pos="1455"/>
        </w:tabs>
        <w:spacing w:line="460" w:lineRule="atLeast"/>
        <w:ind w:firstLine="720" w:firstLineChars="300"/>
        <w:jc w:val="left"/>
        <w:rPr>
          <w:rFonts w:hint="default" w:ascii="Times New Roman" w:hAnsi="Times New Roman"/>
          <w:color w:val="000000"/>
          <w:sz w:val="24"/>
          <w:szCs w:val="24"/>
          <w:lang w:val="en-US"/>
        </w:rPr>
      </w:pPr>
      <w:r>
        <w:rPr>
          <w:rFonts w:ascii="Times New Roman" w:hAnsi="Times New Roman"/>
          <w:color w:val="000000"/>
          <w:sz w:val="24"/>
          <w:szCs w:val="24"/>
        </w:rPr>
        <w:t>附图2</w:t>
      </w:r>
      <w:r>
        <w:rPr>
          <w:rFonts w:hint="eastAsia" w:ascii="Times New Roman" w:hAnsi="Times New Roman"/>
          <w:color w:val="000000"/>
          <w:sz w:val="24"/>
          <w:szCs w:val="24"/>
          <w:lang w:val="en-US" w:eastAsia="zh-CN"/>
        </w:rPr>
        <w:t xml:space="preserve">  </w:t>
      </w:r>
      <w:r>
        <w:rPr>
          <w:rFonts w:hint="eastAsia" w:ascii="Times New Roman" w:hAnsi="Times New Roman"/>
          <w:color w:val="000000"/>
          <w:sz w:val="24"/>
          <w:szCs w:val="24"/>
        </w:rPr>
        <w:t>厂区平面布置图</w:t>
      </w:r>
    </w:p>
    <w:p>
      <w:pPr>
        <w:pStyle w:val="9"/>
        <w:ind w:firstLine="720" w:firstLineChars="300"/>
        <w:rPr>
          <w:rFonts w:hint="default"/>
          <w:lang w:val="en-US" w:eastAsia="zh-CN"/>
        </w:rPr>
      </w:pPr>
      <w:r>
        <w:rPr>
          <w:rFonts w:ascii="Times New Roman" w:hAnsi="Times New Roman"/>
          <w:color w:val="000000"/>
          <w:sz w:val="24"/>
          <w:szCs w:val="24"/>
        </w:rPr>
        <w:t>附图3</w:t>
      </w:r>
      <w:r>
        <w:rPr>
          <w:rFonts w:hint="eastAsia"/>
          <w:color w:val="000000"/>
          <w:sz w:val="24"/>
          <w:szCs w:val="24"/>
          <w:lang w:val="en-US" w:eastAsia="zh-CN"/>
        </w:rPr>
        <w:t xml:space="preserve"> </w:t>
      </w:r>
      <w:r>
        <w:rPr>
          <w:rFonts w:hint="eastAsia" w:ascii="Times New Roman" w:hAnsi="Times New Roman"/>
          <w:color w:val="000000"/>
          <w:sz w:val="24"/>
          <w:szCs w:val="24"/>
          <w:lang w:val="en-US" w:eastAsia="zh-CN"/>
        </w:rPr>
        <w:t xml:space="preserve"> 生产车间主要设备及环保设施布置图</w:t>
      </w:r>
    </w:p>
    <w:p>
      <w:pPr>
        <w:pStyle w:val="2"/>
        <w:rPr>
          <w:rFonts w:hint="eastAsia"/>
          <w:lang w:val="en-US" w:eastAsia="zh-CN"/>
        </w:rPr>
      </w:pPr>
    </w:p>
    <w:p>
      <w:pPr>
        <w:pStyle w:val="2"/>
        <w:rPr>
          <w:rFonts w:hint="default"/>
          <w:lang w:val="en-US" w:eastAsia="zh-CN"/>
        </w:rPr>
      </w:pPr>
    </w:p>
    <w:p>
      <w:pPr>
        <w:pStyle w:val="4"/>
      </w:pPr>
      <w:bookmarkStart w:id="139" w:name="_Toc9016"/>
      <w:bookmarkStart w:id="140" w:name="_Toc2389"/>
      <w:r>
        <w:rPr>
          <w:rFonts w:hint="eastAsia"/>
        </w:rPr>
        <w:t>1</w:t>
      </w:r>
      <w:r>
        <w:rPr>
          <w:rFonts w:hint="eastAsia"/>
          <w:lang w:val="en-US" w:eastAsia="zh-CN"/>
        </w:rPr>
        <w:t>1</w:t>
      </w:r>
      <w:r>
        <w:t>.2附件:</w:t>
      </w:r>
      <w:bookmarkEnd w:id="139"/>
      <w:bookmarkEnd w:id="140"/>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ascii="Times New Roman" w:hAnsi="Times New Roman"/>
          <w:color w:val="000000"/>
          <w:sz w:val="24"/>
          <w:szCs w:val="24"/>
        </w:rPr>
        <w:t>附件1</w:t>
      </w:r>
      <w:r>
        <w:rPr>
          <w:rFonts w:hint="eastAsia" w:ascii="Times New Roman" w:hAnsi="Times New Roman"/>
          <w:color w:val="000000"/>
          <w:sz w:val="24"/>
          <w:szCs w:val="24"/>
          <w:lang w:val="en-US" w:eastAsia="zh-CN"/>
        </w:rPr>
        <w:t xml:space="preserve">  </w:t>
      </w:r>
      <w:r>
        <w:rPr>
          <w:rFonts w:hint="eastAsia" w:ascii="Times New Roman" w:hAnsi="Times New Roman"/>
          <w:color w:val="000000"/>
          <w:sz w:val="24"/>
          <w:szCs w:val="24"/>
          <w:lang w:eastAsia="zh-CN"/>
        </w:rPr>
        <w:t>环评</w:t>
      </w:r>
      <w:r>
        <w:rPr>
          <w:rFonts w:hint="eastAsia"/>
          <w:color w:val="000000"/>
          <w:sz w:val="24"/>
          <w:szCs w:val="24"/>
          <w:lang w:val="en-US" w:eastAsia="zh-CN"/>
        </w:rPr>
        <w:t>批准书</w:t>
      </w:r>
    </w:p>
    <w:p>
      <w:pPr>
        <w:tabs>
          <w:tab w:val="left" w:pos="1455"/>
        </w:tabs>
        <w:spacing w:line="460" w:lineRule="atLeast"/>
        <w:ind w:firstLine="720" w:firstLineChars="300"/>
        <w:jc w:val="left"/>
        <w:rPr>
          <w:rFonts w:hint="eastAsia"/>
          <w:color w:val="000000"/>
          <w:sz w:val="24"/>
          <w:szCs w:val="24"/>
          <w:lang w:val="en-US" w:eastAsia="zh-CN"/>
        </w:rPr>
      </w:pPr>
      <w:r>
        <w:rPr>
          <w:rFonts w:hint="eastAsia" w:ascii="Times New Roman" w:hAnsi="Times New Roman"/>
          <w:color w:val="000000"/>
          <w:sz w:val="24"/>
          <w:szCs w:val="24"/>
          <w:lang w:eastAsia="zh-CN"/>
        </w:rPr>
        <w:t>附件</w:t>
      </w:r>
      <w:r>
        <w:rPr>
          <w:rFonts w:hint="eastAsia" w:ascii="Times New Roman" w:hAnsi="Times New Roman"/>
          <w:color w:val="000000"/>
          <w:sz w:val="24"/>
          <w:szCs w:val="24"/>
          <w:lang w:val="en-US" w:eastAsia="zh-CN"/>
        </w:rPr>
        <w:t xml:space="preserve">2  </w:t>
      </w:r>
      <w:r>
        <w:rPr>
          <w:rFonts w:hint="eastAsia"/>
          <w:color w:val="000000"/>
          <w:sz w:val="24"/>
          <w:szCs w:val="24"/>
          <w:lang w:val="en-US" w:eastAsia="zh-CN"/>
        </w:rPr>
        <w:t>生活污水回用协议</w:t>
      </w:r>
    </w:p>
    <w:p>
      <w:pPr>
        <w:tabs>
          <w:tab w:val="left" w:pos="1455"/>
        </w:tabs>
        <w:spacing w:line="460" w:lineRule="atLeast"/>
        <w:ind w:firstLine="720" w:firstLineChars="300"/>
        <w:jc w:val="left"/>
        <w:rPr>
          <w:rFonts w:hint="eastAsia" w:ascii="Times New Roman" w:hAnsi="Times New Roman"/>
          <w:color w:val="000000"/>
          <w:sz w:val="24"/>
          <w:szCs w:val="24"/>
          <w:lang w:eastAsia="zh-CN"/>
        </w:rPr>
      </w:pPr>
      <w:r>
        <w:rPr>
          <w:rFonts w:hint="eastAsia" w:ascii="Times New Roman" w:hAnsi="Times New Roman"/>
          <w:color w:val="000000"/>
          <w:sz w:val="24"/>
          <w:szCs w:val="24"/>
          <w:lang w:val="en-US" w:eastAsia="zh-CN"/>
        </w:rPr>
        <w:t xml:space="preserve">附件3 </w:t>
      </w:r>
      <w:r>
        <w:rPr>
          <w:rFonts w:hint="eastAsia"/>
          <w:color w:val="000000"/>
          <w:sz w:val="24"/>
          <w:szCs w:val="24"/>
          <w:lang w:val="en-US" w:eastAsia="zh-CN"/>
        </w:rPr>
        <w:t xml:space="preserve"> 危废协议</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4</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 xml:space="preserve"> </w:t>
      </w:r>
      <w:r>
        <w:rPr>
          <w:rFonts w:hint="eastAsia" w:ascii="Times New Roman" w:hAnsi="Times New Roman"/>
          <w:color w:val="000000"/>
          <w:sz w:val="24"/>
          <w:szCs w:val="24"/>
          <w:lang w:val="en-US" w:eastAsia="zh-CN"/>
        </w:rPr>
        <w:t>竣工验收监测报告</w:t>
      </w:r>
      <w:r>
        <w:rPr>
          <w:rFonts w:hint="eastAsia"/>
          <w:color w:val="000000"/>
          <w:sz w:val="24"/>
          <w:szCs w:val="24"/>
          <w:lang w:val="en-US" w:eastAsia="zh-CN"/>
        </w:rPr>
        <w:t>（厦美【2021】第YS176号）</w:t>
      </w:r>
    </w:p>
    <w:p>
      <w:pPr>
        <w:tabs>
          <w:tab w:val="left" w:pos="1455"/>
        </w:tabs>
        <w:spacing w:line="460" w:lineRule="atLeast"/>
        <w:ind w:firstLine="720" w:firstLineChars="300"/>
        <w:jc w:val="left"/>
        <w:rPr>
          <w:rFonts w:hint="eastAsia"/>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5</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应急预案</w:t>
      </w:r>
    </w:p>
    <w:p>
      <w:pPr>
        <w:tabs>
          <w:tab w:val="left" w:pos="1455"/>
        </w:tabs>
        <w:spacing w:line="460" w:lineRule="atLeast"/>
        <w:ind w:firstLine="720" w:firstLineChars="300"/>
        <w:jc w:val="left"/>
        <w:rPr>
          <w:rFonts w:hint="eastAsia" w:ascii="Times New Roman" w:hAnsi="Times New Roman"/>
          <w:color w:val="000000"/>
          <w:sz w:val="24"/>
          <w:szCs w:val="24"/>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6</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固定源排污登记表</w:t>
      </w:r>
    </w:p>
    <w:p>
      <w:pPr>
        <w:tabs>
          <w:tab w:val="left" w:pos="1455"/>
        </w:tabs>
        <w:spacing w:line="460" w:lineRule="atLeast"/>
        <w:ind w:firstLine="720" w:firstLineChars="300"/>
        <w:jc w:val="left"/>
        <w:rPr>
          <w:rFonts w:hint="eastAsia"/>
          <w:lang w:val="en-US" w:eastAsia="zh-CN"/>
        </w:rPr>
      </w:pPr>
      <w:r>
        <w:rPr>
          <w:rFonts w:hint="eastAsia" w:ascii="Times New Roman" w:hAnsi="Times New Roman"/>
          <w:color w:val="000000"/>
          <w:sz w:val="24"/>
          <w:szCs w:val="24"/>
          <w:lang w:val="en-US" w:eastAsia="zh-CN"/>
        </w:rPr>
        <w:t>附件</w:t>
      </w:r>
      <w:r>
        <w:rPr>
          <w:rFonts w:hint="eastAsia"/>
          <w:color w:val="000000"/>
          <w:sz w:val="24"/>
          <w:szCs w:val="24"/>
          <w:lang w:val="en-US" w:eastAsia="zh-CN"/>
        </w:rPr>
        <w:t>7</w:t>
      </w:r>
      <w:r>
        <w:rPr>
          <w:rFonts w:hint="eastAsia" w:ascii="Times New Roman" w:hAnsi="Times New Roman"/>
          <w:color w:val="000000"/>
          <w:sz w:val="24"/>
          <w:szCs w:val="24"/>
          <w:lang w:val="en-US" w:eastAsia="zh-CN"/>
        </w:rPr>
        <w:t xml:space="preserve">  </w:t>
      </w:r>
      <w:r>
        <w:rPr>
          <w:rFonts w:hint="eastAsia"/>
          <w:color w:val="000000"/>
          <w:sz w:val="24"/>
          <w:szCs w:val="24"/>
          <w:lang w:val="en-US" w:eastAsia="zh-CN"/>
        </w:rPr>
        <w:t>专家意见</w:t>
      </w:r>
    </w:p>
    <w:p>
      <w:pPr>
        <w:pStyle w:val="11"/>
      </w:pPr>
    </w:p>
    <w:sectPr>
      <w:pgSz w:w="11905" w:h="16838"/>
      <w:pgMar w:top="1083" w:right="1440" w:bottom="1083" w:left="1440" w:header="851" w:footer="850" w:gutter="0"/>
      <w:cols w:space="0" w:num="1"/>
      <w:docGrid w:type="lines" w:linePitch="32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Arial Narrow">
    <w:altName w:val="Arial"/>
    <w:panose1 w:val="020B0606020202030204"/>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outside" w:y="1"/>
      <w:rPr>
        <w:rStyle w:val="33"/>
      </w:rPr>
    </w:pPr>
    <w:r>
      <w:fldChar w:fldCharType="begin"/>
    </w:r>
    <w:r>
      <w:rPr>
        <w:rStyle w:val="33"/>
      </w:rPr>
      <w:instrText xml:space="preserve">PAGE  </w:instrText>
    </w:r>
    <w:r>
      <w:fldChar w:fldCharType="separate"/>
    </w:r>
    <w:r>
      <w:rPr>
        <w:rStyle w:val="33"/>
      </w:rPr>
      <w:t>36</w:t>
    </w:r>
    <w:r>
      <w:fldChar w:fldCharType="end"/>
    </w:r>
  </w:p>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before="120"/>
      <w:ind w:firstLine="520"/>
      <w:jc w:val="center"/>
    </w:pPr>
  </w:p>
  <w:p>
    <w:pPr>
      <w:tabs>
        <w:tab w:val="center" w:pos="4153"/>
        <w:tab w:val="right" w:pos="8306"/>
      </w:tabs>
      <w:ind w:firstLine="5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0"/>
      <w:rPr>
        <w:rStyle w:val="25"/>
        <w:rFonts w:hint="eastAsia" w:eastAsia="宋体"/>
        <w:szCs w:val="21"/>
        <w:lang w:eastAsia="zh-CN"/>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05"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tabs>
                              <w:tab w:val="center" w:pos="4153"/>
                              <w:tab w:val="right" w:pos="8306"/>
                            </w:tabs>
                            <w:jc w:val="center"/>
                          </w:pPr>
                          <w:r>
                            <w:rPr>
                              <w:sz w:val="21"/>
                              <w:szCs w:val="21"/>
                            </w:rPr>
                            <w:fldChar w:fldCharType="begin"/>
                          </w:r>
                          <w:r>
                            <w:rPr>
                              <w:rStyle w:val="25"/>
                              <w:sz w:val="21"/>
                              <w:szCs w:val="21"/>
                            </w:rPr>
                            <w:instrText xml:space="preserve">PAGE  </w:instrText>
                          </w:r>
                          <w:r>
                            <w:rPr>
                              <w:sz w:val="21"/>
                              <w:szCs w:val="21"/>
                            </w:rPr>
                            <w:fldChar w:fldCharType="separate"/>
                          </w:r>
                          <w:r>
                            <w:rPr>
                              <w:rStyle w:val="25"/>
                              <w:sz w:val="21"/>
                              <w:szCs w:val="21"/>
                            </w:rPr>
                            <w:t>53</w:t>
                          </w:r>
                          <w:r>
                            <w:rPr>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7"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5SrA0AgAAZg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UqwNAIAAGYEAAAOAAAAAAAAAAEAIAAAAB8BAABkcnMvZTJvRG9jLnhtbFBL&#10;BQYAAAAABgAGAFkBAADFBQAAAAA=&#10;">
              <v:fill on="f" focussize="0,0"/>
              <v:stroke on="f" weight="0.5pt"/>
              <v:imagedata o:title=""/>
              <o:lock v:ext="edit" aspectratio="f"/>
              <v:textbox inset="0mm,0mm,0mm,0mm" style="mso-fit-shape-to-text:t;">
                <w:txbxContent>
                  <w:p>
                    <w:pPr>
                      <w:tabs>
                        <w:tab w:val="center" w:pos="4153"/>
                        <w:tab w:val="right" w:pos="8306"/>
                      </w:tabs>
                      <w:jc w:val="center"/>
                    </w:pPr>
                    <w:r>
                      <w:rPr>
                        <w:sz w:val="21"/>
                        <w:szCs w:val="21"/>
                      </w:rPr>
                      <w:fldChar w:fldCharType="begin"/>
                    </w:r>
                    <w:r>
                      <w:rPr>
                        <w:rStyle w:val="25"/>
                        <w:sz w:val="21"/>
                        <w:szCs w:val="21"/>
                      </w:rPr>
                      <w:instrText xml:space="preserve">PAGE  </w:instrText>
                    </w:r>
                    <w:r>
                      <w:rPr>
                        <w:sz w:val="21"/>
                        <w:szCs w:val="21"/>
                      </w:rPr>
                      <w:fldChar w:fldCharType="separate"/>
                    </w:r>
                    <w:r>
                      <w:rPr>
                        <w:rStyle w:val="25"/>
                        <w:sz w:val="21"/>
                        <w:szCs w:val="21"/>
                      </w:rPr>
                      <w:t>53</w:t>
                    </w:r>
                    <w:r>
                      <w:rPr>
                        <w:sz w:val="21"/>
                        <w:szCs w:val="21"/>
                      </w:rPr>
                      <w:fldChar w:fldCharType="end"/>
                    </w:r>
                  </w:p>
                </w:txbxContent>
              </v:textbox>
            </v:shape>
          </w:pict>
        </mc:Fallback>
      </mc:AlternateContent>
    </w:r>
    <w:r>
      <w:rPr>
        <w:rFonts w:hint="eastAsia"/>
        <w:lang w:eastAsia="zh-CN"/>
      </w:rPr>
      <w:t>重庆市万州区启豪套装门厂</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ind w:firstLine="360"/>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4" w:space="1"/>
      </w:pBdr>
      <w:spacing w:line="240" w:lineRule="auto"/>
      <w:jc w:val="right"/>
      <w:rPr>
        <w:rFonts w:hint="default"/>
        <w:sz w:val="21"/>
        <w:szCs w:val="21"/>
      </w:rPr>
    </w:pPr>
    <w:r>
      <w:rPr>
        <w:rFonts w:hint="eastAsia" w:ascii="Times New Roman" w:hAnsi="Times New Roman" w:cs="Times New Roman" w:eastAsiaTheme="minorEastAsia"/>
        <w:color w:val="000000" w:themeColor="text1"/>
        <w:sz w:val="21"/>
        <w:szCs w:val="21"/>
        <w:lang w:eastAsia="zh-CN"/>
        <w14:textFill>
          <w14:solidFill>
            <w14:schemeClr w14:val="tx1"/>
          </w14:solidFill>
        </w14:textFill>
      </w:rPr>
      <w:t>套装门生产项目</w:t>
    </w:r>
    <w:r>
      <w:rPr>
        <w:rFonts w:ascii="Times New Roman" w:hAnsi="Times New Roman" w:cs="Times New Roman" w:eastAsiaTheme="minorEastAsia"/>
        <w:color w:val="000000" w:themeColor="text1"/>
        <w:sz w:val="21"/>
        <w:szCs w:val="21"/>
        <w14:textFill>
          <w14:solidFill>
            <w14:schemeClr w14:val="tx1"/>
          </w14:solidFill>
        </w14:textFill>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5E4F87"/>
    <w:multiLevelType w:val="multilevel"/>
    <w:tmpl w:val="B45E4F87"/>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E21C14E5"/>
    <w:multiLevelType w:val="multilevel"/>
    <w:tmpl w:val="E21C14E5"/>
    <w:lvl w:ilvl="0" w:tentative="0">
      <w:start w:val="1"/>
      <w:numFmt w:val="decimal"/>
      <w:suff w:val="nothing"/>
      <w:lvlText w:val="（%1）"/>
      <w:lvlJc w:val="left"/>
      <w:pPr>
        <w:tabs>
          <w:tab w:val="left" w:pos="0"/>
        </w:tabs>
        <w:ind w:left="-100" w:firstLine="0"/>
      </w:pPr>
    </w:lvl>
    <w:lvl w:ilvl="1" w:tentative="0">
      <w:start w:val="1"/>
      <w:numFmt w:val="decimal"/>
      <w:lvlText w:val="%2."/>
      <w:lvlJc w:val="left"/>
      <w:pPr>
        <w:tabs>
          <w:tab w:val="left" w:pos="1440"/>
        </w:tabs>
        <w:ind w:left="1340" w:hanging="360"/>
      </w:pPr>
    </w:lvl>
    <w:lvl w:ilvl="2" w:tentative="0">
      <w:start w:val="1"/>
      <w:numFmt w:val="decimal"/>
      <w:lvlText w:val="%3."/>
      <w:lvlJc w:val="left"/>
      <w:pPr>
        <w:tabs>
          <w:tab w:val="left" w:pos="2160"/>
        </w:tabs>
        <w:ind w:left="2060" w:hanging="360"/>
      </w:pPr>
    </w:lvl>
    <w:lvl w:ilvl="3" w:tentative="0">
      <w:start w:val="1"/>
      <w:numFmt w:val="decimal"/>
      <w:lvlText w:val="%4."/>
      <w:lvlJc w:val="left"/>
      <w:pPr>
        <w:tabs>
          <w:tab w:val="left" w:pos="2880"/>
        </w:tabs>
        <w:ind w:left="2780" w:hanging="360"/>
      </w:pPr>
    </w:lvl>
    <w:lvl w:ilvl="4" w:tentative="0">
      <w:start w:val="1"/>
      <w:numFmt w:val="decimal"/>
      <w:lvlText w:val="%5."/>
      <w:lvlJc w:val="left"/>
      <w:pPr>
        <w:tabs>
          <w:tab w:val="left" w:pos="3600"/>
        </w:tabs>
        <w:ind w:left="3500" w:hanging="360"/>
      </w:pPr>
    </w:lvl>
    <w:lvl w:ilvl="5" w:tentative="0">
      <w:start w:val="1"/>
      <w:numFmt w:val="decimal"/>
      <w:lvlText w:val="%6."/>
      <w:lvlJc w:val="left"/>
      <w:pPr>
        <w:tabs>
          <w:tab w:val="left" w:pos="4320"/>
        </w:tabs>
        <w:ind w:left="4220" w:hanging="360"/>
      </w:pPr>
    </w:lvl>
    <w:lvl w:ilvl="6" w:tentative="0">
      <w:start w:val="1"/>
      <w:numFmt w:val="decimal"/>
      <w:lvlText w:val="%7."/>
      <w:lvlJc w:val="left"/>
      <w:pPr>
        <w:tabs>
          <w:tab w:val="left" w:pos="5040"/>
        </w:tabs>
        <w:ind w:left="4940" w:hanging="360"/>
      </w:pPr>
    </w:lvl>
    <w:lvl w:ilvl="7" w:tentative="0">
      <w:start w:val="1"/>
      <w:numFmt w:val="decimal"/>
      <w:lvlText w:val="%8."/>
      <w:lvlJc w:val="left"/>
      <w:pPr>
        <w:tabs>
          <w:tab w:val="left" w:pos="5760"/>
        </w:tabs>
        <w:ind w:left="5660" w:hanging="360"/>
      </w:pPr>
    </w:lvl>
    <w:lvl w:ilvl="8" w:tentative="0">
      <w:start w:val="1"/>
      <w:numFmt w:val="decimal"/>
      <w:lvlText w:val="%9."/>
      <w:lvlJc w:val="left"/>
      <w:pPr>
        <w:tabs>
          <w:tab w:val="left" w:pos="6480"/>
        </w:tabs>
        <w:ind w:left="6380" w:hanging="360"/>
      </w:pPr>
    </w:lvl>
  </w:abstractNum>
  <w:abstractNum w:abstractNumId="2">
    <w:nsid w:val="EDC16E59"/>
    <w:multiLevelType w:val="singleLevel"/>
    <w:tmpl w:val="EDC16E59"/>
    <w:lvl w:ilvl="0" w:tentative="0">
      <w:start w:val="1"/>
      <w:numFmt w:val="decimal"/>
      <w:suff w:val="nothing"/>
      <w:lvlText w:val="（%1）"/>
      <w:lvlJc w:val="left"/>
    </w:lvl>
  </w:abstractNum>
  <w:abstractNum w:abstractNumId="3">
    <w:nsid w:val="FFFFFFFB"/>
    <w:multiLevelType w:val="multilevel"/>
    <w:tmpl w:val="FFFFFFFB"/>
    <w:lvl w:ilvl="0" w:tentative="0">
      <w:start w:val="1"/>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pStyle w:val="6"/>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lvlText w:val="%1.%2.%3.%4.%5.%6"/>
      <w:legacy w:legacy="1" w:legacySpace="144" w:legacyIndent="0"/>
      <w:lvlJc w:val="left"/>
    </w:lvl>
    <w:lvl w:ilvl="6" w:tentative="0">
      <w:start w:val="1"/>
      <w:numFmt w:val="decimal"/>
      <w:lvlText w:val="%1.%2.%3.%4.%5.%6.%7"/>
      <w:legacy w:legacy="1" w:legacySpace="144" w:legacyIndent="0"/>
      <w:lvlJc w:val="left"/>
    </w:lvl>
    <w:lvl w:ilvl="7" w:tentative="0">
      <w:start w:val="1"/>
      <w:numFmt w:val="decimal"/>
      <w:lvlText w:val="%1.%2.%3.%4.%5.%6.%7.%8"/>
      <w:legacy w:legacy="1" w:legacySpace="144" w:legacyIndent="0"/>
      <w:lvlJc w:val="left"/>
    </w:lvl>
    <w:lvl w:ilvl="8" w:tentative="0">
      <w:start w:val="1"/>
      <w:numFmt w:val="decimal"/>
      <w:lvlText w:val="%1.%2.%3.%4.%5.%6.%7.%8.%9"/>
      <w:legacy w:legacy="1" w:legacySpace="144" w:legacyIndent="0"/>
      <w:lvlJc w:val="left"/>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hideSpellingErrors/>
  <w:documentProtection w:enforcement="0"/>
  <w:defaultTabStop w:val="420"/>
  <w:drawingGridVerticalSpacing w:val="16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VjZjM5M2FmNTBlYmZkZTU2MTk1ZDlhZWM5OWE2YjgifQ=="/>
  </w:docVars>
  <w:rsids>
    <w:rsidRoot w:val="6A8C6B19"/>
    <w:rsid w:val="00034320"/>
    <w:rsid w:val="00050C34"/>
    <w:rsid w:val="00056734"/>
    <w:rsid w:val="000657CA"/>
    <w:rsid w:val="00097837"/>
    <w:rsid w:val="000A4BED"/>
    <w:rsid w:val="000B2A65"/>
    <w:rsid w:val="000C04E8"/>
    <w:rsid w:val="000E1F98"/>
    <w:rsid w:val="000F7E86"/>
    <w:rsid w:val="0010718E"/>
    <w:rsid w:val="0012160E"/>
    <w:rsid w:val="00121DFF"/>
    <w:rsid w:val="001234D6"/>
    <w:rsid w:val="00124F9C"/>
    <w:rsid w:val="0012584F"/>
    <w:rsid w:val="001575F9"/>
    <w:rsid w:val="001731EF"/>
    <w:rsid w:val="00194FA9"/>
    <w:rsid w:val="001B3AD0"/>
    <w:rsid w:val="001E0AA8"/>
    <w:rsid w:val="00224259"/>
    <w:rsid w:val="0023432C"/>
    <w:rsid w:val="00264C4C"/>
    <w:rsid w:val="00281054"/>
    <w:rsid w:val="002C32A5"/>
    <w:rsid w:val="002D40AB"/>
    <w:rsid w:val="002E384F"/>
    <w:rsid w:val="003004A2"/>
    <w:rsid w:val="00303AD2"/>
    <w:rsid w:val="00340315"/>
    <w:rsid w:val="00346FA2"/>
    <w:rsid w:val="00353ABB"/>
    <w:rsid w:val="0036026E"/>
    <w:rsid w:val="003629BC"/>
    <w:rsid w:val="003669B5"/>
    <w:rsid w:val="00370B63"/>
    <w:rsid w:val="00391130"/>
    <w:rsid w:val="003C40C3"/>
    <w:rsid w:val="003D3DF3"/>
    <w:rsid w:val="003E1A15"/>
    <w:rsid w:val="003F34BB"/>
    <w:rsid w:val="004246F1"/>
    <w:rsid w:val="0042794A"/>
    <w:rsid w:val="00433220"/>
    <w:rsid w:val="00454318"/>
    <w:rsid w:val="004A6743"/>
    <w:rsid w:val="004B3225"/>
    <w:rsid w:val="004B39E5"/>
    <w:rsid w:val="004C4627"/>
    <w:rsid w:val="004D3F74"/>
    <w:rsid w:val="004D74DD"/>
    <w:rsid w:val="004E7D2D"/>
    <w:rsid w:val="004F1C50"/>
    <w:rsid w:val="004F3DB5"/>
    <w:rsid w:val="005011CB"/>
    <w:rsid w:val="00541CAE"/>
    <w:rsid w:val="00576F25"/>
    <w:rsid w:val="005A5C85"/>
    <w:rsid w:val="005B68C8"/>
    <w:rsid w:val="005C1D8B"/>
    <w:rsid w:val="005F4A1A"/>
    <w:rsid w:val="005F7033"/>
    <w:rsid w:val="006068B4"/>
    <w:rsid w:val="0061251C"/>
    <w:rsid w:val="00624BC0"/>
    <w:rsid w:val="00635ED8"/>
    <w:rsid w:val="00660205"/>
    <w:rsid w:val="00670C3D"/>
    <w:rsid w:val="00670DB8"/>
    <w:rsid w:val="006763FE"/>
    <w:rsid w:val="0068092B"/>
    <w:rsid w:val="00685C67"/>
    <w:rsid w:val="00687F85"/>
    <w:rsid w:val="006A330D"/>
    <w:rsid w:val="006B2B67"/>
    <w:rsid w:val="006F2C9B"/>
    <w:rsid w:val="00712749"/>
    <w:rsid w:val="00713794"/>
    <w:rsid w:val="00715B2C"/>
    <w:rsid w:val="007855CB"/>
    <w:rsid w:val="00787D7C"/>
    <w:rsid w:val="007B778B"/>
    <w:rsid w:val="007C3BBD"/>
    <w:rsid w:val="007C3D92"/>
    <w:rsid w:val="007D1742"/>
    <w:rsid w:val="007D3984"/>
    <w:rsid w:val="007E3501"/>
    <w:rsid w:val="007F58B5"/>
    <w:rsid w:val="00825CF5"/>
    <w:rsid w:val="00843A0E"/>
    <w:rsid w:val="00850570"/>
    <w:rsid w:val="00885FBD"/>
    <w:rsid w:val="0089454D"/>
    <w:rsid w:val="00894696"/>
    <w:rsid w:val="008A0A71"/>
    <w:rsid w:val="008B10EF"/>
    <w:rsid w:val="008E0E51"/>
    <w:rsid w:val="008E6CD4"/>
    <w:rsid w:val="008E75EF"/>
    <w:rsid w:val="009366C1"/>
    <w:rsid w:val="00937388"/>
    <w:rsid w:val="00946150"/>
    <w:rsid w:val="00985279"/>
    <w:rsid w:val="009C2510"/>
    <w:rsid w:val="009F4475"/>
    <w:rsid w:val="00A25548"/>
    <w:rsid w:val="00A34D4C"/>
    <w:rsid w:val="00A4098F"/>
    <w:rsid w:val="00A533E3"/>
    <w:rsid w:val="00A80172"/>
    <w:rsid w:val="00A94B7D"/>
    <w:rsid w:val="00AC44B5"/>
    <w:rsid w:val="00AC705A"/>
    <w:rsid w:val="00AD343E"/>
    <w:rsid w:val="00AD66E8"/>
    <w:rsid w:val="00B14654"/>
    <w:rsid w:val="00B14E37"/>
    <w:rsid w:val="00B35FA6"/>
    <w:rsid w:val="00B46396"/>
    <w:rsid w:val="00B51644"/>
    <w:rsid w:val="00B64ADC"/>
    <w:rsid w:val="00B70569"/>
    <w:rsid w:val="00B7473B"/>
    <w:rsid w:val="00B85EC4"/>
    <w:rsid w:val="00B868DC"/>
    <w:rsid w:val="00B9549C"/>
    <w:rsid w:val="00BB01A2"/>
    <w:rsid w:val="00BB1405"/>
    <w:rsid w:val="00BB2029"/>
    <w:rsid w:val="00BB7100"/>
    <w:rsid w:val="00BD2570"/>
    <w:rsid w:val="00BE08E1"/>
    <w:rsid w:val="00BE723F"/>
    <w:rsid w:val="00C2272F"/>
    <w:rsid w:val="00C22BDC"/>
    <w:rsid w:val="00C47C5B"/>
    <w:rsid w:val="00C7130D"/>
    <w:rsid w:val="00C85052"/>
    <w:rsid w:val="00CB59A6"/>
    <w:rsid w:val="00CC27AA"/>
    <w:rsid w:val="00CC3467"/>
    <w:rsid w:val="00CD0FF7"/>
    <w:rsid w:val="00CD59AE"/>
    <w:rsid w:val="00D038B6"/>
    <w:rsid w:val="00D110B1"/>
    <w:rsid w:val="00D21D16"/>
    <w:rsid w:val="00D34F3D"/>
    <w:rsid w:val="00D904EC"/>
    <w:rsid w:val="00D90914"/>
    <w:rsid w:val="00D91C72"/>
    <w:rsid w:val="00DA4FE6"/>
    <w:rsid w:val="00DB003E"/>
    <w:rsid w:val="00DB4AB8"/>
    <w:rsid w:val="00DB6B83"/>
    <w:rsid w:val="00DC11FA"/>
    <w:rsid w:val="00DD49DE"/>
    <w:rsid w:val="00DE1FA5"/>
    <w:rsid w:val="00DF2A94"/>
    <w:rsid w:val="00E04CFA"/>
    <w:rsid w:val="00E04E50"/>
    <w:rsid w:val="00E31C44"/>
    <w:rsid w:val="00E47B20"/>
    <w:rsid w:val="00E541E8"/>
    <w:rsid w:val="00E761D3"/>
    <w:rsid w:val="00E85679"/>
    <w:rsid w:val="00EC33CC"/>
    <w:rsid w:val="00EE10BD"/>
    <w:rsid w:val="00EE22B2"/>
    <w:rsid w:val="00EE4AD3"/>
    <w:rsid w:val="00EE797F"/>
    <w:rsid w:val="00EF0B0F"/>
    <w:rsid w:val="00EF47DC"/>
    <w:rsid w:val="00F03557"/>
    <w:rsid w:val="00F062CD"/>
    <w:rsid w:val="00F1339B"/>
    <w:rsid w:val="00F20A61"/>
    <w:rsid w:val="00F531EC"/>
    <w:rsid w:val="00F631E2"/>
    <w:rsid w:val="00F80BA1"/>
    <w:rsid w:val="00F811B2"/>
    <w:rsid w:val="00F855A1"/>
    <w:rsid w:val="00F96BB0"/>
    <w:rsid w:val="00FD2C47"/>
    <w:rsid w:val="00FD3858"/>
    <w:rsid w:val="00FD6645"/>
    <w:rsid w:val="00FF10D6"/>
    <w:rsid w:val="00FF2D10"/>
    <w:rsid w:val="00FF727F"/>
    <w:rsid w:val="01331C81"/>
    <w:rsid w:val="01526522"/>
    <w:rsid w:val="01CF6C4A"/>
    <w:rsid w:val="01E8034C"/>
    <w:rsid w:val="024708C4"/>
    <w:rsid w:val="027D11F8"/>
    <w:rsid w:val="02A47C12"/>
    <w:rsid w:val="031156D4"/>
    <w:rsid w:val="032A2CC5"/>
    <w:rsid w:val="0339727C"/>
    <w:rsid w:val="035B78A4"/>
    <w:rsid w:val="039303A1"/>
    <w:rsid w:val="03B66DBB"/>
    <w:rsid w:val="03C95D69"/>
    <w:rsid w:val="03F630F7"/>
    <w:rsid w:val="03F64C51"/>
    <w:rsid w:val="042571A6"/>
    <w:rsid w:val="04371C26"/>
    <w:rsid w:val="045F748A"/>
    <w:rsid w:val="04731F39"/>
    <w:rsid w:val="048A17F8"/>
    <w:rsid w:val="04905B8A"/>
    <w:rsid w:val="04B916B8"/>
    <w:rsid w:val="04CD36FF"/>
    <w:rsid w:val="04F23C64"/>
    <w:rsid w:val="04F94195"/>
    <w:rsid w:val="0590764F"/>
    <w:rsid w:val="05A23342"/>
    <w:rsid w:val="05A743C6"/>
    <w:rsid w:val="05B54982"/>
    <w:rsid w:val="0627031F"/>
    <w:rsid w:val="0667369C"/>
    <w:rsid w:val="06B268E6"/>
    <w:rsid w:val="06B72CC9"/>
    <w:rsid w:val="06F47F3C"/>
    <w:rsid w:val="07765EBE"/>
    <w:rsid w:val="07A77539"/>
    <w:rsid w:val="07CA6357"/>
    <w:rsid w:val="08021DBF"/>
    <w:rsid w:val="080268EB"/>
    <w:rsid w:val="08275F0C"/>
    <w:rsid w:val="083A0718"/>
    <w:rsid w:val="08853A17"/>
    <w:rsid w:val="089433F0"/>
    <w:rsid w:val="08E832F6"/>
    <w:rsid w:val="08ED5089"/>
    <w:rsid w:val="091374D3"/>
    <w:rsid w:val="096A2B9D"/>
    <w:rsid w:val="0983556A"/>
    <w:rsid w:val="09D05346"/>
    <w:rsid w:val="09DB240D"/>
    <w:rsid w:val="09E36E59"/>
    <w:rsid w:val="0A187E23"/>
    <w:rsid w:val="0A271715"/>
    <w:rsid w:val="0A7F27E3"/>
    <w:rsid w:val="0A9E7496"/>
    <w:rsid w:val="0B7D7164"/>
    <w:rsid w:val="0B9608C0"/>
    <w:rsid w:val="0BA56B58"/>
    <w:rsid w:val="0BAE38DD"/>
    <w:rsid w:val="0BBE3187"/>
    <w:rsid w:val="0BC47B0A"/>
    <w:rsid w:val="0C1050D5"/>
    <w:rsid w:val="0C426263"/>
    <w:rsid w:val="0C6A437E"/>
    <w:rsid w:val="0C8239E2"/>
    <w:rsid w:val="0CA86BB6"/>
    <w:rsid w:val="0CBD481A"/>
    <w:rsid w:val="0DA71941"/>
    <w:rsid w:val="0DD13F4A"/>
    <w:rsid w:val="0DE4177D"/>
    <w:rsid w:val="0DF21979"/>
    <w:rsid w:val="0EB46C19"/>
    <w:rsid w:val="0EBB009A"/>
    <w:rsid w:val="0F5F0BE0"/>
    <w:rsid w:val="0F8B0743"/>
    <w:rsid w:val="0FE1712C"/>
    <w:rsid w:val="103F0874"/>
    <w:rsid w:val="10416587"/>
    <w:rsid w:val="10750CA0"/>
    <w:rsid w:val="109072EA"/>
    <w:rsid w:val="1171758C"/>
    <w:rsid w:val="11D24132"/>
    <w:rsid w:val="11F74600"/>
    <w:rsid w:val="12053B00"/>
    <w:rsid w:val="12226FFD"/>
    <w:rsid w:val="127C2AC4"/>
    <w:rsid w:val="12AD4026"/>
    <w:rsid w:val="130D16DD"/>
    <w:rsid w:val="132D011C"/>
    <w:rsid w:val="13395BF1"/>
    <w:rsid w:val="133F3A40"/>
    <w:rsid w:val="13456CBD"/>
    <w:rsid w:val="134D675D"/>
    <w:rsid w:val="135A3FB5"/>
    <w:rsid w:val="13661ADB"/>
    <w:rsid w:val="13814C45"/>
    <w:rsid w:val="13AE7D2D"/>
    <w:rsid w:val="13D65EA0"/>
    <w:rsid w:val="14056C1F"/>
    <w:rsid w:val="14183FD9"/>
    <w:rsid w:val="142E1332"/>
    <w:rsid w:val="144D67C7"/>
    <w:rsid w:val="14C37AA1"/>
    <w:rsid w:val="150A70C4"/>
    <w:rsid w:val="152D3536"/>
    <w:rsid w:val="157271EC"/>
    <w:rsid w:val="15967861"/>
    <w:rsid w:val="15BB7B15"/>
    <w:rsid w:val="15E57B99"/>
    <w:rsid w:val="16046724"/>
    <w:rsid w:val="168141CE"/>
    <w:rsid w:val="168A3200"/>
    <w:rsid w:val="17367F15"/>
    <w:rsid w:val="176B165F"/>
    <w:rsid w:val="179E2CFE"/>
    <w:rsid w:val="17B17961"/>
    <w:rsid w:val="180238A1"/>
    <w:rsid w:val="186E1F1C"/>
    <w:rsid w:val="190265CA"/>
    <w:rsid w:val="19B972D0"/>
    <w:rsid w:val="19C604C4"/>
    <w:rsid w:val="19EB1173"/>
    <w:rsid w:val="1A0103F5"/>
    <w:rsid w:val="1AAB5F7A"/>
    <w:rsid w:val="1B0A4371"/>
    <w:rsid w:val="1B233F15"/>
    <w:rsid w:val="1B7455B7"/>
    <w:rsid w:val="1BB10CAF"/>
    <w:rsid w:val="1C114030"/>
    <w:rsid w:val="1C8D3F32"/>
    <w:rsid w:val="1CE96EA4"/>
    <w:rsid w:val="1D080412"/>
    <w:rsid w:val="1D08086F"/>
    <w:rsid w:val="1D2A1171"/>
    <w:rsid w:val="1D632114"/>
    <w:rsid w:val="1D6A023C"/>
    <w:rsid w:val="1D9803AF"/>
    <w:rsid w:val="1DC679C1"/>
    <w:rsid w:val="1DD9126D"/>
    <w:rsid w:val="1E3D2F4F"/>
    <w:rsid w:val="1E817713"/>
    <w:rsid w:val="1E8B51F6"/>
    <w:rsid w:val="1E9013B4"/>
    <w:rsid w:val="1E901AAD"/>
    <w:rsid w:val="1EBC290B"/>
    <w:rsid w:val="1EC35CFA"/>
    <w:rsid w:val="1ECD3794"/>
    <w:rsid w:val="1ECF54EC"/>
    <w:rsid w:val="1ED81D36"/>
    <w:rsid w:val="1F1B2467"/>
    <w:rsid w:val="1F62201B"/>
    <w:rsid w:val="1F7F237F"/>
    <w:rsid w:val="1FC532EB"/>
    <w:rsid w:val="1FE33E45"/>
    <w:rsid w:val="2010676A"/>
    <w:rsid w:val="208F2033"/>
    <w:rsid w:val="20E06834"/>
    <w:rsid w:val="20F86365"/>
    <w:rsid w:val="21316CAE"/>
    <w:rsid w:val="2246299A"/>
    <w:rsid w:val="22583A06"/>
    <w:rsid w:val="227B7A91"/>
    <w:rsid w:val="22AF0805"/>
    <w:rsid w:val="237D201D"/>
    <w:rsid w:val="23AA6AFD"/>
    <w:rsid w:val="23DB6515"/>
    <w:rsid w:val="23E82294"/>
    <w:rsid w:val="23EC24BE"/>
    <w:rsid w:val="241528AD"/>
    <w:rsid w:val="24582AAB"/>
    <w:rsid w:val="245918E6"/>
    <w:rsid w:val="2481344E"/>
    <w:rsid w:val="24C23F96"/>
    <w:rsid w:val="24CE5ADE"/>
    <w:rsid w:val="252466B1"/>
    <w:rsid w:val="25421AFB"/>
    <w:rsid w:val="257D5A30"/>
    <w:rsid w:val="258B26CE"/>
    <w:rsid w:val="25B413A7"/>
    <w:rsid w:val="25D93676"/>
    <w:rsid w:val="25E65AEA"/>
    <w:rsid w:val="25FA4B70"/>
    <w:rsid w:val="267E3E43"/>
    <w:rsid w:val="26920D65"/>
    <w:rsid w:val="26CF55A5"/>
    <w:rsid w:val="276C7FA4"/>
    <w:rsid w:val="27C53483"/>
    <w:rsid w:val="27F357C2"/>
    <w:rsid w:val="27F9396B"/>
    <w:rsid w:val="288275CD"/>
    <w:rsid w:val="289D232A"/>
    <w:rsid w:val="291B225C"/>
    <w:rsid w:val="294A3B5B"/>
    <w:rsid w:val="29772727"/>
    <w:rsid w:val="297A029F"/>
    <w:rsid w:val="29AF6635"/>
    <w:rsid w:val="2A6D114D"/>
    <w:rsid w:val="2AA64AFB"/>
    <w:rsid w:val="2ACD0D36"/>
    <w:rsid w:val="2ADC20EA"/>
    <w:rsid w:val="2B4816C1"/>
    <w:rsid w:val="2C54363D"/>
    <w:rsid w:val="2C560423"/>
    <w:rsid w:val="2C6E04FD"/>
    <w:rsid w:val="2C9A0EE3"/>
    <w:rsid w:val="2CDE04A7"/>
    <w:rsid w:val="2D013A1E"/>
    <w:rsid w:val="2D194BC2"/>
    <w:rsid w:val="2D2813E7"/>
    <w:rsid w:val="2D4A3D6A"/>
    <w:rsid w:val="2D613AE4"/>
    <w:rsid w:val="2DCC0829"/>
    <w:rsid w:val="2DEB30E2"/>
    <w:rsid w:val="2E6E12C8"/>
    <w:rsid w:val="2E945A61"/>
    <w:rsid w:val="2E977E6D"/>
    <w:rsid w:val="2EB15ED7"/>
    <w:rsid w:val="2F9972E0"/>
    <w:rsid w:val="2FA02041"/>
    <w:rsid w:val="2FB1533B"/>
    <w:rsid w:val="300476C7"/>
    <w:rsid w:val="30263A95"/>
    <w:rsid w:val="30273F20"/>
    <w:rsid w:val="30565D21"/>
    <w:rsid w:val="30584E05"/>
    <w:rsid w:val="306F244D"/>
    <w:rsid w:val="30A1459E"/>
    <w:rsid w:val="30EA335D"/>
    <w:rsid w:val="311C08A9"/>
    <w:rsid w:val="311E17FA"/>
    <w:rsid w:val="312F3BE1"/>
    <w:rsid w:val="31BF2BE0"/>
    <w:rsid w:val="31EB7BC6"/>
    <w:rsid w:val="320D6599"/>
    <w:rsid w:val="32514FC3"/>
    <w:rsid w:val="32814A12"/>
    <w:rsid w:val="32DF7AF0"/>
    <w:rsid w:val="32FC6DFD"/>
    <w:rsid w:val="332F4419"/>
    <w:rsid w:val="339521A4"/>
    <w:rsid w:val="33C37581"/>
    <w:rsid w:val="33C453CA"/>
    <w:rsid w:val="33FA42B7"/>
    <w:rsid w:val="340236BB"/>
    <w:rsid w:val="34A55824"/>
    <w:rsid w:val="34A55FD1"/>
    <w:rsid w:val="34D8279F"/>
    <w:rsid w:val="35060910"/>
    <w:rsid w:val="358B5653"/>
    <w:rsid w:val="35BF4F60"/>
    <w:rsid w:val="35E50231"/>
    <w:rsid w:val="36047784"/>
    <w:rsid w:val="36A111CF"/>
    <w:rsid w:val="36E566E0"/>
    <w:rsid w:val="36F971B1"/>
    <w:rsid w:val="373B6AF8"/>
    <w:rsid w:val="37627E58"/>
    <w:rsid w:val="37EF7D82"/>
    <w:rsid w:val="37F662C9"/>
    <w:rsid w:val="38B5309B"/>
    <w:rsid w:val="38C834F0"/>
    <w:rsid w:val="38E6506B"/>
    <w:rsid w:val="392F00D9"/>
    <w:rsid w:val="39AE3CFE"/>
    <w:rsid w:val="39FC639A"/>
    <w:rsid w:val="3A111F1C"/>
    <w:rsid w:val="3AC86342"/>
    <w:rsid w:val="3B375E37"/>
    <w:rsid w:val="3B3F348C"/>
    <w:rsid w:val="3B4130A6"/>
    <w:rsid w:val="3B5D442F"/>
    <w:rsid w:val="3B8636FC"/>
    <w:rsid w:val="3BD760D5"/>
    <w:rsid w:val="3BFA7896"/>
    <w:rsid w:val="3C0F6D83"/>
    <w:rsid w:val="3C1F3AC1"/>
    <w:rsid w:val="3C794E0D"/>
    <w:rsid w:val="3C9B240F"/>
    <w:rsid w:val="3CA109F6"/>
    <w:rsid w:val="3CD820AD"/>
    <w:rsid w:val="3CF64299"/>
    <w:rsid w:val="3D166C28"/>
    <w:rsid w:val="3D191EBD"/>
    <w:rsid w:val="3D3C0E60"/>
    <w:rsid w:val="3D690DCA"/>
    <w:rsid w:val="3D744A85"/>
    <w:rsid w:val="3DA0429D"/>
    <w:rsid w:val="3DA351F2"/>
    <w:rsid w:val="3DB66C5D"/>
    <w:rsid w:val="3DCF5EB9"/>
    <w:rsid w:val="3DEA3FE0"/>
    <w:rsid w:val="3ECD79B3"/>
    <w:rsid w:val="3F157615"/>
    <w:rsid w:val="3F383F9C"/>
    <w:rsid w:val="3F4B550C"/>
    <w:rsid w:val="3F506CC9"/>
    <w:rsid w:val="3F5964F8"/>
    <w:rsid w:val="3F740E51"/>
    <w:rsid w:val="3F7C77CB"/>
    <w:rsid w:val="3F9A4B2C"/>
    <w:rsid w:val="3FBA06F6"/>
    <w:rsid w:val="40343D71"/>
    <w:rsid w:val="404C382A"/>
    <w:rsid w:val="406F19D7"/>
    <w:rsid w:val="40FE3EF6"/>
    <w:rsid w:val="412610EA"/>
    <w:rsid w:val="4161544B"/>
    <w:rsid w:val="41697754"/>
    <w:rsid w:val="41A64BA4"/>
    <w:rsid w:val="41DA3187"/>
    <w:rsid w:val="422E62C2"/>
    <w:rsid w:val="425751D9"/>
    <w:rsid w:val="427C16A9"/>
    <w:rsid w:val="42AA3695"/>
    <w:rsid w:val="42F004F3"/>
    <w:rsid w:val="43422597"/>
    <w:rsid w:val="438E451F"/>
    <w:rsid w:val="43A63334"/>
    <w:rsid w:val="43A65A39"/>
    <w:rsid w:val="43E628F2"/>
    <w:rsid w:val="43EA755B"/>
    <w:rsid w:val="43EB7AFB"/>
    <w:rsid w:val="43F07E6B"/>
    <w:rsid w:val="43FB4D75"/>
    <w:rsid w:val="445361BF"/>
    <w:rsid w:val="4486770D"/>
    <w:rsid w:val="44BB1862"/>
    <w:rsid w:val="45141826"/>
    <w:rsid w:val="456E2D3D"/>
    <w:rsid w:val="46080D77"/>
    <w:rsid w:val="46154BC6"/>
    <w:rsid w:val="46765817"/>
    <w:rsid w:val="46B36F40"/>
    <w:rsid w:val="46B6476D"/>
    <w:rsid w:val="477471F7"/>
    <w:rsid w:val="478B5AFD"/>
    <w:rsid w:val="47E2067E"/>
    <w:rsid w:val="47ED0C36"/>
    <w:rsid w:val="47F83E7B"/>
    <w:rsid w:val="48313B85"/>
    <w:rsid w:val="48390B1D"/>
    <w:rsid w:val="488859FB"/>
    <w:rsid w:val="48A27529"/>
    <w:rsid w:val="48AF39D0"/>
    <w:rsid w:val="48C071CD"/>
    <w:rsid w:val="48C63718"/>
    <w:rsid w:val="48F43E99"/>
    <w:rsid w:val="48FA7EDF"/>
    <w:rsid w:val="49045D12"/>
    <w:rsid w:val="492072CA"/>
    <w:rsid w:val="49887FC1"/>
    <w:rsid w:val="49AA1E60"/>
    <w:rsid w:val="49BB4B10"/>
    <w:rsid w:val="49E14099"/>
    <w:rsid w:val="4A3161ED"/>
    <w:rsid w:val="4A4E6313"/>
    <w:rsid w:val="4AB84E72"/>
    <w:rsid w:val="4AC537B7"/>
    <w:rsid w:val="4AE97C1F"/>
    <w:rsid w:val="4B052AB6"/>
    <w:rsid w:val="4B235DE5"/>
    <w:rsid w:val="4B29263E"/>
    <w:rsid w:val="4B4F66EA"/>
    <w:rsid w:val="4BAC1C07"/>
    <w:rsid w:val="4BCD0EC1"/>
    <w:rsid w:val="4C260519"/>
    <w:rsid w:val="4C42103E"/>
    <w:rsid w:val="4CC2308A"/>
    <w:rsid w:val="4CC8273D"/>
    <w:rsid w:val="4CCA42E5"/>
    <w:rsid w:val="4CE103A8"/>
    <w:rsid w:val="4D094286"/>
    <w:rsid w:val="4D415110"/>
    <w:rsid w:val="4D7712FD"/>
    <w:rsid w:val="4DD329E0"/>
    <w:rsid w:val="4DF025FC"/>
    <w:rsid w:val="4E0679D6"/>
    <w:rsid w:val="4E4101BE"/>
    <w:rsid w:val="4E481196"/>
    <w:rsid w:val="4E7D1B40"/>
    <w:rsid w:val="4E894E48"/>
    <w:rsid w:val="4EF131D3"/>
    <w:rsid w:val="4EF242C4"/>
    <w:rsid w:val="4EF54A41"/>
    <w:rsid w:val="4F066929"/>
    <w:rsid w:val="4F0D108F"/>
    <w:rsid w:val="4F152018"/>
    <w:rsid w:val="4F505DC7"/>
    <w:rsid w:val="4F68065C"/>
    <w:rsid w:val="4FBE33CD"/>
    <w:rsid w:val="4FD040A0"/>
    <w:rsid w:val="4FF9279F"/>
    <w:rsid w:val="502830BF"/>
    <w:rsid w:val="503F087B"/>
    <w:rsid w:val="50440A3E"/>
    <w:rsid w:val="50450B9D"/>
    <w:rsid w:val="50630C74"/>
    <w:rsid w:val="50886B10"/>
    <w:rsid w:val="5184017C"/>
    <w:rsid w:val="51A95C89"/>
    <w:rsid w:val="520376A3"/>
    <w:rsid w:val="521D05AC"/>
    <w:rsid w:val="5230313E"/>
    <w:rsid w:val="52592377"/>
    <w:rsid w:val="525A32F0"/>
    <w:rsid w:val="52C60894"/>
    <w:rsid w:val="52CA3970"/>
    <w:rsid w:val="52E31529"/>
    <w:rsid w:val="5348325B"/>
    <w:rsid w:val="53B51C0C"/>
    <w:rsid w:val="541F7EF1"/>
    <w:rsid w:val="55486203"/>
    <w:rsid w:val="55685505"/>
    <w:rsid w:val="557F4FEE"/>
    <w:rsid w:val="55AB575C"/>
    <w:rsid w:val="56012821"/>
    <w:rsid w:val="56286B6D"/>
    <w:rsid w:val="5646409D"/>
    <w:rsid w:val="565C44BC"/>
    <w:rsid w:val="569C79DB"/>
    <w:rsid w:val="569E194D"/>
    <w:rsid w:val="56B15DEB"/>
    <w:rsid w:val="56D114E7"/>
    <w:rsid w:val="56D76AC3"/>
    <w:rsid w:val="573B7734"/>
    <w:rsid w:val="57AA60A4"/>
    <w:rsid w:val="57B307B8"/>
    <w:rsid w:val="57FF7D01"/>
    <w:rsid w:val="58477D48"/>
    <w:rsid w:val="58607B3C"/>
    <w:rsid w:val="58994606"/>
    <w:rsid w:val="589E7E84"/>
    <w:rsid w:val="589F3000"/>
    <w:rsid w:val="58BD0C6F"/>
    <w:rsid w:val="58F66D60"/>
    <w:rsid w:val="59B634CD"/>
    <w:rsid w:val="5A107AF6"/>
    <w:rsid w:val="5A5B1AC2"/>
    <w:rsid w:val="5A670914"/>
    <w:rsid w:val="5A8B1203"/>
    <w:rsid w:val="5ACB320D"/>
    <w:rsid w:val="5AE2105E"/>
    <w:rsid w:val="5AFE69E6"/>
    <w:rsid w:val="5B126296"/>
    <w:rsid w:val="5B1749E2"/>
    <w:rsid w:val="5BAD4E9C"/>
    <w:rsid w:val="5BCE6206"/>
    <w:rsid w:val="5BD96904"/>
    <w:rsid w:val="5C3D7264"/>
    <w:rsid w:val="5C795CCA"/>
    <w:rsid w:val="5C8752FC"/>
    <w:rsid w:val="5C910D46"/>
    <w:rsid w:val="5C930C12"/>
    <w:rsid w:val="5CC54BA8"/>
    <w:rsid w:val="5CC7715C"/>
    <w:rsid w:val="5CCF71B5"/>
    <w:rsid w:val="5D0E0843"/>
    <w:rsid w:val="5D131F93"/>
    <w:rsid w:val="5D954237"/>
    <w:rsid w:val="5E100F81"/>
    <w:rsid w:val="5E4755BA"/>
    <w:rsid w:val="5E7B2C2D"/>
    <w:rsid w:val="5EC013F2"/>
    <w:rsid w:val="5F1B764F"/>
    <w:rsid w:val="5F1D30CA"/>
    <w:rsid w:val="5F9206A9"/>
    <w:rsid w:val="5FA026CC"/>
    <w:rsid w:val="5FBB673B"/>
    <w:rsid w:val="5FCD72AD"/>
    <w:rsid w:val="604C0C84"/>
    <w:rsid w:val="608B6A7B"/>
    <w:rsid w:val="60BB4FB2"/>
    <w:rsid w:val="60DF2BFB"/>
    <w:rsid w:val="60F30A64"/>
    <w:rsid w:val="61384A0A"/>
    <w:rsid w:val="61641086"/>
    <w:rsid w:val="616B793B"/>
    <w:rsid w:val="6184421F"/>
    <w:rsid w:val="61C01E1C"/>
    <w:rsid w:val="61CF0E01"/>
    <w:rsid w:val="62116619"/>
    <w:rsid w:val="621970BF"/>
    <w:rsid w:val="62763D2F"/>
    <w:rsid w:val="62C01B71"/>
    <w:rsid w:val="62D228D0"/>
    <w:rsid w:val="62E56E06"/>
    <w:rsid w:val="62EB6259"/>
    <w:rsid w:val="62F32570"/>
    <w:rsid w:val="630617C4"/>
    <w:rsid w:val="630B6DE6"/>
    <w:rsid w:val="63141482"/>
    <w:rsid w:val="635E3F7F"/>
    <w:rsid w:val="63C23956"/>
    <w:rsid w:val="63EF27D4"/>
    <w:rsid w:val="63FB6077"/>
    <w:rsid w:val="646F579F"/>
    <w:rsid w:val="65433540"/>
    <w:rsid w:val="654D6439"/>
    <w:rsid w:val="655E54C2"/>
    <w:rsid w:val="65885141"/>
    <w:rsid w:val="65B35B99"/>
    <w:rsid w:val="65BB3C4B"/>
    <w:rsid w:val="660B335F"/>
    <w:rsid w:val="67032B17"/>
    <w:rsid w:val="67760B74"/>
    <w:rsid w:val="67D84A08"/>
    <w:rsid w:val="68063A92"/>
    <w:rsid w:val="683F1354"/>
    <w:rsid w:val="6866197D"/>
    <w:rsid w:val="68694F49"/>
    <w:rsid w:val="68C0224A"/>
    <w:rsid w:val="68C124DE"/>
    <w:rsid w:val="68DE1D98"/>
    <w:rsid w:val="68FE6154"/>
    <w:rsid w:val="69DD2B0E"/>
    <w:rsid w:val="69DF1DD3"/>
    <w:rsid w:val="69F05568"/>
    <w:rsid w:val="6A0F3B85"/>
    <w:rsid w:val="6A4D163E"/>
    <w:rsid w:val="6A8C6B19"/>
    <w:rsid w:val="6AF2373B"/>
    <w:rsid w:val="6B367A63"/>
    <w:rsid w:val="6B5871D6"/>
    <w:rsid w:val="6BCB5EFA"/>
    <w:rsid w:val="6BDE06EC"/>
    <w:rsid w:val="6C144BF0"/>
    <w:rsid w:val="6C9304FE"/>
    <w:rsid w:val="6CA36525"/>
    <w:rsid w:val="6CD416A9"/>
    <w:rsid w:val="6CDF57DC"/>
    <w:rsid w:val="6E391797"/>
    <w:rsid w:val="6E513D4E"/>
    <w:rsid w:val="6E9B2131"/>
    <w:rsid w:val="6ED633CC"/>
    <w:rsid w:val="6EDD38DE"/>
    <w:rsid w:val="6EE57196"/>
    <w:rsid w:val="6EFD3207"/>
    <w:rsid w:val="6F1748FB"/>
    <w:rsid w:val="6F2C03FD"/>
    <w:rsid w:val="6F437AF8"/>
    <w:rsid w:val="6FBA2403"/>
    <w:rsid w:val="6FF44496"/>
    <w:rsid w:val="6FF80CBC"/>
    <w:rsid w:val="70183E19"/>
    <w:rsid w:val="702029A9"/>
    <w:rsid w:val="70461C2B"/>
    <w:rsid w:val="709B3F75"/>
    <w:rsid w:val="70C1488E"/>
    <w:rsid w:val="70D358B4"/>
    <w:rsid w:val="70D85F9B"/>
    <w:rsid w:val="70DB15B1"/>
    <w:rsid w:val="70E26CF1"/>
    <w:rsid w:val="70E93029"/>
    <w:rsid w:val="71CB3AC6"/>
    <w:rsid w:val="71F46ABC"/>
    <w:rsid w:val="71F672E5"/>
    <w:rsid w:val="72783FFE"/>
    <w:rsid w:val="729F2122"/>
    <w:rsid w:val="72EE5331"/>
    <w:rsid w:val="73D4169F"/>
    <w:rsid w:val="746B28A2"/>
    <w:rsid w:val="749964BF"/>
    <w:rsid w:val="749C05EB"/>
    <w:rsid w:val="74FB2290"/>
    <w:rsid w:val="75305C68"/>
    <w:rsid w:val="7554101F"/>
    <w:rsid w:val="75A45C2E"/>
    <w:rsid w:val="75C22EDB"/>
    <w:rsid w:val="75D01965"/>
    <w:rsid w:val="75E84C97"/>
    <w:rsid w:val="75EC47DD"/>
    <w:rsid w:val="76125E26"/>
    <w:rsid w:val="763C4EAA"/>
    <w:rsid w:val="763F4074"/>
    <w:rsid w:val="7697627D"/>
    <w:rsid w:val="76AC37F0"/>
    <w:rsid w:val="76C171CA"/>
    <w:rsid w:val="77095D26"/>
    <w:rsid w:val="773C5543"/>
    <w:rsid w:val="77680380"/>
    <w:rsid w:val="77C23E38"/>
    <w:rsid w:val="77C90159"/>
    <w:rsid w:val="7831723E"/>
    <w:rsid w:val="78510525"/>
    <w:rsid w:val="788A3B42"/>
    <w:rsid w:val="78CF4594"/>
    <w:rsid w:val="796857F0"/>
    <w:rsid w:val="79940979"/>
    <w:rsid w:val="79BE2EB7"/>
    <w:rsid w:val="79C94977"/>
    <w:rsid w:val="79FF10D8"/>
    <w:rsid w:val="7AA96CD3"/>
    <w:rsid w:val="7ADD5F87"/>
    <w:rsid w:val="7B1D3565"/>
    <w:rsid w:val="7B6A08C6"/>
    <w:rsid w:val="7B6E672A"/>
    <w:rsid w:val="7B9A6366"/>
    <w:rsid w:val="7BEE18EF"/>
    <w:rsid w:val="7C3518B1"/>
    <w:rsid w:val="7C3B10D3"/>
    <w:rsid w:val="7C475D5D"/>
    <w:rsid w:val="7C6C4E03"/>
    <w:rsid w:val="7C746E51"/>
    <w:rsid w:val="7C976514"/>
    <w:rsid w:val="7CD30E81"/>
    <w:rsid w:val="7CF53687"/>
    <w:rsid w:val="7E3644BD"/>
    <w:rsid w:val="7E6E3701"/>
    <w:rsid w:val="7EAE7885"/>
    <w:rsid w:val="7EB10BA2"/>
    <w:rsid w:val="7EC01CB4"/>
    <w:rsid w:val="7ECB117E"/>
    <w:rsid w:val="7ED60F5E"/>
    <w:rsid w:val="7F0D0736"/>
    <w:rsid w:val="7F63424F"/>
    <w:rsid w:val="7FAC1137"/>
    <w:rsid w:val="7FEB78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imes New Roman" w:hAnsi="Times New Roman" w:eastAsia="宋体" w:cstheme="minorBidi"/>
      <w:sz w:val="24"/>
      <w:szCs w:val="22"/>
      <w:lang w:val="en-US" w:eastAsia="zh-CN" w:bidi="ar-SA"/>
    </w:rPr>
  </w:style>
  <w:style w:type="paragraph" w:styleId="3">
    <w:name w:val="heading 1"/>
    <w:basedOn w:val="1"/>
    <w:next w:val="1"/>
    <w:qFormat/>
    <w:uiPriority w:val="9"/>
    <w:pPr>
      <w:keepNext/>
      <w:keepLines/>
      <w:tabs>
        <w:tab w:val="left" w:pos="371"/>
        <w:tab w:val="left" w:pos="432"/>
      </w:tabs>
      <w:spacing w:before="120"/>
      <w:jc w:val="center"/>
      <w:outlineLvl w:val="0"/>
    </w:pPr>
    <w:rPr>
      <w:rFonts w:ascii="黑体" w:hAnsi="黑体"/>
      <w:b/>
      <w:kern w:val="44"/>
      <w:sz w:val="32"/>
    </w:rPr>
  </w:style>
  <w:style w:type="paragraph" w:styleId="4">
    <w:name w:val="heading 2"/>
    <w:basedOn w:val="1"/>
    <w:next w:val="1"/>
    <w:qFormat/>
    <w:uiPriority w:val="9"/>
    <w:pPr>
      <w:keepNext/>
      <w:keepLines/>
      <w:tabs>
        <w:tab w:val="left" w:pos="541"/>
        <w:tab w:val="left" w:pos="576"/>
      </w:tabs>
      <w:spacing w:before="120"/>
      <w:outlineLvl w:val="1"/>
    </w:pPr>
    <w:rPr>
      <w:b/>
      <w:sz w:val="28"/>
      <w:szCs w:val="26"/>
    </w:rPr>
  </w:style>
  <w:style w:type="paragraph" w:styleId="5">
    <w:name w:val="heading 3"/>
    <w:basedOn w:val="1"/>
    <w:next w:val="1"/>
    <w:qFormat/>
    <w:uiPriority w:val="0"/>
    <w:pPr>
      <w:keepNext/>
      <w:keepLines/>
      <w:tabs>
        <w:tab w:val="left" w:pos="0"/>
        <w:tab w:val="left" w:pos="91"/>
        <w:tab w:val="left" w:pos="132"/>
        <w:tab w:val="left" w:pos="377"/>
        <w:tab w:val="left" w:pos="479"/>
        <w:tab w:val="left" w:pos="561"/>
        <w:tab w:val="left" w:pos="582"/>
        <w:tab w:val="left" w:pos="643"/>
      </w:tabs>
      <w:outlineLvl w:val="2"/>
    </w:pPr>
    <w:rPr>
      <w:b/>
      <w:szCs w:val="26"/>
    </w:rPr>
  </w:style>
  <w:style w:type="paragraph" w:styleId="6">
    <w:name w:val="heading 4"/>
    <w:basedOn w:val="1"/>
    <w:next w:val="1"/>
    <w:qFormat/>
    <w:uiPriority w:val="0"/>
    <w:pPr>
      <w:keepNext/>
      <w:keepLines/>
      <w:numPr>
        <w:ilvl w:val="3"/>
        <w:numId w:val="1"/>
      </w:numPr>
      <w:spacing w:before="280" w:after="290" w:line="376" w:lineRule="atLeast"/>
      <w:textAlignment w:val="baseline"/>
      <w:outlineLvl w:val="3"/>
    </w:pPr>
    <w:rPr>
      <w:rFonts w:ascii="Arial" w:hAnsi="Arial" w:eastAsia="黑体"/>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styleId="7">
    <w:name w:val="Normal Indent"/>
    <w:basedOn w:val="1"/>
    <w:unhideWhenUsed/>
    <w:qFormat/>
    <w:uiPriority w:val="0"/>
    <w:pPr>
      <w:ind w:firstLine="420"/>
    </w:pPr>
    <w:rPr>
      <w:rFonts w:ascii="Calibri" w:hAnsi="Calibri"/>
    </w:rPr>
  </w:style>
  <w:style w:type="paragraph" w:styleId="8">
    <w:name w:val="annotation text"/>
    <w:basedOn w:val="1"/>
    <w:link w:val="46"/>
    <w:qFormat/>
    <w:uiPriority w:val="0"/>
  </w:style>
  <w:style w:type="paragraph" w:styleId="9">
    <w:name w:val="Body Text"/>
    <w:basedOn w:val="1"/>
    <w:qFormat/>
    <w:uiPriority w:val="0"/>
    <w:pPr>
      <w:spacing w:line="460" w:lineRule="atLeast"/>
      <w:outlineLvl w:val="0"/>
    </w:pPr>
    <w:rPr>
      <w:color w:val="000000"/>
    </w:rPr>
  </w:style>
  <w:style w:type="paragraph" w:styleId="10">
    <w:name w:val="Body Text Indent"/>
    <w:basedOn w:val="1"/>
    <w:qFormat/>
    <w:uiPriority w:val="0"/>
    <w:pPr>
      <w:ind w:firstLine="480"/>
    </w:pPr>
    <w:rPr>
      <w:rFonts w:ascii="楷体_GB2312" w:eastAsia="楷体_GB2312"/>
      <w:snapToGrid w:val="0"/>
      <w:sz w:val="28"/>
    </w:rPr>
  </w:style>
  <w:style w:type="paragraph" w:styleId="11">
    <w:name w:val="Block Text"/>
    <w:basedOn w:val="1"/>
    <w:qFormat/>
    <w:uiPriority w:val="0"/>
    <w:pPr>
      <w:textAlignment w:val="baseline"/>
    </w:pPr>
    <w:rPr>
      <w:spacing w:val="-2"/>
    </w:rPr>
  </w:style>
  <w:style w:type="paragraph" w:styleId="12">
    <w:name w:val="toc 3"/>
    <w:basedOn w:val="1"/>
    <w:next w:val="1"/>
    <w:qFormat/>
    <w:uiPriority w:val="0"/>
    <w:pPr>
      <w:ind w:left="840" w:leftChars="400"/>
    </w:pPr>
  </w:style>
  <w:style w:type="paragraph" w:styleId="13">
    <w:name w:val="Plain Text"/>
    <w:basedOn w:val="1"/>
    <w:qFormat/>
    <w:uiPriority w:val="0"/>
    <w:rPr>
      <w:rFonts w:ascii="宋体" w:hAnsi="Courier New"/>
    </w:rPr>
  </w:style>
  <w:style w:type="paragraph" w:styleId="14">
    <w:name w:val="Balloon Text"/>
    <w:basedOn w:val="1"/>
    <w:link w:val="48"/>
    <w:qFormat/>
    <w:uiPriority w:val="0"/>
    <w:rPr>
      <w:sz w:val="18"/>
      <w:szCs w:val="18"/>
    </w:rPr>
  </w:style>
  <w:style w:type="paragraph" w:styleId="15">
    <w:name w:val="footer"/>
    <w:basedOn w:val="1"/>
    <w:qFormat/>
    <w:uiPriority w:val="0"/>
    <w:pPr>
      <w:tabs>
        <w:tab w:val="center" w:pos="4153"/>
        <w:tab w:val="right" w:pos="8306"/>
      </w:tabs>
    </w:pPr>
    <w:rPr>
      <w:sz w:val="18"/>
      <w:szCs w:val="18"/>
    </w:rPr>
  </w:style>
  <w:style w:type="paragraph" w:styleId="16">
    <w:name w:val="header"/>
    <w:basedOn w:val="1"/>
    <w:qFormat/>
    <w:uiPriority w:val="99"/>
    <w:pPr>
      <w:pBdr>
        <w:bottom w:val="single" w:color="auto" w:sz="6" w:space="1"/>
      </w:pBdr>
      <w:tabs>
        <w:tab w:val="center" w:pos="4153"/>
        <w:tab w:val="right" w:pos="8306"/>
      </w:tabs>
      <w:jc w:val="right"/>
    </w:pPr>
    <w:rPr>
      <w:rFonts w:hint="eastAsia" w:ascii="宋体" w:hAnsi="宋体" w:cs="宋体"/>
      <w:sz w:val="18"/>
      <w:szCs w:val="18"/>
    </w:rPr>
  </w:style>
  <w:style w:type="paragraph" w:styleId="17">
    <w:name w:val="toc 1"/>
    <w:basedOn w:val="1"/>
    <w:next w:val="1"/>
    <w:qFormat/>
    <w:uiPriority w:val="39"/>
    <w:rPr>
      <w:rFonts w:ascii="黑体" w:hAnsi="黑体" w:eastAsia="黑体"/>
    </w:rPr>
  </w:style>
  <w:style w:type="paragraph" w:styleId="18">
    <w:name w:val="toc 2"/>
    <w:basedOn w:val="1"/>
    <w:next w:val="1"/>
    <w:qFormat/>
    <w:uiPriority w:val="39"/>
    <w:pPr>
      <w:ind w:left="420" w:leftChars="200"/>
    </w:pPr>
  </w:style>
  <w:style w:type="paragraph" w:styleId="19">
    <w:name w:val="Normal (Web)"/>
    <w:basedOn w:val="1"/>
    <w:qFormat/>
    <w:uiPriority w:val="0"/>
    <w:pPr>
      <w:spacing w:before="100" w:beforeAutospacing="1" w:after="100" w:afterAutospacing="1"/>
    </w:pPr>
    <w:rPr>
      <w:rFonts w:ascii="宋体" w:hAnsi="宋体" w:cs="宋体"/>
      <w:szCs w:val="24"/>
    </w:rPr>
  </w:style>
  <w:style w:type="paragraph" w:styleId="20">
    <w:name w:val="annotation subject"/>
    <w:basedOn w:val="8"/>
    <w:next w:val="8"/>
    <w:link w:val="47"/>
    <w:qFormat/>
    <w:uiPriority w:val="0"/>
    <w:rPr>
      <w:b/>
      <w:bCs/>
    </w:rPr>
  </w:style>
  <w:style w:type="paragraph" w:styleId="21">
    <w:name w:val="Body Text First Indent 2"/>
    <w:basedOn w:val="10"/>
    <w:qFormat/>
    <w:uiPriority w:val="0"/>
    <w:pPr>
      <w:spacing w:after="120" w:line="240" w:lineRule="auto"/>
      <w:ind w:left="420" w:leftChars="200" w:firstLine="420" w:firstLineChars="200"/>
    </w:pPr>
    <w:rPr>
      <w:rFonts w:eastAsia="宋体"/>
      <w:kern w:val="2"/>
      <w:sz w:val="21"/>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Hyperlink"/>
    <w:basedOn w:val="24"/>
    <w:unhideWhenUsed/>
    <w:qFormat/>
    <w:uiPriority w:val="99"/>
    <w:rPr>
      <w:color w:val="0563C1" w:themeColor="hyperlink"/>
      <w:u w:val="single"/>
      <w14:textFill>
        <w14:solidFill>
          <w14:schemeClr w14:val="hlink"/>
        </w14:solidFill>
      </w14:textFill>
    </w:rPr>
  </w:style>
  <w:style w:type="character" w:styleId="27">
    <w:name w:val="annotation reference"/>
    <w:basedOn w:val="24"/>
    <w:qFormat/>
    <w:uiPriority w:val="0"/>
    <w:rPr>
      <w:sz w:val="21"/>
      <w:szCs w:val="21"/>
    </w:rPr>
  </w:style>
  <w:style w:type="character" w:customStyle="1" w:styleId="28">
    <w:name w:val="标题 3 Char"/>
    <w:basedOn w:val="24"/>
    <w:qFormat/>
    <w:uiPriority w:val="0"/>
    <w:rPr>
      <w:rFonts w:ascii="Times New Roman" w:hAnsi="Times New Roman" w:eastAsia="黑体"/>
      <w:b/>
      <w:sz w:val="26"/>
      <w:szCs w:val="26"/>
    </w:rPr>
  </w:style>
  <w:style w:type="paragraph" w:customStyle="1" w:styleId="29">
    <w:name w:val="正文文本缩进 21"/>
    <w:basedOn w:val="1"/>
    <w:qFormat/>
    <w:uiPriority w:val="0"/>
    <w:pPr>
      <w:widowControl w:val="0"/>
      <w:snapToGrid/>
      <w:spacing w:line="312" w:lineRule="atLeast"/>
      <w:ind w:firstLine="570"/>
      <w:jc w:val="distribute"/>
      <w:textAlignment w:val="baseline"/>
    </w:pPr>
    <w:rPr>
      <w:rFonts w:eastAsia="仿宋_GB2312" w:cs="Times New Roman"/>
      <w:sz w:val="28"/>
      <w:szCs w:val="20"/>
    </w:rPr>
  </w:style>
  <w:style w:type="paragraph" w:customStyle="1" w:styleId="30">
    <w:name w:val="正文文本缩进1"/>
    <w:basedOn w:val="1"/>
    <w:qFormat/>
    <w:uiPriority w:val="0"/>
    <w:pPr>
      <w:widowControl w:val="0"/>
      <w:snapToGrid/>
      <w:spacing w:line="233" w:lineRule="auto"/>
      <w:ind w:firstLine="570"/>
      <w:jc w:val="both"/>
      <w:textAlignment w:val="baseline"/>
    </w:pPr>
    <w:rPr>
      <w:rFonts w:ascii="仿宋_GB2312" w:eastAsia="仿宋_GB2312" w:cs="Times New Roman"/>
      <w:sz w:val="28"/>
      <w:szCs w:val="20"/>
    </w:rPr>
  </w:style>
  <w:style w:type="paragraph" w:customStyle="1" w:styleId="31">
    <w:name w:val="普通(网站)1"/>
    <w:basedOn w:val="1"/>
    <w:qFormat/>
    <w:uiPriority w:val="0"/>
    <w:pPr>
      <w:adjustRightInd/>
      <w:snapToGrid/>
      <w:spacing w:before="100" w:beforeAutospacing="1" w:after="100" w:afterAutospacing="1"/>
    </w:pPr>
    <w:rPr>
      <w:rFonts w:ascii="宋体" w:hAnsi="宋体" w:cs="宋体"/>
      <w:szCs w:val="24"/>
    </w:rPr>
  </w:style>
  <w:style w:type="paragraph" w:customStyle="1" w:styleId="32">
    <w:name w:val="纯文本1"/>
    <w:basedOn w:val="1"/>
    <w:qFormat/>
    <w:uiPriority w:val="0"/>
    <w:pPr>
      <w:widowControl w:val="0"/>
      <w:adjustRightInd/>
      <w:snapToGrid/>
      <w:jc w:val="both"/>
    </w:pPr>
    <w:rPr>
      <w:rFonts w:ascii="宋体" w:hAnsi="Courier New" w:cs="Times New Roman"/>
      <w:kern w:val="2"/>
      <w:sz w:val="21"/>
      <w:szCs w:val="20"/>
    </w:rPr>
  </w:style>
  <w:style w:type="character" w:customStyle="1" w:styleId="33">
    <w:name w:val="页码1"/>
    <w:basedOn w:val="24"/>
    <w:qFormat/>
    <w:uiPriority w:val="0"/>
  </w:style>
  <w:style w:type="paragraph" w:customStyle="1" w:styleId="34">
    <w:name w:val="正文01"/>
    <w:basedOn w:val="1"/>
    <w:qFormat/>
    <w:uiPriority w:val="0"/>
    <w:pPr>
      <w:spacing w:before="60" w:line="460" w:lineRule="exact"/>
      <w:ind w:firstLine="200" w:firstLineChars="200"/>
    </w:pPr>
    <w:rPr>
      <w:bCs/>
    </w:rPr>
  </w:style>
  <w:style w:type="paragraph" w:customStyle="1" w:styleId="35">
    <w:name w:val="表格"/>
    <w:basedOn w:val="1"/>
    <w:next w:val="1"/>
    <w:qFormat/>
    <w:uiPriority w:val="0"/>
    <w:pPr>
      <w:autoSpaceDE w:val="0"/>
      <w:autoSpaceDN w:val="0"/>
      <w:spacing w:before="60" w:after="40"/>
      <w:jc w:val="center"/>
    </w:pPr>
  </w:style>
  <w:style w:type="paragraph" w:customStyle="1" w:styleId="36">
    <w:name w:val="表内字"/>
    <w:qFormat/>
    <w:uiPriority w:val="0"/>
    <w:pPr>
      <w:widowControl w:val="0"/>
      <w:autoSpaceDE w:val="0"/>
      <w:autoSpaceDN w:val="0"/>
      <w:adjustRightInd w:val="0"/>
      <w:snapToGrid w:val="0"/>
      <w:jc w:val="center"/>
    </w:pPr>
    <w:rPr>
      <w:rFonts w:ascii="Tahoma" w:hAnsi="Tahoma" w:eastAsia="宋体" w:cs="Times New Roman"/>
      <w:sz w:val="21"/>
      <w:szCs w:val="21"/>
      <w:lang w:val="en-US" w:eastAsia="zh-CN" w:bidi="ar-SA"/>
    </w:rPr>
  </w:style>
  <w:style w:type="paragraph" w:customStyle="1" w:styleId="37">
    <w:name w:val="表格222"/>
    <w:basedOn w:val="1"/>
    <w:qFormat/>
    <w:uiPriority w:val="0"/>
    <w:pPr>
      <w:spacing w:line="320" w:lineRule="exact"/>
      <w:jc w:val="center"/>
    </w:pPr>
    <w:rPr>
      <w:kern w:val="10"/>
    </w:rPr>
  </w:style>
  <w:style w:type="character" w:customStyle="1" w:styleId="38">
    <w:name w:val="样式 宋体 小三"/>
    <w:qFormat/>
    <w:uiPriority w:val="0"/>
    <w:rPr>
      <w:rFonts w:ascii="宋体"/>
      <w:sz w:val="28"/>
    </w:rPr>
  </w:style>
  <w:style w:type="paragraph" w:customStyle="1" w:styleId="39">
    <w:name w:val="样式 样式 正文首行缩进 2 + 四号 首行缩进:  2 字符 + 首行缩进:  2 字符"/>
    <w:basedOn w:val="1"/>
    <w:qFormat/>
    <w:uiPriority w:val="0"/>
    <w:pPr>
      <w:ind w:firstLine="480" w:firstLineChars="200"/>
    </w:pPr>
    <w:rPr>
      <w:rFonts w:cs="宋体"/>
      <w:szCs w:val="24"/>
    </w:rPr>
  </w:style>
  <w:style w:type="paragraph" w:customStyle="1" w:styleId="40">
    <w:name w:val="xl24"/>
    <w:basedOn w:val="1"/>
    <w:qFormat/>
    <w:uiPriority w:val="0"/>
    <w:pPr>
      <w:spacing w:before="100" w:beforeAutospacing="1" w:after="100" w:afterAutospacing="1"/>
      <w:jc w:val="center"/>
      <w:textAlignment w:val="center"/>
    </w:pPr>
    <w:rPr>
      <w:rFonts w:ascii="Arial Unicode MS" w:hAnsi="Arial Unicode MS" w:eastAsia="Arial Unicode MS"/>
    </w:rPr>
  </w:style>
  <w:style w:type="paragraph" w:customStyle="1" w:styleId="41">
    <w:name w:val="样式11"/>
    <w:basedOn w:val="42"/>
    <w:qFormat/>
    <w:uiPriority w:val="0"/>
    <w:pPr>
      <w:keepNext w:val="0"/>
      <w:keepLines w:val="0"/>
      <w:adjustRightInd w:val="0"/>
      <w:spacing w:line="480" w:lineRule="exact"/>
      <w:ind w:firstLine="200" w:firstLineChars="200"/>
      <w:outlineLvl w:val="9"/>
    </w:pPr>
    <w:rPr>
      <w:rFonts w:ascii="宋体" w:hAnsi="宋体" w:eastAsia="宋体"/>
      <w:b w:val="0"/>
      <w:bCs w:val="0"/>
      <w:color w:val="000000"/>
      <w:spacing w:val="0"/>
      <w:sz w:val="26"/>
      <w:szCs w:val="26"/>
    </w:rPr>
  </w:style>
  <w:style w:type="paragraph" w:customStyle="1" w:styleId="42">
    <w:name w:val="样式4"/>
    <w:basedOn w:val="6"/>
    <w:qFormat/>
    <w:uiPriority w:val="0"/>
    <w:pPr>
      <w:numPr>
        <w:numId w:val="0"/>
      </w:numPr>
      <w:adjustRightInd/>
      <w:spacing w:before="0" w:after="0" w:line="540" w:lineRule="exact"/>
      <w:ind w:firstLine="578"/>
      <w:textAlignment w:val="auto"/>
    </w:pPr>
    <w:rPr>
      <w:bCs/>
      <w:spacing w:val="8"/>
      <w:kern w:val="2"/>
      <w:szCs w:val="28"/>
    </w:rPr>
  </w:style>
  <w:style w:type="paragraph" w:customStyle="1" w:styleId="43">
    <w:name w:val="样式2"/>
    <w:basedOn w:val="44"/>
    <w:qFormat/>
    <w:uiPriority w:val="0"/>
    <w:pPr>
      <w:spacing w:beforeLines="50"/>
      <w:ind w:firstLine="0"/>
      <w:jc w:val="center"/>
      <w:outlineLvl w:val="4"/>
    </w:pPr>
    <w:rPr>
      <w:rFonts w:ascii="宋体"/>
    </w:rPr>
  </w:style>
  <w:style w:type="paragraph" w:customStyle="1" w:styleId="44">
    <w:name w:val="样式1"/>
    <w:basedOn w:val="1"/>
    <w:qFormat/>
    <w:uiPriority w:val="0"/>
    <w:pPr>
      <w:spacing w:line="480" w:lineRule="exact"/>
      <w:ind w:firstLine="520"/>
    </w:pPr>
    <w:rPr>
      <w:rFonts w:hAnsi="宋体" w:cs="宋体"/>
      <w:kern w:val="2"/>
      <w:sz w:val="26"/>
      <w:szCs w:val="26"/>
    </w:rPr>
  </w:style>
  <w:style w:type="character" w:customStyle="1" w:styleId="45">
    <w:name w:val="font01"/>
    <w:basedOn w:val="24"/>
    <w:qFormat/>
    <w:uiPriority w:val="0"/>
    <w:rPr>
      <w:rFonts w:hint="eastAsia" w:ascii="宋体" w:hAnsi="宋体" w:eastAsia="宋体"/>
      <w:color w:val="000000"/>
      <w:sz w:val="22"/>
      <w:szCs w:val="22"/>
      <w:u w:val="none"/>
    </w:rPr>
  </w:style>
  <w:style w:type="character" w:customStyle="1" w:styleId="46">
    <w:name w:val="批注文字 字符"/>
    <w:basedOn w:val="24"/>
    <w:link w:val="8"/>
    <w:qFormat/>
    <w:uiPriority w:val="0"/>
    <w:rPr>
      <w:rFonts w:ascii="Tahoma" w:hAnsi="Tahoma" w:eastAsia="微软雅黑" w:cstheme="minorBidi"/>
      <w:sz w:val="22"/>
      <w:szCs w:val="22"/>
    </w:rPr>
  </w:style>
  <w:style w:type="character" w:customStyle="1" w:styleId="47">
    <w:name w:val="批注主题 字符"/>
    <w:basedOn w:val="46"/>
    <w:link w:val="20"/>
    <w:qFormat/>
    <w:uiPriority w:val="0"/>
    <w:rPr>
      <w:rFonts w:ascii="Tahoma" w:hAnsi="Tahoma" w:eastAsia="微软雅黑" w:cstheme="minorBidi"/>
      <w:b/>
      <w:bCs/>
      <w:sz w:val="22"/>
      <w:szCs w:val="22"/>
    </w:rPr>
  </w:style>
  <w:style w:type="character" w:customStyle="1" w:styleId="48">
    <w:name w:val="批注框文本 字符"/>
    <w:basedOn w:val="24"/>
    <w:link w:val="14"/>
    <w:qFormat/>
    <w:uiPriority w:val="0"/>
    <w:rPr>
      <w:rFonts w:ascii="Tahoma" w:hAnsi="Tahoma" w:eastAsia="微软雅黑" w:cstheme="minorBidi"/>
      <w:sz w:val="18"/>
      <w:szCs w:val="18"/>
    </w:rPr>
  </w:style>
  <w:style w:type="table" w:customStyle="1" w:styleId="49">
    <w:name w:val="TableGrid"/>
    <w:qFormat/>
    <w:uiPriority w:val="0"/>
    <w:rPr>
      <w:rFonts w:asciiTheme="minorHAnsi" w:hAnsiTheme="minorHAnsi" w:eastAsiaTheme="minorEastAsia" w:cstheme="minorBidi"/>
      <w:kern w:val="2"/>
      <w:sz w:val="21"/>
      <w:szCs w:val="22"/>
    </w:rPr>
    <w:tblPr>
      <w:tblCellMar>
        <w:top w:w="0" w:type="dxa"/>
        <w:left w:w="0" w:type="dxa"/>
        <w:bottom w:w="0" w:type="dxa"/>
        <w:right w:w="0" w:type="dxa"/>
      </w:tblCellMar>
    </w:tblPr>
  </w:style>
  <w:style w:type="paragraph" w:customStyle="1" w:styleId="50">
    <w:name w:val="样式3"/>
    <w:basedOn w:val="1"/>
    <w:link w:val="51"/>
    <w:qFormat/>
    <w:uiPriority w:val="0"/>
    <w:pPr>
      <w:pBdr>
        <w:top w:val="single" w:color="auto" w:sz="4" w:space="1"/>
      </w:pBdr>
      <w:tabs>
        <w:tab w:val="center" w:pos="4153"/>
        <w:tab w:val="right" w:pos="8306"/>
      </w:tabs>
    </w:pPr>
    <w:rPr>
      <w:sz w:val="21"/>
    </w:rPr>
  </w:style>
  <w:style w:type="character" w:customStyle="1" w:styleId="51">
    <w:name w:val="样式3 Char"/>
    <w:basedOn w:val="24"/>
    <w:link w:val="50"/>
    <w:qFormat/>
    <w:uiPriority w:val="0"/>
    <w:rPr>
      <w:rFonts w:ascii="Tahoma" w:hAnsi="Tahoma" w:eastAsia="微软雅黑" w:cstheme="minorBidi"/>
      <w:sz w:val="21"/>
      <w:szCs w:val="22"/>
    </w:rPr>
  </w:style>
  <w:style w:type="paragraph" w:customStyle="1" w:styleId="52">
    <w:name w:val="表内容"/>
    <w:basedOn w:val="1"/>
    <w:qFormat/>
    <w:uiPriority w:val="0"/>
    <w:pPr>
      <w:jc w:val="center"/>
    </w:pPr>
    <w:rPr>
      <w:snapToGrid w:val="0"/>
      <w:szCs w:val="21"/>
    </w:rPr>
  </w:style>
  <w:style w:type="paragraph" w:customStyle="1" w:styleId="53">
    <w:name w:val="bw1"/>
    <w:basedOn w:val="1"/>
    <w:qFormat/>
    <w:uiPriority w:val="0"/>
    <w:pPr>
      <w:adjustRightInd w:val="0"/>
      <w:snapToGrid w:val="0"/>
      <w:spacing w:line="240" w:lineRule="atLeast"/>
      <w:ind w:left="6" w:right="6"/>
      <w:jc w:val="center"/>
    </w:pPr>
    <w:rPr>
      <w:rFonts w:ascii="Arial Narrow" w:hAnsi="Arial Narrow" w:eastAsia="楷体_GB2312"/>
      <w:color w:val="000000"/>
      <w:spacing w:val="-2"/>
      <w:w w:val="90"/>
      <w:sz w:val="20"/>
      <w:szCs w:val="18"/>
    </w:rPr>
  </w:style>
  <w:style w:type="paragraph" w:customStyle="1" w:styleId="54">
    <w:name w:val="CCGL正文"/>
    <w:basedOn w:val="1"/>
    <w:qFormat/>
    <w:uiPriority w:val="0"/>
    <w:pPr>
      <w:spacing w:line="460" w:lineRule="exact"/>
      <w:ind w:firstLine="420" w:firstLineChars="200"/>
    </w:pPr>
    <w:rPr>
      <w:sz w:val="26"/>
      <w:szCs w:val="22"/>
    </w:rPr>
  </w:style>
  <w:style w:type="paragraph" w:customStyle="1" w:styleId="55">
    <w:name w:val="CCGL表"/>
    <w:basedOn w:val="1"/>
    <w:qFormat/>
    <w:uiPriority w:val="0"/>
    <w:pPr>
      <w:spacing w:line="240" w:lineRule="auto"/>
      <w:jc w:val="center"/>
    </w:pPr>
    <w:rPr>
      <w:sz w:val="22"/>
    </w:rPr>
  </w:style>
  <w:style w:type="paragraph" w:customStyle="1" w:styleId="56">
    <w:name w:val="样式 左 首行缩进:  1.01 厘米"/>
    <w:qFormat/>
    <w:uiPriority w:val="0"/>
    <w:pPr>
      <w:adjustRightInd w:val="0"/>
      <w:snapToGrid w:val="0"/>
      <w:spacing w:line="460" w:lineRule="exact"/>
      <w:ind w:firstLine="200" w:firstLineChars="200"/>
    </w:pPr>
    <w:rPr>
      <w:rFonts w:ascii="Times New Roman" w:hAnsi="Times New Roman" w:eastAsia="宋体" w:cs="宋体"/>
      <w:sz w:val="26"/>
      <w:szCs w:val="26"/>
      <w:lang w:val="en-US" w:eastAsia="zh-CN" w:bidi="ar-SA"/>
    </w:rPr>
  </w:style>
  <w:style w:type="paragraph" w:styleId="57">
    <w:name w:val="List Paragraph"/>
    <w:basedOn w:val="1"/>
    <w:qFormat/>
    <w:uiPriority w:val="1"/>
    <w:pPr>
      <w:ind w:left="1357" w:hanging="601"/>
    </w:pPr>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37</Pages>
  <Words>16984</Words>
  <Characters>20067</Characters>
  <Lines>237</Lines>
  <Paragraphs>66</Paragraphs>
  <TotalTime>17</TotalTime>
  <ScaleCrop>false</ScaleCrop>
  <LinksUpToDate>false</LinksUpToDate>
  <CharactersWithSpaces>20569</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2019-11-24T12:37:00Z</dcterms:created>
  <dc:creator>给我一个小笼包</dc:creator>
  <cp:lastModifiedBy>WPS_1476625482</cp:lastModifiedBy>
  <dcterms:modified xsi:type="dcterms:W3CDTF">2022-06-30T04:01:38Z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FF77C9B253DA49408F1A04AD3C29EDDC</vt:lpwstr>
  </property>
</Properties>
</file>