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8"/>
          <w:szCs w:val="48"/>
          <w:lang w:eastAsia="zh-CN"/>
        </w:rPr>
      </w:pP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8"/>
          <w:szCs w:val="48"/>
          <w:lang w:eastAsia="zh-CN"/>
        </w:rPr>
      </w:pPr>
      <w:r>
        <w:rPr>
          <w:rFonts w:hint="eastAsia" w:ascii="黑体" w:hAnsi="黑体" w:eastAsia="黑体" w:cs="黑体"/>
          <w:b/>
          <w:bCs/>
          <w:color w:val="000000"/>
          <w:kern w:val="2"/>
          <w:sz w:val="48"/>
          <w:szCs w:val="48"/>
          <w:lang w:eastAsia="zh-CN"/>
        </w:rPr>
        <w:t>重庆万瑞眼镜有限公司</w:t>
      </w: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8"/>
          <w:szCs w:val="48"/>
          <w:lang w:eastAsia="zh-CN"/>
        </w:rPr>
      </w:pPr>
      <w:r>
        <w:rPr>
          <w:rFonts w:hint="eastAsia" w:ascii="黑体" w:hAnsi="黑体" w:eastAsia="黑体" w:cs="黑体"/>
          <w:b/>
          <w:bCs/>
          <w:color w:val="000000"/>
          <w:kern w:val="2"/>
          <w:sz w:val="48"/>
          <w:szCs w:val="48"/>
          <w:lang w:eastAsia="zh-CN"/>
        </w:rPr>
        <w:t>眼镜镜架生产项目</w:t>
      </w: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56"/>
          <w:szCs w:val="56"/>
        </w:rPr>
      </w:pPr>
      <w:r>
        <w:rPr>
          <w:rFonts w:hint="eastAsia" w:ascii="黑体" w:hAnsi="黑体" w:eastAsia="黑体" w:cs="黑体"/>
          <w:b/>
          <w:bCs/>
          <w:color w:val="000000"/>
          <w:kern w:val="2"/>
          <w:sz w:val="56"/>
          <w:szCs w:val="56"/>
        </w:rPr>
        <w:t>竣工环境保护验收监测报告表</w:t>
      </w:r>
    </w:p>
    <w:p>
      <w:pPr>
        <w:spacing w:line="360" w:lineRule="auto"/>
        <w:jc w:val="center"/>
        <w:rPr>
          <w:rFonts w:ascii="Times New Roman" w:hAnsi="Times New Roman" w:eastAsia="仿宋_GB2312"/>
          <w:sz w:val="28"/>
        </w:rPr>
      </w:pPr>
    </w:p>
    <w:p>
      <w:pPr>
        <w:jc w:val="center"/>
        <w:rPr>
          <w:rFonts w:ascii="Times New Roman" w:hAnsi="Times New Roman" w:eastAsia="仿宋_GB2312"/>
          <w:sz w:val="28"/>
        </w:rPr>
      </w:pPr>
    </w:p>
    <w:p>
      <w:pPr>
        <w:jc w:val="center"/>
        <w:rPr>
          <w:rFonts w:ascii="Times New Roman" w:hAnsi="Times New Roman" w:eastAsia="仿宋_GB2312"/>
          <w:sz w:val="28"/>
        </w:rPr>
      </w:pPr>
    </w:p>
    <w:p>
      <w:pPr>
        <w:jc w:val="center"/>
        <w:rPr>
          <w:rFonts w:ascii="Times New Roman" w:hAnsi="Times New Roman" w:eastAsia="仿宋_GB2312"/>
          <w:sz w:val="28"/>
        </w:rPr>
      </w:pPr>
    </w:p>
    <w:p>
      <w:pPr>
        <w:rPr>
          <w:rFonts w:ascii="Times New Roman" w:hAnsi="Times New Roman" w:eastAsia="仿宋_GB2312"/>
          <w:sz w:val="28"/>
        </w:rPr>
      </w:pPr>
    </w:p>
    <w:p>
      <w:pPr>
        <w:rPr>
          <w:rFonts w:ascii="Times New Roman" w:hAnsi="Times New Roman" w:eastAsia="仿宋_GB2312"/>
          <w:sz w:val="28"/>
        </w:rPr>
      </w:pPr>
    </w:p>
    <w:p>
      <w:pPr>
        <w:jc w:val="center"/>
        <w:rPr>
          <w:rFonts w:ascii="Times New Roman" w:hAnsi="Times New Roman" w:eastAsia="华文新魏"/>
          <w:sz w:val="28"/>
          <w:szCs w:val="28"/>
        </w:rPr>
      </w:pPr>
    </w:p>
    <w:p>
      <w:pPr>
        <w:pStyle w:val="8"/>
      </w:pPr>
    </w:p>
    <w:p>
      <w:pPr>
        <w:widowControl/>
        <w:kinsoku/>
        <w:overflowPunct/>
        <w:autoSpaceDE/>
        <w:autoSpaceDN/>
        <w:snapToGrid w:val="0"/>
        <w:spacing w:after="200" w:line="480" w:lineRule="auto"/>
        <w:ind w:left="0" w:leftChars="0" w:firstLine="1506" w:firstLineChars="500"/>
        <w:jc w:val="both"/>
        <w:rPr>
          <w:rFonts w:ascii="Times New Roman" w:hAnsi="Times New Roman" w:eastAsia="华文新魏" w:cs="Times New Roman"/>
          <w:b/>
          <w:bCs/>
          <w:kern w:val="0"/>
          <w:sz w:val="30"/>
          <w:szCs w:val="30"/>
        </w:rPr>
      </w:pPr>
    </w:p>
    <w:p>
      <w:pPr>
        <w:widowControl/>
        <w:kinsoku/>
        <w:overflowPunct/>
        <w:autoSpaceDE/>
        <w:autoSpaceDN/>
        <w:snapToGrid w:val="0"/>
        <w:spacing w:after="200" w:line="480" w:lineRule="auto"/>
        <w:ind w:left="0" w:leftChars="0" w:firstLine="1506" w:firstLineChars="500"/>
        <w:jc w:val="both"/>
        <w:rPr>
          <w:rFonts w:ascii="Times New Roman" w:hAnsi="Times New Roman" w:eastAsia="华文新魏" w:cs="Times New Roman"/>
          <w:b/>
          <w:bCs/>
          <w:kern w:val="0"/>
          <w:sz w:val="30"/>
          <w:szCs w:val="30"/>
        </w:rPr>
      </w:pPr>
    </w:p>
    <w:p>
      <w:pPr>
        <w:pStyle w:val="8"/>
        <w:sectPr>
          <w:pgSz w:w="11906" w:h="16838"/>
          <w:pgMar w:top="1440" w:right="1800" w:bottom="1440" w:left="1800" w:header="1247" w:footer="708" w:gutter="0"/>
          <w:pgBorders>
            <w:top w:val="none" w:sz="0" w:space="0"/>
            <w:left w:val="none" w:sz="0" w:space="0"/>
            <w:bottom w:val="none" w:sz="0" w:space="0"/>
            <w:right w:val="none" w:sz="0" w:space="0"/>
          </w:pgBorders>
          <w:pgNumType w:fmt="decimal"/>
          <w:cols w:space="425" w:num="1"/>
          <w:docGrid w:linePitch="360" w:charSpace="0"/>
        </w:sectPr>
      </w:pPr>
    </w:p>
    <w:p>
      <w:pPr>
        <w:widowControl/>
        <w:kinsoku/>
        <w:overflowPunct/>
        <w:autoSpaceDE/>
        <w:autoSpaceDN/>
        <w:snapToGrid w:val="0"/>
        <w:spacing w:after="200" w:line="480" w:lineRule="auto"/>
        <w:ind w:left="0" w:leftChars="0" w:firstLine="1606" w:firstLineChars="500"/>
        <w:jc w:val="both"/>
        <w:rPr>
          <w:rFonts w:hint="eastAsia" w:ascii="Times New Roman" w:hAnsi="Times New Roman" w:eastAsia="华文新魏" w:cs="Times New Roman"/>
          <w:b/>
          <w:bCs/>
          <w:kern w:val="0"/>
          <w:sz w:val="32"/>
          <w:szCs w:val="32"/>
          <w:lang w:eastAsia="zh-CN"/>
        </w:rPr>
      </w:pPr>
      <w:r>
        <w:rPr>
          <w:rFonts w:ascii="Times New Roman" w:hAnsi="Times New Roman" w:eastAsia="华文新魏" w:cs="Times New Roman"/>
          <w:b/>
          <w:bCs/>
          <w:kern w:val="0"/>
          <w:sz w:val="32"/>
          <w:szCs w:val="32"/>
        </w:rPr>
        <w:t>建设单位:</w:t>
      </w:r>
      <w:r>
        <w:rPr>
          <w:rFonts w:hint="eastAsia" w:ascii="Times New Roman" w:hAnsi="Times New Roman" w:eastAsia="华文新魏" w:cs="Times New Roman"/>
          <w:b/>
          <w:bCs/>
          <w:kern w:val="0"/>
          <w:sz w:val="32"/>
          <w:szCs w:val="32"/>
          <w:lang w:val="en-US" w:eastAsia="zh-CN"/>
        </w:rPr>
        <w:t xml:space="preserve"> </w:t>
      </w:r>
      <w:r>
        <w:rPr>
          <w:rFonts w:hint="eastAsia" w:ascii="Times New Roman" w:hAnsi="Times New Roman" w:eastAsia="华文新魏" w:cs="Times New Roman"/>
          <w:b/>
          <w:bCs/>
          <w:kern w:val="0"/>
          <w:sz w:val="32"/>
          <w:szCs w:val="32"/>
          <w:lang w:eastAsia="zh-CN"/>
        </w:rPr>
        <w:t>重庆万瑞眼镜有限公司</w:t>
      </w:r>
    </w:p>
    <w:p>
      <w:pPr>
        <w:widowControl/>
        <w:kinsoku/>
        <w:overflowPunct/>
        <w:autoSpaceDE/>
        <w:autoSpaceDN/>
        <w:snapToGrid w:val="0"/>
        <w:spacing w:after="200" w:line="480" w:lineRule="auto"/>
        <w:jc w:val="center"/>
        <w:rPr>
          <w:rFonts w:ascii="Times New Roman" w:hAnsi="Times New Roman" w:eastAsia="华文新魏" w:cs="Times New Roman"/>
          <w:b/>
          <w:bCs/>
          <w:kern w:val="0"/>
          <w:sz w:val="32"/>
          <w:szCs w:val="32"/>
        </w:rPr>
      </w:pPr>
      <w:r>
        <w:rPr>
          <w:rFonts w:ascii="Times New Roman" w:hAnsi="Times New Roman" w:eastAsia="华文新魏" w:cs="Times New Roman"/>
          <w:b/>
          <w:bCs/>
          <w:kern w:val="0"/>
          <w:sz w:val="32"/>
          <w:szCs w:val="32"/>
        </w:rPr>
        <w:t>二〇</w:t>
      </w:r>
      <w:r>
        <w:rPr>
          <w:rFonts w:hint="eastAsia" w:ascii="Times New Roman" w:hAnsi="Times New Roman" w:eastAsia="华文新魏" w:cs="Times New Roman"/>
          <w:b/>
          <w:bCs/>
          <w:kern w:val="0"/>
          <w:sz w:val="32"/>
          <w:szCs w:val="32"/>
          <w:lang w:eastAsia="zh-CN"/>
        </w:rPr>
        <w:t>二二</w:t>
      </w:r>
      <w:r>
        <w:rPr>
          <w:rFonts w:ascii="Times New Roman" w:hAnsi="Times New Roman" w:eastAsia="华文新魏" w:cs="Times New Roman"/>
          <w:b/>
          <w:bCs/>
          <w:kern w:val="0"/>
          <w:sz w:val="32"/>
          <w:szCs w:val="32"/>
        </w:rPr>
        <w:t>年</w:t>
      </w:r>
      <w:r>
        <w:rPr>
          <w:rFonts w:hint="eastAsia" w:ascii="Times New Roman" w:hAnsi="Times New Roman" w:eastAsia="华文新魏" w:cs="Times New Roman"/>
          <w:b/>
          <w:bCs/>
          <w:kern w:val="0"/>
          <w:sz w:val="32"/>
          <w:szCs w:val="32"/>
          <w:lang w:val="en-US" w:eastAsia="zh-CN"/>
        </w:rPr>
        <w:t>四</w:t>
      </w:r>
      <w:r>
        <w:rPr>
          <w:rFonts w:ascii="Times New Roman" w:hAnsi="Times New Roman" w:eastAsia="华文新魏" w:cs="Times New Roman"/>
          <w:b/>
          <w:bCs/>
          <w:kern w:val="0"/>
          <w:sz w:val="32"/>
          <w:szCs w:val="32"/>
        </w:rPr>
        <w:t>月</w:t>
      </w:r>
    </w:p>
    <w:p>
      <w:pPr>
        <w:rPr>
          <w:rFonts w:ascii="Times New Roman" w:hAnsi="Times New Roman" w:eastAsia="华文新魏"/>
          <w:sz w:val="28"/>
          <w:szCs w:val="28"/>
        </w:rPr>
      </w:pPr>
    </w:p>
    <w:p>
      <w:pPr>
        <w:rPr>
          <w:rFonts w:ascii="Times New Roman" w:hAnsi="Times New Roman" w:eastAsia="仿宋_GB2312"/>
          <w:sz w:val="32"/>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425" w:num="1"/>
          <w:docGrid w:linePitch="360" w:charSpace="0"/>
        </w:sectPr>
      </w:pPr>
    </w:p>
    <w:p>
      <w:pPr>
        <w:rPr>
          <w:rFonts w:ascii="Times New Roman" w:hAnsi="Times New Roman" w:eastAsia="仿宋_GB2312"/>
          <w:b/>
          <w:sz w:val="28"/>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2"/>
          <w:docGrid w:linePitch="360" w:charSpace="0"/>
        </w:sectPr>
      </w:pPr>
    </w:p>
    <w:p>
      <w:pPr>
        <w:spacing w:line="360" w:lineRule="auto"/>
        <w:rPr>
          <w:rFonts w:ascii="Times New Roman" w:hAnsi="Times New Roman" w:eastAsia="仿宋_GB2312"/>
          <w:b/>
          <w:sz w:val="28"/>
        </w:rPr>
      </w:pPr>
    </w:p>
    <w:p>
      <w:pPr>
        <w:spacing w:line="360" w:lineRule="auto"/>
        <w:rPr>
          <w:rFonts w:ascii="Times New Roman" w:hAnsi="Times New Roman" w:eastAsia="仿宋_GB2312"/>
          <w:b/>
          <w:sz w:val="28"/>
        </w:rPr>
      </w:pPr>
    </w:p>
    <w:p>
      <w:pPr>
        <w:spacing w:line="360" w:lineRule="auto"/>
        <w:rPr>
          <w:rFonts w:ascii="Times New Roman" w:hAnsi="Times New Roman" w:eastAsia="仿宋_GB2312"/>
          <w:b/>
          <w:sz w:val="28"/>
        </w:rPr>
      </w:pPr>
    </w:p>
    <w:p>
      <w:pPr>
        <w:spacing w:line="480" w:lineRule="auto"/>
        <w:rPr>
          <w:rFonts w:ascii="Times New Roman" w:hAnsi="Times New Roman" w:eastAsia="仿宋_GB2312"/>
          <w:sz w:val="28"/>
        </w:rPr>
      </w:pPr>
      <w:r>
        <w:rPr>
          <w:rFonts w:ascii="Times New Roman" w:hAnsi="Times New Roman" w:eastAsia="仿宋_GB2312"/>
          <w:b/>
          <w:sz w:val="28"/>
        </w:rPr>
        <w:t>建设单位法人代</w:t>
      </w:r>
      <w:r>
        <w:rPr>
          <w:rFonts w:ascii="Times New Roman" w:hAnsi="Times New Roman" w:eastAsia="仿宋_GB2312" w:cs="宋体"/>
          <w:b/>
          <w:sz w:val="28"/>
        </w:rPr>
        <w:t>表:</w:t>
      </w:r>
      <w:r>
        <w:rPr>
          <w:rFonts w:hint="eastAsia" w:ascii="Times New Roman" w:hAnsi="Times New Roman" w:eastAsia="仿宋_GB2312" w:cs="宋体"/>
          <w:b/>
          <w:sz w:val="28"/>
        </w:rPr>
        <w:t xml:space="preserve"> </w:t>
      </w:r>
      <w:r>
        <w:rPr>
          <w:rFonts w:hint="eastAsia" w:ascii="Times New Roman" w:hAnsi="Times New Roman" w:eastAsia="仿宋_GB2312" w:cs="宋体"/>
          <w:b/>
          <w:sz w:val="28"/>
          <w:lang w:eastAsia="zh-CN"/>
        </w:rPr>
        <w:t xml:space="preserve"> </w:t>
      </w:r>
      <w:r>
        <w:rPr>
          <w:rFonts w:hint="eastAsia" w:ascii="Times New Roman" w:hAnsi="Times New Roman" w:eastAsia="仿宋_GB2312" w:cs="宋体"/>
          <w:b/>
          <w:sz w:val="28"/>
          <w:lang w:val="en-US" w:eastAsia="zh-CN"/>
        </w:rPr>
        <w:t>李欠福</w:t>
      </w:r>
      <w:r>
        <w:rPr>
          <w:rFonts w:hint="eastAsia" w:ascii="Times New Roman" w:hAnsi="Times New Roman" w:eastAsia="仿宋_GB2312" w:cs="宋体"/>
          <w:b/>
          <w:sz w:val="28"/>
          <w:lang w:eastAsia="zh-CN"/>
        </w:rPr>
        <w:t xml:space="preserve">     </w:t>
      </w:r>
      <w:r>
        <w:rPr>
          <w:rFonts w:hint="eastAsia" w:ascii="Times New Roman" w:hAnsi="Times New Roman" w:eastAsia="仿宋_GB2312"/>
          <w:b/>
          <w:sz w:val="28"/>
          <w:lang w:eastAsia="zh-CN"/>
        </w:rPr>
        <w:t xml:space="preserve"> </w:t>
      </w:r>
      <w:r>
        <w:rPr>
          <w:rFonts w:ascii="Times New Roman" w:hAnsi="Times New Roman" w:eastAsia="仿宋_GB2312"/>
          <w:b/>
          <w:sz w:val="28"/>
        </w:rPr>
        <w:t xml:space="preserve">          </w:t>
      </w: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tbl>
      <w:tblPr>
        <w:tblStyle w:val="15"/>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tcBorders>
              <w:top w:val="nil"/>
              <w:left w:val="nil"/>
              <w:bottom w:val="nil"/>
              <w:right w:val="nil"/>
            </w:tcBorders>
            <w:vAlign w:val="top"/>
          </w:tcPr>
          <w:p>
            <w:pPr>
              <w:spacing w:line="500" w:lineRule="exact"/>
              <w:ind w:left="1106" w:leftChars="0" w:right="0" w:rightChars="0" w:hanging="1106" w:hangingChars="459"/>
              <w:rPr>
                <w:rFonts w:hint="eastAsia" w:ascii="Times New Roman" w:hAnsi="宋体" w:eastAsia="宋体" w:cs="宋体"/>
                <w:sz w:val="24"/>
                <w:lang w:val="en-US" w:eastAsia="zh-CN"/>
              </w:rPr>
            </w:pPr>
            <w:r>
              <w:rPr>
                <w:rFonts w:hint="eastAsia" w:ascii="Times New Roman" w:hAnsi="宋体" w:eastAsia="宋体" w:cs="宋体"/>
                <w:b/>
                <w:bCs/>
                <w:sz w:val="24"/>
                <w:lang w:val="en-US" w:eastAsia="zh-CN"/>
              </w:rPr>
              <w:t xml:space="preserve">建设单位: </w:t>
            </w:r>
            <w:r>
              <w:rPr>
                <w:rFonts w:hint="eastAsia" w:ascii="Times New Roman" w:hAnsi="宋体" w:eastAsia="宋体" w:cs="宋体"/>
                <w:sz w:val="24"/>
                <w:lang w:val="en-US" w:eastAsia="zh-CN"/>
              </w:rPr>
              <w:t>重庆万瑞眼镜有限公司</w:t>
            </w:r>
          </w:p>
          <w:p>
            <w:pPr>
              <w:spacing w:line="500" w:lineRule="exact"/>
              <w:ind w:left="1197" w:leftChars="544" w:right="0" w:rightChars="0" w:firstLine="343" w:firstLineChars="143"/>
              <w:rPr>
                <w:rFonts w:hint="eastAsia" w:ascii="Times New Roman" w:hAnsi="宋体" w:eastAsia="宋体" w:cs="宋体"/>
                <w:sz w:val="24"/>
                <w:lang w:val="zh-CN" w:eastAsia="zh-CN"/>
              </w:rPr>
            </w:pPr>
            <w:r>
              <w:rPr>
                <w:rFonts w:hint="eastAsia" w:ascii="Times New Roman" w:hAnsi="宋体" w:eastAsia="宋体" w:cs="宋体"/>
                <w:sz w:val="24"/>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sz w:val="24"/>
                <w:lang w:val="en-US" w:eastAsia="zh-CN"/>
              </w:rPr>
            </w:pPr>
            <w:r>
              <w:rPr>
                <w:rFonts w:hint="eastAsia" w:ascii="Times New Roman" w:hAnsi="宋体" w:eastAsia="宋体" w:cs="宋体"/>
                <w:b/>
                <w:bCs/>
                <w:sz w:val="24"/>
                <w:lang w:val="en-US" w:eastAsia="zh-CN"/>
              </w:rPr>
              <w:t>电    话：</w:t>
            </w:r>
            <w:r>
              <w:rPr>
                <w:rFonts w:hint="default" w:ascii="Times New Roman" w:hAnsi="宋体" w:eastAsia="宋体" w:cs="宋体"/>
                <w:sz w:val="24"/>
                <w:lang w:val="en-US" w:eastAsia="zh-CN"/>
              </w:rPr>
              <w:t>18815234888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sz w:val="24"/>
                <w:lang w:val="zh-CN" w:eastAsia="zh-CN"/>
              </w:rPr>
            </w:pPr>
            <w:r>
              <w:rPr>
                <w:rFonts w:hint="eastAsia" w:ascii="Times New Roman" w:hAnsi="宋体" w:eastAsia="宋体" w:cs="宋体"/>
                <w:b/>
                <w:bCs/>
                <w:sz w:val="24"/>
                <w:lang w:val="en-US" w:eastAsia="zh-CN"/>
              </w:rPr>
              <w:t>邮    编：</w:t>
            </w:r>
            <w:r>
              <w:rPr>
                <w:rFonts w:hint="eastAsia" w:ascii="Times New Roman" w:hAnsi="宋体" w:eastAsia="宋体" w:cs="宋体"/>
                <w:sz w:val="24"/>
                <w:lang w:val="en-US" w:eastAsia="zh-CN"/>
              </w:rPr>
              <w:t>404600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tcBorders>
              <w:top w:val="nil"/>
              <w:left w:val="nil"/>
              <w:bottom w:val="nil"/>
              <w:right w:val="nil"/>
            </w:tcBorders>
            <w:vAlign w:val="top"/>
          </w:tcPr>
          <w:p>
            <w:pPr>
              <w:spacing w:line="500" w:lineRule="exact"/>
              <w:ind w:left="1106" w:leftChars="0" w:right="0" w:rightChars="0" w:hanging="1106" w:hangingChars="459"/>
              <w:rPr>
                <w:rFonts w:hint="eastAsia" w:ascii="宋体" w:hAnsi="宋体" w:eastAsia="宋体" w:cs="宋体"/>
                <w:sz w:val="24"/>
                <w:szCs w:val="24"/>
                <w:lang w:val="en-US" w:eastAsia="zh-CN" w:bidi="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default" w:ascii="Times New Roman" w:hAnsi="宋体" w:eastAsia="宋体" w:cs="宋体"/>
                <w:sz w:val="24"/>
                <w:lang w:val="en-US" w:eastAsia="zh-CN"/>
              </w:rPr>
              <w:t>重庆市奉节县生态工业园区兴园路1号B7幢4层</w:t>
            </w:r>
          </w:p>
        </w:tc>
      </w:tr>
    </w:tbl>
    <w:p>
      <w:pPr>
        <w:pStyle w:val="3"/>
        <w:tabs>
          <w:tab w:val="left" w:pos="1120"/>
        </w:tabs>
        <w:spacing w:before="59"/>
        <w:ind w:left="275" w:firstLine="0"/>
      </w:pPr>
      <w:r>
        <w:rPr>
          <w:spacing w:val="5"/>
        </w:rPr>
        <w:t>表</w:t>
      </w:r>
      <w:r>
        <w:t>一</w:t>
      </w:r>
      <w:r>
        <w:tab/>
      </w:r>
      <w:r>
        <w:rPr>
          <w:spacing w:val="5"/>
        </w:rPr>
        <w:t>项</w:t>
      </w:r>
      <w:r>
        <w:t>目</w:t>
      </w:r>
      <w:r>
        <w:rPr>
          <w:spacing w:val="5"/>
        </w:rPr>
        <w:t>基</w:t>
      </w:r>
      <w:r>
        <w:t>本</w:t>
      </w:r>
      <w:r>
        <w:rPr>
          <w:spacing w:val="5"/>
        </w:rPr>
        <w:t>情</w:t>
      </w:r>
      <w:r>
        <w:t>况</w:t>
      </w:r>
    </w:p>
    <w:tbl>
      <w:tblPr>
        <w:tblStyle w:val="14"/>
        <w:tblW w:w="503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0" w:type="dxa"/>
          <w:right w:w="28" w:type="dxa"/>
        </w:tblCellMar>
      </w:tblPr>
      <w:tblGrid>
        <w:gridCol w:w="2155"/>
        <w:gridCol w:w="1685"/>
        <w:gridCol w:w="475"/>
        <w:gridCol w:w="525"/>
        <w:gridCol w:w="855"/>
        <w:gridCol w:w="1530"/>
        <w:gridCol w:w="695"/>
        <w:gridCol w:w="751"/>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建设项目名称</w:t>
            </w:r>
          </w:p>
        </w:tc>
        <w:tc>
          <w:tcPr>
            <w:tcW w:w="3885" w:type="pct"/>
            <w:gridSpan w:val="8"/>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重庆万瑞眼镜有限公司眼镜镜架生产项目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业主单位名称</w:t>
            </w:r>
          </w:p>
        </w:tc>
        <w:tc>
          <w:tcPr>
            <w:tcW w:w="3885" w:type="pct"/>
            <w:gridSpan w:val="8"/>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重庆万瑞眼镜有限公司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建设地点</w:t>
            </w:r>
          </w:p>
        </w:tc>
        <w:tc>
          <w:tcPr>
            <w:tcW w:w="2623" w:type="pct"/>
            <w:gridSpan w:val="5"/>
            <w:vAlign w:val="center"/>
          </w:tcPr>
          <w:p>
            <w:pPr>
              <w:pStyle w:val="17"/>
              <w:spacing w:before="170"/>
              <w:ind w:left="109"/>
              <w:jc w:val="center"/>
              <w:rPr>
                <w:rFonts w:hint="eastAsia" w:ascii="Times New Roman" w:hAnsi="宋体" w:eastAsia="宋体" w:cs="宋体"/>
                <w:sz w:val="24"/>
                <w:lang w:val="en-US" w:eastAsia="zh-CN"/>
              </w:rPr>
            </w:pPr>
            <w:r>
              <w:rPr>
                <w:rFonts w:hint="default" w:ascii="Times New Roman" w:hAnsi="宋体" w:eastAsia="宋体" w:cs="宋体"/>
                <w:sz w:val="24"/>
                <w:lang w:val="en-US" w:eastAsia="zh-CN"/>
              </w:rPr>
              <w:t>重庆市奉节县生态工业园区兴园路1号B7幢4层</w:t>
            </w:r>
          </w:p>
        </w:tc>
        <w:tc>
          <w:tcPr>
            <w:tcW w:w="359" w:type="pct"/>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邮编</w:t>
            </w:r>
          </w:p>
        </w:tc>
        <w:tc>
          <w:tcPr>
            <w:tcW w:w="902" w:type="pct"/>
            <w:gridSpan w:val="2"/>
            <w:vAlign w:val="center"/>
          </w:tcPr>
          <w:p>
            <w:pPr>
              <w:pStyle w:val="17"/>
              <w:spacing w:before="170"/>
              <w:ind w:left="109"/>
              <w:jc w:val="center"/>
              <w:rPr>
                <w:rFonts w:hint="default" w:ascii="Times New Roman" w:hAnsi="宋体" w:eastAsia="宋体" w:cs="宋体"/>
                <w:sz w:val="24"/>
                <w:lang w:val="en-US" w:eastAsia="zh-CN"/>
              </w:rPr>
            </w:pPr>
            <w:r>
              <w:rPr>
                <w:rFonts w:hint="eastAsia" w:ascii="Times New Roman" w:hAnsi="宋体" w:eastAsia="宋体" w:cs="宋体"/>
                <w:sz w:val="24"/>
                <w:lang w:val="en-US" w:eastAsia="zh-CN"/>
              </w:rPr>
              <w:t>404600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联系人</w:t>
            </w:r>
          </w:p>
        </w:tc>
        <w:tc>
          <w:tcPr>
            <w:tcW w:w="1117" w:type="pct"/>
            <w:gridSpan w:val="2"/>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李欠福</w:t>
            </w:r>
          </w:p>
        </w:tc>
        <w:tc>
          <w:tcPr>
            <w:tcW w:w="1505" w:type="pct"/>
            <w:gridSpan w:val="3"/>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联系电话</w:t>
            </w:r>
          </w:p>
        </w:tc>
        <w:tc>
          <w:tcPr>
            <w:tcW w:w="1261" w:type="pct"/>
            <w:gridSpan w:val="3"/>
          </w:tcPr>
          <w:p>
            <w:pPr>
              <w:pStyle w:val="17"/>
              <w:spacing w:before="170"/>
              <w:ind w:left="109"/>
              <w:jc w:val="center"/>
              <w:rPr>
                <w:rFonts w:hint="eastAsia" w:ascii="Times New Roman" w:hAnsi="宋体" w:eastAsia="宋体" w:cs="宋体"/>
                <w:sz w:val="24"/>
                <w:lang w:val="en-US" w:eastAsia="zh-CN"/>
              </w:rPr>
            </w:pPr>
            <w:r>
              <w:rPr>
                <w:rFonts w:hint="default" w:ascii="Times New Roman" w:hAnsi="宋体" w:eastAsia="宋体" w:cs="宋体"/>
                <w:sz w:val="24"/>
                <w:lang w:val="en-US" w:eastAsia="zh-CN"/>
              </w:rPr>
              <w:t>18815234888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建设项目性质</w:t>
            </w:r>
          </w:p>
        </w:tc>
        <w:tc>
          <w:tcPr>
            <w:tcW w:w="3885" w:type="pct"/>
            <w:gridSpan w:val="8"/>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 xml:space="preserve">√新建    </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 xml:space="preserve">改扩建   </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技术改造</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2"/>
              <w:rPr>
                <w:b/>
                <w:sz w:val="20"/>
              </w:rPr>
            </w:pPr>
          </w:p>
          <w:p>
            <w:pPr>
              <w:pStyle w:val="17"/>
              <w:ind w:left="200" w:right="185"/>
              <w:jc w:val="center"/>
              <w:rPr>
                <w:sz w:val="24"/>
              </w:rPr>
            </w:pPr>
            <w:r>
              <w:rPr>
                <w:sz w:val="24"/>
              </w:rPr>
              <w:t>项目设立部门</w:t>
            </w:r>
          </w:p>
        </w:tc>
        <w:tc>
          <w:tcPr>
            <w:tcW w:w="1117" w:type="pct"/>
            <w:gridSpan w:val="2"/>
          </w:tcPr>
          <w:p>
            <w:pPr>
              <w:pStyle w:val="17"/>
              <w:spacing w:before="122"/>
              <w:ind w:left="9"/>
              <w:jc w:val="center"/>
              <w:rPr>
                <w:rFonts w:hint="eastAsia" w:ascii="宋体" w:hAnsi="宋体" w:eastAsia="宋体" w:cs="宋体"/>
                <w:sz w:val="24"/>
                <w:lang w:eastAsia="zh-CN"/>
              </w:rPr>
            </w:pPr>
            <w:r>
              <w:rPr>
                <w:rFonts w:hint="default" w:ascii="宋体" w:hAnsi="宋体" w:eastAsia="宋体" w:cs="宋体"/>
                <w:sz w:val="24"/>
                <w:lang w:eastAsia="zh-CN"/>
              </w:rPr>
              <w:t>重庆市奉节县发展和改革委员会</w:t>
            </w:r>
          </w:p>
        </w:tc>
        <w:tc>
          <w:tcPr>
            <w:tcW w:w="271"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文</w:t>
            </w:r>
          </w:p>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号</w:t>
            </w:r>
          </w:p>
        </w:tc>
        <w:tc>
          <w:tcPr>
            <w:tcW w:w="1233" w:type="pct"/>
            <w:gridSpan w:val="2"/>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2109-500236-04-05-771384</w:t>
            </w:r>
          </w:p>
        </w:tc>
        <w:tc>
          <w:tcPr>
            <w:tcW w:w="359"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时间</w:t>
            </w:r>
          </w:p>
        </w:tc>
        <w:tc>
          <w:tcPr>
            <w:tcW w:w="902" w:type="pct"/>
            <w:gridSpan w:val="2"/>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2021年0</w:t>
            </w:r>
            <w:r>
              <w:rPr>
                <w:rFonts w:hint="eastAsia" w:ascii="Times New Roman" w:cs="宋体"/>
                <w:sz w:val="24"/>
                <w:lang w:val="en-US" w:eastAsia="zh-CN"/>
              </w:rPr>
              <w:t>9</w:t>
            </w:r>
            <w:r>
              <w:rPr>
                <w:rFonts w:hint="eastAsia" w:ascii="Times New Roman" w:hAnsi="宋体" w:eastAsia="宋体" w:cs="宋体"/>
                <w:sz w:val="24"/>
                <w:lang w:val="en-US" w:eastAsia="zh-CN"/>
              </w:rPr>
              <w:t xml:space="preserve"> 月</w:t>
            </w:r>
          </w:p>
          <w:p>
            <w:pPr>
              <w:pStyle w:val="17"/>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10</w:t>
            </w:r>
            <w:r>
              <w:rPr>
                <w:rFonts w:hint="eastAsia" w:ascii="Times New Roman" w:hAnsi="宋体" w:eastAsia="宋体" w:cs="宋体"/>
                <w:sz w:val="24"/>
                <w:lang w:val="en-US" w:eastAsia="zh-CN"/>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环评报告表审批部门</w:t>
            </w:r>
          </w:p>
        </w:tc>
        <w:tc>
          <w:tcPr>
            <w:tcW w:w="1117" w:type="pct"/>
            <w:gridSpan w:val="2"/>
          </w:tcPr>
          <w:p>
            <w:pPr>
              <w:pStyle w:val="17"/>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重庆市奉节县生态环境局</w:t>
            </w:r>
          </w:p>
        </w:tc>
        <w:tc>
          <w:tcPr>
            <w:tcW w:w="271"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文</w:t>
            </w:r>
          </w:p>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号</w:t>
            </w:r>
          </w:p>
        </w:tc>
        <w:tc>
          <w:tcPr>
            <w:tcW w:w="1233" w:type="pct"/>
            <w:gridSpan w:val="2"/>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渝（奉）环准【2021】</w:t>
            </w:r>
          </w:p>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54 号</w:t>
            </w:r>
          </w:p>
        </w:tc>
        <w:tc>
          <w:tcPr>
            <w:tcW w:w="359" w:type="pct"/>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时间</w:t>
            </w:r>
          </w:p>
        </w:tc>
        <w:tc>
          <w:tcPr>
            <w:tcW w:w="902" w:type="pct"/>
            <w:gridSpan w:val="2"/>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2021年12 月</w:t>
            </w:r>
          </w:p>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21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Pr>
          <w:p>
            <w:pPr>
              <w:pStyle w:val="17"/>
              <w:spacing w:before="122"/>
              <w:ind w:left="9"/>
              <w:jc w:val="center"/>
              <w:rPr>
                <w:rFonts w:hint="default" w:ascii="宋体" w:hAnsi="宋体" w:eastAsia="宋体" w:cs="宋体"/>
                <w:sz w:val="24"/>
                <w:lang w:eastAsia="zh-CN"/>
              </w:rPr>
            </w:pPr>
            <w:r>
              <w:rPr>
                <w:rFonts w:hint="default" w:ascii="宋体" w:hAnsi="宋体" w:eastAsia="宋体" w:cs="宋体"/>
                <w:sz w:val="24"/>
                <w:lang w:eastAsia="zh-CN"/>
              </w:rPr>
              <w:t>环评报告表编制单位</w:t>
            </w:r>
          </w:p>
        </w:tc>
        <w:tc>
          <w:tcPr>
            <w:tcW w:w="1389" w:type="pct"/>
            <w:gridSpan w:val="3"/>
          </w:tcPr>
          <w:p>
            <w:pPr>
              <w:pStyle w:val="17"/>
              <w:spacing w:before="217"/>
              <w:ind w:left="12"/>
              <w:jc w:val="center"/>
              <w:rPr>
                <w:rFonts w:hint="eastAsia" w:ascii="Times New Roman" w:hAnsi="宋体" w:eastAsia="宋体" w:cs="宋体"/>
                <w:sz w:val="24"/>
                <w:lang w:eastAsia="zh-CN"/>
              </w:rPr>
            </w:pPr>
            <w:r>
              <w:rPr>
                <w:rFonts w:hint="eastAsia" w:ascii="Times New Roman" w:hAnsi="宋体" w:eastAsia="宋体" w:cs="宋体"/>
                <w:sz w:val="24"/>
                <w:lang w:eastAsia="zh-CN"/>
              </w:rPr>
              <w:t>贵州醉风源环保科技有限公司</w:t>
            </w:r>
          </w:p>
        </w:tc>
        <w:tc>
          <w:tcPr>
            <w:tcW w:w="1233" w:type="pct"/>
            <w:gridSpan w:val="2"/>
          </w:tcPr>
          <w:p>
            <w:pPr>
              <w:pStyle w:val="17"/>
              <w:spacing w:before="217"/>
              <w:ind w:left="12"/>
              <w:jc w:val="center"/>
              <w:rPr>
                <w:rFonts w:hint="default" w:ascii="Times New Roman" w:hAnsi="宋体" w:eastAsia="宋体" w:cs="宋体"/>
                <w:sz w:val="24"/>
                <w:lang w:eastAsia="zh-CN"/>
              </w:rPr>
            </w:pPr>
            <w:r>
              <w:rPr>
                <w:rFonts w:hint="default" w:ascii="Times New Roman" w:hAnsi="宋体" w:eastAsia="宋体" w:cs="宋体"/>
                <w:sz w:val="24"/>
                <w:lang w:eastAsia="zh-CN"/>
              </w:rPr>
              <w:t>环境监理单位</w:t>
            </w:r>
          </w:p>
        </w:tc>
        <w:tc>
          <w:tcPr>
            <w:tcW w:w="1261" w:type="pct"/>
            <w:gridSpan w:val="3"/>
          </w:tcPr>
          <w:p>
            <w:pPr>
              <w:pStyle w:val="17"/>
              <w:spacing w:before="217"/>
              <w:ind w:left="12"/>
              <w:jc w:val="center"/>
              <w:rPr>
                <w:rFonts w:ascii="Times New Roman"/>
                <w:sz w:val="24"/>
              </w:rPr>
            </w:pPr>
            <w:r>
              <w:rPr>
                <w:rFonts w:asci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bottom w:val="single" w:color="000000" w:sz="6" w:space="0"/>
            </w:tcBorders>
          </w:tcPr>
          <w:p>
            <w:pPr>
              <w:pStyle w:val="17"/>
              <w:spacing w:before="122"/>
              <w:ind w:left="9"/>
              <w:jc w:val="center"/>
              <w:rPr>
                <w:rFonts w:hint="default" w:ascii="宋体" w:hAnsi="宋体" w:eastAsia="宋体" w:cs="宋体"/>
                <w:sz w:val="24"/>
                <w:lang w:eastAsia="zh-CN"/>
              </w:rPr>
            </w:pPr>
            <w:r>
              <w:rPr>
                <w:rFonts w:hint="default" w:ascii="宋体" w:hAnsi="宋体" w:eastAsia="宋体" w:cs="宋体"/>
                <w:sz w:val="24"/>
                <w:lang w:eastAsia="zh-CN"/>
              </w:rPr>
              <w:t>开工建设时间</w:t>
            </w:r>
          </w:p>
        </w:tc>
        <w:tc>
          <w:tcPr>
            <w:tcW w:w="1389" w:type="pct"/>
            <w:gridSpan w:val="3"/>
            <w:tcBorders>
              <w:bottom w:val="single" w:color="000000" w:sz="6" w:space="0"/>
            </w:tcBorders>
          </w:tcPr>
          <w:p>
            <w:pPr>
              <w:pStyle w:val="17"/>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2022 年 1 月</w:t>
            </w:r>
          </w:p>
        </w:tc>
        <w:tc>
          <w:tcPr>
            <w:tcW w:w="1233" w:type="pct"/>
            <w:gridSpan w:val="2"/>
            <w:tcBorders>
              <w:bottom w:val="single" w:color="000000" w:sz="6" w:space="0"/>
            </w:tcBorders>
          </w:tcPr>
          <w:p>
            <w:pPr>
              <w:pStyle w:val="17"/>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验收现场监测时间</w:t>
            </w:r>
          </w:p>
        </w:tc>
        <w:tc>
          <w:tcPr>
            <w:tcW w:w="1261" w:type="pct"/>
            <w:gridSpan w:val="3"/>
            <w:tcBorders>
              <w:bottom w:val="single" w:color="000000" w:sz="6" w:space="0"/>
            </w:tcBorders>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2022 年 3 月 24日-25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环保设施设计单位</w:t>
            </w:r>
          </w:p>
        </w:tc>
        <w:tc>
          <w:tcPr>
            <w:tcW w:w="1389" w:type="pct"/>
            <w:gridSpan w:val="3"/>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重庆万瑞眼镜有限公司</w:t>
            </w:r>
          </w:p>
        </w:tc>
        <w:tc>
          <w:tcPr>
            <w:tcW w:w="1233" w:type="pct"/>
            <w:gridSpan w:val="2"/>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环保设施施工单位</w:t>
            </w:r>
          </w:p>
        </w:tc>
        <w:tc>
          <w:tcPr>
            <w:tcW w:w="1261" w:type="pct"/>
            <w:gridSpan w:val="3"/>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重庆万瑞眼镜有限公司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环评核准生产能力</w:t>
            </w:r>
          </w:p>
        </w:tc>
        <w:tc>
          <w:tcPr>
            <w:tcW w:w="3885" w:type="pct"/>
            <w:gridSpan w:val="8"/>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建成太阳镜、老花镜、防雾镜生产线各1条，年产成品眼镜1000万副。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实际建成生产能力</w:t>
            </w:r>
          </w:p>
        </w:tc>
        <w:tc>
          <w:tcPr>
            <w:tcW w:w="3885" w:type="pct"/>
            <w:gridSpan w:val="8"/>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建成太阳镜、老花镜、防雾镜生产线各1条，年产成品眼镜1000万副。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项目变更情况</w:t>
            </w:r>
          </w:p>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（与环评核准情况比较）</w:t>
            </w:r>
          </w:p>
        </w:tc>
        <w:tc>
          <w:tcPr>
            <w:tcW w:w="3885" w:type="pct"/>
            <w:gridSpan w:val="8"/>
            <w:tcBorders>
              <w:top w:val="single" w:color="000000" w:sz="6" w:space="0"/>
              <w:left w:val="single" w:color="000000" w:sz="6" w:space="0"/>
              <w:bottom w:val="single" w:color="000000" w:sz="6" w:space="0"/>
              <w:right w:val="single" w:color="000000" w:sz="6" w:space="0"/>
            </w:tcBorders>
            <w:vAlign w:val="center"/>
          </w:tcPr>
          <w:p>
            <w:pPr>
              <w:pStyle w:val="17"/>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基本与环评核准情况一致。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概算总投资</w:t>
            </w:r>
          </w:p>
        </w:tc>
        <w:tc>
          <w:tcPr>
            <w:tcW w:w="871"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3000 万元</w:t>
            </w:r>
          </w:p>
        </w:tc>
        <w:tc>
          <w:tcPr>
            <w:tcW w:w="959" w:type="pct"/>
            <w:gridSpan w:val="3"/>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其中环保投资</w:t>
            </w:r>
          </w:p>
        </w:tc>
        <w:tc>
          <w:tcPr>
            <w:tcW w:w="791"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198万元</w:t>
            </w:r>
          </w:p>
        </w:tc>
        <w:tc>
          <w:tcPr>
            <w:tcW w:w="748" w:type="pct"/>
            <w:gridSpan w:val="2"/>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比例</w:t>
            </w:r>
          </w:p>
        </w:tc>
        <w:tc>
          <w:tcPr>
            <w:tcW w:w="513"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实际总投资</w:t>
            </w:r>
          </w:p>
        </w:tc>
        <w:tc>
          <w:tcPr>
            <w:tcW w:w="871"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3000 万元</w:t>
            </w:r>
          </w:p>
        </w:tc>
        <w:tc>
          <w:tcPr>
            <w:tcW w:w="959" w:type="pct"/>
            <w:gridSpan w:val="3"/>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其中环保投资</w:t>
            </w:r>
          </w:p>
        </w:tc>
        <w:tc>
          <w:tcPr>
            <w:tcW w:w="791"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215万元</w:t>
            </w:r>
          </w:p>
        </w:tc>
        <w:tc>
          <w:tcPr>
            <w:tcW w:w="748" w:type="pct"/>
            <w:gridSpan w:val="2"/>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比例</w:t>
            </w:r>
          </w:p>
        </w:tc>
        <w:tc>
          <w:tcPr>
            <w:tcW w:w="513"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3151" w:hRule="atLeast"/>
        </w:trPr>
        <w:tc>
          <w:tcPr>
            <w:tcW w:w="1114" w:type="pct"/>
            <w:tcBorders>
              <w:top w:val="single" w:color="000000" w:sz="6" w:space="0"/>
              <w:left w:val="single" w:color="000000" w:sz="6" w:space="0"/>
              <w:bottom w:val="single" w:color="000000" w:sz="6" w:space="0"/>
              <w:right w:val="single" w:color="000000" w:sz="6" w:space="0"/>
            </w:tcBorders>
            <w:vAlign w:val="center"/>
          </w:tcPr>
          <w:p>
            <w:pPr>
              <w:pStyle w:val="17"/>
              <w:spacing w:before="170"/>
              <w:ind w:left="109"/>
              <w:jc w:val="center"/>
              <w:rPr>
                <w:rFonts w:hint="eastAsia" w:ascii="Times New Roman" w:hAnsi="宋体" w:eastAsia="宋体" w:cs="宋体"/>
                <w:sz w:val="24"/>
                <w:lang w:val="en-US" w:eastAsia="zh-CN"/>
              </w:rPr>
            </w:pPr>
            <w:r>
              <w:rPr>
                <w:sz w:val="24"/>
              </w:rPr>
              <w:t>验收监测依据</w:t>
            </w:r>
          </w:p>
        </w:tc>
        <w:tc>
          <w:tcPr>
            <w:tcW w:w="3885" w:type="pct"/>
            <w:gridSpan w:val="8"/>
            <w:tcBorders>
              <w:top w:val="single" w:color="000000" w:sz="6" w:space="0"/>
              <w:left w:val="single" w:color="000000" w:sz="6" w:space="0"/>
              <w:bottom w:val="single" w:color="000000" w:sz="6" w:space="0"/>
              <w:right w:val="single" w:color="000000" w:sz="6" w:space="0"/>
            </w:tcBorders>
            <w:vAlign w:val="center"/>
          </w:tcPr>
          <w:p>
            <w:pPr>
              <w:pStyle w:val="17"/>
              <w:spacing w:before="79"/>
              <w:ind w:left="108"/>
              <w:rPr>
                <w:b/>
                <w:sz w:val="24"/>
              </w:rPr>
            </w:pPr>
            <w:r>
              <w:rPr>
                <w:b/>
                <w:sz w:val="24"/>
              </w:rPr>
              <w:t>建设项目环境保护相关法律、法规、章程和规范</w:t>
            </w:r>
          </w:p>
          <w:p>
            <w:pPr>
              <w:pStyle w:val="17"/>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1、《中华人民共和国环境保护法》（2015 年 1 月）；</w:t>
            </w:r>
          </w:p>
          <w:p>
            <w:pPr>
              <w:pStyle w:val="17"/>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2、《建设项目环境保护管理条例》（国务院令第 682 号，2017）；</w:t>
            </w:r>
          </w:p>
          <w:p>
            <w:pPr>
              <w:pStyle w:val="17"/>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3、《中华人民共和国水污染防治法》（2018 年 1 月修改）；</w:t>
            </w:r>
          </w:p>
          <w:p>
            <w:pPr>
              <w:pStyle w:val="17"/>
              <w:spacing w:before="170" w:line="36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4、《中华人民共和国环境大气污染防治法》（2016  年 1  月 1  日）；5、《中华人民共和国环境噪声污染防治法》（2018年）；</w:t>
            </w:r>
          </w:p>
        </w:tc>
      </w:tr>
    </w:tbl>
    <w:p/>
    <w:tbl>
      <w:tblPr>
        <w:tblStyle w:val="15"/>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724"/>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03" w:hRule="atLeast"/>
        </w:trPr>
        <w:tc>
          <w:tcPr>
            <w:tcW w:w="1724" w:type="dxa"/>
          </w:tcPr>
          <w:p>
            <w:pPr>
              <w:pStyle w:val="2"/>
              <w:jc w:val="both"/>
              <w:rPr>
                <w:vertAlign w:val="baseline"/>
              </w:rPr>
            </w:pPr>
          </w:p>
        </w:tc>
        <w:tc>
          <w:tcPr>
            <w:tcW w:w="8040" w:type="dxa"/>
            <w:vAlign w:val="top"/>
          </w:tcPr>
          <w:p>
            <w:pPr>
              <w:pStyle w:val="17"/>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6、《中华人民共和国固体废物污染环境防治法》（2020 年 9 月修正）；</w:t>
            </w:r>
          </w:p>
          <w:p>
            <w:pPr>
              <w:pStyle w:val="17"/>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7、《中华人民共和国环境影响评价法》（2018 年 7 月修改）；</w:t>
            </w:r>
          </w:p>
          <w:p>
            <w:pPr>
              <w:pStyle w:val="17"/>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8、《建设项目环境影响评价分类管理名录》（2021 年）；</w:t>
            </w:r>
          </w:p>
          <w:p>
            <w:pPr>
              <w:pStyle w:val="17"/>
              <w:spacing w:before="170"/>
              <w:ind w:left="109"/>
              <w:jc w:val="left"/>
              <w:rPr>
                <w:b/>
                <w:sz w:val="24"/>
              </w:rPr>
            </w:pPr>
            <w:r>
              <w:rPr>
                <w:b/>
                <w:sz w:val="24"/>
              </w:rPr>
              <w:t>建设项目竣工环境保护验收技术规范</w:t>
            </w:r>
          </w:p>
          <w:p>
            <w:pPr>
              <w:pStyle w:val="17"/>
              <w:spacing w:before="170" w:line="240" w:lineRule="auto"/>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1、生态环境部 公告 2018 年第 9 号关于发布《建设项目竣工环境保护验收技术指南 污染影响类》的公告；</w:t>
            </w:r>
          </w:p>
          <w:p>
            <w:pPr>
              <w:pStyle w:val="17"/>
              <w:spacing w:before="170" w:line="240" w:lineRule="auto"/>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2、（国环规环评[2017]4 号）《建设项目竣工环境保护验收暂行办法》；</w:t>
            </w:r>
          </w:p>
          <w:p>
            <w:pPr>
              <w:pStyle w:val="17"/>
              <w:spacing w:before="170" w:line="240" w:lineRule="auto"/>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3、环办[2015]113 号《关于印发建设项目竣工环境保护验收现场检查及审查要点的通知》；</w:t>
            </w:r>
          </w:p>
          <w:p>
            <w:pPr>
              <w:pStyle w:val="17"/>
              <w:spacing w:before="170" w:line="240" w:lineRule="auto"/>
              <w:ind w:left="109"/>
              <w:jc w:val="left"/>
              <w:rPr>
                <w:rFonts w:ascii="宋体" w:hAnsi="宋体" w:eastAsia="宋体" w:cs="宋体"/>
                <w:b/>
                <w:sz w:val="24"/>
              </w:rPr>
            </w:pPr>
            <w:r>
              <w:rPr>
                <w:rFonts w:ascii="宋体" w:hAnsi="宋体" w:eastAsia="宋体" w:cs="宋体"/>
                <w:b/>
                <w:sz w:val="24"/>
              </w:rPr>
              <w:t>工程资料及环评批复</w:t>
            </w:r>
          </w:p>
          <w:p>
            <w:pPr>
              <w:pStyle w:val="17"/>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1、《重庆万瑞眼镜有限公司眼镜镜架生产项目环境影响报告表》（2021 年 12 月）；</w:t>
            </w:r>
          </w:p>
          <w:p>
            <w:pPr>
              <w:pStyle w:val="17"/>
              <w:spacing w:before="170"/>
              <w:ind w:left="109"/>
              <w:jc w:val="left"/>
              <w:rPr>
                <w:vertAlign w:val="baseline"/>
              </w:rPr>
            </w:pPr>
            <w:r>
              <w:rPr>
                <w:rFonts w:hint="eastAsia" w:ascii="Times New Roman" w:hAnsi="宋体" w:eastAsia="宋体" w:cs="宋体"/>
                <w:sz w:val="24"/>
                <w:lang w:val="en-US" w:eastAsia="zh-CN"/>
              </w:rPr>
              <w:t>2、《重庆市建设项目环境影响评价文件批准书》（渝（奉）环准【2021】54号）（重庆市奉节县生态环境局，2021年 12 月 21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014" w:hRule="atLeast"/>
        </w:trPr>
        <w:tc>
          <w:tcPr>
            <w:tcW w:w="1724" w:type="dxa"/>
            <w:vAlign w:val="center"/>
          </w:tcPr>
          <w:p>
            <w:pPr>
              <w:pStyle w:val="17"/>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验收监测评价标准、标号、级别、限值</w:t>
            </w:r>
          </w:p>
        </w:tc>
        <w:tc>
          <w:tcPr>
            <w:tcW w:w="8040" w:type="dxa"/>
            <w:vAlign w:val="top"/>
          </w:tcPr>
          <w:p>
            <w:pPr>
              <w:pStyle w:val="17"/>
              <w:spacing w:before="170" w:line="360" w:lineRule="auto"/>
              <w:ind w:firstLine="480" w:firstLineChars="200"/>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验收监测评价标准以环评文件及环评批复的标准执行，对已修订颁布的环境标准则采用替代后的新标准进行校核。验收标准如下：</w:t>
            </w:r>
          </w:p>
          <w:p>
            <w:pPr>
              <w:pStyle w:val="17"/>
              <w:spacing w:before="170" w:line="240" w:lineRule="auto"/>
              <w:ind w:left="109"/>
              <w:jc w:val="left"/>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废气</w:t>
            </w:r>
          </w:p>
          <w:p>
            <w:pPr>
              <w:pStyle w:val="17"/>
              <w:spacing w:before="170" w:line="360" w:lineRule="auto"/>
              <w:ind w:left="109" w:firstLine="480" w:firstLineChars="200"/>
              <w:jc w:val="left"/>
              <w:rPr>
                <w:rFonts w:hint="default" w:ascii="Times New Roman" w:hAnsi="宋体" w:eastAsia="宋体" w:cs="宋体"/>
                <w:sz w:val="24"/>
                <w:lang w:val="en-US" w:eastAsia="zh-CN"/>
              </w:rPr>
            </w:pPr>
            <w:r>
              <w:rPr>
                <w:rFonts w:hint="eastAsia" w:ascii="Times New Roman" w:hAnsi="宋体" w:eastAsia="宋体" w:cs="宋体"/>
                <w:sz w:val="24"/>
                <w:lang w:val="en-US" w:eastAsia="zh-CN"/>
              </w:rPr>
              <w:t>根据环评批复，本项目位于</w:t>
            </w:r>
            <w:r>
              <w:rPr>
                <w:rFonts w:hint="default" w:ascii="Times New Roman" w:hAnsi="宋体" w:eastAsia="宋体" w:cs="宋体"/>
                <w:sz w:val="24"/>
                <w:lang w:val="en-US" w:eastAsia="zh-CN"/>
              </w:rPr>
              <w:t>重庆市奉节县生态工业园区兴园路1号B7幢4层</w:t>
            </w:r>
            <w:r>
              <w:rPr>
                <w:rFonts w:hint="eastAsia" w:ascii="Times New Roman" w:hAnsi="宋体" w:eastAsia="宋体" w:cs="宋体"/>
                <w:sz w:val="24"/>
                <w:lang w:val="en-US" w:eastAsia="zh-CN"/>
              </w:rPr>
              <w:t>，运营期的废气主要为非甲烷总烃、二甲苯、颗粒物。非甲烷总烃、颗粒物执行《合成树脂工业污染物排放标准》</w:t>
            </w:r>
            <w:r>
              <w:rPr>
                <w:rFonts w:hint="eastAsia" w:ascii="Times New Roman" w:hAnsi="宋体" w:eastAsia="宋体" w:cs="宋体"/>
                <w:sz w:val="24"/>
                <w:lang w:val="zh-CN" w:eastAsia="zh-CN"/>
              </w:rPr>
              <w:t>（GB31572-2015）</w:t>
            </w:r>
            <w:r>
              <w:rPr>
                <w:rFonts w:hint="default" w:ascii="Times New Roman" w:hAnsi="Times New Roman" w:eastAsia="宋体" w:cs="Times New Roman"/>
                <w:color w:val="auto"/>
                <w:kern w:val="0"/>
                <w:sz w:val="24"/>
                <w:szCs w:val="24"/>
              </w:rPr>
              <w:t>中</w:t>
            </w:r>
            <w:r>
              <w:rPr>
                <w:rFonts w:hint="eastAsia" w:ascii="Times New Roman" w:hAnsi="Times New Roman" w:eastAsia="宋体" w:cs="Times New Roman"/>
                <w:color w:val="auto"/>
                <w:kern w:val="0"/>
                <w:sz w:val="24"/>
                <w:szCs w:val="24"/>
                <w:lang w:val="en-US" w:eastAsia="zh-CN"/>
              </w:rPr>
              <w:t>规定的</w:t>
            </w:r>
            <w:r>
              <w:rPr>
                <w:rFonts w:hint="default" w:ascii="Times New Roman" w:hAnsi="Times New Roman" w:eastAsia="宋体" w:cs="Times New Roman"/>
                <w:color w:val="auto"/>
                <w:kern w:val="0"/>
                <w:sz w:val="24"/>
                <w:szCs w:val="24"/>
              </w:rPr>
              <w:t>排放标准限值</w:t>
            </w:r>
            <w:r>
              <w:rPr>
                <w:rFonts w:hint="eastAsia" w:ascii="Times New Roman" w:hAnsi="宋体" w:eastAsia="宋体" w:cs="宋体"/>
                <w:sz w:val="24"/>
                <w:lang w:val="zh-CN" w:eastAsia="zh-CN"/>
              </w:rPr>
              <w:t>。</w:t>
            </w:r>
            <w:r>
              <w:rPr>
                <w:rFonts w:hint="eastAsia" w:cs="Times New Roman"/>
                <w:color w:val="auto"/>
                <w:kern w:val="0"/>
                <w:sz w:val="24"/>
                <w:szCs w:val="24"/>
                <w:lang w:val="en-US" w:eastAsia="zh-CN"/>
              </w:rPr>
              <w:t>二甲苯执行</w:t>
            </w:r>
            <w:r>
              <w:rPr>
                <w:rFonts w:hint="eastAsia" w:cs="Times New Roman"/>
                <w:color w:val="auto"/>
                <w:kern w:val="0"/>
                <w:sz w:val="24"/>
                <w:szCs w:val="24"/>
                <w:lang w:eastAsia="zh-CN"/>
              </w:rPr>
              <w:t>《</w:t>
            </w:r>
            <w:r>
              <w:rPr>
                <w:rFonts w:hint="eastAsia" w:cs="Times New Roman"/>
                <w:color w:val="auto"/>
                <w:kern w:val="0"/>
                <w:sz w:val="24"/>
                <w:szCs w:val="24"/>
                <w:lang w:val="en-US" w:eastAsia="zh-CN"/>
              </w:rPr>
              <w:t>重庆市</w:t>
            </w:r>
            <w:r>
              <w:rPr>
                <w:rFonts w:hint="default" w:ascii="Times New Roman" w:hAnsi="Times New Roman" w:eastAsia="宋体" w:cs="Times New Roman"/>
                <w:color w:val="auto"/>
                <w:kern w:val="0"/>
                <w:sz w:val="24"/>
                <w:szCs w:val="24"/>
              </w:rPr>
              <w:t>大气污染物综合排放标准</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DB50/418-2016</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中</w:t>
            </w:r>
            <w:r>
              <w:rPr>
                <w:rFonts w:hint="eastAsia" w:ascii="Times New Roman" w:hAnsi="Times New Roman" w:eastAsia="宋体" w:cs="Times New Roman"/>
                <w:color w:val="auto"/>
                <w:kern w:val="0"/>
                <w:sz w:val="24"/>
                <w:szCs w:val="24"/>
                <w:lang w:val="en-US" w:eastAsia="zh-CN"/>
              </w:rPr>
              <w:t>规定的</w:t>
            </w:r>
            <w:r>
              <w:rPr>
                <w:rFonts w:hint="default" w:ascii="Times New Roman" w:hAnsi="Times New Roman" w:eastAsia="宋体" w:cs="Times New Roman"/>
                <w:color w:val="auto"/>
                <w:kern w:val="0"/>
                <w:sz w:val="24"/>
                <w:szCs w:val="24"/>
              </w:rPr>
              <w:t>排放标准限值</w:t>
            </w:r>
            <w:r>
              <w:rPr>
                <w:rFonts w:hint="eastAsia" w:cs="Times New Roman"/>
                <w:color w:val="auto"/>
                <w:kern w:val="0"/>
                <w:sz w:val="24"/>
                <w:szCs w:val="24"/>
                <w:lang w:eastAsia="zh-CN"/>
              </w:rPr>
              <w:t>。</w:t>
            </w:r>
            <w:r>
              <w:rPr>
                <w:rFonts w:hint="eastAsia" w:ascii="Times New Roman" w:hAnsi="宋体" w:eastAsia="宋体" w:cs="宋体"/>
                <w:sz w:val="24"/>
                <w:lang w:val="zh-CN" w:eastAsia="zh-CN"/>
              </w:rPr>
              <w:t>具体的排放标准值详见表 1.1-1、表 1.1-</w:t>
            </w:r>
            <w:r>
              <w:rPr>
                <w:rFonts w:hint="eastAsia" w:ascii="Times New Roman" w:hAnsi="宋体" w:eastAsia="宋体" w:cs="宋体"/>
                <w:sz w:val="24"/>
                <w:lang w:val="en-US" w:eastAsia="zh-CN"/>
              </w:rPr>
              <w:t>2。</w:t>
            </w:r>
          </w:p>
          <w:p>
            <w:pPr>
              <w:pStyle w:val="17"/>
              <w:spacing w:before="170"/>
              <w:ind w:left="109"/>
              <w:jc w:val="center"/>
              <w:rPr>
                <w:rFonts w:hint="eastAsia" w:ascii="宋体" w:hAnsi="宋体" w:eastAsia="宋体" w:cs="宋体"/>
                <w:b/>
                <w:spacing w:val="0"/>
                <w:sz w:val="21"/>
                <w:szCs w:val="22"/>
                <w:lang w:val="en-US" w:eastAsia="zh-CN" w:bidi="zh-CN"/>
              </w:rPr>
            </w:pPr>
            <w:r>
              <w:rPr>
                <w:rFonts w:hint="eastAsia" w:ascii="宋体" w:hAnsi="宋体" w:eastAsia="宋体" w:cs="宋体"/>
                <w:b/>
                <w:spacing w:val="0"/>
                <w:sz w:val="21"/>
                <w:szCs w:val="22"/>
                <w:lang w:val="en-US" w:eastAsia="zh-CN" w:bidi="zh-CN"/>
              </w:rPr>
              <w:t>表 1.1-1  《合成树脂工业污染物排放标准》（GB31572-2015）</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3"/>
              <w:gridCol w:w="1594"/>
              <w:gridCol w:w="1726"/>
              <w:gridCol w:w="146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9" w:type="pct"/>
                  <w:vAlign w:val="center"/>
                </w:tcPr>
                <w:p>
                  <w:pPr>
                    <w:pStyle w:val="17"/>
                    <w:spacing w:before="88"/>
                    <w:ind w:left="0" w:leftChars="0" w:right="192" w:rightChars="0"/>
                    <w:jc w:val="center"/>
                    <w:rPr>
                      <w:rFonts w:hint="eastAsia" w:ascii="宋体" w:hAnsi="宋体" w:eastAsia="宋体" w:cs="宋体"/>
                      <w:sz w:val="21"/>
                      <w:szCs w:val="22"/>
                      <w:lang w:val="en-US" w:eastAsia="zh-CN" w:bidi="zh-CN"/>
                    </w:rPr>
                  </w:pPr>
                  <w:r>
                    <w:rPr>
                      <w:rFonts w:ascii="宋体" w:hAnsi="宋体" w:eastAsia="宋体" w:cs="宋体"/>
                      <w:sz w:val="21"/>
                    </w:rPr>
                    <w:t>污染物项目</w:t>
                  </w:r>
                </w:p>
              </w:tc>
              <w:tc>
                <w:tcPr>
                  <w:tcW w:w="999" w:type="pct"/>
                  <w:vAlign w:val="center"/>
                </w:tcPr>
                <w:p>
                  <w:pPr>
                    <w:pStyle w:val="17"/>
                    <w:spacing w:before="88"/>
                    <w:ind w:right="27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最高允许排放浓度（mg/m</w:t>
                  </w:r>
                  <w:r>
                    <w:rPr>
                      <w:rFonts w:ascii="Times New Roman" w:hAnsi="宋体" w:eastAsia="Times New Roman" w:cs="宋体"/>
                      <w:sz w:val="21"/>
                      <w:vertAlign w:val="superscript"/>
                    </w:rPr>
                    <w:t>3</w:t>
                  </w:r>
                  <w:r>
                    <w:rPr>
                      <w:rFonts w:ascii="Times New Roman" w:hAnsi="宋体" w:eastAsia="Times New Roman" w:cs="宋体"/>
                      <w:sz w:val="21"/>
                    </w:rPr>
                    <w:t>）</w:t>
                  </w:r>
                </w:p>
              </w:tc>
              <w:tc>
                <w:tcPr>
                  <w:tcW w:w="1082" w:type="pct"/>
                  <w:vAlign w:val="center"/>
                </w:tcPr>
                <w:p>
                  <w:pPr>
                    <w:pStyle w:val="17"/>
                    <w:spacing w:before="88"/>
                    <w:ind w:right="27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厂界浓</w:t>
                  </w:r>
                  <w:r>
                    <w:rPr>
                      <w:rFonts w:hint="eastAsia" w:ascii="Times New Roman" w:hAnsi="宋体" w:eastAsia="宋体" w:cs="宋体"/>
                      <w:sz w:val="21"/>
                      <w:lang w:eastAsia="zh-CN"/>
                    </w:rPr>
                    <w:t>度</w:t>
                  </w:r>
                  <w:r>
                    <w:rPr>
                      <w:rFonts w:ascii="Times New Roman" w:hAnsi="宋体" w:eastAsia="Times New Roman" w:cs="宋体"/>
                      <w:sz w:val="21"/>
                    </w:rPr>
                    <w:t>（mg/m</w:t>
                  </w:r>
                  <w:r>
                    <w:rPr>
                      <w:rFonts w:ascii="Times New Roman" w:hAnsi="宋体" w:eastAsia="Times New Roman" w:cs="宋体"/>
                      <w:sz w:val="21"/>
                      <w:vertAlign w:val="superscript"/>
                    </w:rPr>
                    <w:t>3</w:t>
                  </w:r>
                  <w:r>
                    <w:rPr>
                      <w:rFonts w:ascii="Times New Roman" w:hAnsi="宋体" w:eastAsia="Times New Roman" w:cs="宋体"/>
                      <w:sz w:val="21"/>
                    </w:rPr>
                    <w:t>）</w:t>
                  </w:r>
                </w:p>
              </w:tc>
              <w:tc>
                <w:tcPr>
                  <w:tcW w:w="917" w:type="pct"/>
                  <w:vAlign w:val="center"/>
                </w:tcPr>
                <w:p>
                  <w:pPr>
                    <w:pStyle w:val="17"/>
                    <w:spacing w:before="88"/>
                    <w:ind w:right="192" w:rightChars="0"/>
                    <w:jc w:val="center"/>
                    <w:rPr>
                      <w:rFonts w:hint="eastAsia" w:ascii="宋体" w:hAnsi="宋体" w:eastAsia="宋体" w:cs="宋体"/>
                      <w:sz w:val="21"/>
                      <w:szCs w:val="22"/>
                      <w:lang w:val="en-US" w:eastAsia="zh-CN" w:bidi="zh-CN"/>
                    </w:rPr>
                  </w:pPr>
                  <w:r>
                    <w:rPr>
                      <w:rFonts w:ascii="宋体" w:hAnsi="宋体" w:eastAsia="宋体" w:cs="宋体"/>
                      <w:sz w:val="21"/>
                    </w:rPr>
                    <w:t>适用合成树脂</w:t>
                  </w:r>
                </w:p>
              </w:tc>
              <w:tc>
                <w:tcPr>
                  <w:tcW w:w="1000" w:type="pct"/>
                  <w:vAlign w:val="center"/>
                </w:tcPr>
                <w:p>
                  <w:pPr>
                    <w:pStyle w:val="17"/>
                    <w:spacing w:before="88"/>
                    <w:ind w:right="192" w:rightChars="0"/>
                    <w:jc w:val="center"/>
                    <w:rPr>
                      <w:rFonts w:hint="eastAsia" w:ascii="宋体" w:hAnsi="宋体" w:eastAsia="宋体" w:cs="宋体"/>
                      <w:sz w:val="21"/>
                      <w:szCs w:val="22"/>
                      <w:lang w:val="en-US" w:eastAsia="zh-CN" w:bidi="zh-CN"/>
                    </w:rPr>
                  </w:pPr>
                  <w:r>
                    <w:rPr>
                      <w:rFonts w:hint="eastAsia" w:ascii="宋体" w:hAnsi="宋体" w:eastAsia="宋体" w:cs="宋体"/>
                      <w:sz w:val="21"/>
                      <w:lang w:val="en-US" w:eastAsia="zh-C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9" w:type="pct"/>
                  <w:vAlign w:val="center"/>
                </w:tcPr>
                <w:p>
                  <w:pPr>
                    <w:pStyle w:val="17"/>
                    <w:spacing w:before="88"/>
                    <w:ind w:right="192" w:rightChars="0"/>
                    <w:jc w:val="center"/>
                    <w:rPr>
                      <w:rFonts w:hint="eastAsia" w:ascii="宋体" w:hAnsi="宋体" w:eastAsia="宋体" w:cs="宋体"/>
                      <w:sz w:val="21"/>
                      <w:szCs w:val="22"/>
                      <w:lang w:val="en-US" w:eastAsia="zh-CN" w:bidi="zh-CN"/>
                    </w:rPr>
                  </w:pPr>
                  <w:r>
                    <w:rPr>
                      <w:rFonts w:ascii="宋体" w:hAnsi="宋体" w:eastAsia="宋体" w:cs="宋体"/>
                      <w:sz w:val="21"/>
                    </w:rPr>
                    <w:t>颗粒物</w:t>
                  </w:r>
                </w:p>
              </w:tc>
              <w:tc>
                <w:tcPr>
                  <w:tcW w:w="999" w:type="pct"/>
                  <w:vAlign w:val="center"/>
                </w:tcPr>
                <w:p>
                  <w:pPr>
                    <w:pStyle w:val="17"/>
                    <w:spacing w:before="88"/>
                    <w:ind w:left="279" w:leftChars="0" w:right="270" w:rightChars="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30</w:t>
                  </w:r>
                </w:p>
              </w:tc>
              <w:tc>
                <w:tcPr>
                  <w:tcW w:w="1082" w:type="pct"/>
                  <w:vAlign w:val="center"/>
                </w:tcPr>
                <w:p>
                  <w:pPr>
                    <w:pStyle w:val="17"/>
                    <w:spacing w:before="88"/>
                    <w:ind w:left="279" w:leftChars="0" w:right="270" w:rightChars="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1.0</w:t>
                  </w:r>
                </w:p>
              </w:tc>
              <w:tc>
                <w:tcPr>
                  <w:tcW w:w="917" w:type="pct"/>
                  <w:vMerge w:val="restart"/>
                </w:tcPr>
                <w:p>
                  <w:pPr>
                    <w:pStyle w:val="17"/>
                    <w:spacing w:before="170"/>
                    <w:jc w:val="center"/>
                    <w:rPr>
                      <w:rFonts w:hint="eastAsia" w:ascii="宋体" w:hAnsi="宋体" w:eastAsia="宋体" w:cs="宋体"/>
                      <w:b/>
                      <w:spacing w:val="0"/>
                      <w:sz w:val="21"/>
                      <w:szCs w:val="22"/>
                      <w:vertAlign w:val="baseline"/>
                      <w:lang w:val="en-US" w:eastAsia="zh-CN" w:bidi="zh-CN"/>
                    </w:rPr>
                  </w:pPr>
                  <w:r>
                    <w:rPr>
                      <w:rFonts w:hint="eastAsia" w:cs="Times New Roman"/>
                      <w:color w:val="auto"/>
                      <w:sz w:val="21"/>
                      <w:szCs w:val="21"/>
                      <w:lang w:val="en-US" w:eastAsia="zh-CN"/>
                    </w:rPr>
                    <w:t>所有合成树脂</w:t>
                  </w:r>
                </w:p>
              </w:tc>
              <w:tc>
                <w:tcPr>
                  <w:tcW w:w="1000" w:type="pct"/>
                  <w:vMerge w:val="restart"/>
                </w:tcPr>
                <w:p>
                  <w:pPr>
                    <w:pStyle w:val="17"/>
                    <w:spacing w:before="170"/>
                    <w:jc w:val="center"/>
                    <w:rPr>
                      <w:rFonts w:hint="eastAsia" w:ascii="宋体" w:hAnsi="宋体" w:eastAsia="宋体" w:cs="宋体"/>
                      <w:b/>
                      <w:spacing w:val="0"/>
                      <w:sz w:val="21"/>
                      <w:szCs w:val="22"/>
                      <w:vertAlign w:val="baseline"/>
                      <w:lang w:val="en-US" w:eastAsia="zh-CN" w:bidi="zh-CN"/>
                    </w:rPr>
                  </w:pPr>
                  <w:r>
                    <w:rPr>
                      <w:rFonts w:hint="eastAsia" w:cs="Times New Roman"/>
                      <w:color w:val="auto"/>
                      <w:sz w:val="21"/>
                      <w:szCs w:val="21"/>
                      <w:lang w:val="en-US" w:eastAsia="zh-CN"/>
                    </w:rPr>
                    <w:t>车间或生产设施排气筒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9" w:type="pct"/>
                  <w:vAlign w:val="center"/>
                </w:tcPr>
                <w:p>
                  <w:pPr>
                    <w:pStyle w:val="17"/>
                    <w:spacing w:before="88"/>
                    <w:ind w:left="0" w:leftChars="0" w:right="192" w:rightChars="0"/>
                    <w:jc w:val="center"/>
                    <w:rPr>
                      <w:rFonts w:hint="eastAsia" w:ascii="宋体" w:hAnsi="宋体" w:eastAsia="宋体" w:cs="宋体"/>
                      <w:sz w:val="21"/>
                      <w:szCs w:val="22"/>
                      <w:lang w:val="en-US" w:eastAsia="zh-CN" w:bidi="zh-CN"/>
                    </w:rPr>
                  </w:pPr>
                  <w:r>
                    <w:rPr>
                      <w:rFonts w:ascii="宋体" w:hAnsi="宋体" w:eastAsia="宋体" w:cs="宋体"/>
                      <w:sz w:val="21"/>
                    </w:rPr>
                    <w:t>非甲烷总烃</w:t>
                  </w:r>
                </w:p>
              </w:tc>
              <w:tc>
                <w:tcPr>
                  <w:tcW w:w="999" w:type="pct"/>
                  <w:vAlign w:val="center"/>
                </w:tcPr>
                <w:p>
                  <w:pPr>
                    <w:pStyle w:val="17"/>
                    <w:spacing w:before="88"/>
                    <w:ind w:left="279" w:leftChars="0" w:right="270" w:rightChars="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1</w:t>
                  </w:r>
                  <w:r>
                    <w:rPr>
                      <w:rFonts w:hint="eastAsia" w:ascii="Times New Roman" w:hAnsi="宋体" w:eastAsia="Times New Roman" w:cs="宋体"/>
                      <w:sz w:val="21"/>
                      <w:lang w:val="en-US" w:eastAsia="zh-CN"/>
                    </w:rPr>
                    <w:t>0</w:t>
                  </w:r>
                  <w:r>
                    <w:rPr>
                      <w:rFonts w:ascii="Times New Roman" w:hAnsi="宋体" w:eastAsia="Times New Roman" w:cs="宋体"/>
                      <w:sz w:val="21"/>
                    </w:rPr>
                    <w:t>0</w:t>
                  </w:r>
                </w:p>
              </w:tc>
              <w:tc>
                <w:tcPr>
                  <w:tcW w:w="1082" w:type="pct"/>
                  <w:vAlign w:val="center"/>
                </w:tcPr>
                <w:p>
                  <w:pPr>
                    <w:pStyle w:val="17"/>
                    <w:spacing w:before="88"/>
                    <w:ind w:left="279" w:leftChars="0" w:right="270" w:rightChars="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4.0</w:t>
                  </w:r>
                </w:p>
              </w:tc>
              <w:tc>
                <w:tcPr>
                  <w:tcW w:w="917" w:type="pct"/>
                  <w:vMerge w:val="continue"/>
                </w:tcPr>
                <w:p>
                  <w:pPr>
                    <w:pStyle w:val="17"/>
                    <w:spacing w:before="170"/>
                    <w:jc w:val="center"/>
                    <w:rPr>
                      <w:rFonts w:hint="eastAsia" w:ascii="宋体" w:hAnsi="宋体" w:eastAsia="宋体" w:cs="宋体"/>
                      <w:b/>
                      <w:spacing w:val="0"/>
                      <w:sz w:val="21"/>
                      <w:szCs w:val="22"/>
                      <w:vertAlign w:val="baseline"/>
                      <w:lang w:val="en-US" w:eastAsia="zh-CN" w:bidi="zh-CN"/>
                    </w:rPr>
                  </w:pPr>
                </w:p>
              </w:tc>
              <w:tc>
                <w:tcPr>
                  <w:tcW w:w="1000" w:type="pct"/>
                  <w:vMerge w:val="continue"/>
                </w:tcPr>
                <w:p>
                  <w:pPr>
                    <w:pStyle w:val="17"/>
                    <w:spacing w:before="170"/>
                    <w:jc w:val="center"/>
                    <w:rPr>
                      <w:rFonts w:hint="eastAsia" w:ascii="宋体" w:hAnsi="宋体" w:eastAsia="宋体" w:cs="宋体"/>
                      <w:b/>
                      <w:spacing w:val="0"/>
                      <w:sz w:val="21"/>
                      <w:szCs w:val="22"/>
                      <w:vertAlign w:val="baseline"/>
                      <w:lang w:val="en-US" w:eastAsia="zh-CN" w:bidi="zh-CN"/>
                    </w:rPr>
                  </w:pPr>
                </w:p>
              </w:tc>
            </w:tr>
          </w:tbl>
          <w:p>
            <w:pPr>
              <w:pStyle w:val="17"/>
              <w:spacing w:before="170"/>
              <w:ind w:left="109"/>
              <w:jc w:val="center"/>
              <w:rPr>
                <w:rFonts w:hint="eastAsia" w:ascii="宋体" w:hAnsi="宋体" w:eastAsia="宋体" w:cs="宋体"/>
                <w:b/>
                <w:spacing w:val="0"/>
                <w:sz w:val="21"/>
                <w:szCs w:val="22"/>
                <w:lang w:val="en-US" w:eastAsia="zh-CN" w:bidi="zh-CN"/>
              </w:rPr>
            </w:pPr>
            <w:r>
              <w:rPr>
                <w:rFonts w:hint="eastAsia" w:ascii="宋体" w:hAnsi="宋体" w:eastAsia="宋体" w:cs="宋体"/>
                <w:b/>
                <w:spacing w:val="0"/>
                <w:sz w:val="21"/>
                <w:szCs w:val="22"/>
                <w:lang w:val="en-US" w:eastAsia="zh-CN" w:bidi="zh-CN"/>
              </w:rPr>
              <w:t>表 1.1-2  《重庆市大气污染物综合排放标准》（DB50/418-2016）</w:t>
            </w:r>
          </w:p>
          <w:tbl>
            <w:tblPr>
              <w:tblStyle w:val="15"/>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2"/>
              <w:gridCol w:w="1594"/>
              <w:gridCol w:w="1725"/>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2" w:type="pct"/>
                  <w:vAlign w:val="center"/>
                </w:tcPr>
                <w:p>
                  <w:pPr>
                    <w:pStyle w:val="17"/>
                    <w:spacing w:before="88"/>
                    <w:ind w:left="0" w:leftChars="0" w:right="192" w:rightChars="0"/>
                    <w:jc w:val="center"/>
                    <w:rPr>
                      <w:rFonts w:hint="eastAsia" w:ascii="宋体" w:hAnsi="宋体" w:eastAsia="宋体" w:cs="宋体"/>
                      <w:sz w:val="21"/>
                      <w:szCs w:val="22"/>
                      <w:lang w:val="en-US" w:eastAsia="zh-CN" w:bidi="zh-CN"/>
                    </w:rPr>
                  </w:pPr>
                  <w:r>
                    <w:rPr>
                      <w:rFonts w:ascii="宋体" w:hAnsi="宋体" w:eastAsia="宋体" w:cs="宋体"/>
                      <w:sz w:val="21"/>
                    </w:rPr>
                    <w:t>污染物项目</w:t>
                  </w:r>
                </w:p>
              </w:tc>
              <w:tc>
                <w:tcPr>
                  <w:tcW w:w="1003" w:type="pct"/>
                  <w:vAlign w:val="center"/>
                </w:tcPr>
                <w:p>
                  <w:pPr>
                    <w:pStyle w:val="17"/>
                    <w:spacing w:before="88"/>
                    <w:ind w:right="27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最高允许排放浓度（mg/m</w:t>
                  </w:r>
                  <w:r>
                    <w:rPr>
                      <w:rFonts w:ascii="Times New Roman" w:hAnsi="宋体" w:eastAsia="Times New Roman" w:cs="宋体"/>
                      <w:sz w:val="21"/>
                      <w:vertAlign w:val="superscript"/>
                    </w:rPr>
                    <w:t>3</w:t>
                  </w:r>
                  <w:r>
                    <w:rPr>
                      <w:rFonts w:ascii="Times New Roman" w:hAnsi="宋体" w:eastAsia="Times New Roman" w:cs="宋体"/>
                      <w:sz w:val="21"/>
                    </w:rPr>
                    <w:t>）</w:t>
                  </w:r>
                </w:p>
              </w:tc>
              <w:tc>
                <w:tcPr>
                  <w:tcW w:w="1086" w:type="pct"/>
                  <w:vAlign w:val="center"/>
                </w:tcPr>
                <w:p>
                  <w:pPr>
                    <w:pStyle w:val="17"/>
                    <w:spacing w:before="88"/>
                    <w:ind w:right="270"/>
                    <w:jc w:val="center"/>
                    <w:rPr>
                      <w:rFonts w:hint="eastAsia" w:ascii="Times New Roman" w:hAnsi="宋体" w:eastAsia="Times New Roman" w:cs="宋体"/>
                      <w:sz w:val="21"/>
                      <w:szCs w:val="22"/>
                      <w:lang w:val="en-US" w:eastAsia="zh-CN" w:bidi="zh-CN"/>
                    </w:rPr>
                  </w:pPr>
                  <w:r>
                    <w:rPr>
                      <w:rFonts w:ascii="Times New Roman" w:hAnsi="宋体" w:eastAsia="Times New Roman" w:cs="宋体"/>
                      <w:sz w:val="21"/>
                    </w:rPr>
                    <w:t>厂界浓</w:t>
                  </w:r>
                  <w:r>
                    <w:rPr>
                      <w:rFonts w:hint="eastAsia" w:ascii="Times New Roman" w:hAnsi="宋体" w:eastAsia="宋体" w:cs="宋体"/>
                      <w:sz w:val="21"/>
                      <w:lang w:eastAsia="zh-CN"/>
                    </w:rPr>
                    <w:t>度</w:t>
                  </w:r>
                  <w:r>
                    <w:rPr>
                      <w:rFonts w:ascii="Times New Roman" w:hAnsi="宋体" w:eastAsia="Times New Roman" w:cs="宋体"/>
                      <w:sz w:val="21"/>
                    </w:rPr>
                    <w:t>（mg/m</w:t>
                  </w:r>
                  <w:r>
                    <w:rPr>
                      <w:rFonts w:ascii="Times New Roman" w:hAnsi="宋体" w:eastAsia="Times New Roman" w:cs="宋体"/>
                      <w:sz w:val="21"/>
                      <w:vertAlign w:val="superscript"/>
                    </w:rPr>
                    <w:t>3</w:t>
                  </w:r>
                  <w:r>
                    <w:rPr>
                      <w:rFonts w:ascii="Times New Roman" w:hAnsi="宋体" w:eastAsia="Times New Roman" w:cs="宋体"/>
                      <w:sz w:val="21"/>
                    </w:rPr>
                    <w:t>）</w:t>
                  </w:r>
                </w:p>
              </w:tc>
              <w:tc>
                <w:tcPr>
                  <w:tcW w:w="1907" w:type="pct"/>
                  <w:vAlign w:val="center"/>
                </w:tcPr>
                <w:p>
                  <w:pPr>
                    <w:pStyle w:val="17"/>
                    <w:spacing w:before="88"/>
                    <w:ind w:right="192" w:rightChars="0"/>
                    <w:jc w:val="center"/>
                    <w:rPr>
                      <w:rFonts w:hint="eastAsia" w:ascii="宋体" w:hAnsi="宋体" w:eastAsia="宋体" w:cs="宋体"/>
                      <w:sz w:val="21"/>
                      <w:szCs w:val="22"/>
                      <w:lang w:val="en-US" w:eastAsia="zh-CN" w:bidi="zh-CN"/>
                    </w:rPr>
                  </w:pPr>
                  <w:r>
                    <w:rPr>
                      <w:rFonts w:hint="eastAsia" w:ascii="宋体" w:hAnsi="宋体" w:eastAsia="宋体" w:cs="宋体"/>
                      <w:sz w:val="21"/>
                      <w:lang w:val="en-US" w:eastAsia="zh-C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2" w:type="pct"/>
                  <w:vAlign w:val="center"/>
                </w:tcPr>
                <w:p>
                  <w:pPr>
                    <w:widowControl/>
                    <w:snapToGrid w:val="0"/>
                    <w:spacing w:line="240" w:lineRule="auto"/>
                    <w:ind w:left="0" w:leftChars="0" w:right="0" w:rightChars="0"/>
                    <w:jc w:val="center"/>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二甲苯</w:t>
                  </w:r>
                </w:p>
              </w:tc>
              <w:tc>
                <w:tcPr>
                  <w:tcW w:w="1003" w:type="pct"/>
                  <w:vAlign w:val="center"/>
                </w:tcPr>
                <w:p>
                  <w:pPr>
                    <w:widowControl/>
                    <w:snapToGrid w:val="0"/>
                    <w:spacing w:line="240" w:lineRule="auto"/>
                    <w:ind w:left="0" w:leftChars="0" w:right="0" w:rightChars="0"/>
                    <w:jc w:val="center"/>
                    <w:rPr>
                      <w:rFonts w:hint="default" w:ascii="Times New Roman" w:hAnsi="Times New Roman" w:eastAsia="Times New Roman" w:cs="Times New Roman"/>
                      <w:sz w:val="21"/>
                      <w:szCs w:val="22"/>
                      <w:lang w:val="en-US" w:eastAsia="zh-CN" w:bidi="zh-CN"/>
                    </w:rPr>
                  </w:pPr>
                  <w:r>
                    <w:rPr>
                      <w:rFonts w:hint="default" w:ascii="Times New Roman" w:hAnsi="Times New Roman" w:cs="Times New Roman"/>
                      <w:color w:val="auto"/>
                      <w:sz w:val="21"/>
                      <w:szCs w:val="21"/>
                      <w:lang w:val="en-US" w:eastAsia="zh-CN"/>
                    </w:rPr>
                    <w:t>70</w:t>
                  </w:r>
                </w:p>
              </w:tc>
              <w:tc>
                <w:tcPr>
                  <w:tcW w:w="1086" w:type="pct"/>
                  <w:vAlign w:val="center"/>
                </w:tcPr>
                <w:p>
                  <w:pPr>
                    <w:widowControl/>
                    <w:snapToGrid w:val="0"/>
                    <w:spacing w:line="240" w:lineRule="auto"/>
                    <w:ind w:left="0" w:leftChars="0" w:right="0" w:rightChars="0"/>
                    <w:jc w:val="center"/>
                    <w:rPr>
                      <w:rFonts w:hint="default" w:ascii="Times New Roman" w:hAnsi="Times New Roman" w:eastAsia="Times New Roman" w:cs="Times New Roman"/>
                      <w:sz w:val="21"/>
                      <w:szCs w:val="22"/>
                      <w:lang w:val="en-US" w:eastAsia="zh-CN" w:bidi="zh-CN"/>
                    </w:rPr>
                  </w:pPr>
                  <w:r>
                    <w:rPr>
                      <w:rFonts w:hint="default" w:ascii="Times New Roman" w:hAnsi="Times New Roman" w:cs="Times New Roman"/>
                      <w:color w:val="auto"/>
                      <w:sz w:val="21"/>
                      <w:szCs w:val="21"/>
                      <w:lang w:val="en-US" w:eastAsia="zh-CN"/>
                    </w:rPr>
                    <w:t>1.2</w:t>
                  </w:r>
                </w:p>
              </w:tc>
              <w:tc>
                <w:tcPr>
                  <w:tcW w:w="1907" w:type="pct"/>
                  <w:vAlign w:val="top"/>
                </w:tcPr>
                <w:p>
                  <w:pPr>
                    <w:pStyle w:val="17"/>
                    <w:spacing w:before="170"/>
                    <w:ind w:left="0" w:leftChars="0" w:right="0" w:rightChars="0"/>
                    <w:jc w:val="center"/>
                    <w:rPr>
                      <w:rFonts w:hint="eastAsia" w:ascii="宋体" w:hAnsi="宋体" w:eastAsia="宋体" w:cs="宋体"/>
                      <w:b/>
                      <w:spacing w:val="0"/>
                      <w:sz w:val="21"/>
                      <w:szCs w:val="22"/>
                      <w:vertAlign w:val="baseline"/>
                      <w:lang w:val="en-US" w:eastAsia="zh-CN" w:bidi="zh-CN"/>
                    </w:rPr>
                  </w:pPr>
                  <w:r>
                    <w:rPr>
                      <w:rFonts w:hint="eastAsia" w:cs="Times New Roman"/>
                      <w:color w:val="auto"/>
                      <w:sz w:val="21"/>
                      <w:szCs w:val="21"/>
                      <w:lang w:val="en-US" w:eastAsia="zh-CN"/>
                    </w:rPr>
                    <w:t>车间或生产设施排气筒</w:t>
                  </w:r>
                </w:p>
              </w:tc>
            </w:tr>
          </w:tbl>
          <w:p>
            <w:pPr>
              <w:pStyle w:val="17"/>
              <w:spacing w:before="170"/>
              <w:ind w:left="109"/>
              <w:jc w:val="center"/>
              <w:rPr>
                <w:rFonts w:hint="eastAsia" w:ascii="宋体" w:hAnsi="宋体" w:eastAsia="宋体" w:cs="宋体"/>
                <w:b/>
                <w:spacing w:val="0"/>
                <w:sz w:val="21"/>
                <w:szCs w:val="22"/>
                <w:lang w:val="en-US" w:eastAsia="zh-CN" w:bidi="zh-CN"/>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7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1" w:hRule="atLeast"/>
        </w:trPr>
        <w:tc>
          <w:tcPr>
            <w:tcW w:w="1815" w:type="dxa"/>
            <w:vAlign w:val="center"/>
          </w:tcPr>
          <w:p>
            <w:pPr>
              <w:pStyle w:val="2"/>
              <w:jc w:val="both"/>
              <w:rPr>
                <w:vertAlign w:val="baseline"/>
              </w:rPr>
            </w:pPr>
            <w:r>
              <w:rPr>
                <w:rFonts w:hint="eastAsia" w:ascii="Times New Roman" w:hAnsi="宋体" w:eastAsia="宋体" w:cs="宋体"/>
                <w:sz w:val="24"/>
                <w:lang w:val="en-US" w:eastAsia="zh-CN"/>
              </w:rPr>
              <w:t>验收监测评价标准、标号、级别、限值</w:t>
            </w:r>
          </w:p>
        </w:tc>
        <w:tc>
          <w:tcPr>
            <w:tcW w:w="7949" w:type="dxa"/>
          </w:tcPr>
          <w:p>
            <w:pPr>
              <w:pStyle w:val="4"/>
              <w:numPr>
                <w:ilvl w:val="0"/>
                <w:numId w:val="0"/>
              </w:numPr>
              <w:tabs>
                <w:tab w:val="left" w:pos="536"/>
              </w:tabs>
              <w:spacing w:before="35" w:after="0" w:line="240" w:lineRule="auto"/>
              <w:ind w:left="175" w:leftChars="0" w:right="0" w:rightChars="0"/>
              <w:jc w:val="left"/>
            </w:pPr>
            <w:r>
              <w:t>废水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cs="Times New Roman"/>
                <w:color w:val="000000"/>
                <w:kern w:val="0"/>
                <w:sz w:val="24"/>
                <w:szCs w:val="24"/>
                <w:lang w:val="en-US" w:eastAsia="zh-CN" w:bidi="ar-SA"/>
              </w:rPr>
            </w:pPr>
            <w:r>
              <w:rPr>
                <w:rFonts w:ascii="宋体" w:hAnsi="宋体" w:eastAsia="宋体" w:cs="宋体"/>
              </w:rPr>
              <w:t>目前</w:t>
            </w:r>
            <w:r>
              <w:rPr>
                <w:rFonts w:hint="eastAsia" w:ascii="Times New Roman" w:hAnsi="Times New Roman" w:eastAsia="宋体" w:cs="Times New Roman"/>
                <w:b w:val="0"/>
                <w:bCs w:val="0"/>
                <w:sz w:val="24"/>
                <w:szCs w:val="24"/>
                <w:lang w:val="en-US" w:eastAsia="zh-CN"/>
              </w:rPr>
              <w:t>污水经处理达《污水综合排放标准》（GB8978-1996）三级标准后排入园区市政管网。</w:t>
            </w:r>
            <w:r>
              <w:rPr>
                <w:rFonts w:hint="eastAsia" w:ascii="Times New Roman" w:hAnsi="Times New Roman" w:cs="Times New Roman"/>
                <w:b w:val="0"/>
                <w:bCs w:val="0"/>
                <w:sz w:val="24"/>
                <w:szCs w:val="24"/>
                <w:lang w:val="en-US" w:eastAsia="zh-CN"/>
              </w:rPr>
              <w:t>之后进入草堂园区污水处理厂处理达到《城镇污水处理厂污染物排放标准》</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GB18918-2002</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一级A标准后排入石马河</w:t>
            </w:r>
            <w:r>
              <w:rPr>
                <w:rFonts w:hint="eastAsia" w:ascii="Times New Roman" w:hAnsi="Times New Roman" w:cs="Times New Roman"/>
                <w:color w:val="000000"/>
                <w:kern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78" w:line="279" w:lineRule="auto"/>
              <w:ind w:left="110" w:leftChars="50" w:right="312" w:firstLine="155" w:firstLineChars="100"/>
              <w:jc w:val="both"/>
              <w:textAlignment w:val="auto"/>
              <w:rPr>
                <w:rFonts w:ascii="宋体" w:hAnsi="宋体" w:eastAsia="宋体" w:cs="宋体"/>
              </w:rPr>
            </w:pPr>
            <w:r>
              <w:rPr>
                <w:b/>
                <w:spacing w:val="-28"/>
                <w:sz w:val="21"/>
              </w:rPr>
              <w:t xml:space="preserve">表 </w:t>
            </w:r>
            <w:r>
              <w:rPr>
                <w:rFonts w:ascii="Times New Roman" w:eastAsia="Times New Roman"/>
                <w:b/>
                <w:sz w:val="21"/>
              </w:rPr>
              <w:t xml:space="preserve">1.2-1 </w:t>
            </w:r>
            <w:r>
              <w:rPr>
                <w:b/>
                <w:spacing w:val="-5"/>
                <w:sz w:val="21"/>
              </w:rPr>
              <w:t>《污水综合排放标准》</w:t>
            </w:r>
            <w:r>
              <w:rPr>
                <w:b/>
                <w:sz w:val="21"/>
              </w:rPr>
              <w:t>（</w:t>
            </w:r>
            <w:r>
              <w:rPr>
                <w:rFonts w:ascii="Times New Roman" w:eastAsia="Times New Roman"/>
                <w:b/>
                <w:sz w:val="21"/>
              </w:rPr>
              <w:t>GB8978-1996</w:t>
            </w:r>
            <w:r>
              <w:rPr>
                <w:b/>
                <w:sz w:val="21"/>
              </w:rPr>
              <w:t>）</w:t>
            </w:r>
            <w:r>
              <w:rPr>
                <w:b/>
                <w:spacing w:val="-2"/>
                <w:sz w:val="21"/>
              </w:rPr>
              <w:t>单位：</w:t>
            </w:r>
            <w:r>
              <w:rPr>
                <w:rFonts w:ascii="Times New Roman" w:eastAsia="Times New Roman"/>
                <w:b/>
                <w:spacing w:val="-6"/>
                <w:sz w:val="21"/>
              </w:rPr>
              <w:t>mg/L</w:t>
            </w:r>
            <w:r>
              <w:rPr>
                <w:b/>
                <w:spacing w:val="-6"/>
                <w:sz w:val="21"/>
              </w:rPr>
              <w:t>（</w:t>
            </w:r>
            <w:r>
              <w:rPr>
                <w:rFonts w:ascii="Times New Roman" w:eastAsia="Times New Roman"/>
                <w:b/>
                <w:spacing w:val="-6"/>
                <w:sz w:val="21"/>
              </w:rPr>
              <w:t xml:space="preserve">pH </w:t>
            </w:r>
            <w:r>
              <w:rPr>
                <w:b/>
                <w:sz w:val="21"/>
              </w:rPr>
              <w:t>无量纲</w:t>
            </w:r>
            <w:r>
              <w:rPr>
                <w:b/>
                <w:spacing w:val="-12"/>
                <w:sz w:val="21"/>
              </w:rPr>
              <w:t>）</w:t>
            </w:r>
          </w:p>
          <w:tbl>
            <w:tblPr>
              <w:tblStyle w:val="14"/>
              <w:tblpPr w:leftFromText="180" w:rightFromText="180" w:vertAnchor="page" w:horzAnchor="page" w:tblpX="188" w:tblpY="2334"/>
              <w:tblOverlap w:val="never"/>
              <w:tblW w:w="7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9"/>
              <w:gridCol w:w="841"/>
              <w:gridCol w:w="841"/>
              <w:gridCol w:w="841"/>
              <w:gridCol w:w="841"/>
              <w:gridCol w:w="841"/>
              <w:gridCol w:w="841"/>
              <w:gridCol w:w="845"/>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89" w:hRule="atLeast"/>
              </w:trPr>
              <w:tc>
                <w:tcPr>
                  <w:tcW w:w="1389" w:type="dxa"/>
                </w:tcPr>
                <w:p>
                  <w:pPr>
                    <w:pStyle w:val="17"/>
                    <w:ind w:left="797"/>
                    <w:rPr>
                      <w:sz w:val="21"/>
                    </w:rPr>
                  </w:pPr>
                  <w:r>
                    <mc:AlternateContent>
                      <mc:Choice Requires="wps">
                        <w:drawing>
                          <wp:anchor distT="0" distB="0" distL="114300" distR="114300" simplePos="0" relativeHeight="251660288" behindDoc="1" locked="0" layoutInCell="1" allowOverlap="1">
                            <wp:simplePos x="0" y="0"/>
                            <wp:positionH relativeFrom="page">
                              <wp:posOffset>11430</wp:posOffset>
                            </wp:positionH>
                            <wp:positionV relativeFrom="paragraph">
                              <wp:posOffset>6985</wp:posOffset>
                            </wp:positionV>
                            <wp:extent cx="875665" cy="444500"/>
                            <wp:effectExtent l="0" t="0" r="635" b="12700"/>
                            <wp:wrapNone/>
                            <wp:docPr id="4" name="任意多边形 4"/>
                            <wp:cNvGraphicFramePr/>
                            <a:graphic xmlns:a="http://schemas.openxmlformats.org/drawingml/2006/main">
                              <a:graphicData uri="http://schemas.microsoft.com/office/word/2010/wordprocessingShape">
                                <wps:wsp>
                                  <wps:cNvSpPr/>
                                  <wps:spPr>
                                    <a:xfrm>
                                      <a:off x="0" y="0"/>
                                      <a:ext cx="875665" cy="444500"/>
                                    </a:xfrm>
                                    <a:custGeom>
                                      <a:avLst/>
                                      <a:gdLst/>
                                      <a:ahLst/>
                                      <a:cxnLst/>
                                      <a:pathLst>
                                        <a:path w="1379" h="700">
                                          <a:moveTo>
                                            <a:pt x="1372" y="700"/>
                                          </a:moveTo>
                                          <a:lnTo>
                                            <a:pt x="0" y="14"/>
                                          </a:lnTo>
                                          <a:lnTo>
                                            <a:pt x="6" y="0"/>
                                          </a:lnTo>
                                          <a:lnTo>
                                            <a:pt x="1378" y="686"/>
                                          </a:lnTo>
                                          <a:lnTo>
                                            <a:pt x="1372" y="700"/>
                                          </a:lnTo>
                                          <a:close/>
                                        </a:path>
                                      </a:pathLst>
                                    </a:custGeom>
                                    <a:solidFill>
                                      <a:srgbClr val="000000"/>
                                    </a:solidFill>
                                    <a:ln>
                                      <a:noFill/>
                                    </a:ln>
                                  </wps:spPr>
                                  <wps:txbx>
                                    <w:txbxContent>
                                      <w:p>
                                        <w:pPr>
                                          <w:jc w:val="center"/>
                                        </w:pPr>
                                      </w:p>
                                    </w:txbxContent>
                                  </wps:txbx>
                                  <wps:bodyPr upright="1"/>
                                </wps:wsp>
                              </a:graphicData>
                            </a:graphic>
                          </wp:anchor>
                        </w:drawing>
                      </mc:Choice>
                      <mc:Fallback>
                        <w:pict>
                          <v:shape id="_x0000_s1026" o:spid="_x0000_s1026" o:spt="100" style="position:absolute;left:0pt;margin-left:0.9pt;margin-top:0.55pt;height:35pt;width:68.95pt;mso-position-horizontal-relative:page;z-index:-251656192;mso-width-relative:page;mso-height-relative:page;" fillcolor="#000000" filled="t" stroked="f" coordsize="1379,700" o:gfxdata="UEsDBAoAAAAAAIdO4kAAAAAAAAAAAAAAAAAEAAAAZHJzL1BLAwQUAAAACACHTuJAVsOQhtQAAAAG&#10;AQAADwAAAGRycy9kb3ducmV2LnhtbE2OwU7DMBBE70j8g7VI3KiT0tIS4lQICS5Uqihw38RLEjVe&#10;R7Gbhr9neyqn0cysZl++mVynRhpC69lAOktAEVfetlwb+Pp8vVuDChHZYueZDPxSgE1xfZVjZv2J&#10;P2jcx1rJCIcMDTQx9pnWoWrIYZj5nli6Hz84jGKHWtsBTzLuOj1PkgftsGX50GBPLw1Vh/3RGVjU&#10;26l85+XusB63z4tvOw9x92bM7U2aPIGKNMXLMZzxBR0KYSr9kW1QnXgBjyIpqHN7/7gCVRpYSaCL&#10;XP/HL/4AUEsDBBQAAAAIAIdO4kAPvhTrKwIAAJAEAAAOAAAAZHJzL2Uyb0RvYy54bWytVMuO0zAU&#10;3SPxD5b3NG1p007VdBZUwwbBSDN8gOs4jSW/ZLtNumfPniXiJ9AIvoZBfAbXTtx2ymYWZBFf+56c&#10;e861neV1KwXaM+u4VgUeDYYYMUV1ydW2wB/vb17NMXKeqJIIrViBD8zh69XLF8vGLNhY11qUzCIg&#10;UW7RmALX3ptFljlaM0ncQBumIFlpK4mHqd1mpSUNsEuRjYfDPGu0LY3VlDkHq+suiXtG+xxCXVWc&#10;srWmO8mU71gtE8SDJVdz4/Aqqq0qRv2HqnLMI1FgcOrjG4pAvAnvbLUki60lpua0l0CeI+HCkyRc&#10;QdEj1Zp4gnaW/0MlObXa6coPqJZZZyR2BFyMhhe9uauJYdELtNqZY9Pd/6Ol7/e3FvGywBOMFJGw&#10;4b8eHn5/+vz47cufn98ff3xFk9CkxrgFYO/Mre1nDsLguK2sDCN4QW1s7OHYWNZ6RGFxPpvm+RQj&#10;CqnJZDIdxsZnp4/pzvm3TEcisn/nfLcvZYpInSLaqhQa4sNyKB5C1MBxfj27wqgu8AxKhITUe3av&#10;I8QHeQAYYwQyAgCKgIYTRKhzKBwRwI2ifYClZBpN5MsjKFGlXBo7DNSEOwVc+TzvayZAGo/AS3EJ&#10;QIV2rNMbvEbhR/+g7ryBTgte3nAhgm1nt5s3wqI9CTcgPr2GJzChAljp8FlXJqxkYdu7jQ6Rbzct&#10;JEO40eUBDs7OWL6t4VaNImnIwEGN6vpLFW7C+TySnn4k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w5CG1AAAAAYBAAAPAAAAAAAAAAEAIAAAACIAAABkcnMvZG93bnJldi54bWxQSwECFAAUAAAA&#10;CACHTuJAD74U6ysCAACQBAAADgAAAAAAAAABACAAAAAjAQAAZHJzL2Uyb0RvYy54bWxQSwUGAAAA&#10;AAYABgBZAQAAwAUAAAAA&#10;" path="m1372,700l0,14,6,0,1378,686,1372,700xe">
                            <v:path textboxrect="0,0,1379,700"/>
                            <v:fill on="t" focussize="0,0"/>
                            <v:stroke on="f"/>
                            <v:imagedata o:title=""/>
                            <o:lock v:ext="edit" aspectratio="f"/>
                            <v:textbox>
                              <w:txbxContent>
                                <w:p>
                                  <w:pPr>
                                    <w:jc w:val="center"/>
                                  </w:pPr>
                                </w:p>
                              </w:txbxContent>
                            </v:textbox>
                          </v:shape>
                        </w:pict>
                      </mc:Fallback>
                    </mc:AlternateContent>
                  </w:r>
                  <w:r>
                    <w:rPr>
                      <w:sz w:val="21"/>
                    </w:rPr>
                    <w:t>类别</w:t>
                  </w:r>
                </w:p>
                <w:p>
                  <w:pPr>
                    <w:pStyle w:val="17"/>
                    <w:spacing w:before="43"/>
                    <w:ind w:left="105"/>
                    <w:rPr>
                      <w:sz w:val="21"/>
                    </w:rPr>
                  </w:pPr>
                  <w:r>
                    <w:rPr>
                      <w:sz w:val="21"/>
                    </w:rPr>
                    <w:t>标准</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b/>
                      <w:bCs/>
                      <w:sz w:val="21"/>
                      <w:szCs w:val="21"/>
                    </w:rPr>
                    <w:t>pH</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b/>
                      <w:bCs/>
                      <w:sz w:val="21"/>
                      <w:szCs w:val="21"/>
                    </w:rPr>
                    <w:t>COD</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b/>
                      <w:bCs/>
                      <w:sz w:val="21"/>
                      <w:szCs w:val="21"/>
                    </w:rPr>
                    <w:t>BOD</w:t>
                  </w:r>
                  <w:r>
                    <w:rPr>
                      <w:rFonts w:hint="default" w:ascii="Times New Roman" w:hAnsi="Times New Roman" w:eastAsia="宋体" w:cs="Times New Roman"/>
                      <w:b/>
                      <w:bCs/>
                      <w:sz w:val="21"/>
                      <w:szCs w:val="21"/>
                      <w:vertAlign w:val="subscript"/>
                    </w:rPr>
                    <w:t>5</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b/>
                      <w:bCs/>
                      <w:sz w:val="21"/>
                      <w:szCs w:val="21"/>
                    </w:rPr>
                    <w:t>NH</w:t>
                  </w:r>
                  <w:r>
                    <w:rPr>
                      <w:rFonts w:hint="default" w:ascii="Times New Roman" w:hAnsi="Times New Roman" w:eastAsia="宋体" w:cs="Times New Roman"/>
                      <w:b/>
                      <w:bCs/>
                      <w:sz w:val="21"/>
                      <w:szCs w:val="21"/>
                      <w:vertAlign w:val="subscript"/>
                    </w:rPr>
                    <w:t>3</w:t>
                  </w:r>
                  <w:r>
                    <w:rPr>
                      <w:rFonts w:hint="default" w:ascii="Times New Roman" w:hAnsi="Times New Roman" w:eastAsia="宋体" w:cs="Times New Roman"/>
                      <w:b/>
                      <w:bCs/>
                      <w:sz w:val="21"/>
                      <w:szCs w:val="21"/>
                    </w:rPr>
                    <w:t>-N</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b/>
                      <w:bCs/>
                      <w:sz w:val="21"/>
                      <w:szCs w:val="21"/>
                    </w:rPr>
                    <w:t>SS</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sz w:val="21"/>
                    </w:rPr>
                  </w:pPr>
                  <w:r>
                    <w:rPr>
                      <w:rFonts w:hint="eastAsia" w:ascii="Times New Roman" w:cs="Times New Roman"/>
                      <w:b/>
                      <w:bCs/>
                      <w:sz w:val="21"/>
                      <w:szCs w:val="21"/>
                      <w:lang w:val="en-US" w:eastAsia="zh-CN"/>
                    </w:rPr>
                    <w:t>LAS</w:t>
                  </w:r>
                </w:p>
              </w:tc>
              <w:tc>
                <w:tcPr>
                  <w:tcW w:w="845" w:type="dxa"/>
                  <w:vAlign w:val="center"/>
                </w:tcPr>
                <w:p>
                  <w:pPr>
                    <w:pStyle w:val="20"/>
                    <w:keepNext w:val="0"/>
                    <w:keepLines w:val="0"/>
                    <w:pageBreakBefore w:val="0"/>
                    <w:tabs>
                      <w:tab w:val="left" w:pos="2895"/>
                    </w:tabs>
                    <w:kinsoku/>
                    <w:wordWrap/>
                    <w:overflowPunct/>
                    <w:topLinePunct w:val="0"/>
                    <w:autoSpaceDE/>
                    <w:autoSpaceDN/>
                    <w:bidi w:val="0"/>
                    <w:ind w:left="0" w:leftChars="0" w:right="0" w:rightChars="0"/>
                    <w:jc w:val="center"/>
                    <w:textAlignment w:val="auto"/>
                    <w:rPr>
                      <w:rFonts w:hint="eastAsia" w:ascii="Times New Roman" w:cs="Times New Roman"/>
                      <w:b/>
                      <w:bCs/>
                      <w:sz w:val="21"/>
                      <w:szCs w:val="21"/>
                      <w:lang w:val="en-US" w:eastAsia="zh-CN"/>
                    </w:rPr>
                  </w:pPr>
                  <w:r>
                    <w:rPr>
                      <w:rFonts w:hint="default" w:ascii="Times New Roman" w:hAnsi="Times New Roman" w:eastAsia="宋体" w:cs="Times New Roman"/>
                      <w:b/>
                      <w:bCs/>
                      <w:sz w:val="21"/>
                      <w:szCs w:val="21"/>
                      <w:lang w:val="en-US" w:eastAsia="zh-CN"/>
                    </w:rPr>
                    <w:t>石油类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80" w:hRule="atLeast"/>
              </w:trPr>
              <w:tc>
                <w:tcPr>
                  <w:tcW w:w="1389" w:type="dxa"/>
                </w:tcPr>
                <w:p>
                  <w:pPr>
                    <w:pStyle w:val="17"/>
                    <w:spacing w:before="83"/>
                    <w:ind w:left="253" w:right="139"/>
                    <w:jc w:val="center"/>
                    <w:rPr>
                      <w:sz w:val="21"/>
                    </w:rPr>
                  </w:pPr>
                  <w:r>
                    <w:rPr>
                      <w:sz w:val="21"/>
                    </w:rPr>
                    <w:t>三级标准</w:t>
                  </w:r>
                </w:p>
              </w:tc>
              <w:tc>
                <w:tcPr>
                  <w:tcW w:w="841" w:type="dxa"/>
                  <w:vAlign w:val="center"/>
                </w:tcPr>
                <w:p>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ascii="Times New Roman" w:eastAsia="Times New Roman"/>
                      <w:sz w:val="21"/>
                    </w:rPr>
                  </w:pPr>
                  <w:r>
                    <w:rPr>
                      <w:rFonts w:hint="default" w:ascii="Times New Roman" w:hAnsi="Times New Roman" w:eastAsia="宋体" w:cs="Times New Roman"/>
                      <w:szCs w:val="21"/>
                    </w:rPr>
                    <w:t>6~9</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sz w:val="21"/>
                      <w:szCs w:val="21"/>
                    </w:rPr>
                    <w:t>500</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sz w:val="21"/>
                      <w:szCs w:val="21"/>
                    </w:rPr>
                    <w:t>300</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sz w:val="21"/>
                      <w:szCs w:val="21"/>
                    </w:rPr>
                    <w:t>45</w:t>
                  </w:r>
                  <w:r>
                    <w:rPr>
                      <w:rFonts w:hint="default" w:ascii="Times New Roman" w:hAnsi="Times New Roman" w:eastAsia="宋体" w:cs="Times New Roman"/>
                      <w:sz w:val="21"/>
                      <w:szCs w:val="21"/>
                      <w:vertAlign w:val="superscript"/>
                    </w:rPr>
                    <w:t>①</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sz w:val="21"/>
                    </w:rPr>
                  </w:pPr>
                  <w:r>
                    <w:rPr>
                      <w:rFonts w:hint="default" w:ascii="Times New Roman" w:hAnsi="Times New Roman" w:eastAsia="宋体" w:cs="Times New Roman"/>
                      <w:sz w:val="21"/>
                      <w:szCs w:val="21"/>
                    </w:rPr>
                    <w:t>400</w:t>
                  </w:r>
                </w:p>
              </w:tc>
              <w:tc>
                <w:tcPr>
                  <w:tcW w:w="841" w:type="dxa"/>
                  <w:vAlign w:val="center"/>
                </w:tcPr>
                <w:p>
                  <w:pPr>
                    <w:pStyle w:val="19"/>
                    <w:keepNext w:val="0"/>
                    <w:keepLines w:val="0"/>
                    <w:pageBreakBefore w:val="0"/>
                    <w:kinsoku/>
                    <w:wordWrap/>
                    <w:overflowPunct/>
                    <w:topLinePunct w:val="0"/>
                    <w:autoSpaceDE/>
                    <w:autoSpaceDN/>
                    <w:bidi w:val="0"/>
                    <w:ind w:left="0" w:leftChars="0" w:right="0" w:rightChars="0"/>
                    <w:jc w:val="center"/>
                    <w:textAlignment w:val="auto"/>
                    <w:rPr>
                      <w:rFonts w:ascii="Times New Roman" w:hAnsi="Times New Roman"/>
                      <w:sz w:val="21"/>
                    </w:rPr>
                  </w:pPr>
                  <w:r>
                    <w:rPr>
                      <w:rFonts w:hint="eastAsia" w:ascii="Times New Roman" w:cs="Times New Roman"/>
                      <w:sz w:val="21"/>
                      <w:szCs w:val="21"/>
                      <w:lang w:val="en-US" w:eastAsia="zh-CN"/>
                    </w:rPr>
                    <w:t>20</w:t>
                  </w:r>
                </w:p>
              </w:tc>
              <w:tc>
                <w:tcPr>
                  <w:tcW w:w="845" w:type="dxa"/>
                  <w:vAlign w:val="center"/>
                </w:tcPr>
                <w:p>
                  <w:pPr>
                    <w:pStyle w:val="22"/>
                    <w:keepNext w:val="0"/>
                    <w:keepLines w:val="0"/>
                    <w:pageBreakBefore w:val="0"/>
                    <w:kinsoku/>
                    <w:wordWrap/>
                    <w:overflowPunct/>
                    <w:topLinePunct w:val="0"/>
                    <w:autoSpaceDE/>
                    <w:autoSpaceDN/>
                    <w:bidi w:val="0"/>
                    <w:spacing w:after="0"/>
                    <w:ind w:left="0" w:leftChars="0" w:right="0" w:rightChars="0"/>
                    <w:jc w:val="center"/>
                    <w:textAlignment w:val="auto"/>
                    <w:rPr>
                      <w:rFonts w:ascii="Times New Roman" w:hAnsi="Times New Roman"/>
                      <w:sz w:val="21"/>
                    </w:rPr>
                  </w:pPr>
                  <w:r>
                    <w:rPr>
                      <w:rFonts w:hint="default" w:ascii="Times New Roman" w:hAnsi="Times New Roman" w:eastAsia="宋体" w:cs="Times New Roman"/>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284" w:type="dxa"/>
                  <w:gridSpan w:val="9"/>
                </w:tcPr>
                <w:p>
                  <w:pPr>
                    <w:pStyle w:val="17"/>
                    <w:spacing w:before="1" w:line="278" w:lineRule="auto"/>
                    <w:ind w:left="105" w:right="462"/>
                    <w:rPr>
                      <w:sz w:val="21"/>
                    </w:rPr>
                  </w:pPr>
                  <w:r>
                    <w:rPr>
                      <w:rFonts w:ascii="Times New Roman" w:eastAsia="Times New Roman"/>
                      <w:sz w:val="21"/>
                    </w:rPr>
                    <w:t>*</w:t>
                  </w:r>
                  <w:r>
                    <w:rPr>
                      <w:sz w:val="21"/>
                    </w:rPr>
                    <w:t>根据《国家环境保护总局关于纳污管排污单位执行标准的复函》（环函</w:t>
                  </w:r>
                  <w:r>
                    <w:rPr>
                      <w:rFonts w:ascii="Times New Roman" w:eastAsia="Times New Roman"/>
                      <w:sz w:val="21"/>
                    </w:rPr>
                    <w:t xml:space="preserve">[2005]454 </w:t>
                  </w:r>
                  <w:r>
                    <w:rPr>
                      <w:sz w:val="21"/>
                    </w:rPr>
                    <w:t>号），氨氮执行《污水排入城镇下水道水质标准》（</w:t>
                  </w:r>
                  <w:r>
                    <w:rPr>
                      <w:rFonts w:ascii="Times New Roman" w:eastAsia="Times New Roman"/>
                      <w:sz w:val="21"/>
                    </w:rPr>
                    <w:t>GB/T 31962-2015</w:t>
                  </w:r>
                  <w:r>
                    <w:rPr>
                      <w:sz w:val="21"/>
                    </w:rPr>
                    <w:t>）。</w:t>
                  </w:r>
                </w:p>
                <w:p>
                  <w:pPr>
                    <w:pStyle w:val="17"/>
                    <w:spacing w:line="269" w:lineRule="exact"/>
                    <w:ind w:left="105"/>
                    <w:rPr>
                      <w:sz w:val="21"/>
                    </w:rPr>
                  </w:pPr>
                  <w:r>
                    <w:rPr>
                      <w:sz w:val="21"/>
                    </w:rPr>
                    <w:t>（）外数值为水温</w:t>
                  </w:r>
                  <w:r>
                    <w:rPr>
                      <w:rFonts w:ascii="Times New Roman" w:hAnsi="Times New Roman" w:eastAsia="Times New Roman"/>
                      <w:sz w:val="21"/>
                    </w:rPr>
                    <w:t>≥12℃</w:t>
                  </w:r>
                  <w:r>
                    <w:rPr>
                      <w:sz w:val="21"/>
                    </w:rPr>
                    <w:t>的控制指标，（）内数值为水温</w:t>
                  </w:r>
                  <w:r>
                    <w:rPr>
                      <w:rFonts w:ascii="Times New Roman" w:hAnsi="Times New Roman" w:eastAsia="Times New Roman"/>
                      <w:sz w:val="21"/>
                    </w:rPr>
                    <w:t>≤12℃</w:t>
                  </w:r>
                  <w:r>
                    <w:rPr>
                      <w:sz w:val="21"/>
                    </w:rPr>
                    <w:t>的控制指标。</w:t>
                  </w:r>
                </w:p>
              </w:tc>
            </w:tr>
          </w:tbl>
          <w:p>
            <w:pPr>
              <w:pStyle w:val="17"/>
              <w:spacing w:before="170" w:line="240" w:lineRule="auto"/>
              <w:ind w:left="109"/>
              <w:jc w:val="left"/>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噪声</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宋体" w:hAnsi="宋体" w:eastAsia="宋体" w:cs="宋体"/>
                <w:b/>
                <w:spacing w:val="-28"/>
                <w:sz w:val="21"/>
              </w:rPr>
            </w:pPr>
            <w:r>
              <w:rPr>
                <w:rFonts w:hint="default" w:ascii="Times New Roman" w:hAnsi="Times New Roman" w:eastAsia="宋体" w:cs="Times New Roman"/>
              </w:rPr>
              <w:t>企业营运期厂界环境噪声执行《工业企业厂界环境噪声排放标准》（GB12348-2008）中 3 类标准。详见表 1.3-1。</w:t>
            </w:r>
          </w:p>
          <w:p>
            <w:pPr>
              <w:pStyle w:val="17"/>
              <w:spacing w:before="170"/>
              <w:ind w:left="109"/>
              <w:jc w:val="center"/>
              <w:rPr>
                <w:rFonts w:hint="eastAsia" w:ascii="宋体" w:hAnsi="宋体" w:eastAsia="宋体" w:cs="宋体"/>
                <w:b/>
                <w:spacing w:val="0"/>
                <w:sz w:val="21"/>
                <w:szCs w:val="22"/>
                <w:lang w:val="en-US" w:eastAsia="zh-CN" w:bidi="zh-CN"/>
              </w:rPr>
            </w:pPr>
            <w:r>
              <w:rPr>
                <w:rFonts w:hint="eastAsia" w:ascii="宋体" w:hAnsi="宋体" w:eastAsia="宋体" w:cs="宋体"/>
                <w:b/>
                <w:spacing w:val="0"/>
                <w:sz w:val="21"/>
                <w:szCs w:val="22"/>
                <w:lang w:val="en-US" w:eastAsia="zh-CN" w:bidi="zh-CN"/>
              </w:rPr>
              <w:t>表 1.3-1 《工业企业厂界环境噪声排放标准》（GB12348-2008）单位：LeqdB(A)</w:t>
            </w:r>
          </w:p>
          <w:tbl>
            <w:tblPr>
              <w:tblStyle w:val="14"/>
              <w:tblpPr w:leftFromText="180" w:rightFromText="180" w:vertAnchor="page" w:horzAnchor="page" w:tblpX="233" w:tblpY="6809"/>
              <w:tblOverlap w:val="never"/>
              <w:tblW w:w="7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9"/>
              <w:gridCol w:w="2835"/>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9" w:type="dxa"/>
                  <w:vAlign w:val="center"/>
                </w:tcPr>
                <w:p>
                  <w:pPr>
                    <w:pStyle w:val="17"/>
                    <w:jc w:val="center"/>
                    <w:rPr>
                      <w:rFonts w:hint="default" w:ascii="Times New Roman" w:hAnsi="Times New Roman" w:eastAsia="宋体" w:cs="Times New Roman"/>
                      <w:sz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12065</wp:posOffset>
                            </wp:positionV>
                            <wp:extent cx="790575" cy="390525"/>
                            <wp:effectExtent l="1905" t="4445" r="7620" b="5080"/>
                            <wp:wrapNone/>
                            <wp:docPr id="5" name="直接连接符 5"/>
                            <wp:cNvGraphicFramePr/>
                            <a:graphic xmlns:a="http://schemas.openxmlformats.org/drawingml/2006/main">
                              <a:graphicData uri="http://schemas.microsoft.com/office/word/2010/wordprocessingShape">
                                <wps:wsp>
                                  <wps:cNvCnPr/>
                                  <wps:spPr>
                                    <a:xfrm>
                                      <a:off x="2004060" y="5495925"/>
                                      <a:ext cx="7905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1pt;margin-top:0.95pt;height:30.75pt;width:62.25pt;z-index:251661312;mso-width-relative:page;mso-height-relative:page;" filled="f" stroked="t" coordsize="21600,21600" o:gfxdata="UEsDBAoAAAAAAIdO4kAAAAAAAAAAAAAAAAAEAAAAZHJzL1BLAwQUAAAACACHTuJAZvJ+qNUAAAAG&#10;AQAADwAAAGRycy9kb3ducmV2LnhtbE2OMU/DMBCFdyT+g3VIbK3TtGpLGqcDEgMSEhAYGN34GqfY&#10;52C7Sfj3uBMd772n775yP1nDBvShcyRgMc+AITVOddQK+Px4mm2BhShJSeMIBfxigH11e1PKQrmR&#10;3nGoY8sShEIhBegY+4Lz0Gi0Msxdj5S6o/NWxnT6lisvxwS3hudZtuZWdpQ+aNnjo8bmuz7bRKHN&#10;z3Ey/uvt9UVv6/GEz8MGhbi/W2Q7YBGn+D+Gi35Shyo5HdyZVGBGwCxPwxQ/ALu0+WoJ7CBgvVwB&#10;r0p+rV/9AVBLAwQUAAAACACHTuJA7uc/YfMBAADBAwAADgAAAGRycy9lMm9Eb2MueG1srVPNbhMx&#10;EL4j8Q6W72S3aZM2q2x6aFQuCCIBDzDxenct+U8eN5u8BC+AxA1OHLnzNi2Pwdgb2lIuPbAH79gz&#10;842/b8bLy73RbCcDKmdrfjIpOZNWuEbZruYfP1y/uuAMI9gGtLOy5geJ/HL18sVy8JWcut7pRgZG&#10;IBarwde8j9FXRYGilwZw4ry05GxdMBBpG7qiCTAQutHFtCznxeBC44MTEpFO16OTHxHDcwBd2yoh&#10;107cGGnjiBqkhkiUsFce+Srftm2liO/aFmVkuubENOaVipC9TWuxWkLVBfC9EscrwHOu8ISTAWWp&#10;6D3UGiKwm6D+gTJKBIeujRPhTDESyYoQi5PyiTbve/AycyGp0d+Ljv8PVrzdbQJTTc1nnFkw1PC7&#10;zz9uP3399fMLrXffv7FZEmnwWFHsld2E4w79JiTG+zaY9CcubF9zavFZOSd5DwR5tpgtpjkfKrmP&#10;TFDA+aKcnVMxQQGnZI/+4gHIB4yvpTMsGTXXyiYNoILdG4xUnEL/hKRj666V1rmP2rKh5vPTGZUX&#10;QLPZ0kyQaTzxQ9txBrqjoRcxZER0WjUpO+Fg6LZXOrAdpFHJXyJO1f4KS6XXgP0Yl13jEBkV6V1o&#10;ZWp+8ThbWwJJ8o2CJWvrmkPWMZ9TZ3OZ4xSm0Xm8z9kPL2/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byfqjVAAAABgEAAA8AAAAAAAAAAQAgAAAAIgAAAGRycy9kb3ducmV2LnhtbFBLAQIUABQA&#10;AAAIAIdO4kDu5z9h8wEAAMEDAAAOAAAAAAAAAAEAIAAAACQBAABkcnMvZTJvRG9jLnhtbFBLBQYA&#10;AAAABgAGAFkBAACJBQ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指标</w:t>
                  </w:r>
                </w:p>
                <w:p>
                  <w:pPr>
                    <w:pStyle w:val="17"/>
                    <w:jc w:val="both"/>
                    <w:rPr>
                      <w:rFonts w:hint="default" w:ascii="Times New Roman" w:hAnsi="Times New Roman" w:eastAsia="宋体" w:cs="Times New Roman"/>
                      <w:sz w:val="21"/>
                    </w:rPr>
                  </w:pPr>
                  <w:r>
                    <w:rPr>
                      <w:rFonts w:hint="default" w:ascii="Times New Roman" w:hAnsi="Times New Roman" w:eastAsia="宋体" w:cs="Times New Roman"/>
                      <w:sz w:val="21"/>
                    </w:rPr>
                    <w:t>类别</w:t>
                  </w:r>
                </w:p>
              </w:tc>
              <w:tc>
                <w:tcPr>
                  <w:tcW w:w="2835" w:type="dxa"/>
                  <w:vAlign w:val="center"/>
                </w:tcPr>
                <w:p>
                  <w:pPr>
                    <w:pStyle w:val="17"/>
                    <w:jc w:val="center"/>
                    <w:rPr>
                      <w:rFonts w:hint="default" w:ascii="Times New Roman" w:hAnsi="Times New Roman" w:eastAsia="宋体" w:cs="Times New Roman"/>
                      <w:sz w:val="21"/>
                    </w:rPr>
                  </w:pPr>
                  <w:r>
                    <w:rPr>
                      <w:rFonts w:hint="default" w:ascii="Times New Roman" w:hAnsi="Times New Roman" w:eastAsia="宋体" w:cs="Times New Roman"/>
                      <w:sz w:val="21"/>
                    </w:rPr>
                    <w:t>昼间</w:t>
                  </w:r>
                </w:p>
              </w:tc>
              <w:tc>
                <w:tcPr>
                  <w:tcW w:w="3090" w:type="dxa"/>
                  <w:vAlign w:val="center"/>
                </w:tcPr>
                <w:p>
                  <w:pPr>
                    <w:pStyle w:val="17"/>
                    <w:jc w:val="center"/>
                    <w:rPr>
                      <w:rFonts w:hint="default" w:ascii="Times New Roman" w:hAnsi="Times New Roman" w:eastAsia="宋体" w:cs="Times New Roman"/>
                      <w:sz w:val="21"/>
                    </w:rPr>
                  </w:pPr>
                  <w:r>
                    <w:rPr>
                      <w:rFonts w:hint="default" w:ascii="Times New Roman" w:hAnsi="Times New Roman" w:eastAsia="宋体" w:cs="Times New Roman"/>
                      <w:sz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9" w:type="dxa"/>
                  <w:vAlign w:val="center"/>
                </w:tcPr>
                <w:p>
                  <w:pPr>
                    <w:pStyle w:val="17"/>
                    <w:jc w:val="center"/>
                    <w:rPr>
                      <w:rFonts w:hint="default" w:ascii="Times New Roman" w:hAnsi="Times New Roman" w:eastAsia="宋体" w:cs="Times New Roman"/>
                      <w:sz w:val="21"/>
                    </w:rPr>
                  </w:pPr>
                  <w:r>
                    <w:rPr>
                      <w:rFonts w:hint="default" w:ascii="Times New Roman" w:hAnsi="Times New Roman" w:eastAsia="宋体" w:cs="Times New Roman"/>
                      <w:sz w:val="21"/>
                    </w:rPr>
                    <w:t>3 类</w:t>
                  </w:r>
                </w:p>
              </w:tc>
              <w:tc>
                <w:tcPr>
                  <w:tcW w:w="2835" w:type="dxa"/>
                  <w:vAlign w:val="center"/>
                </w:tcPr>
                <w:p>
                  <w:pPr>
                    <w:pStyle w:val="17"/>
                    <w:jc w:val="center"/>
                    <w:rPr>
                      <w:rFonts w:hint="default" w:ascii="Times New Roman" w:hAnsi="Times New Roman" w:eastAsia="宋体" w:cs="Times New Roman"/>
                      <w:sz w:val="21"/>
                    </w:rPr>
                  </w:pPr>
                  <w:r>
                    <w:rPr>
                      <w:rFonts w:hint="default" w:ascii="Times New Roman" w:hAnsi="Times New Roman" w:eastAsia="宋体" w:cs="Times New Roman"/>
                      <w:sz w:val="21"/>
                    </w:rPr>
                    <w:t>65</w:t>
                  </w:r>
                </w:p>
              </w:tc>
              <w:tc>
                <w:tcPr>
                  <w:tcW w:w="3090" w:type="dxa"/>
                  <w:vAlign w:val="center"/>
                </w:tcPr>
                <w:p>
                  <w:pPr>
                    <w:pStyle w:val="17"/>
                    <w:jc w:val="center"/>
                    <w:rPr>
                      <w:rFonts w:hint="default" w:ascii="Times New Roman" w:hAnsi="Times New Roman" w:eastAsia="宋体" w:cs="Times New Roman"/>
                      <w:sz w:val="21"/>
                    </w:rPr>
                  </w:pPr>
                  <w:r>
                    <w:rPr>
                      <w:rFonts w:hint="default" w:ascii="Times New Roman" w:hAnsi="Times New Roman" w:eastAsia="宋体" w:cs="Times New Roman"/>
                      <w:sz w:val="21"/>
                    </w:rPr>
                    <w:t>55</w:t>
                  </w:r>
                </w:p>
              </w:tc>
            </w:tr>
          </w:tbl>
          <w:p>
            <w:pPr>
              <w:pStyle w:val="17"/>
              <w:spacing w:before="170" w:line="240" w:lineRule="auto"/>
              <w:ind w:left="109"/>
              <w:jc w:val="left"/>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固体废物</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rPr>
            </w:pPr>
            <w:r>
              <w:rPr>
                <w:rFonts w:hint="default" w:ascii="Times New Roman" w:hAnsi="Times New Roman" w:eastAsia="宋体" w:cs="Times New Roman"/>
              </w:rPr>
              <w:t>生活垃圾则执行《生活垃圾填埋污染控制标准》（GB16889-2008）；一般工业固废参照执行《一般工业固体废物贮存、处置场污染控制标准（2013 年修订）》（GB18599-2001）；危险废物按《国家危险废物名录》、《危险废物鉴别标准》（GB5086-2007）、《危险废物贮存污染物控制标准》（GB18597-20</w:t>
            </w:r>
            <w:r>
              <w:rPr>
                <w:rFonts w:hint="eastAsia" w:ascii="Times New Roman" w:hAnsi="Times New Roman" w:cs="Times New Roman"/>
                <w:lang w:val="en-US" w:eastAsia="zh-CN"/>
              </w:rPr>
              <w:t>21</w:t>
            </w:r>
            <w:r>
              <w:rPr>
                <w:rFonts w:hint="default" w:ascii="Times New Roman" w:hAnsi="Times New Roman" w:eastAsia="宋体" w:cs="Times New Roman"/>
              </w:rPr>
              <w:t>）和《危险化学品安全管理条例》进行识别、贮存和管理。</w:t>
            </w:r>
          </w:p>
          <w:p>
            <w:pPr>
              <w:pStyle w:val="2"/>
              <w:jc w:val="both"/>
              <w:rPr>
                <w:vertAlign w:val="baseline"/>
              </w:rPr>
            </w:pPr>
          </w:p>
          <w:p>
            <w:pPr>
              <w:pStyle w:val="2"/>
              <w:jc w:val="both"/>
              <w:rPr>
                <w:vertAlign w:val="baseline"/>
              </w:rPr>
            </w:pPr>
          </w:p>
          <w:p>
            <w:pPr>
              <w:pStyle w:val="2"/>
              <w:jc w:val="both"/>
              <w:rPr>
                <w:vertAlign w:val="baseline"/>
              </w:rPr>
            </w:pPr>
          </w:p>
          <w:p>
            <w:pPr>
              <w:pStyle w:val="2"/>
              <w:jc w:val="both"/>
              <w:rPr>
                <w:vertAlign w:val="baseline"/>
              </w:rPr>
            </w:pPr>
          </w:p>
        </w:tc>
      </w:tr>
    </w:tbl>
    <w:p>
      <w:pPr>
        <w:pStyle w:val="3"/>
        <w:tabs>
          <w:tab w:val="left" w:pos="1120"/>
        </w:tabs>
        <w:ind w:left="275" w:firstLine="0"/>
      </w:pPr>
      <w:r>
        <w:rPr>
          <w:spacing w:val="5"/>
        </w:rPr>
        <w:t>表</w:t>
      </w:r>
      <w:r>
        <w:t>二</w:t>
      </w:r>
      <w:r>
        <w:tab/>
      </w:r>
      <w:r>
        <w:rPr>
          <w:spacing w:val="5"/>
        </w:rPr>
        <w:t>项</w:t>
      </w:r>
      <w:r>
        <w:t>目</w:t>
      </w:r>
      <w:r>
        <w:rPr>
          <w:spacing w:val="5"/>
        </w:rPr>
        <w:t>概</w:t>
      </w:r>
      <w:r>
        <w:t>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34" w:hRule="atLeast"/>
        </w:trPr>
        <w:tc>
          <w:tcPr>
            <w:tcW w:w="5000" w:type="pct"/>
            <w:tcFitText/>
            <w:vAlign w:val="top"/>
          </w:tcPr>
          <w:p>
            <w:pPr>
              <w:pStyle w:val="4"/>
              <w:numPr>
                <w:ilvl w:val="1"/>
                <w:numId w:val="1"/>
              </w:numPr>
              <w:tabs>
                <w:tab w:val="left" w:pos="636"/>
              </w:tabs>
              <w:spacing w:before="223" w:after="0" w:line="240" w:lineRule="auto"/>
              <w:ind w:left="636" w:right="0" w:hanging="361"/>
              <w:jc w:val="left"/>
            </w:pPr>
            <w:r>
              <w:t>项目地理位置及平面布置</w:t>
            </w:r>
          </w:p>
          <w:p>
            <w:pPr>
              <w:pStyle w:val="18"/>
              <w:numPr>
                <w:ilvl w:val="2"/>
                <w:numId w:val="1"/>
              </w:numPr>
              <w:tabs>
                <w:tab w:val="left" w:pos="824"/>
              </w:tabs>
              <w:spacing w:before="192" w:after="0" w:line="360" w:lineRule="auto"/>
              <w:ind w:left="823" w:right="0" w:hanging="549"/>
              <w:jc w:val="both"/>
              <w:rPr>
                <w:sz w:val="24"/>
              </w:rPr>
            </w:pPr>
            <w:r>
              <w:rPr>
                <w:sz w:val="24"/>
              </w:rPr>
              <w:t>地理位置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rPr>
            </w:pPr>
            <w:r>
              <w:rPr>
                <w:rFonts w:hint="default" w:ascii="Times New Roman" w:hAnsi="Times New Roman" w:cs="Times New Roman"/>
                <w:color w:val="auto"/>
                <w:sz w:val="24"/>
                <w:szCs w:val="24"/>
              </w:rPr>
              <w:t>重庆万瑞眼镜有限公司</w:t>
            </w:r>
            <w:r>
              <w:rPr>
                <w:rFonts w:hint="eastAsia" w:ascii="Times New Roman" w:hAnsi="Times New Roman" w:cs="Times New Roman"/>
                <w:lang w:val="en-US" w:eastAsia="zh-CN"/>
              </w:rPr>
              <w:t>眼镜镜架生产项目</w:t>
            </w:r>
            <w:r>
              <w:rPr>
                <w:rFonts w:hint="default" w:ascii="Times New Roman" w:hAnsi="Times New Roman" w:eastAsia="宋体" w:cs="Times New Roman"/>
                <w:lang w:val="en-US" w:eastAsia="zh-CN"/>
              </w:rPr>
              <w:t>位于</w:t>
            </w:r>
            <w:r>
              <w:rPr>
                <w:rFonts w:hint="default" w:ascii="Times New Roman" w:hAnsi="Times New Roman" w:cs="Times New Roman"/>
                <w:color w:val="auto"/>
                <w:sz w:val="24"/>
                <w:szCs w:val="24"/>
              </w:rPr>
              <w:t>重庆市奉节县生态工业园区兴园路1号</w:t>
            </w:r>
            <w:r>
              <w:rPr>
                <w:rFonts w:hint="default" w:ascii="Times New Roman" w:hAnsi="Times New Roman" w:cs="Times New Roman"/>
                <w:color w:val="auto"/>
                <w:sz w:val="24"/>
                <w:szCs w:val="24"/>
                <w:lang w:val="en-US" w:eastAsia="zh-CN"/>
              </w:rPr>
              <w:t>B7幢4层</w:t>
            </w:r>
            <w:r>
              <w:rPr>
                <w:rFonts w:hint="eastAsia" w:ascii="Times New Roman" w:hAnsi="Times New Roman" w:eastAsia="宋体" w:cs="Times New Roman"/>
                <w:lang w:val="en-US" w:eastAsia="zh-CN"/>
              </w:rPr>
              <w:t>（</w:t>
            </w:r>
            <w:r>
              <w:rPr>
                <w:rFonts w:hint="default" w:ascii="Times New Roman" w:hAnsi="Times New Roman" w:cs="Times New Roman"/>
                <w:color w:val="auto"/>
                <w:sz w:val="24"/>
                <w:szCs w:val="24"/>
                <w:u w:val="single"/>
              </w:rPr>
              <w:t>109</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rPr>
              <w:t>38</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12.451</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u w:val="single"/>
              </w:rPr>
              <w:t>31</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rPr>
              <w:t>5</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22.699</w:t>
            </w:r>
            <w:r>
              <w:rPr>
                <w:rFonts w:hint="default" w:ascii="Times New Roman" w:hAnsi="Times New Roman" w:cs="Times New Roman"/>
                <w:color w:val="auto"/>
                <w:sz w:val="24"/>
                <w:szCs w:val="24"/>
              </w:rPr>
              <w:t>秒</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，公司周边均为工业企业，厂区出口紧临园区市政道路，交通运输</w:t>
            </w:r>
            <w:r>
              <w:rPr>
                <w:rFonts w:hint="default" w:ascii="Times New Roman" w:hAnsi="Times New Roman" w:eastAsia="宋体" w:cs="Times New Roman"/>
              </w:rPr>
              <w:t>方便。</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rPr>
            </w:pPr>
            <w:r>
              <w:rPr>
                <w:rFonts w:hint="default" w:ascii="Times New Roman" w:hAnsi="Times New Roman" w:eastAsia="宋体" w:cs="Times New Roman"/>
              </w:rPr>
              <w:t>项目地理位置详见</w:t>
            </w:r>
            <w:r>
              <w:rPr>
                <w:rFonts w:hint="default" w:ascii="Times New Roman" w:hAnsi="Times New Roman" w:eastAsia="宋体" w:cs="Times New Roman"/>
                <w:b/>
                <w:bCs/>
              </w:rPr>
              <w:t>附图 1</w:t>
            </w:r>
            <w:r>
              <w:rPr>
                <w:rFonts w:hint="default" w:ascii="Times New Roman" w:hAnsi="Times New Roman" w:eastAsia="宋体" w:cs="Times New Roman"/>
              </w:rPr>
              <w:t>。</w:t>
            </w:r>
          </w:p>
          <w:p>
            <w:pPr>
              <w:pStyle w:val="18"/>
              <w:numPr>
                <w:ilvl w:val="2"/>
                <w:numId w:val="1"/>
              </w:numPr>
              <w:tabs>
                <w:tab w:val="left" w:pos="824"/>
              </w:tabs>
              <w:spacing w:before="192" w:after="0" w:line="360" w:lineRule="auto"/>
              <w:ind w:left="823" w:right="0" w:hanging="549"/>
              <w:jc w:val="both"/>
              <w:rPr>
                <w:rFonts w:ascii="宋体" w:hAnsi="宋体" w:eastAsia="宋体" w:cs="宋体"/>
                <w:sz w:val="24"/>
              </w:rPr>
            </w:pPr>
            <w:r>
              <w:rPr>
                <w:rFonts w:ascii="宋体" w:hAnsi="宋体" w:eastAsia="宋体" w:cs="宋体"/>
                <w:sz w:val="24"/>
              </w:rPr>
              <w:t>项目平面布置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厂房位于4楼。厂房西部布置粉碎区、磨水口、振机区域，中部北侧布设注塑车间、移印、烫金、配件组装区域。中部南侧布设喷漆室及烘房、锁螺丝区、包装车间、原料仓库、成品库房等，厂房东部布设为样品房及会议室。</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整个</w:t>
            </w:r>
            <w:r>
              <w:rPr>
                <w:rFonts w:hint="eastAsia" w:ascii="Times New Roman" w:hAnsi="Times New Roman" w:eastAsia="宋体" w:cs="Times New Roman"/>
                <w:color w:val="auto"/>
                <w:sz w:val="24"/>
                <w:szCs w:val="24"/>
              </w:rPr>
              <w:t>厂房内</w:t>
            </w:r>
            <w:r>
              <w:rPr>
                <w:rFonts w:hint="default" w:ascii="Times New Roman" w:hAnsi="Times New Roman" w:eastAsia="宋体" w:cs="Times New Roman"/>
                <w:color w:val="auto"/>
                <w:sz w:val="24"/>
                <w:szCs w:val="24"/>
              </w:rPr>
              <w:t>平面布置紧凑，方便生产，运输便捷，人物分流，流向合理，同时满足消防、环保、安全、供电、给排水等要求，满足生产工艺要求，从环境保护角度，</w:t>
            </w:r>
            <w:r>
              <w:rPr>
                <w:rFonts w:hint="eastAsia" w:ascii="Times New Roman" w:hAnsi="Times New Roman" w:eastAsia="宋体" w:cs="Times New Roman"/>
                <w:color w:val="auto"/>
                <w:sz w:val="24"/>
                <w:szCs w:val="24"/>
              </w:rPr>
              <w:t>车间</w:t>
            </w:r>
            <w:r>
              <w:rPr>
                <w:rFonts w:hint="default" w:ascii="Times New Roman" w:hAnsi="Times New Roman" w:eastAsia="宋体" w:cs="Times New Roman"/>
                <w:color w:val="auto"/>
                <w:sz w:val="24"/>
                <w:szCs w:val="24"/>
              </w:rPr>
              <w:t>布局合理。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项目总平面布置图详见</w:t>
            </w:r>
            <w:r>
              <w:rPr>
                <w:rFonts w:hint="eastAsia" w:ascii="Times New Roman" w:hAnsi="Times New Roman" w:eastAsia="宋体" w:cs="Times New Roman"/>
                <w:b/>
                <w:bCs/>
                <w:lang w:val="zh-CN" w:eastAsia="zh-CN"/>
              </w:rPr>
              <w:t>附图 2</w:t>
            </w:r>
            <w:r>
              <w:rPr>
                <w:rFonts w:hint="eastAsia" w:ascii="Times New Roman" w:hAnsi="Times New Roman" w:eastAsia="宋体" w:cs="Times New Roman"/>
                <w:lang w:val="zh-CN" w:eastAsia="zh-CN"/>
              </w:rPr>
              <w:t>。</w:t>
            </w:r>
          </w:p>
          <w:p>
            <w:pPr>
              <w:pStyle w:val="18"/>
              <w:numPr>
                <w:ilvl w:val="2"/>
                <w:numId w:val="1"/>
              </w:numPr>
              <w:tabs>
                <w:tab w:val="left" w:pos="824"/>
              </w:tabs>
              <w:spacing w:before="189" w:after="0" w:line="360" w:lineRule="auto"/>
              <w:ind w:left="823" w:right="0" w:hanging="549"/>
              <w:jc w:val="both"/>
              <w:rPr>
                <w:sz w:val="24"/>
              </w:rPr>
            </w:pPr>
            <w:r>
              <w:rPr>
                <w:sz w:val="24"/>
              </w:rPr>
              <w:t>项目外环境关系</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选址位于项目位于重庆市奉节县移民生态产业园，周边以待开发建设的规划工业用地为主。根据现场踏勘，项目200m周边均为其他工业企业，大多为生产眼镜及其配件的工业企业。之外分布有园区管委会、草堂镇中心卫生院、草堂廉租房等集中居住区以及零星分布的民房。与环评时相比，项目周边的主要敏感点没有发生变化。</w:t>
            </w:r>
          </w:p>
          <w:p>
            <w:pPr>
              <w:pStyle w:val="2"/>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项目周边环境保护目标分布见表 2.1-1，项目环境保护目标分布图见</w:t>
            </w:r>
            <w:r>
              <w:rPr>
                <w:rFonts w:hint="eastAsia" w:ascii="Times New Roman" w:hAnsi="Times New Roman" w:eastAsia="宋体" w:cs="Times New Roman"/>
                <w:b/>
                <w:bCs/>
                <w:lang w:val="en-US" w:eastAsia="zh-CN"/>
              </w:rPr>
              <w:t>附图 3</w:t>
            </w:r>
            <w:r>
              <w:rPr>
                <w:rFonts w:hint="eastAsia" w:ascii="Times New Roman" w:hAnsi="Times New Roman" w:eastAsia="宋体" w:cs="Times New Roman"/>
                <w:lang w:val="en-US"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baseline"/>
              <w:rPr>
                <w:rFonts w:hint="eastAsia" w:ascii="Times New Roman" w:hAnsi="Times New Roman" w:eastAsia="宋体" w:cs="Times New Roman"/>
                <w:lang w:val="en-US" w:eastAsia="zh-CN"/>
              </w:rPr>
            </w:pPr>
            <w:r>
              <w:rPr>
                <w:b/>
                <w:sz w:val="21"/>
              </w:rPr>
              <w:t xml:space="preserve">表 </w:t>
            </w:r>
            <w:r>
              <w:rPr>
                <w:rFonts w:ascii="Times New Roman" w:eastAsia="Times New Roman"/>
                <w:b/>
                <w:sz w:val="21"/>
              </w:rPr>
              <w:t xml:space="preserve">2.1-2  </w:t>
            </w:r>
            <w:r>
              <w:rPr>
                <w:b/>
                <w:sz w:val="21"/>
              </w:rPr>
              <w:t>环境保护目标分布一览表</w:t>
            </w: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44"/>
              <w:gridCol w:w="2013"/>
              <w:gridCol w:w="1217"/>
              <w:gridCol w:w="912"/>
              <w:gridCol w:w="149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Align w:val="center"/>
                </w:tcPr>
                <w:p>
                  <w:pPr>
                    <w:pStyle w:val="17"/>
                    <w:spacing w:before="177"/>
                    <w:ind w:left="111" w:right="98"/>
                    <w:jc w:val="center"/>
                    <w:rPr>
                      <w:sz w:val="21"/>
                    </w:rPr>
                  </w:pPr>
                  <w:r>
                    <w:rPr>
                      <w:sz w:val="21"/>
                    </w:rPr>
                    <w:t>环境</w:t>
                  </w:r>
                </w:p>
                <w:p>
                  <w:pPr>
                    <w:pStyle w:val="17"/>
                    <w:spacing w:before="177"/>
                    <w:ind w:left="111" w:leftChars="0" w:right="98" w:rightChars="0"/>
                    <w:jc w:val="center"/>
                    <w:rPr>
                      <w:rFonts w:hint="eastAsia" w:ascii="宋体" w:hAnsi="宋体" w:eastAsia="宋体" w:cs="宋体"/>
                      <w:sz w:val="21"/>
                      <w:szCs w:val="22"/>
                      <w:lang w:val="en-US" w:eastAsia="zh-CN" w:bidi="zh-CN"/>
                    </w:rPr>
                  </w:pPr>
                  <w:r>
                    <w:rPr>
                      <w:sz w:val="21"/>
                    </w:rPr>
                    <w:t>要素</w:t>
                  </w:r>
                </w:p>
              </w:tc>
              <w:tc>
                <w:tcPr>
                  <w:tcW w:w="390" w:type="pct"/>
                  <w:vAlign w:val="center"/>
                </w:tcPr>
                <w:p>
                  <w:pPr>
                    <w:pStyle w:val="17"/>
                    <w:spacing w:before="177"/>
                    <w:ind w:left="150" w:leftChars="0" w:right="144" w:rightChars="0"/>
                    <w:jc w:val="center"/>
                    <w:rPr>
                      <w:rFonts w:hint="eastAsia" w:ascii="宋体" w:hAnsi="宋体" w:eastAsia="宋体" w:cs="宋体"/>
                      <w:sz w:val="21"/>
                      <w:szCs w:val="22"/>
                      <w:lang w:val="en-US" w:eastAsia="zh-CN" w:bidi="zh-CN"/>
                    </w:rPr>
                  </w:pPr>
                  <w:r>
                    <w:rPr>
                      <w:sz w:val="21"/>
                    </w:rPr>
                    <w:t>序号</w:t>
                  </w:r>
                </w:p>
              </w:tc>
              <w:tc>
                <w:tcPr>
                  <w:tcW w:w="1055" w:type="pct"/>
                  <w:vAlign w:val="center"/>
                </w:tcPr>
                <w:p>
                  <w:pPr>
                    <w:pStyle w:val="17"/>
                    <w:spacing w:before="177"/>
                    <w:ind w:left="168" w:leftChars="0" w:right="157" w:rightChars="0"/>
                    <w:jc w:val="center"/>
                    <w:rPr>
                      <w:rFonts w:hint="eastAsia" w:ascii="宋体" w:hAnsi="宋体" w:eastAsia="宋体" w:cs="宋体"/>
                      <w:sz w:val="21"/>
                      <w:szCs w:val="22"/>
                      <w:lang w:val="en-US" w:eastAsia="zh-CN" w:bidi="zh-CN"/>
                    </w:rPr>
                  </w:pPr>
                  <w:r>
                    <w:rPr>
                      <w:sz w:val="21"/>
                    </w:rPr>
                    <w:t>名称</w:t>
                  </w:r>
                </w:p>
              </w:tc>
              <w:tc>
                <w:tcPr>
                  <w:tcW w:w="638" w:type="pct"/>
                  <w:vAlign w:val="center"/>
                </w:tcPr>
                <w:p>
                  <w:pPr>
                    <w:pStyle w:val="17"/>
                    <w:spacing w:before="177"/>
                    <w:ind w:left="0" w:leftChars="0" w:right="265" w:rightChars="0"/>
                    <w:jc w:val="center"/>
                    <w:rPr>
                      <w:rFonts w:hint="eastAsia" w:ascii="宋体" w:hAnsi="宋体" w:eastAsia="宋体" w:cs="宋体"/>
                      <w:sz w:val="21"/>
                      <w:szCs w:val="22"/>
                      <w:lang w:val="en-US" w:eastAsia="zh-CN" w:bidi="zh-CN"/>
                    </w:rPr>
                  </w:pPr>
                  <w:r>
                    <w:rPr>
                      <w:rFonts w:hint="eastAsia" w:ascii="宋体" w:hAnsi="宋体" w:eastAsia="宋体" w:cs="宋体"/>
                      <w:sz w:val="21"/>
                      <w:lang w:val="en-US" w:eastAsia="zh-CN"/>
                    </w:rPr>
                    <w:t>性质</w:t>
                  </w:r>
                </w:p>
              </w:tc>
              <w:tc>
                <w:tcPr>
                  <w:tcW w:w="478" w:type="pct"/>
                  <w:vAlign w:val="center"/>
                </w:tcPr>
                <w:p>
                  <w:pPr>
                    <w:pStyle w:val="17"/>
                    <w:spacing w:before="177"/>
                    <w:ind w:left="0" w:leftChars="0" w:right="265" w:rightChars="0"/>
                    <w:jc w:val="center"/>
                    <w:rPr>
                      <w:rFonts w:hint="eastAsia" w:ascii="宋体" w:hAnsi="宋体" w:eastAsia="宋体" w:cs="宋体"/>
                      <w:sz w:val="21"/>
                      <w:szCs w:val="22"/>
                      <w:lang w:val="en-US" w:eastAsia="zh-CN" w:bidi="zh-CN"/>
                    </w:rPr>
                  </w:pPr>
                  <w:r>
                    <w:rPr>
                      <w:rFonts w:ascii="宋体" w:hAnsi="宋体" w:eastAsia="宋体" w:cs="宋体"/>
                      <w:sz w:val="21"/>
                    </w:rPr>
                    <w:t>方位</w:t>
                  </w:r>
                </w:p>
              </w:tc>
              <w:tc>
                <w:tcPr>
                  <w:tcW w:w="781" w:type="pct"/>
                  <w:vAlign w:val="center"/>
                </w:tcPr>
                <w:p>
                  <w:pPr>
                    <w:pStyle w:val="17"/>
                    <w:spacing w:before="23"/>
                    <w:ind w:left="145" w:leftChars="0" w:right="135" w:rightChars="0"/>
                    <w:jc w:val="center"/>
                    <w:rPr>
                      <w:rFonts w:hint="eastAsia" w:ascii="宋体" w:hAnsi="宋体" w:eastAsia="宋体" w:cs="宋体"/>
                      <w:sz w:val="21"/>
                      <w:szCs w:val="22"/>
                      <w:lang w:val="en-US" w:eastAsia="zh-CN" w:bidi="zh-CN"/>
                    </w:rPr>
                  </w:pPr>
                  <w:r>
                    <w:rPr>
                      <w:sz w:val="21"/>
                    </w:rPr>
                    <w:t>距厂界最近距离（</w:t>
                  </w:r>
                  <w:r>
                    <w:rPr>
                      <w:rFonts w:ascii="Times New Roman" w:eastAsia="Times New Roman"/>
                      <w:sz w:val="21"/>
                    </w:rPr>
                    <w:t>m</w:t>
                  </w:r>
                  <w:r>
                    <w:rPr>
                      <w:sz w:val="21"/>
                    </w:rPr>
                    <w:t>）</w:t>
                  </w:r>
                </w:p>
              </w:tc>
              <w:tc>
                <w:tcPr>
                  <w:tcW w:w="1060" w:type="pct"/>
                  <w:vAlign w:val="center"/>
                </w:tcPr>
                <w:p>
                  <w:pPr>
                    <w:pStyle w:val="17"/>
                    <w:spacing w:before="177"/>
                    <w:ind w:left="219" w:leftChars="0" w:right="207" w:rightChars="0"/>
                    <w:jc w:val="center"/>
                    <w:rPr>
                      <w:rFonts w:hint="eastAsia" w:ascii="宋体" w:hAnsi="宋体" w:eastAsia="宋体" w:cs="宋体"/>
                      <w:sz w:val="21"/>
                      <w:szCs w:val="22"/>
                      <w:lang w:val="en-US" w:eastAsia="zh-CN" w:bidi="zh-CN"/>
                    </w:rPr>
                  </w:pPr>
                  <w:r>
                    <w:rPr>
                      <w:sz w:val="21"/>
                    </w:rPr>
                    <w:t>与评阶段变化情况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Merge w:val="restart"/>
                  <w:vAlign w:val="top"/>
                </w:tcPr>
                <w:p>
                  <w:pPr>
                    <w:pStyle w:val="17"/>
                    <w:jc w:val="center"/>
                    <w:rPr>
                      <w:rFonts w:ascii="Times New Roman"/>
                      <w:sz w:val="20"/>
                    </w:rPr>
                  </w:pPr>
                </w:p>
                <w:p>
                  <w:pPr>
                    <w:pStyle w:val="17"/>
                    <w:spacing w:line="244" w:lineRule="auto"/>
                    <w:ind w:left="338" w:leftChars="0" w:right="327" w:rightChars="0"/>
                    <w:jc w:val="center"/>
                    <w:rPr>
                      <w:rFonts w:hint="eastAsia" w:ascii="宋体" w:hAnsi="宋体" w:eastAsia="宋体" w:cs="宋体"/>
                      <w:sz w:val="21"/>
                      <w:szCs w:val="22"/>
                      <w:lang w:val="en-US" w:eastAsia="zh-CN" w:bidi="zh-CN"/>
                    </w:rPr>
                  </w:pPr>
                  <w:r>
                    <w:rPr>
                      <w:sz w:val="21"/>
                    </w:rPr>
                    <w:t>环境空气</w:t>
                  </w:r>
                </w:p>
              </w:tc>
              <w:tc>
                <w:tcPr>
                  <w:tcW w:w="390" w:type="pct"/>
                  <w:vAlign w:val="top"/>
                </w:tcPr>
                <w:p>
                  <w:pPr>
                    <w:pStyle w:val="17"/>
                    <w:spacing w:before="89"/>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1</w:t>
                  </w:r>
                </w:p>
              </w:tc>
              <w:tc>
                <w:tcPr>
                  <w:tcW w:w="105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1"/>
                      <w:szCs w:val="22"/>
                      <w:lang w:val="en-US" w:eastAsia="zh-CN" w:bidi="zh-CN"/>
                    </w:rPr>
                  </w:pPr>
                  <w:r>
                    <w:rPr>
                      <w:rFonts w:hint="eastAsia" w:cs="Times New Roman"/>
                      <w:color w:val="auto"/>
                      <w:kern w:val="2"/>
                      <w:sz w:val="21"/>
                      <w:szCs w:val="21"/>
                      <w:lang w:val="en-US" w:eastAsia="zh-CN" w:bidi="ar-SA"/>
                    </w:rPr>
                    <w:t>园区管委会</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行政办公</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NW</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290</w:t>
                  </w:r>
                </w:p>
              </w:tc>
              <w:tc>
                <w:tcPr>
                  <w:tcW w:w="1060" w:type="pct"/>
                  <w:vAlign w:val="top"/>
                </w:tcPr>
                <w:p>
                  <w:pPr>
                    <w:pStyle w:val="17"/>
                    <w:spacing w:before="75"/>
                    <w:ind w:left="214" w:leftChars="0" w:right="207" w:rightChars="0"/>
                    <w:jc w:val="center"/>
                    <w:rPr>
                      <w:rFonts w:hint="eastAsia" w:ascii="宋体" w:hAnsi="宋体" w:eastAsia="宋体" w:cs="宋体"/>
                      <w:sz w:val="21"/>
                      <w:szCs w:val="22"/>
                      <w:lang w:val="en-US" w:eastAsia="zh-CN" w:bidi="zh-CN"/>
                    </w:rPr>
                  </w:pPr>
                  <w:r>
                    <w:rPr>
                      <w:sz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Merge w:val="continue"/>
                  <w:vAlign w:val="top"/>
                </w:tcPr>
                <w:p>
                  <w:pPr>
                    <w:ind w:left="0" w:leftChars="0" w:right="0" w:rightChars="0"/>
                    <w:jc w:val="center"/>
                    <w:rPr>
                      <w:rFonts w:hint="eastAsia" w:ascii="宋体" w:hAnsi="宋体" w:eastAsia="宋体" w:cs="宋体"/>
                      <w:sz w:val="2"/>
                      <w:szCs w:val="2"/>
                      <w:lang w:val="en-US" w:eastAsia="zh-CN" w:bidi="zh-CN"/>
                    </w:rPr>
                  </w:pPr>
                </w:p>
              </w:tc>
              <w:tc>
                <w:tcPr>
                  <w:tcW w:w="390" w:type="pct"/>
                  <w:vAlign w:val="top"/>
                </w:tcPr>
                <w:p>
                  <w:pPr>
                    <w:pStyle w:val="17"/>
                    <w:spacing w:before="91"/>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2</w:t>
                  </w:r>
                </w:p>
              </w:tc>
              <w:tc>
                <w:tcPr>
                  <w:tcW w:w="105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1"/>
                      <w:szCs w:val="22"/>
                      <w:lang w:val="en-US" w:eastAsia="zh-CN" w:bidi="zh-CN"/>
                    </w:rPr>
                  </w:pPr>
                  <w:r>
                    <w:rPr>
                      <w:rFonts w:hint="eastAsia" w:cs="Times New Roman"/>
                      <w:bCs/>
                      <w:color w:val="000000"/>
                      <w:kern w:val="2"/>
                      <w:sz w:val="21"/>
                      <w:szCs w:val="21"/>
                      <w:lang w:val="en-US" w:eastAsia="zh-CN" w:bidi="ar-SA"/>
                    </w:rPr>
                    <w:t>草堂镇派出所</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行政办公</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NW</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360</w:t>
                  </w:r>
                </w:p>
              </w:tc>
              <w:tc>
                <w:tcPr>
                  <w:tcW w:w="1060" w:type="pct"/>
                  <w:vAlign w:val="top"/>
                </w:tcPr>
                <w:p>
                  <w:pPr>
                    <w:pStyle w:val="17"/>
                    <w:spacing w:before="77"/>
                    <w:ind w:left="214" w:leftChars="0" w:right="207" w:rightChars="0"/>
                    <w:jc w:val="center"/>
                    <w:rPr>
                      <w:rFonts w:hint="eastAsia" w:ascii="宋体" w:hAnsi="宋体" w:eastAsia="宋体" w:cs="宋体"/>
                      <w:sz w:val="21"/>
                      <w:szCs w:val="22"/>
                      <w:lang w:val="en-US" w:eastAsia="zh-CN" w:bidi="zh-CN"/>
                    </w:rPr>
                  </w:pPr>
                  <w:r>
                    <w:rPr>
                      <w:sz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Merge w:val="continue"/>
                  <w:vAlign w:val="top"/>
                </w:tcPr>
                <w:p>
                  <w:pPr>
                    <w:ind w:left="0" w:leftChars="0" w:right="0" w:rightChars="0"/>
                    <w:jc w:val="center"/>
                    <w:rPr>
                      <w:rFonts w:hint="eastAsia" w:ascii="宋体" w:hAnsi="宋体" w:eastAsia="宋体" w:cs="宋体"/>
                      <w:sz w:val="2"/>
                      <w:szCs w:val="2"/>
                      <w:lang w:val="en-US" w:eastAsia="zh-CN" w:bidi="zh-CN"/>
                    </w:rPr>
                  </w:pPr>
                </w:p>
              </w:tc>
              <w:tc>
                <w:tcPr>
                  <w:tcW w:w="390" w:type="pct"/>
                  <w:vAlign w:val="top"/>
                </w:tcPr>
                <w:p>
                  <w:pPr>
                    <w:pStyle w:val="17"/>
                    <w:spacing w:before="93"/>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3</w:t>
                  </w:r>
                </w:p>
              </w:tc>
              <w:tc>
                <w:tcPr>
                  <w:tcW w:w="105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1"/>
                      <w:szCs w:val="22"/>
                      <w:lang w:val="en-US" w:eastAsia="zh-CN" w:bidi="zh-CN"/>
                    </w:rPr>
                  </w:pPr>
                  <w:r>
                    <w:rPr>
                      <w:rFonts w:hint="eastAsia" w:cs="Times New Roman"/>
                      <w:bCs/>
                      <w:color w:val="000000"/>
                      <w:kern w:val="2"/>
                      <w:sz w:val="21"/>
                      <w:szCs w:val="21"/>
                      <w:lang w:val="en-US" w:eastAsia="zh-CN" w:bidi="ar-SA"/>
                    </w:rPr>
                    <w:t>草堂廉租房</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居住区</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NW</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260</w:t>
                  </w:r>
                </w:p>
              </w:tc>
              <w:tc>
                <w:tcPr>
                  <w:tcW w:w="1060" w:type="pct"/>
                  <w:vAlign w:val="top"/>
                </w:tcPr>
                <w:p>
                  <w:pPr>
                    <w:pStyle w:val="17"/>
                    <w:spacing w:before="79"/>
                    <w:ind w:left="214" w:leftChars="0" w:right="207" w:rightChars="0"/>
                    <w:jc w:val="center"/>
                    <w:rPr>
                      <w:rFonts w:hint="eastAsia" w:ascii="宋体" w:hAnsi="宋体" w:eastAsia="宋体" w:cs="宋体"/>
                      <w:sz w:val="21"/>
                      <w:szCs w:val="22"/>
                      <w:lang w:val="en-US" w:eastAsia="zh-CN" w:bidi="zh-CN"/>
                    </w:rPr>
                  </w:pPr>
                  <w:r>
                    <w:rPr>
                      <w:sz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Merge w:val="continue"/>
                  <w:vAlign w:val="top"/>
                </w:tcPr>
                <w:p>
                  <w:pPr>
                    <w:ind w:left="0" w:leftChars="0" w:right="0" w:rightChars="0"/>
                    <w:jc w:val="center"/>
                    <w:rPr>
                      <w:rFonts w:hint="eastAsia" w:ascii="宋体" w:hAnsi="宋体" w:eastAsia="宋体" w:cs="宋体"/>
                      <w:sz w:val="2"/>
                      <w:szCs w:val="2"/>
                      <w:lang w:val="en-US" w:eastAsia="zh-CN" w:bidi="zh-CN"/>
                    </w:rPr>
                  </w:pPr>
                </w:p>
              </w:tc>
              <w:tc>
                <w:tcPr>
                  <w:tcW w:w="390" w:type="pct"/>
                  <w:vAlign w:val="top"/>
                </w:tcPr>
                <w:p>
                  <w:pPr>
                    <w:pStyle w:val="17"/>
                    <w:spacing w:before="90"/>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4</w:t>
                  </w:r>
                </w:p>
              </w:tc>
              <w:tc>
                <w:tcPr>
                  <w:tcW w:w="105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1"/>
                      <w:szCs w:val="22"/>
                      <w:lang w:val="en-US" w:eastAsia="zh-CN" w:bidi="zh-CN"/>
                    </w:rPr>
                  </w:pPr>
                  <w:r>
                    <w:rPr>
                      <w:rFonts w:hint="eastAsia" w:cs="Times New Roman"/>
                      <w:bCs/>
                      <w:color w:val="000000"/>
                      <w:kern w:val="2"/>
                      <w:sz w:val="21"/>
                      <w:szCs w:val="21"/>
                      <w:lang w:val="en-US" w:eastAsia="zh-CN" w:bidi="ar-SA"/>
                    </w:rPr>
                    <w:t>草堂镇中心小学</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文化教育</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NW</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410</w:t>
                  </w:r>
                </w:p>
              </w:tc>
              <w:tc>
                <w:tcPr>
                  <w:tcW w:w="1060" w:type="pct"/>
                  <w:vAlign w:val="top"/>
                </w:tcPr>
                <w:p>
                  <w:pPr>
                    <w:pStyle w:val="17"/>
                    <w:spacing w:before="76"/>
                    <w:ind w:left="214" w:leftChars="0" w:right="207" w:rightChars="0"/>
                    <w:jc w:val="center"/>
                    <w:rPr>
                      <w:rFonts w:hint="eastAsia" w:ascii="宋体" w:hAnsi="宋体" w:eastAsia="宋体" w:cs="宋体"/>
                      <w:sz w:val="21"/>
                      <w:szCs w:val="22"/>
                      <w:lang w:val="en-US" w:eastAsia="zh-CN" w:bidi="zh-CN"/>
                    </w:rPr>
                  </w:pPr>
                  <w:r>
                    <w:rPr>
                      <w:sz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Merge w:val="continue"/>
                  <w:vAlign w:val="top"/>
                </w:tcPr>
                <w:p>
                  <w:pPr>
                    <w:ind w:left="0" w:leftChars="0" w:right="0" w:rightChars="0"/>
                    <w:jc w:val="center"/>
                    <w:rPr>
                      <w:rFonts w:hint="eastAsia" w:ascii="宋体" w:hAnsi="宋体" w:eastAsia="宋体" w:cs="宋体"/>
                      <w:sz w:val="2"/>
                      <w:szCs w:val="2"/>
                      <w:lang w:val="en-US" w:eastAsia="zh-CN" w:bidi="zh-CN"/>
                    </w:rPr>
                  </w:pPr>
                </w:p>
              </w:tc>
              <w:tc>
                <w:tcPr>
                  <w:tcW w:w="390" w:type="pct"/>
                  <w:vAlign w:val="top"/>
                </w:tcPr>
                <w:p>
                  <w:pPr>
                    <w:pStyle w:val="17"/>
                    <w:spacing w:before="92"/>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5</w:t>
                  </w:r>
                </w:p>
              </w:tc>
              <w:tc>
                <w:tcPr>
                  <w:tcW w:w="105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1"/>
                      <w:szCs w:val="22"/>
                      <w:lang w:val="en-US" w:eastAsia="zh-CN" w:bidi="zh-CN"/>
                    </w:rPr>
                  </w:pPr>
                  <w:r>
                    <w:rPr>
                      <w:rFonts w:hint="eastAsia" w:cs="Times New Roman"/>
                      <w:bCs/>
                      <w:color w:val="000000"/>
                      <w:kern w:val="2"/>
                      <w:sz w:val="21"/>
                      <w:szCs w:val="21"/>
                      <w:lang w:val="en-US" w:eastAsia="zh-CN" w:bidi="ar-SA"/>
                    </w:rPr>
                    <w:t>园区安置房</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居住区</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W</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510</w:t>
                  </w:r>
                </w:p>
              </w:tc>
              <w:tc>
                <w:tcPr>
                  <w:tcW w:w="1060" w:type="pct"/>
                  <w:vAlign w:val="top"/>
                </w:tcPr>
                <w:p>
                  <w:pPr>
                    <w:pStyle w:val="17"/>
                    <w:spacing w:before="78"/>
                    <w:ind w:left="214" w:leftChars="0" w:right="207" w:rightChars="0"/>
                    <w:jc w:val="center"/>
                    <w:rPr>
                      <w:rFonts w:hint="eastAsia" w:ascii="宋体" w:hAnsi="宋体" w:eastAsia="宋体" w:cs="宋体"/>
                      <w:sz w:val="21"/>
                      <w:szCs w:val="22"/>
                      <w:lang w:val="en-US" w:eastAsia="zh-CN" w:bidi="zh-CN"/>
                    </w:rPr>
                  </w:pPr>
                  <w:r>
                    <w:rPr>
                      <w:sz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3" w:type="pct"/>
                  <w:vAlign w:val="top"/>
                </w:tcPr>
                <w:p>
                  <w:pPr>
                    <w:pStyle w:val="17"/>
                    <w:spacing w:before="105"/>
                    <w:ind w:left="102" w:leftChars="0" w:right="98" w:rightChars="0"/>
                    <w:jc w:val="center"/>
                    <w:rPr>
                      <w:rFonts w:hint="eastAsia" w:ascii="宋体" w:hAnsi="宋体" w:eastAsia="宋体" w:cs="宋体"/>
                      <w:sz w:val="21"/>
                      <w:szCs w:val="22"/>
                      <w:lang w:val="en-US" w:eastAsia="zh-CN" w:bidi="zh-CN"/>
                    </w:rPr>
                  </w:pPr>
                  <w:r>
                    <w:rPr>
                      <w:sz w:val="21"/>
                    </w:rPr>
                    <w:t>地表水</w:t>
                  </w:r>
                </w:p>
              </w:tc>
              <w:tc>
                <w:tcPr>
                  <w:tcW w:w="390" w:type="pct"/>
                  <w:vAlign w:val="top"/>
                </w:tcPr>
                <w:p>
                  <w:pPr>
                    <w:pStyle w:val="17"/>
                    <w:spacing w:before="119"/>
                    <w:ind w:left="6" w:leftChars="0" w:right="0" w:rightChars="0"/>
                    <w:jc w:val="center"/>
                    <w:rPr>
                      <w:rFonts w:hint="eastAsia" w:ascii="Times New Roman" w:hAnsi="宋体" w:eastAsia="宋体" w:cs="宋体"/>
                      <w:sz w:val="21"/>
                      <w:szCs w:val="22"/>
                      <w:lang w:val="en-US" w:eastAsia="zh-CN" w:bidi="zh-CN"/>
                    </w:rPr>
                  </w:pPr>
                  <w:r>
                    <w:rPr>
                      <w:rFonts w:ascii="Times New Roman"/>
                      <w:w w:val="100"/>
                      <w:sz w:val="21"/>
                    </w:rPr>
                    <w:t>1</w:t>
                  </w:r>
                </w:p>
              </w:tc>
              <w:tc>
                <w:tcPr>
                  <w:tcW w:w="1055" w:type="pct"/>
                  <w:vAlign w:val="center"/>
                </w:tcPr>
                <w:p>
                  <w:pPr>
                    <w:pStyle w:val="6"/>
                    <w:keepNext w:val="0"/>
                    <w:keepLines w:val="0"/>
                    <w:pageBreakBefore w:val="0"/>
                    <w:kinsoku/>
                    <w:wordWrap/>
                    <w:overflowPunct/>
                    <w:topLinePunct w:val="0"/>
                    <w:autoSpaceDE/>
                    <w:autoSpaceDN/>
                    <w:bidi w:val="0"/>
                    <w:spacing w:after="0" w:line="240" w:lineRule="auto"/>
                    <w:ind w:left="0" w:leftChars="0" w:right="0" w:rightChars="0" w:firstLine="0" w:firstLineChars="0"/>
                    <w:jc w:val="center"/>
                    <w:textAlignment w:val="auto"/>
                    <w:rPr>
                      <w:rFonts w:hint="eastAsia" w:ascii="宋体" w:hAnsi="宋体" w:eastAsia="宋体" w:cs="宋体"/>
                      <w:sz w:val="21"/>
                      <w:szCs w:val="24"/>
                      <w:lang w:val="en-US" w:eastAsia="zh-CN" w:bidi="zh-CN"/>
                    </w:rPr>
                  </w:pPr>
                  <w:r>
                    <w:rPr>
                      <w:rFonts w:hint="default" w:ascii="Times New Roman" w:hAnsi="Times New Roman" w:eastAsia="宋体" w:cs="Times New Roman"/>
                      <w:color w:val="auto"/>
                      <w:sz w:val="21"/>
                      <w:szCs w:val="21"/>
                      <w:lang w:val="en-US" w:eastAsia="zh-CN"/>
                    </w:rPr>
                    <w:t>石马河</w:t>
                  </w:r>
                </w:p>
              </w:tc>
              <w:tc>
                <w:tcPr>
                  <w:tcW w:w="63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eastAsia" w:ascii="Times New Roman" w:hAnsi="宋体" w:eastAsia="宋体" w:cs="宋体"/>
                      <w:w w:val="100"/>
                      <w:sz w:val="21"/>
                      <w:lang w:val="en-US" w:eastAsia="zh-CN"/>
                    </w:rPr>
                    <w:t>河流</w:t>
                  </w:r>
                </w:p>
              </w:tc>
              <w:tc>
                <w:tcPr>
                  <w:tcW w:w="478"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default" w:ascii="Times New Roman" w:hAnsi="宋体" w:eastAsia="宋体" w:cs="宋体"/>
                      <w:w w:val="100"/>
                      <w:sz w:val="21"/>
                      <w:lang w:val="en-US" w:eastAsia="zh-CN"/>
                    </w:rPr>
                    <w:t>南</w:t>
                  </w:r>
                </w:p>
              </w:tc>
              <w:tc>
                <w:tcPr>
                  <w:tcW w:w="781" w:type="pct"/>
                  <w:vAlign w:val="center"/>
                </w:tcPr>
                <w:p>
                  <w:pPr>
                    <w:pStyle w:val="17"/>
                    <w:spacing w:before="89"/>
                    <w:ind w:left="6" w:leftChars="0" w:right="0" w:rightChars="0"/>
                    <w:jc w:val="center"/>
                    <w:rPr>
                      <w:rFonts w:hint="eastAsia" w:ascii="Times New Roman" w:hAnsi="宋体" w:eastAsia="宋体" w:cs="宋体"/>
                      <w:w w:val="100"/>
                      <w:sz w:val="21"/>
                      <w:szCs w:val="22"/>
                      <w:lang w:val="en-US" w:eastAsia="zh-CN" w:bidi="zh-CN"/>
                    </w:rPr>
                  </w:pPr>
                  <w:r>
                    <w:rPr>
                      <w:rFonts w:hint="default" w:ascii="Times New Roman" w:hAnsi="宋体" w:eastAsia="宋体" w:cs="宋体"/>
                      <w:w w:val="100"/>
                      <w:sz w:val="21"/>
                      <w:lang w:val="en-US" w:eastAsia="zh-CN"/>
                    </w:rPr>
                    <w:t>约</w:t>
                  </w:r>
                  <w:r>
                    <w:rPr>
                      <w:rFonts w:hint="eastAsia" w:ascii="Times New Roman" w:hAnsi="宋体" w:eastAsia="宋体" w:cs="宋体"/>
                      <w:w w:val="100"/>
                      <w:sz w:val="21"/>
                      <w:lang w:val="en-US" w:eastAsia="zh-CN"/>
                    </w:rPr>
                    <w:t>60</w:t>
                  </w:r>
                </w:p>
              </w:tc>
              <w:tc>
                <w:tcPr>
                  <w:tcW w:w="1060" w:type="pct"/>
                  <w:vAlign w:val="top"/>
                </w:tcPr>
                <w:p>
                  <w:pPr>
                    <w:pStyle w:val="17"/>
                    <w:spacing w:before="105"/>
                    <w:ind w:left="214" w:leftChars="0" w:right="207" w:rightChars="0"/>
                    <w:jc w:val="center"/>
                    <w:rPr>
                      <w:rFonts w:hint="eastAsia" w:ascii="宋体" w:hAnsi="宋体" w:eastAsia="宋体" w:cs="宋体"/>
                      <w:sz w:val="21"/>
                      <w:szCs w:val="22"/>
                      <w:lang w:val="en-US" w:eastAsia="zh-CN" w:bidi="zh-CN"/>
                    </w:rPr>
                  </w:pPr>
                  <w:r>
                    <w:rPr>
                      <w:sz w:val="21"/>
                    </w:rPr>
                    <w:t>与环评一致</w:t>
                  </w:r>
                </w:p>
              </w:tc>
            </w:tr>
          </w:tbl>
          <w:p>
            <w:pPr>
              <w:pStyle w:val="2"/>
              <w:jc w:val="both"/>
              <w:rPr>
                <w:vertAlign w:val="baseline"/>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17"/>
              <w:spacing w:before="196"/>
              <w:ind w:left="105"/>
              <w:rPr>
                <w:b/>
                <w:sz w:val="24"/>
              </w:rPr>
            </w:pPr>
            <w:r>
              <w:rPr>
                <w:rFonts w:ascii="Times New Roman" w:eastAsia="Times New Roman"/>
                <w:b/>
                <w:sz w:val="24"/>
              </w:rPr>
              <w:t xml:space="preserve">2.2 </w:t>
            </w:r>
            <w:r>
              <w:rPr>
                <w:b/>
                <w:sz w:val="24"/>
              </w:rPr>
              <w:t>项目建设内容及规模</w:t>
            </w:r>
          </w:p>
          <w:p>
            <w:pPr>
              <w:pStyle w:val="17"/>
              <w:spacing w:before="158"/>
              <w:ind w:left="585"/>
              <w:rPr>
                <w:rFonts w:hint="eastAsia" w:ascii="Times New Roman" w:eastAsia="宋体"/>
                <w:sz w:val="24"/>
                <w:lang w:eastAsia="zh-CN"/>
              </w:rPr>
            </w:pPr>
            <w:r>
              <w:rPr>
                <w:sz w:val="24"/>
              </w:rPr>
              <w:t>根据项目环评及批复，该项目建设内容</w:t>
            </w:r>
            <w:r>
              <w:rPr>
                <w:rFonts w:hint="eastAsia"/>
                <w:sz w:val="24"/>
                <w:lang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本项目租用重庆市奉节县</w:t>
            </w:r>
            <w:r>
              <w:rPr>
                <w:rFonts w:hint="eastAsia" w:ascii="Times New Roman" w:hAnsi="Times New Roman" w:eastAsia="宋体" w:cs="Times New Roman"/>
                <w:lang w:val="en-US" w:eastAsia="zh-CN"/>
              </w:rPr>
              <w:t>草堂镇</w:t>
            </w:r>
            <w:r>
              <w:rPr>
                <w:rFonts w:hint="default" w:ascii="Times New Roman" w:hAnsi="Times New Roman" w:eastAsia="宋体" w:cs="Times New Roman"/>
                <w:lang w:val="en-US" w:eastAsia="zh-CN"/>
              </w:rPr>
              <w:t>生态</w:t>
            </w:r>
            <w:r>
              <w:rPr>
                <w:rFonts w:hint="eastAsia" w:ascii="Times New Roman" w:hAnsi="Times New Roman" w:eastAsia="宋体" w:cs="Times New Roman"/>
                <w:lang w:val="en-US" w:eastAsia="zh-CN"/>
              </w:rPr>
              <w:t>工</w:t>
            </w:r>
            <w:r>
              <w:rPr>
                <w:rFonts w:hint="default" w:ascii="Times New Roman" w:hAnsi="Times New Roman" w:eastAsia="宋体" w:cs="Times New Roman"/>
                <w:lang w:val="en-US" w:eastAsia="zh-CN"/>
              </w:rPr>
              <w:t>业园</w:t>
            </w:r>
            <w:r>
              <w:rPr>
                <w:rFonts w:hint="eastAsia" w:ascii="Times New Roman" w:hAnsi="Times New Roman" w:eastAsia="宋体" w:cs="Times New Roman"/>
                <w:lang w:val="en-US" w:eastAsia="zh-CN"/>
              </w:rPr>
              <w:t>区兴园路1号B7幢，该厂房已接通园区给排水管网，供水、供电等状态良好，项目所在标准厂房共4层。本项目布置于其中第4层。占地面积共计3502m2，项目由主体工程、辅助工程、储运工程、公用工程、环保工程等组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建设环评及批复阶段建设内容与实际建设内容对照情况见表 2.2-1。</w:t>
            </w:r>
          </w:p>
          <w:p>
            <w:pPr>
              <w:pStyle w:val="2"/>
              <w:spacing w:line="360" w:lineRule="auto"/>
              <w:jc w:val="center"/>
              <w:rPr>
                <w:b/>
                <w:sz w:val="21"/>
              </w:rPr>
            </w:pPr>
            <w:r>
              <w:rPr>
                <w:b/>
                <w:sz w:val="21"/>
              </w:rPr>
              <w:t>表</w:t>
            </w:r>
            <w:r>
              <w:rPr>
                <w:b/>
                <w:spacing w:val="-58"/>
                <w:sz w:val="21"/>
              </w:rPr>
              <w:t xml:space="preserve"> </w:t>
            </w:r>
            <w:r>
              <w:rPr>
                <w:rFonts w:ascii="Times New Roman" w:eastAsia="Times New Roman"/>
                <w:b/>
                <w:sz w:val="21"/>
              </w:rPr>
              <w:t>2.2-1</w:t>
            </w:r>
            <w:r>
              <w:rPr>
                <w:rFonts w:ascii="Times New Roman" w:eastAsia="Times New Roman"/>
                <w:b/>
                <w:sz w:val="21"/>
              </w:rPr>
              <w:tab/>
            </w:r>
            <w:r>
              <w:rPr>
                <w:b/>
                <w:sz w:val="21"/>
              </w:rPr>
              <w:t>实际建设内容</w:t>
            </w:r>
            <w:r>
              <w:rPr>
                <w:b/>
                <w:spacing w:val="-5"/>
                <w:sz w:val="21"/>
              </w:rPr>
              <w:t>与</w:t>
            </w:r>
            <w:r>
              <w:rPr>
                <w:b/>
                <w:sz w:val="21"/>
              </w:rPr>
              <w:t>工程建设变化一览表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697"/>
              <w:gridCol w:w="2852"/>
              <w:gridCol w:w="2760"/>
              <w:gridCol w:w="141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gridSpan w:val="2"/>
                  <w:vAlign w:val="top"/>
                </w:tcPr>
                <w:p>
                  <w:pPr>
                    <w:pStyle w:val="17"/>
                    <w:spacing w:before="8"/>
                    <w:jc w:val="center"/>
                    <w:rPr>
                      <w:rFonts w:ascii="Times New Roman"/>
                      <w:sz w:val="27"/>
                    </w:rPr>
                  </w:pPr>
                </w:p>
                <w:p>
                  <w:pPr>
                    <w:pStyle w:val="17"/>
                    <w:ind w:right="0" w:rightChars="0"/>
                    <w:jc w:val="center"/>
                    <w:rPr>
                      <w:rFonts w:ascii="宋体" w:hAnsi="宋体" w:eastAsia="宋体" w:cs="宋体"/>
                      <w:sz w:val="21"/>
                      <w:szCs w:val="22"/>
                      <w:lang w:val="zh-CN" w:eastAsia="zh-CN" w:bidi="zh-CN"/>
                    </w:rPr>
                  </w:pPr>
                  <w:r>
                    <w:rPr>
                      <w:sz w:val="21"/>
                    </w:rPr>
                    <w:t>项目组成</w:t>
                  </w:r>
                </w:p>
              </w:tc>
              <w:tc>
                <w:tcPr>
                  <w:tcW w:w="1494" w:type="pct"/>
                  <w:vAlign w:val="top"/>
                </w:tcPr>
                <w:p>
                  <w:pPr>
                    <w:pStyle w:val="17"/>
                    <w:spacing w:before="8"/>
                    <w:jc w:val="center"/>
                    <w:rPr>
                      <w:rFonts w:ascii="Times New Roman"/>
                      <w:sz w:val="27"/>
                    </w:rPr>
                  </w:pPr>
                </w:p>
                <w:p>
                  <w:pPr>
                    <w:pStyle w:val="17"/>
                    <w:ind w:right="0" w:rightChars="0"/>
                    <w:jc w:val="center"/>
                    <w:rPr>
                      <w:rFonts w:ascii="宋体" w:hAnsi="宋体" w:eastAsia="宋体" w:cs="宋体"/>
                      <w:sz w:val="21"/>
                      <w:szCs w:val="22"/>
                      <w:lang w:val="zh-CN" w:eastAsia="zh-CN" w:bidi="zh-CN"/>
                    </w:rPr>
                  </w:pPr>
                  <w:r>
                    <w:rPr>
                      <w:sz w:val="21"/>
                    </w:rPr>
                    <w:t>环评工程内容</w:t>
                  </w:r>
                </w:p>
              </w:tc>
              <w:tc>
                <w:tcPr>
                  <w:tcW w:w="1446" w:type="pct"/>
                  <w:vAlign w:val="top"/>
                </w:tcPr>
                <w:p>
                  <w:pPr>
                    <w:pStyle w:val="17"/>
                    <w:spacing w:before="8"/>
                    <w:jc w:val="center"/>
                    <w:rPr>
                      <w:rFonts w:ascii="Times New Roman"/>
                      <w:sz w:val="27"/>
                    </w:rPr>
                  </w:pPr>
                </w:p>
                <w:p>
                  <w:pPr>
                    <w:pStyle w:val="17"/>
                    <w:ind w:right="0" w:rightChars="0"/>
                    <w:jc w:val="center"/>
                    <w:rPr>
                      <w:rFonts w:ascii="宋体" w:hAnsi="宋体" w:eastAsia="宋体" w:cs="宋体"/>
                      <w:sz w:val="21"/>
                      <w:szCs w:val="22"/>
                      <w:lang w:val="zh-CN" w:eastAsia="zh-CN" w:bidi="zh-CN"/>
                    </w:rPr>
                  </w:pPr>
                  <w:r>
                    <w:rPr>
                      <w:sz w:val="21"/>
                    </w:rPr>
                    <w:t>实际建设内容</w:t>
                  </w:r>
                </w:p>
              </w:tc>
              <w:tc>
                <w:tcPr>
                  <w:tcW w:w="739" w:type="pct"/>
                  <w:vAlign w:val="top"/>
                </w:tcPr>
                <w:p>
                  <w:pPr>
                    <w:pStyle w:val="17"/>
                    <w:spacing w:before="165" w:line="268" w:lineRule="auto"/>
                    <w:ind w:right="106" w:rightChars="0"/>
                    <w:jc w:val="center"/>
                    <w:rPr>
                      <w:rFonts w:hint="default" w:ascii="宋体" w:hAnsi="宋体" w:eastAsia="宋体" w:cs="宋体"/>
                      <w:sz w:val="21"/>
                      <w:szCs w:val="22"/>
                      <w:lang w:val="en-US" w:eastAsia="zh-CN" w:bidi="zh-CN"/>
                    </w:rPr>
                  </w:pPr>
                  <w:r>
                    <w:rPr>
                      <w:rFonts w:hint="eastAsia" w:cs="宋体"/>
                      <w:sz w:val="21"/>
                      <w:szCs w:val="22"/>
                      <w:lang w:val="en-US" w:eastAsia="zh-CN" w:bidi="zh-CN"/>
                    </w:rPr>
                    <w:t>与环评对比变化情况</w:t>
                  </w:r>
                </w:p>
              </w:tc>
              <w:tc>
                <w:tcPr>
                  <w:tcW w:w="671" w:type="pct"/>
                  <w:vAlign w:val="top"/>
                </w:tcPr>
                <w:p>
                  <w:pPr>
                    <w:pStyle w:val="17"/>
                    <w:spacing w:before="165" w:line="268" w:lineRule="auto"/>
                    <w:ind w:right="174" w:rightChars="0"/>
                    <w:jc w:val="center"/>
                    <w:rPr>
                      <w:rFonts w:ascii="宋体" w:hAnsi="宋体" w:eastAsia="宋体" w:cs="宋体"/>
                      <w:sz w:val="21"/>
                      <w:szCs w:val="22"/>
                      <w:lang w:val="zh-CN" w:eastAsia="zh-CN" w:bidi="zh-CN"/>
                    </w:rPr>
                  </w:pPr>
                  <w:r>
                    <w:rPr>
                      <w:sz w:val="21"/>
                    </w:rPr>
                    <w:t>变化原因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主体工程</w:t>
                  </w: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B7幢</w:t>
                  </w:r>
                </w:p>
              </w:tc>
              <w:tc>
                <w:tcPr>
                  <w:tcW w:w="1494" w:type="pct"/>
                  <w:vAlign w:val="center"/>
                </w:tcPr>
                <w:p>
                  <w:pPr>
                    <w:jc w:val="left"/>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占地面积3502m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，长×宽×高为110m×31.8m×6m，4楼，砖混结构。</w:t>
                  </w:r>
                </w:p>
                <w:p>
                  <w:pPr>
                    <w:ind w:left="0" w:leftChars="0" w:right="0" w:rightChars="0"/>
                    <w:jc w:val="left"/>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设置有</w:t>
                  </w:r>
                  <w:r>
                    <w:rPr>
                      <w:rFonts w:hint="default" w:ascii="Times New Roman" w:hAnsi="Times New Roman" w:cs="Times New Roman"/>
                      <w:bCs/>
                      <w:color w:val="auto"/>
                      <w:sz w:val="21"/>
                      <w:szCs w:val="21"/>
                      <w:lang w:val="en-US" w:eastAsia="zh-CN"/>
                    </w:rPr>
                    <w:t>3</w:t>
                  </w:r>
                  <w:r>
                    <w:rPr>
                      <w:rFonts w:hint="default" w:ascii="Times New Roman" w:hAnsi="Times New Roman" w:cs="Times New Roman"/>
                      <w:bCs/>
                      <w:color w:val="auto"/>
                      <w:sz w:val="21"/>
                      <w:szCs w:val="21"/>
                    </w:rPr>
                    <w:t>条</w:t>
                  </w:r>
                  <w:r>
                    <w:rPr>
                      <w:rFonts w:hint="default" w:ascii="Times New Roman" w:hAnsi="Times New Roman" w:cs="Times New Roman"/>
                      <w:bCs/>
                      <w:color w:val="auto"/>
                      <w:sz w:val="21"/>
                      <w:szCs w:val="21"/>
                      <w:lang w:val="en-US" w:eastAsia="zh-CN"/>
                    </w:rPr>
                    <w:t>眼镜镜架生产线：分别生产太阳镜、老花镜、防雾镜镜架生产线。厂房西部布置粉碎区、磨水口、振机区域，中部北侧布设注塑车间、移印、烫金、配件组装区域。中部南侧布设喷漆室及烘房、锁螺丝区、包装车间、原料仓库、成品库房等，厂房东部布设为样品房及会议室。</w:t>
                  </w:r>
                </w:p>
              </w:tc>
              <w:tc>
                <w:tcPr>
                  <w:tcW w:w="1446" w:type="pct"/>
                  <w:vAlign w:val="center"/>
                </w:tcPr>
                <w:p>
                  <w:pPr>
                    <w:jc w:val="left"/>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占地面积3502m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，长×宽×高为110m×31.8m×6m，4楼，砖混结构。</w:t>
                  </w:r>
                </w:p>
                <w:p>
                  <w:pPr>
                    <w:ind w:left="0" w:leftChars="0" w:right="0" w:rightChars="0"/>
                    <w:jc w:val="left"/>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设置有</w:t>
                  </w:r>
                  <w:r>
                    <w:rPr>
                      <w:rFonts w:hint="default" w:ascii="Times New Roman" w:hAnsi="Times New Roman" w:cs="Times New Roman"/>
                      <w:bCs/>
                      <w:color w:val="auto"/>
                      <w:sz w:val="21"/>
                      <w:szCs w:val="21"/>
                      <w:lang w:val="en-US" w:eastAsia="zh-CN"/>
                    </w:rPr>
                    <w:t>3</w:t>
                  </w:r>
                  <w:r>
                    <w:rPr>
                      <w:rFonts w:hint="default" w:ascii="Times New Roman" w:hAnsi="Times New Roman" w:cs="Times New Roman"/>
                      <w:bCs/>
                      <w:color w:val="auto"/>
                      <w:sz w:val="21"/>
                      <w:szCs w:val="21"/>
                    </w:rPr>
                    <w:t>条</w:t>
                  </w:r>
                  <w:r>
                    <w:rPr>
                      <w:rFonts w:hint="default" w:ascii="Times New Roman" w:hAnsi="Times New Roman" w:cs="Times New Roman"/>
                      <w:bCs/>
                      <w:color w:val="auto"/>
                      <w:sz w:val="21"/>
                      <w:szCs w:val="21"/>
                      <w:lang w:val="en-US" w:eastAsia="zh-CN"/>
                    </w:rPr>
                    <w:t>眼镜镜架生产线：分别生产太阳镜、老花镜、防雾镜镜架生产线。厂房西部布置粉碎区、磨水口、振机区域，中部北侧布设注塑车间、移印、烫金、配件组装区域。中部南侧布设喷漆室及烘房、锁螺丝区、包装车间、原料仓库、成品库房等，厂房东部布设为样品房及会议室。</w:t>
                  </w:r>
                </w:p>
              </w:tc>
              <w:tc>
                <w:tcPr>
                  <w:tcW w:w="739" w:type="pct"/>
                  <w:vAlign w:val="center"/>
                </w:tcPr>
                <w:p>
                  <w:pPr>
                    <w:pStyle w:val="2"/>
                    <w:jc w:val="center"/>
                    <w:rPr>
                      <w:rFonts w:hint="eastAsia" w:eastAsia="宋体"/>
                      <w:b w:val="0"/>
                      <w:bCs/>
                      <w:sz w:val="21"/>
                      <w:vertAlign w:val="baseline"/>
                      <w:lang w:eastAsia="zh-CN"/>
                    </w:rPr>
                  </w:pPr>
                  <w:r>
                    <w:rPr>
                      <w:rFonts w:hint="eastAsia"/>
                      <w:b w:val="0"/>
                      <w:bCs/>
                      <w:sz w:val="21"/>
                      <w:vertAlign w:val="baseline"/>
                      <w:lang w:eastAsia="zh-CN"/>
                    </w:rPr>
                    <w:t>与环评一致</w:t>
                  </w:r>
                </w:p>
              </w:tc>
              <w:tc>
                <w:tcPr>
                  <w:tcW w:w="671" w:type="pct"/>
                  <w:vAlign w:val="center"/>
                </w:tcPr>
                <w:p>
                  <w:pPr>
                    <w:pStyle w:val="2"/>
                    <w:jc w:val="center"/>
                    <w:rPr>
                      <w:rFonts w:hint="default" w:eastAsia="宋体"/>
                      <w:b w:val="0"/>
                      <w:bCs/>
                      <w:sz w:val="21"/>
                      <w:vertAlign w:val="baseline"/>
                      <w:lang w:val="en-US" w:eastAsia="zh-CN"/>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储运工程</w:t>
                  </w: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rPr>
                    <w:t>原料</w:t>
                  </w:r>
                  <w:r>
                    <w:rPr>
                      <w:rFonts w:hint="default" w:ascii="Times New Roman" w:hAnsi="Times New Roman" w:cs="Times New Roman"/>
                      <w:bCs/>
                      <w:color w:val="auto"/>
                      <w:sz w:val="21"/>
                      <w:szCs w:val="21"/>
                      <w:lang w:val="en-US" w:eastAsia="zh-CN"/>
                    </w:rPr>
                    <w:t>仓库</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位于4楼中部南侧，约100m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，作为原料仓库等。</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位于4楼中部南侧，约100m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，作为原料仓库等。</w:t>
                  </w:r>
                </w:p>
              </w:tc>
              <w:tc>
                <w:tcPr>
                  <w:tcW w:w="739" w:type="pct"/>
                  <w:vAlign w:val="center"/>
                </w:tcPr>
                <w:p>
                  <w:pPr>
                    <w:pStyle w:val="2"/>
                    <w:jc w:val="center"/>
                    <w:rPr>
                      <w:b/>
                      <w:sz w:val="21"/>
                      <w:vertAlign w:val="baseline"/>
                    </w:rPr>
                  </w:pPr>
                  <w:r>
                    <w:rPr>
                      <w:rFonts w:hint="eastAsia"/>
                      <w:b w:val="0"/>
                      <w:bCs/>
                      <w:sz w:val="21"/>
                      <w:vertAlign w:val="baseline"/>
                      <w:lang w:eastAsia="zh-CN"/>
                    </w:rPr>
                    <w:t>与环评一致</w:t>
                  </w:r>
                </w:p>
              </w:tc>
              <w:tc>
                <w:tcPr>
                  <w:tcW w:w="671"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Pr>
                <w:p>
                  <w:pPr>
                    <w:pStyle w:val="2"/>
                    <w:jc w:val="both"/>
                    <w:rPr>
                      <w:rFonts w:hint="default" w:ascii="Times New Roman" w:hAnsi="Times New Roman" w:cs="Times New Roman"/>
                      <w:b/>
                      <w:sz w:val="21"/>
                      <w:vertAlign w:val="baseline"/>
                    </w:rPr>
                  </w:pP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辅料仓库</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位于4楼厂房振机区东侧，约50m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，作为涂料等化学品的仓库。</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位于4楼厂房振机区东侧，约50m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，作为涂料等化学品的仓库。</w:t>
                  </w:r>
                </w:p>
              </w:tc>
              <w:tc>
                <w:tcPr>
                  <w:tcW w:w="739" w:type="pct"/>
                  <w:vAlign w:val="center"/>
                </w:tcPr>
                <w:p>
                  <w:pPr>
                    <w:pStyle w:val="2"/>
                    <w:jc w:val="center"/>
                    <w:rPr>
                      <w:b/>
                      <w:sz w:val="21"/>
                      <w:vertAlign w:val="baseline"/>
                    </w:rPr>
                  </w:pPr>
                  <w:r>
                    <w:rPr>
                      <w:rFonts w:hint="eastAsia"/>
                      <w:b w:val="0"/>
                      <w:bCs/>
                      <w:sz w:val="21"/>
                      <w:vertAlign w:val="baseline"/>
                      <w:lang w:eastAsia="zh-CN"/>
                    </w:rPr>
                    <w:t>与环评一致</w:t>
                  </w:r>
                </w:p>
              </w:tc>
              <w:tc>
                <w:tcPr>
                  <w:tcW w:w="671"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Pr>
                <w:p>
                  <w:pPr>
                    <w:pStyle w:val="2"/>
                    <w:jc w:val="both"/>
                    <w:rPr>
                      <w:rFonts w:hint="default" w:ascii="Times New Roman" w:hAnsi="Times New Roman" w:cs="Times New Roman"/>
                      <w:b/>
                      <w:sz w:val="21"/>
                      <w:vertAlign w:val="baseline"/>
                    </w:rPr>
                  </w:pP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rPr>
                    <w:t>成品</w:t>
                  </w:r>
                  <w:r>
                    <w:rPr>
                      <w:rFonts w:hint="default" w:ascii="Times New Roman" w:hAnsi="Times New Roman" w:cs="Times New Roman"/>
                      <w:bCs/>
                      <w:color w:val="auto"/>
                      <w:sz w:val="21"/>
                      <w:szCs w:val="21"/>
                      <w:lang w:val="en-US" w:eastAsia="zh-CN"/>
                    </w:rPr>
                    <w:t>仓库</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位于4楼中部南侧，约200m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，作为成品仓库。</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位于4楼中部南侧，约200m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，作为成品仓库。</w:t>
                  </w:r>
                </w:p>
              </w:tc>
              <w:tc>
                <w:tcPr>
                  <w:tcW w:w="739" w:type="pct"/>
                  <w:vAlign w:val="center"/>
                </w:tcPr>
                <w:p>
                  <w:pPr>
                    <w:pStyle w:val="2"/>
                    <w:jc w:val="center"/>
                    <w:rPr>
                      <w:b/>
                      <w:sz w:val="21"/>
                      <w:vertAlign w:val="baseline"/>
                    </w:rPr>
                  </w:pPr>
                  <w:r>
                    <w:rPr>
                      <w:rFonts w:hint="eastAsia"/>
                      <w:b w:val="0"/>
                      <w:bCs/>
                      <w:sz w:val="21"/>
                      <w:vertAlign w:val="baseline"/>
                      <w:lang w:eastAsia="zh-CN"/>
                    </w:rPr>
                    <w:t>与环评一致</w:t>
                  </w:r>
                </w:p>
              </w:tc>
              <w:tc>
                <w:tcPr>
                  <w:tcW w:w="671"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公用工程</w:t>
                  </w: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供电</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园区电网</w:t>
                  </w:r>
                  <w:r>
                    <w:rPr>
                      <w:rFonts w:hint="default" w:ascii="Times New Roman" w:hAnsi="Times New Roman" w:cs="Times New Roman"/>
                      <w:bCs/>
                      <w:color w:val="auto"/>
                      <w:sz w:val="21"/>
                      <w:szCs w:val="21"/>
                    </w:rPr>
                    <w:t>供电，可满足本项目用电需求。</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园区电网</w:t>
                  </w:r>
                  <w:r>
                    <w:rPr>
                      <w:rFonts w:hint="default" w:ascii="Times New Roman" w:hAnsi="Times New Roman" w:cs="Times New Roman"/>
                      <w:bCs/>
                      <w:color w:val="auto"/>
                      <w:sz w:val="21"/>
                      <w:szCs w:val="21"/>
                    </w:rPr>
                    <w:t>供电，可满足本项目用电需求。</w:t>
                  </w:r>
                </w:p>
              </w:tc>
              <w:tc>
                <w:tcPr>
                  <w:tcW w:w="739" w:type="pct"/>
                  <w:vAlign w:val="center"/>
                </w:tcPr>
                <w:p>
                  <w:pPr>
                    <w:pStyle w:val="2"/>
                    <w:jc w:val="center"/>
                    <w:rPr>
                      <w:b/>
                      <w:sz w:val="21"/>
                      <w:vertAlign w:val="baseline"/>
                    </w:rPr>
                  </w:pPr>
                  <w:r>
                    <w:rPr>
                      <w:rFonts w:hint="eastAsia"/>
                      <w:b w:val="0"/>
                      <w:bCs/>
                      <w:sz w:val="21"/>
                      <w:vertAlign w:val="baseline"/>
                      <w:lang w:eastAsia="zh-CN"/>
                    </w:rPr>
                    <w:t>与环评一致</w:t>
                  </w:r>
                </w:p>
              </w:tc>
              <w:tc>
                <w:tcPr>
                  <w:tcW w:w="671"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vMerge w:val="continue"/>
                </w:tcPr>
                <w:p>
                  <w:pPr>
                    <w:pStyle w:val="2"/>
                    <w:jc w:val="both"/>
                    <w:rPr>
                      <w:rFonts w:hint="default" w:ascii="Times New Roman" w:hAnsi="Times New Roman" w:cs="Times New Roman"/>
                      <w:b/>
                      <w:sz w:val="21"/>
                      <w:vertAlign w:val="baseline"/>
                    </w:rPr>
                  </w:pP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供水</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由</w:t>
                  </w:r>
                  <w:r>
                    <w:rPr>
                      <w:rFonts w:hint="default" w:ascii="Times New Roman" w:hAnsi="Times New Roman" w:cs="Times New Roman"/>
                      <w:bCs/>
                      <w:color w:val="auto"/>
                      <w:sz w:val="21"/>
                      <w:szCs w:val="21"/>
                      <w:lang w:val="en-US" w:eastAsia="zh-CN"/>
                    </w:rPr>
                    <w:t>园区</w:t>
                  </w:r>
                  <w:r>
                    <w:rPr>
                      <w:rFonts w:hint="default" w:ascii="Times New Roman" w:hAnsi="Times New Roman" w:cs="Times New Roman"/>
                      <w:bCs/>
                      <w:color w:val="auto"/>
                      <w:sz w:val="21"/>
                      <w:szCs w:val="21"/>
                    </w:rPr>
                    <w:t>供水管网供给。</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由</w:t>
                  </w:r>
                  <w:r>
                    <w:rPr>
                      <w:rFonts w:hint="default" w:ascii="Times New Roman" w:hAnsi="Times New Roman" w:cs="Times New Roman"/>
                      <w:bCs/>
                      <w:color w:val="auto"/>
                      <w:sz w:val="21"/>
                      <w:szCs w:val="21"/>
                      <w:lang w:val="en-US" w:eastAsia="zh-CN"/>
                    </w:rPr>
                    <w:t>园区</w:t>
                  </w:r>
                  <w:r>
                    <w:rPr>
                      <w:rFonts w:hint="default" w:ascii="Times New Roman" w:hAnsi="Times New Roman" w:cs="Times New Roman"/>
                      <w:bCs/>
                      <w:color w:val="auto"/>
                      <w:sz w:val="21"/>
                      <w:szCs w:val="21"/>
                    </w:rPr>
                    <w:t>供水管网供给。</w:t>
                  </w:r>
                </w:p>
              </w:tc>
              <w:tc>
                <w:tcPr>
                  <w:tcW w:w="739" w:type="pct"/>
                  <w:vAlign w:val="center"/>
                </w:tcPr>
                <w:p>
                  <w:pPr>
                    <w:pStyle w:val="2"/>
                    <w:jc w:val="center"/>
                    <w:rPr>
                      <w:b/>
                      <w:sz w:val="21"/>
                      <w:vertAlign w:val="baseline"/>
                    </w:rPr>
                  </w:pPr>
                  <w:r>
                    <w:rPr>
                      <w:rFonts w:hint="eastAsia"/>
                      <w:b w:val="0"/>
                      <w:bCs/>
                      <w:sz w:val="21"/>
                      <w:vertAlign w:val="baseline"/>
                      <w:lang w:eastAsia="zh-CN"/>
                    </w:rPr>
                    <w:t>与环评一致</w:t>
                  </w:r>
                </w:p>
              </w:tc>
              <w:tc>
                <w:tcPr>
                  <w:tcW w:w="671"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Pr>
                <w:p>
                  <w:pPr>
                    <w:pStyle w:val="2"/>
                    <w:jc w:val="both"/>
                    <w:rPr>
                      <w:rFonts w:hint="default" w:ascii="Times New Roman" w:hAnsi="Times New Roman" w:cs="Times New Roman"/>
                      <w:b/>
                      <w:sz w:val="21"/>
                      <w:vertAlign w:val="baseline"/>
                    </w:rPr>
                  </w:pPr>
                </w:p>
              </w:tc>
              <w:tc>
                <w:tcPr>
                  <w:tcW w:w="365"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排水</w:t>
                  </w:r>
                </w:p>
              </w:tc>
              <w:tc>
                <w:tcPr>
                  <w:tcW w:w="149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采用雨污分流制，雨水顺着屋檐排入路边雨水沟。</w:t>
                  </w:r>
                  <w:r>
                    <w:rPr>
                      <w:rFonts w:hint="default" w:ascii="Times New Roman" w:hAnsi="Times New Roman" w:cs="Times New Roman"/>
                      <w:bCs/>
                      <w:color w:val="auto"/>
                      <w:sz w:val="21"/>
                      <w:szCs w:val="21"/>
                      <w:lang w:val="en-US" w:eastAsia="zh-CN"/>
                    </w:rPr>
                    <w:t>污水经处理达《污水综合排放标准》（GB8978-1996）三级标准后排入园区市政管网。之后进</w:t>
                  </w:r>
                </w:p>
              </w:tc>
              <w:tc>
                <w:tcPr>
                  <w:tcW w:w="144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采用雨污分流制，雨水顺着屋檐排入路边雨水沟。</w:t>
                  </w:r>
                  <w:r>
                    <w:rPr>
                      <w:rFonts w:hint="default" w:ascii="Times New Roman" w:hAnsi="Times New Roman" w:cs="Times New Roman"/>
                      <w:bCs/>
                      <w:color w:val="auto"/>
                      <w:sz w:val="21"/>
                      <w:szCs w:val="21"/>
                      <w:lang w:val="en-US" w:eastAsia="zh-CN"/>
                    </w:rPr>
                    <w:t>污水经处理达《污水综合排放标准》（GB8978-1996）三级标准后排入园区市政管网。之后进入草堂园区污水处理</w:t>
                  </w:r>
                </w:p>
              </w:tc>
              <w:tc>
                <w:tcPr>
                  <w:tcW w:w="739" w:type="pct"/>
                  <w:vAlign w:val="center"/>
                </w:tcPr>
                <w:p>
                  <w:pPr>
                    <w:pStyle w:val="2"/>
                    <w:jc w:val="center"/>
                    <w:rPr>
                      <w:rFonts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671" w:type="pct"/>
                  <w:vAlign w:val="center"/>
                </w:tcPr>
                <w:p>
                  <w:pPr>
                    <w:pStyle w:val="2"/>
                    <w:jc w:val="center"/>
                    <w:rPr>
                      <w:rFonts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bl>
          <w:p>
            <w:pPr>
              <w:pStyle w:val="2"/>
              <w:jc w:val="both"/>
              <w:rPr>
                <w:b/>
                <w:sz w:val="21"/>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717"/>
              <w:gridCol w:w="2810"/>
              <w:gridCol w:w="2778"/>
              <w:gridCol w:w="141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top"/>
                </w:tcPr>
                <w:p>
                  <w:pPr>
                    <w:pStyle w:val="2"/>
                    <w:jc w:val="both"/>
                    <w:rPr>
                      <w:rFonts w:ascii="宋体" w:hAnsi="宋体" w:eastAsia="宋体" w:cs="宋体"/>
                      <w:color w:val="000000"/>
                      <w:sz w:val="24"/>
                      <w:szCs w:val="24"/>
                      <w:vertAlign w:val="baseline"/>
                      <w:lang w:val="en-US" w:eastAsia="zh-CN" w:bidi="ar-SA"/>
                    </w:rPr>
                  </w:pPr>
                </w:p>
              </w:tc>
              <w:tc>
                <w:tcPr>
                  <w:tcW w:w="376" w:type="pct"/>
                  <w:vAlign w:val="top"/>
                </w:tcPr>
                <w:p>
                  <w:pPr>
                    <w:pStyle w:val="2"/>
                    <w:jc w:val="both"/>
                    <w:rPr>
                      <w:rFonts w:ascii="宋体" w:hAnsi="宋体" w:eastAsia="宋体" w:cs="宋体"/>
                      <w:color w:val="000000"/>
                      <w:sz w:val="24"/>
                      <w:szCs w:val="24"/>
                      <w:vertAlign w:val="baseline"/>
                      <w:lang w:val="en-US" w:eastAsia="zh-CN" w:bidi="ar-SA"/>
                    </w:rPr>
                  </w:pPr>
                </w:p>
              </w:tc>
              <w:tc>
                <w:tcPr>
                  <w:tcW w:w="1474"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入草堂园区污水处理厂处理达到《城镇污水处理厂污染物排放标准》（GB18918-2002）一级A标准后排入石马河。</w:t>
                  </w:r>
                </w:p>
              </w:tc>
              <w:tc>
                <w:tcPr>
                  <w:tcW w:w="1457"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lang w:val="en-US" w:eastAsia="zh-CN"/>
                    </w:rPr>
                    <w:t>厂处理达到《城镇污水处理厂污染物排放标准》（GB18918-2002）一级A标准后排入石马河。</w:t>
                  </w:r>
                </w:p>
              </w:tc>
              <w:tc>
                <w:tcPr>
                  <w:tcW w:w="740" w:type="pct"/>
                  <w:vAlign w:val="center"/>
                </w:tcPr>
                <w:p>
                  <w:pPr>
                    <w:pStyle w:val="2"/>
                    <w:jc w:val="both"/>
                    <w:rPr>
                      <w:rFonts w:ascii="宋体" w:hAnsi="宋体" w:eastAsia="宋体" w:cs="宋体"/>
                      <w:color w:val="000000"/>
                      <w:sz w:val="24"/>
                      <w:szCs w:val="24"/>
                      <w:vertAlign w:val="baseline"/>
                      <w:lang w:val="en-US" w:eastAsia="zh-CN" w:bidi="ar-SA"/>
                    </w:rPr>
                  </w:pPr>
                </w:p>
              </w:tc>
              <w:tc>
                <w:tcPr>
                  <w:tcW w:w="667" w:type="pct"/>
                  <w:vAlign w:val="center"/>
                </w:tcPr>
                <w:p>
                  <w:pPr>
                    <w:pStyle w:val="2"/>
                    <w:jc w:val="both"/>
                    <w:rPr>
                      <w:rFonts w:ascii="宋体" w:hAnsi="宋体" w:eastAsia="宋体" w:cs="宋体"/>
                      <w:color w:val="00000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辅助工程</w:t>
                  </w:r>
                </w:p>
              </w:tc>
              <w:tc>
                <w:tcPr>
                  <w:tcW w:w="376"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办公区</w:t>
                  </w:r>
                </w:p>
              </w:tc>
              <w:tc>
                <w:tcPr>
                  <w:tcW w:w="1474"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位于4楼中部北侧，约350m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w:t>
                  </w:r>
                </w:p>
              </w:tc>
              <w:tc>
                <w:tcPr>
                  <w:tcW w:w="1457"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位于4楼中部北侧，约350m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w:t>
                  </w:r>
                </w:p>
              </w:tc>
              <w:tc>
                <w:tcPr>
                  <w:tcW w:w="1411"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eastAsia="zh-CN"/>
                    </w:rPr>
                    <w:t>与环评一致</w:t>
                  </w:r>
                </w:p>
              </w:tc>
              <w:tc>
                <w:tcPr>
                  <w:tcW w:w="1272"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vAlign w:val="top"/>
                </w:tcPr>
                <w:p>
                  <w:pPr>
                    <w:pStyle w:val="2"/>
                    <w:jc w:val="both"/>
                    <w:rPr>
                      <w:rFonts w:ascii="宋体" w:hAnsi="宋体" w:eastAsia="宋体" w:cs="宋体"/>
                      <w:color w:val="000000"/>
                      <w:sz w:val="24"/>
                      <w:szCs w:val="24"/>
                      <w:vertAlign w:val="baseline"/>
                      <w:lang w:val="en-US" w:eastAsia="zh-CN" w:bidi="ar-SA"/>
                    </w:rPr>
                  </w:pPr>
                </w:p>
              </w:tc>
              <w:tc>
                <w:tcPr>
                  <w:tcW w:w="376"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卫生间</w:t>
                  </w:r>
                </w:p>
              </w:tc>
              <w:tc>
                <w:tcPr>
                  <w:tcW w:w="1474"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2处，1处位于4楼西南角，9m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；1处位于2楼西南角，9m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，1处位于2楼东南角，9m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w:t>
                  </w:r>
                </w:p>
              </w:tc>
              <w:tc>
                <w:tcPr>
                  <w:tcW w:w="1457" w:type="pct"/>
                  <w:vAlign w:val="center"/>
                </w:tcPr>
                <w:p>
                  <w:pPr>
                    <w:ind w:left="0" w:leftChars="0" w:right="0" w:rightChars="0"/>
                    <w:jc w:val="center"/>
                    <w:rPr>
                      <w:rFonts w:hint="default" w:ascii="Times New Roman" w:hAnsi="Times New Roman" w:eastAsia="宋体" w:cs="Times New Roman"/>
                      <w:bCs/>
                      <w:color w:val="auto"/>
                      <w:sz w:val="21"/>
                      <w:szCs w:val="21"/>
                      <w:lang w:val="en-US" w:eastAsia="zh-CN" w:bidi="zh-CN"/>
                    </w:rPr>
                  </w:pPr>
                  <w:r>
                    <w:rPr>
                      <w:rFonts w:hint="default" w:ascii="Times New Roman" w:hAnsi="Times New Roman" w:cs="Times New Roman"/>
                      <w:bCs/>
                      <w:color w:val="auto"/>
                      <w:sz w:val="21"/>
                      <w:szCs w:val="21"/>
                      <w:lang w:val="en-US" w:eastAsia="zh-CN"/>
                    </w:rPr>
                    <w:t>2处，1处位于4楼西南角，9m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；1处位于2楼西南角，9m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，1处位于2楼东南角，9m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lang w:val="en-US" w:eastAsia="zh-CN"/>
                    </w:rPr>
                    <w:t>。</w:t>
                  </w:r>
                </w:p>
              </w:tc>
              <w:tc>
                <w:tcPr>
                  <w:tcW w:w="1411"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eastAsia="zh-CN"/>
                    </w:rPr>
                    <w:t>与环评一致</w:t>
                  </w:r>
                </w:p>
              </w:tc>
              <w:tc>
                <w:tcPr>
                  <w:tcW w:w="1272"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环保工程</w:t>
                  </w:r>
                </w:p>
              </w:tc>
              <w:tc>
                <w:tcPr>
                  <w:tcW w:w="376"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废水</w:t>
                  </w:r>
                </w:p>
              </w:tc>
              <w:tc>
                <w:tcPr>
                  <w:tcW w:w="1474" w:type="pct"/>
                  <w:vAlign w:val="center"/>
                </w:tcPr>
                <w:p>
                  <w:pPr>
                    <w:ind w:left="0" w:leftChars="0" w:right="0" w:rightChars="0"/>
                    <w:jc w:val="center"/>
                    <w:rPr>
                      <w:rFonts w:hint="default" w:ascii="Times New Roman" w:hAnsi="Times New Roman" w:eastAsia="宋体" w:cs="Times New Roman"/>
                      <w:bCs/>
                      <w:color w:val="FF0000"/>
                      <w:sz w:val="21"/>
                      <w:szCs w:val="21"/>
                      <w:lang w:val="en-US" w:eastAsia="zh-CN" w:bidi="zh-CN"/>
                    </w:rPr>
                  </w:pPr>
                  <w:r>
                    <w:rPr>
                      <w:rFonts w:hint="default" w:ascii="Times New Roman" w:hAnsi="Times New Roman" w:eastAsia="宋体" w:cs="Times New Roman"/>
                      <w:bCs/>
                      <w:color w:val="auto"/>
                      <w:sz w:val="21"/>
                      <w:szCs w:val="21"/>
                      <w:lang w:val="en-US" w:eastAsia="zh-CN"/>
                    </w:rPr>
                    <w:t>本项目污水设置1套污水处理设备，处理能力</w:t>
                  </w:r>
                  <w:r>
                    <w:rPr>
                      <w:rFonts w:hint="default" w:ascii="Times New Roman" w:hAnsi="Times New Roman"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0m³/d，采用“初沉池+pH调节+生化池+混凝沉淀+二级过滤”工艺，污水经处理达《污水综合排放标准》（GB8978-1996）三级标准后排入园区市政管网。之后进入草堂园区污水处理厂处理达到《城镇污水处理厂污染物排放标准》（GB18918-2002）一级A标准后排入石马河。</w:t>
                  </w:r>
                </w:p>
              </w:tc>
              <w:tc>
                <w:tcPr>
                  <w:tcW w:w="1457" w:type="pct"/>
                  <w:vAlign w:val="center"/>
                </w:tcPr>
                <w:p>
                  <w:pPr>
                    <w:ind w:left="0" w:leftChars="0" w:right="0" w:rightChars="0"/>
                    <w:jc w:val="center"/>
                    <w:rPr>
                      <w:rFonts w:hint="default" w:ascii="Times New Roman" w:hAnsi="Times New Roman" w:eastAsia="宋体" w:cs="Times New Roman"/>
                      <w:bCs/>
                      <w:color w:val="FF0000"/>
                      <w:sz w:val="21"/>
                      <w:szCs w:val="21"/>
                      <w:lang w:val="en-US" w:eastAsia="zh-CN" w:bidi="zh-CN"/>
                    </w:rPr>
                  </w:pPr>
                  <w:r>
                    <w:rPr>
                      <w:rFonts w:hint="default" w:ascii="Times New Roman" w:hAnsi="Times New Roman" w:eastAsia="宋体" w:cs="Times New Roman"/>
                      <w:bCs/>
                      <w:color w:val="auto"/>
                      <w:sz w:val="21"/>
                      <w:szCs w:val="21"/>
                      <w:lang w:val="en-US" w:eastAsia="zh-CN"/>
                    </w:rPr>
                    <w:t>本项目污水设</w:t>
                  </w:r>
                  <w:r>
                    <w:rPr>
                      <w:rFonts w:hint="eastAsia" w:ascii="Times New Roman" w:hAnsi="Times New Roman" w:cs="Times New Roman"/>
                      <w:bCs/>
                      <w:color w:val="auto"/>
                      <w:sz w:val="21"/>
                      <w:szCs w:val="21"/>
                      <w:lang w:val="en-US" w:eastAsia="zh-CN"/>
                    </w:rPr>
                    <w:t>沉淀</w:t>
                  </w:r>
                  <w:r>
                    <w:rPr>
                      <w:rFonts w:hint="default" w:ascii="Times New Roman" w:hAnsi="Times New Roman" w:eastAsia="宋体" w:cs="Times New Roman"/>
                      <w:bCs/>
                      <w:color w:val="auto"/>
                      <w:sz w:val="21"/>
                      <w:szCs w:val="21"/>
                      <w:lang w:val="en-US" w:eastAsia="zh-CN"/>
                    </w:rPr>
                    <w:t>池</w:t>
                  </w:r>
                  <w:r>
                    <w:rPr>
                      <w:rFonts w:hint="eastAsia" w:ascii="Times New Roman" w:hAnsi="Times New Roman" w:eastAsia="宋体" w:cs="Times New Roman"/>
                      <w:bCs/>
                      <w:color w:val="auto"/>
                      <w:sz w:val="21"/>
                      <w:szCs w:val="21"/>
                      <w:lang w:val="en-US" w:eastAsia="zh-CN"/>
                    </w:rPr>
                    <w:t>处理后</w:t>
                  </w:r>
                  <w:r>
                    <w:rPr>
                      <w:rFonts w:hint="default" w:ascii="Times New Roman" w:hAnsi="Times New Roman" w:eastAsia="宋体" w:cs="Times New Roman"/>
                      <w:bCs/>
                      <w:color w:val="auto"/>
                      <w:sz w:val="21"/>
                      <w:szCs w:val="21"/>
                      <w:lang w:val="en-US" w:eastAsia="zh-CN"/>
                    </w:rPr>
                    <w:t>依托厂区已建生化池处理污水经处理达《污水综合排放标准》（GB8978-1996）三级标准后排入园区市政管网。之后进入草堂园区污水处理厂处理达到《城镇污水处理厂污染物排放标准》（GB18918-2002）一级A标准后排入石马河。</w:t>
                  </w:r>
                </w:p>
              </w:tc>
              <w:tc>
                <w:tcPr>
                  <w:tcW w:w="1411" w:type="dxa"/>
                  <w:vAlign w:val="center"/>
                </w:tcPr>
                <w:p>
                  <w:pPr>
                    <w:ind w:left="0" w:leftChars="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本项目不设置喷淋废水预处理设施，定期更换的喷淋废水计入危废处置。</w:t>
                  </w:r>
                </w:p>
              </w:tc>
              <w:tc>
                <w:tcPr>
                  <w:tcW w:w="1272" w:type="dxa"/>
                  <w:vAlign w:val="center"/>
                </w:tcPr>
                <w:p>
                  <w:pPr>
                    <w:ind w:left="0" w:leftChars="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喷淋废水成分相对较复杂，且产生量较小</w:t>
                  </w:r>
                  <w:r>
                    <w:rPr>
                      <w:rFonts w:hint="eastAsia" w:ascii="Times New Roman" w:hAnsi="Times New Roman" w:eastAsia="宋体"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 w:type="pct"/>
                  <w:vMerge w:val="continue"/>
                  <w:vAlign w:val="top"/>
                </w:tcPr>
                <w:p>
                  <w:pPr>
                    <w:pStyle w:val="2"/>
                    <w:jc w:val="both"/>
                    <w:rPr>
                      <w:rFonts w:ascii="宋体" w:hAnsi="宋体" w:eastAsia="宋体" w:cs="宋体"/>
                      <w:color w:val="000000"/>
                      <w:sz w:val="24"/>
                      <w:szCs w:val="24"/>
                      <w:vertAlign w:val="baseline"/>
                      <w:lang w:val="en-US" w:eastAsia="zh-CN" w:bidi="ar-SA"/>
                    </w:rPr>
                  </w:pPr>
                </w:p>
              </w:tc>
              <w:tc>
                <w:tcPr>
                  <w:tcW w:w="376"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废气</w:t>
                  </w:r>
                </w:p>
              </w:tc>
              <w:tc>
                <w:tcPr>
                  <w:tcW w:w="1474" w:type="pct"/>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en-US" w:eastAsia="zh-CN" w:bidi="zh-CN"/>
                    </w:rPr>
                  </w:pPr>
                  <w:r>
                    <w:rPr>
                      <w:rFonts w:hint="default" w:ascii="Times New Roman" w:hAnsi="Times New Roman" w:eastAsia="宋体" w:cs="Times New Roman"/>
                      <w:b w:val="0"/>
                      <w:bCs w:val="0"/>
                      <w:color w:val="auto"/>
                      <w:sz w:val="21"/>
                      <w:szCs w:val="21"/>
                      <w:lang w:val="en-US"/>
                    </w:rPr>
                    <w:t>注塑车间：拟在每个有机废气产生点侧向、上方设计吸风装置（设计风量10000m</w:t>
                  </w:r>
                  <w:r>
                    <w:rPr>
                      <w:rFonts w:hint="default" w:ascii="Times New Roman" w:hAnsi="Times New Roman" w:eastAsia="宋体" w:cs="Times New Roman"/>
                      <w:b w:val="0"/>
                      <w:bCs w:val="0"/>
                      <w:color w:val="auto"/>
                      <w:sz w:val="21"/>
                      <w:szCs w:val="21"/>
                      <w:vertAlign w:val="superscript"/>
                      <w:lang w:val="en-US"/>
                    </w:rPr>
                    <w:t>3</w:t>
                  </w:r>
                  <w:r>
                    <w:rPr>
                      <w:rFonts w:hint="default" w:ascii="Times New Roman" w:hAnsi="Times New Roman" w:eastAsia="宋体" w:cs="Times New Roman"/>
                      <w:b w:val="0"/>
                      <w:bCs w:val="0"/>
                      <w:color w:val="auto"/>
                      <w:sz w:val="21"/>
                      <w:szCs w:val="21"/>
                      <w:lang w:val="en-US"/>
                    </w:rPr>
                    <w:t>/h），为了确保收集效率，收集罩在注塑口处设置环形集气罩，将注塑产生的有机废气收集。</w:t>
                  </w:r>
                </w:p>
              </w:tc>
              <w:tc>
                <w:tcPr>
                  <w:tcW w:w="1457" w:type="pct"/>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en-US" w:eastAsia="zh-CN" w:bidi="zh-CN"/>
                    </w:rPr>
                  </w:pPr>
                  <w:r>
                    <w:rPr>
                      <w:rFonts w:hint="default" w:ascii="Times New Roman" w:hAnsi="Times New Roman" w:eastAsia="宋体" w:cs="Times New Roman"/>
                      <w:b w:val="0"/>
                      <w:bCs w:val="0"/>
                      <w:color w:val="auto"/>
                      <w:sz w:val="21"/>
                      <w:szCs w:val="21"/>
                      <w:lang w:val="en-US"/>
                    </w:rPr>
                    <w:t>注塑车间：拟在每个有机废气产生点侧向、上方设计吸风装置（设计风量10000m</w:t>
                  </w:r>
                  <w:r>
                    <w:rPr>
                      <w:rFonts w:hint="default" w:ascii="Times New Roman" w:hAnsi="Times New Roman" w:eastAsia="宋体" w:cs="Times New Roman"/>
                      <w:b w:val="0"/>
                      <w:bCs w:val="0"/>
                      <w:color w:val="auto"/>
                      <w:sz w:val="21"/>
                      <w:szCs w:val="21"/>
                      <w:vertAlign w:val="superscript"/>
                      <w:lang w:val="en-US"/>
                    </w:rPr>
                    <w:t>3</w:t>
                  </w:r>
                  <w:r>
                    <w:rPr>
                      <w:rFonts w:hint="default" w:ascii="Times New Roman" w:hAnsi="Times New Roman" w:eastAsia="宋体" w:cs="Times New Roman"/>
                      <w:b w:val="0"/>
                      <w:bCs w:val="0"/>
                      <w:color w:val="auto"/>
                      <w:sz w:val="21"/>
                      <w:szCs w:val="21"/>
                      <w:lang w:val="en-US"/>
                    </w:rPr>
                    <w:t>/h），为了确保收集效率，收集罩在注塑口处设置环形集气罩，将注塑产生的有机废气收集。</w:t>
                  </w:r>
                </w:p>
              </w:tc>
              <w:tc>
                <w:tcPr>
                  <w:tcW w:w="1411"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eastAsia="zh-CN"/>
                    </w:rPr>
                    <w:t>与环评一致</w:t>
                  </w:r>
                </w:p>
              </w:tc>
              <w:tc>
                <w:tcPr>
                  <w:tcW w:w="1272"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vAlign w:val="top"/>
                </w:tcPr>
                <w:p>
                  <w:pPr>
                    <w:pStyle w:val="2"/>
                    <w:jc w:val="both"/>
                    <w:rPr>
                      <w:rFonts w:ascii="宋体" w:hAnsi="宋体" w:eastAsia="宋体" w:cs="宋体"/>
                      <w:color w:val="000000"/>
                      <w:sz w:val="24"/>
                      <w:szCs w:val="24"/>
                      <w:vertAlign w:val="baseline"/>
                      <w:lang w:val="en-US" w:eastAsia="zh-CN" w:bidi="ar-SA"/>
                    </w:rPr>
                  </w:pPr>
                </w:p>
              </w:tc>
              <w:tc>
                <w:tcPr>
                  <w:tcW w:w="376" w:type="pct"/>
                  <w:vMerge w:val="continue"/>
                  <w:vAlign w:val="top"/>
                </w:tcPr>
                <w:p>
                  <w:pPr>
                    <w:pStyle w:val="2"/>
                    <w:jc w:val="both"/>
                    <w:rPr>
                      <w:rFonts w:ascii="宋体" w:hAnsi="宋体" w:eastAsia="宋体" w:cs="宋体"/>
                      <w:color w:val="000000"/>
                      <w:sz w:val="24"/>
                      <w:szCs w:val="24"/>
                      <w:vertAlign w:val="baseline"/>
                      <w:lang w:val="en-US" w:eastAsia="zh-CN" w:bidi="ar-SA"/>
                    </w:rPr>
                  </w:pPr>
                </w:p>
              </w:tc>
              <w:tc>
                <w:tcPr>
                  <w:tcW w:w="1474" w:type="pct"/>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zh-CN" w:eastAsia="zh-CN" w:bidi="zh-CN"/>
                    </w:rPr>
                  </w:pPr>
                  <w:r>
                    <w:rPr>
                      <w:rFonts w:hint="default" w:ascii="Times New Roman" w:hAnsi="Times New Roman" w:eastAsia="宋体" w:cs="Times New Roman"/>
                      <w:szCs w:val="21"/>
                      <w:lang w:val="en-US" w:eastAsia="zh-CN"/>
                    </w:rPr>
                    <w:t>喷漆房：拟设置密闭喷漆房1间，配制2台自动喷漆设备，2台人工喷漆设备，</w:t>
                  </w:r>
                  <w:r>
                    <w:rPr>
                      <w:rFonts w:hint="eastAsia" w:ascii="Times New Roman" w:hAnsi="Times New Roman" w:eastAsia="宋体" w:cs="Times New Roman"/>
                      <w:szCs w:val="21"/>
                      <w:lang w:val="en-US" w:eastAsia="zh-CN"/>
                    </w:rPr>
                    <w:t>共</w:t>
                  </w:r>
                  <w:r>
                    <w:rPr>
                      <w:rFonts w:hint="default" w:ascii="Times New Roman" w:hAnsi="Times New Roman" w:eastAsia="宋体" w:cs="Times New Roman"/>
                      <w:szCs w:val="21"/>
                      <w:lang w:val="en-US" w:eastAsia="zh-CN"/>
                    </w:rPr>
                    <w:t>4个工位，喷漆房内设置1个烘干房，采用电烘干。喷漆房采取顶部送风，底部排风（设计风量30000m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/h）。喷漆房废气随着喷漆房排风排出，再进入末端设置处理。</w:t>
                  </w:r>
                </w:p>
              </w:tc>
              <w:tc>
                <w:tcPr>
                  <w:tcW w:w="1457" w:type="pct"/>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zh-CN" w:eastAsia="zh-CN" w:bidi="zh-CN"/>
                    </w:rPr>
                  </w:pPr>
                  <w:r>
                    <w:rPr>
                      <w:rFonts w:hint="default" w:ascii="Times New Roman" w:hAnsi="Times New Roman" w:eastAsia="宋体" w:cs="Times New Roman"/>
                      <w:szCs w:val="21"/>
                      <w:lang w:val="en-US" w:eastAsia="zh-CN"/>
                    </w:rPr>
                    <w:t>喷漆房：拟设置密闭喷漆房1间，配制2台自动喷漆设备，2台人工喷漆设备，</w:t>
                  </w:r>
                  <w:r>
                    <w:rPr>
                      <w:rFonts w:hint="eastAsia" w:ascii="Times New Roman" w:hAnsi="Times New Roman" w:eastAsia="宋体" w:cs="Times New Roman"/>
                      <w:szCs w:val="21"/>
                      <w:lang w:val="en-US" w:eastAsia="zh-CN"/>
                    </w:rPr>
                    <w:t>共</w:t>
                  </w:r>
                  <w:r>
                    <w:rPr>
                      <w:rFonts w:hint="default" w:ascii="Times New Roman" w:hAnsi="Times New Roman" w:eastAsia="宋体" w:cs="Times New Roman"/>
                      <w:szCs w:val="21"/>
                      <w:lang w:val="en-US" w:eastAsia="zh-CN"/>
                    </w:rPr>
                    <w:t>4个工位，喷漆房内设置1个烘干房，采用电烘干。喷漆房采取顶部送风，底部排风（设计风量30000m</w:t>
                  </w:r>
                  <w:r>
                    <w:rPr>
                      <w:rFonts w:hint="default" w:ascii="Times New Roman" w:hAnsi="Times New Roman" w:eastAsia="宋体" w:cs="Times New Roman"/>
                      <w:szCs w:val="21"/>
                      <w:vertAlign w:val="superscript"/>
                      <w:lang w:val="en-US" w:eastAsia="zh-CN"/>
                    </w:rPr>
                    <w:t>3</w:t>
                  </w:r>
                  <w:r>
                    <w:rPr>
                      <w:rFonts w:hint="default" w:ascii="Times New Roman" w:hAnsi="Times New Roman" w:eastAsia="宋体" w:cs="Times New Roman"/>
                      <w:szCs w:val="21"/>
                      <w:lang w:val="en-US" w:eastAsia="zh-CN"/>
                    </w:rPr>
                    <w:t>/h）。喷漆房废气随着喷漆房排风排出，再进入末端设置处理。</w:t>
                  </w:r>
                </w:p>
              </w:tc>
              <w:tc>
                <w:tcPr>
                  <w:tcW w:w="1411"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eastAsia="zh-CN"/>
                    </w:rPr>
                    <w:t>与环评一致</w:t>
                  </w:r>
                </w:p>
              </w:tc>
              <w:tc>
                <w:tcPr>
                  <w:tcW w:w="1272" w:type="dxa"/>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val="en-US" w:eastAsia="zh-CN"/>
                    </w:rPr>
                    <w:t>/</w:t>
                  </w:r>
                </w:p>
              </w:tc>
            </w:tr>
          </w:tbl>
          <w:p>
            <w:pPr>
              <w:pStyle w:val="2"/>
              <w:jc w:val="both"/>
              <w:rPr>
                <w:vertAlign w:val="baseline"/>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1" w:hRule="atLeast"/>
        </w:trPr>
        <w:tc>
          <w:tcPr>
            <w:tcW w:w="9764" w:type="dxa"/>
          </w:tcPr>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679"/>
              <w:gridCol w:w="715"/>
              <w:gridCol w:w="2175"/>
              <w:gridCol w:w="2808"/>
              <w:gridCol w:w="137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tcPr>
                <w:p>
                  <w:pPr>
                    <w:pStyle w:val="2"/>
                    <w:jc w:val="both"/>
                    <w:rPr>
                      <w:vertAlign w:val="baseline"/>
                    </w:rPr>
                  </w:pPr>
                </w:p>
              </w:tc>
              <w:tc>
                <w:tcPr>
                  <w:tcW w:w="356" w:type="pct"/>
                  <w:vMerge w:val="restart"/>
                </w:tcPr>
                <w:p>
                  <w:pPr>
                    <w:pStyle w:val="2"/>
                    <w:jc w:val="both"/>
                    <w:rPr>
                      <w:vertAlign w:val="baseline"/>
                    </w:rPr>
                  </w:pPr>
                </w:p>
              </w:tc>
              <w:tc>
                <w:tcPr>
                  <w:tcW w:w="1516" w:type="pct"/>
                  <w:gridSpan w:val="2"/>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zh-CN" w:eastAsia="zh-CN" w:bidi="zh-CN"/>
                    </w:rPr>
                  </w:pPr>
                  <w:r>
                    <w:rPr>
                      <w:rFonts w:hint="default" w:ascii="Times New Roman" w:hAnsi="Times New Roman" w:eastAsia="宋体" w:cs="Times New Roman"/>
                      <w:b w:val="0"/>
                      <w:bCs w:val="0"/>
                      <w:color w:val="auto"/>
                      <w:sz w:val="21"/>
                      <w:szCs w:val="21"/>
                      <w:lang w:val="en-US"/>
                    </w:rPr>
                    <w:t>末端治理设施：有机废气汇至同一根管道进入活性炭吸附装置处理，经分解吸附后由15m排气筒排放。</w:t>
                  </w:r>
                </w:p>
              </w:tc>
              <w:tc>
                <w:tcPr>
                  <w:tcW w:w="1473" w:type="pct"/>
                  <w:vAlign w:val="center"/>
                </w:tcPr>
                <w:p>
                  <w:pPr>
                    <w:spacing w:line="276" w:lineRule="auto"/>
                    <w:ind w:left="0" w:leftChars="0" w:right="0" w:rightChars="0"/>
                    <w:jc w:val="center"/>
                    <w:rPr>
                      <w:rFonts w:hint="default" w:ascii="Times New Roman" w:hAnsi="Times New Roman" w:eastAsia="宋体" w:cs="Times New Roman"/>
                      <w:bCs/>
                      <w:color w:val="FF0000"/>
                      <w:sz w:val="21"/>
                      <w:szCs w:val="21"/>
                      <w:lang w:val="zh-CN" w:eastAsia="zh-CN" w:bidi="zh-CN"/>
                    </w:rPr>
                  </w:pPr>
                  <w:r>
                    <w:rPr>
                      <w:rFonts w:hint="default" w:ascii="Times New Roman" w:hAnsi="Times New Roman" w:eastAsia="宋体" w:cs="Times New Roman"/>
                      <w:b w:val="0"/>
                      <w:bCs w:val="0"/>
                      <w:color w:val="auto"/>
                      <w:sz w:val="21"/>
                      <w:szCs w:val="21"/>
                      <w:lang w:val="en-US"/>
                    </w:rPr>
                    <w:t>末端治理设施：有机废气汇至同一根管道进入活性炭吸附装置处理，经分解吸附后由15m排气筒排放。</w:t>
                  </w:r>
                </w:p>
              </w:tc>
              <w:tc>
                <w:tcPr>
                  <w:tcW w:w="723" w:type="pct"/>
                  <w:vAlign w:val="center"/>
                </w:tcPr>
                <w:p>
                  <w:pPr>
                    <w:spacing w:line="276" w:lineRule="auto"/>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增设喷淋塔</w:t>
                  </w:r>
                </w:p>
              </w:tc>
              <w:tc>
                <w:tcPr>
                  <w:tcW w:w="675" w:type="pct"/>
                  <w:vAlign w:val="center"/>
                </w:tcPr>
                <w:p>
                  <w:pPr>
                    <w:spacing w:line="276" w:lineRule="auto"/>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处理效果更佳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tcPr>
                <w:p>
                  <w:pPr>
                    <w:pStyle w:val="2"/>
                    <w:jc w:val="both"/>
                    <w:rPr>
                      <w:vertAlign w:val="baseline"/>
                    </w:rPr>
                  </w:pPr>
                </w:p>
              </w:tc>
              <w:tc>
                <w:tcPr>
                  <w:tcW w:w="356" w:type="pct"/>
                  <w:vMerge w:val="continue"/>
                </w:tcPr>
                <w:p>
                  <w:pPr>
                    <w:pStyle w:val="2"/>
                    <w:jc w:val="both"/>
                    <w:rPr>
                      <w:vertAlign w:val="baseline"/>
                    </w:rPr>
                  </w:pPr>
                </w:p>
              </w:tc>
              <w:tc>
                <w:tcPr>
                  <w:tcW w:w="1516" w:type="pct"/>
                  <w:gridSpan w:val="2"/>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选用低噪声设备，经减震、厂房隔声措施降噪。</w:t>
                  </w:r>
                </w:p>
              </w:tc>
              <w:tc>
                <w:tcPr>
                  <w:tcW w:w="1473" w:type="pc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选用低噪声设备，经减震、厂房隔声措施降噪。</w:t>
                  </w:r>
                </w:p>
              </w:tc>
              <w:tc>
                <w:tcPr>
                  <w:tcW w:w="723" w:type="pct"/>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eastAsia="zh-CN"/>
                    </w:rPr>
                    <w:t>与环评一致</w:t>
                  </w:r>
                </w:p>
              </w:tc>
              <w:tc>
                <w:tcPr>
                  <w:tcW w:w="675" w:type="pct"/>
                  <w:vAlign w:val="center"/>
                </w:tcPr>
                <w:p>
                  <w:pPr>
                    <w:pStyle w:val="2"/>
                    <w:jc w:val="center"/>
                    <w:rPr>
                      <w:rFonts w:ascii="宋体" w:hAnsi="宋体" w:eastAsia="宋体" w:cs="宋体"/>
                      <w:color w:val="000000"/>
                      <w:sz w:val="24"/>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tcPr>
                <w:p>
                  <w:pPr>
                    <w:pStyle w:val="2"/>
                    <w:jc w:val="both"/>
                    <w:rPr>
                      <w:vertAlign w:val="baseline"/>
                    </w:rPr>
                  </w:pPr>
                </w:p>
              </w:tc>
              <w:tc>
                <w:tcPr>
                  <w:tcW w:w="356" w:type="pct"/>
                  <w:vMerge w:val="restart"/>
                  <w:vAlign w:val="center"/>
                </w:tcPr>
                <w:p>
                  <w:pPr>
                    <w:ind w:left="0" w:leftChars="0" w:right="0" w:rightChars="0"/>
                    <w:jc w:val="center"/>
                    <w:rPr>
                      <w:rFonts w:hint="default" w:ascii="Times New Roman" w:hAnsi="Times New Roman" w:eastAsia="宋体" w:cs="Times New Roman"/>
                      <w:bCs/>
                      <w:color w:val="auto"/>
                      <w:sz w:val="21"/>
                      <w:szCs w:val="21"/>
                      <w:lang w:val="zh-CN" w:eastAsia="zh-CN" w:bidi="zh-CN"/>
                    </w:rPr>
                  </w:pPr>
                  <w:r>
                    <w:rPr>
                      <w:rFonts w:hint="default" w:ascii="Times New Roman" w:hAnsi="Times New Roman" w:cs="Times New Roman"/>
                      <w:bCs/>
                      <w:color w:val="auto"/>
                      <w:sz w:val="21"/>
                      <w:szCs w:val="21"/>
                    </w:rPr>
                    <w:t>固废</w:t>
                  </w:r>
                </w:p>
              </w:tc>
              <w:tc>
                <w:tcPr>
                  <w:tcW w:w="375"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zh-CN" w:eastAsia="zh-CN" w:bidi="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一般固废间</w:t>
                  </w:r>
                </w:p>
              </w:tc>
              <w:tc>
                <w:tcPr>
                  <w:tcW w:w="1140"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en-US" w:eastAsia="zh-CN" w:bidi="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位于厂房振机区东侧</w:t>
                  </w:r>
                  <w:r>
                    <w:rPr>
                      <w:rFonts w:hint="default" w:ascii="Times New Roman" w:hAnsi="Times New Roman" w:cs="Times New Roman"/>
                      <w:bCs/>
                      <w:color w:val="000000" w:themeColor="text1"/>
                      <w:sz w:val="21"/>
                      <w:szCs w:val="21"/>
                      <w14:textFill>
                        <w14:solidFill>
                          <w14:schemeClr w14:val="tx1"/>
                        </w14:solidFill>
                      </w14:textFill>
                    </w:rPr>
                    <w:t>，建筑面积约</w:t>
                  </w:r>
                  <w:r>
                    <w:rPr>
                      <w:rFonts w:hint="default" w:ascii="Times New Roman" w:hAnsi="Times New Roman" w:cs="Times New Roman"/>
                      <w:bCs/>
                      <w:color w:val="000000" w:themeColor="text1"/>
                      <w:sz w:val="21"/>
                      <w:szCs w:val="21"/>
                      <w:lang w:val="en-US" w:eastAsia="zh-CN"/>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0m</w:t>
                  </w:r>
                  <w:r>
                    <w:rPr>
                      <w:rFonts w:hint="default" w:ascii="Times New Roman" w:hAnsi="Times New Roman" w:cs="Times New Roman"/>
                      <w:bCs/>
                      <w:color w:val="000000" w:themeColor="text1"/>
                      <w:sz w:val="21"/>
                      <w:szCs w:val="21"/>
                      <w:vertAlign w:val="superscript"/>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，用于暂存厂区产生的一般固废。</w:t>
                  </w:r>
                </w:p>
              </w:tc>
              <w:tc>
                <w:tcPr>
                  <w:tcW w:w="1473"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en-US" w:eastAsia="zh-CN" w:bidi="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位于厂房振机区东侧</w:t>
                  </w:r>
                  <w:r>
                    <w:rPr>
                      <w:rFonts w:hint="default" w:ascii="Times New Roman" w:hAnsi="Times New Roman" w:cs="Times New Roman"/>
                      <w:bCs/>
                      <w:color w:val="000000" w:themeColor="text1"/>
                      <w:sz w:val="21"/>
                      <w:szCs w:val="21"/>
                      <w14:textFill>
                        <w14:solidFill>
                          <w14:schemeClr w14:val="tx1"/>
                        </w14:solidFill>
                      </w14:textFill>
                    </w:rPr>
                    <w:t>，建筑面积约</w:t>
                  </w:r>
                  <w:r>
                    <w:rPr>
                      <w:rFonts w:hint="default" w:ascii="Times New Roman" w:hAnsi="Times New Roman" w:cs="Times New Roman"/>
                      <w:bCs/>
                      <w:color w:val="000000" w:themeColor="text1"/>
                      <w:sz w:val="21"/>
                      <w:szCs w:val="21"/>
                      <w:lang w:val="en-US" w:eastAsia="zh-CN"/>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0m</w:t>
                  </w:r>
                  <w:r>
                    <w:rPr>
                      <w:rFonts w:hint="default" w:ascii="Times New Roman" w:hAnsi="Times New Roman" w:cs="Times New Roman"/>
                      <w:bCs/>
                      <w:color w:val="000000" w:themeColor="text1"/>
                      <w:sz w:val="21"/>
                      <w:szCs w:val="21"/>
                      <w:vertAlign w:val="superscript"/>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，用于暂存厂区产生的一般固废。</w:t>
                  </w:r>
                </w:p>
              </w:tc>
              <w:tc>
                <w:tcPr>
                  <w:tcW w:w="723" w:type="pct"/>
                  <w:vAlign w:val="center"/>
                </w:tcPr>
                <w:p>
                  <w:pPr>
                    <w:pStyle w:val="2"/>
                    <w:jc w:val="center"/>
                    <w:rPr>
                      <w:vertAlign w:val="baseline"/>
                    </w:rPr>
                  </w:pPr>
                  <w:r>
                    <w:rPr>
                      <w:rFonts w:hint="eastAsia"/>
                      <w:b w:val="0"/>
                      <w:bCs/>
                      <w:sz w:val="21"/>
                      <w:vertAlign w:val="baseline"/>
                      <w:lang w:eastAsia="zh-CN"/>
                    </w:rPr>
                    <w:t>与环评一致</w:t>
                  </w:r>
                </w:p>
              </w:tc>
              <w:tc>
                <w:tcPr>
                  <w:tcW w:w="675" w:type="pct"/>
                  <w:vAlign w:val="center"/>
                </w:tcPr>
                <w:p>
                  <w:pPr>
                    <w:pStyle w:val="2"/>
                    <w:jc w:val="center"/>
                    <w:rPr>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tcPr>
                <w:p>
                  <w:pPr>
                    <w:pStyle w:val="2"/>
                    <w:jc w:val="both"/>
                    <w:rPr>
                      <w:vertAlign w:val="baseline"/>
                    </w:rPr>
                  </w:pPr>
                </w:p>
              </w:tc>
              <w:tc>
                <w:tcPr>
                  <w:tcW w:w="356" w:type="pct"/>
                  <w:vMerge w:val="continue"/>
                  <w:vAlign w:val="top"/>
                </w:tcPr>
                <w:p>
                  <w:pPr>
                    <w:pStyle w:val="2"/>
                    <w:jc w:val="both"/>
                    <w:rPr>
                      <w:rFonts w:ascii="宋体" w:hAnsi="宋体" w:eastAsia="宋体" w:cs="宋体"/>
                      <w:color w:val="000000"/>
                      <w:sz w:val="24"/>
                      <w:szCs w:val="24"/>
                      <w:vertAlign w:val="baseline"/>
                      <w:lang w:val="en-US" w:eastAsia="zh-CN" w:bidi="ar-SA"/>
                    </w:rPr>
                  </w:pPr>
                </w:p>
              </w:tc>
              <w:tc>
                <w:tcPr>
                  <w:tcW w:w="375"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zh-CN" w:eastAsia="zh-CN" w:bidi="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危废间</w:t>
                  </w:r>
                </w:p>
              </w:tc>
              <w:tc>
                <w:tcPr>
                  <w:tcW w:w="1140"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zh-CN" w:eastAsia="zh-CN" w:bidi="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位于一般固废间旁，建筑面积约为</w:t>
                  </w:r>
                  <w:r>
                    <w:rPr>
                      <w:rFonts w:hint="default" w:ascii="Times New Roman" w:hAnsi="Times New Roman" w:cs="Times New Roman"/>
                      <w:bCs/>
                      <w:color w:val="000000" w:themeColor="text1"/>
                      <w:sz w:val="21"/>
                      <w:szCs w:val="21"/>
                      <w:lang w:val="en-US" w:eastAsia="zh-CN"/>
                      <w14:textFill>
                        <w14:solidFill>
                          <w14:schemeClr w14:val="tx1"/>
                        </w14:solidFill>
                      </w14:textFill>
                    </w:rPr>
                    <w:t>50</w:t>
                  </w:r>
                  <w:r>
                    <w:rPr>
                      <w:rFonts w:hint="default" w:ascii="Times New Roman" w:hAnsi="Times New Roman" w:cs="Times New Roman"/>
                      <w:bCs/>
                      <w:color w:val="000000" w:themeColor="text1"/>
                      <w:sz w:val="21"/>
                      <w:szCs w:val="21"/>
                      <w14:textFill>
                        <w14:solidFill>
                          <w14:schemeClr w14:val="tx1"/>
                        </w14:solidFill>
                      </w14:textFill>
                    </w:rPr>
                    <w:t>m</w:t>
                  </w:r>
                  <w:r>
                    <w:rPr>
                      <w:rFonts w:hint="default" w:ascii="Times New Roman" w:hAnsi="Times New Roman" w:cs="Times New Roman"/>
                      <w:bCs/>
                      <w:color w:val="000000" w:themeColor="text1"/>
                      <w:sz w:val="21"/>
                      <w:szCs w:val="21"/>
                      <w:vertAlign w:val="superscript"/>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，用于暂存厂区产生的危废。</w:t>
                  </w:r>
                </w:p>
              </w:tc>
              <w:tc>
                <w:tcPr>
                  <w:tcW w:w="1473" w:type="pct"/>
                  <w:vAlign w:val="center"/>
                </w:tcPr>
                <w:p>
                  <w:pPr>
                    <w:ind w:left="0" w:leftChars="0" w:right="0" w:rightChars="0"/>
                    <w:jc w:val="center"/>
                    <w:rPr>
                      <w:rFonts w:hint="default" w:ascii="Times New Roman" w:hAnsi="Times New Roman" w:eastAsia="宋体" w:cs="Times New Roman"/>
                      <w:bCs/>
                      <w:color w:val="000000" w:themeColor="text1"/>
                      <w:sz w:val="21"/>
                      <w:szCs w:val="21"/>
                      <w:lang w:val="zh-CN" w:eastAsia="zh-CN" w:bidi="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位于一般固废间旁，建筑面积约为</w:t>
                  </w:r>
                  <w:r>
                    <w:rPr>
                      <w:rFonts w:hint="default" w:ascii="Times New Roman" w:hAnsi="Times New Roman" w:cs="Times New Roman"/>
                      <w:bCs/>
                      <w:color w:val="000000" w:themeColor="text1"/>
                      <w:sz w:val="21"/>
                      <w:szCs w:val="21"/>
                      <w:lang w:val="en-US" w:eastAsia="zh-CN"/>
                      <w14:textFill>
                        <w14:solidFill>
                          <w14:schemeClr w14:val="tx1"/>
                        </w14:solidFill>
                      </w14:textFill>
                    </w:rPr>
                    <w:t>50</w:t>
                  </w:r>
                  <w:r>
                    <w:rPr>
                      <w:rFonts w:hint="default" w:ascii="Times New Roman" w:hAnsi="Times New Roman" w:cs="Times New Roman"/>
                      <w:bCs/>
                      <w:color w:val="000000" w:themeColor="text1"/>
                      <w:sz w:val="21"/>
                      <w:szCs w:val="21"/>
                      <w14:textFill>
                        <w14:solidFill>
                          <w14:schemeClr w14:val="tx1"/>
                        </w14:solidFill>
                      </w14:textFill>
                    </w:rPr>
                    <w:t>m</w:t>
                  </w:r>
                  <w:r>
                    <w:rPr>
                      <w:rFonts w:hint="default" w:ascii="Times New Roman" w:hAnsi="Times New Roman" w:cs="Times New Roman"/>
                      <w:bCs/>
                      <w:color w:val="000000" w:themeColor="text1"/>
                      <w:sz w:val="21"/>
                      <w:szCs w:val="21"/>
                      <w:vertAlign w:val="superscript"/>
                      <w14:textFill>
                        <w14:solidFill>
                          <w14:schemeClr w14:val="tx1"/>
                        </w14:solidFill>
                      </w14:textFill>
                    </w:rPr>
                    <w:t>2</w:t>
                  </w:r>
                  <w:r>
                    <w:rPr>
                      <w:rFonts w:hint="default" w:ascii="Times New Roman" w:hAnsi="Times New Roman" w:cs="Times New Roman"/>
                      <w:bCs/>
                      <w:color w:val="000000" w:themeColor="text1"/>
                      <w:sz w:val="21"/>
                      <w:szCs w:val="21"/>
                      <w14:textFill>
                        <w14:solidFill>
                          <w14:schemeClr w14:val="tx1"/>
                        </w14:solidFill>
                      </w14:textFill>
                    </w:rPr>
                    <w:t>，用于暂存厂区产生的危废。</w:t>
                  </w:r>
                </w:p>
              </w:tc>
              <w:tc>
                <w:tcPr>
                  <w:tcW w:w="723" w:type="pct"/>
                  <w:vAlign w:val="center"/>
                </w:tcPr>
                <w:p>
                  <w:pPr>
                    <w:pStyle w:val="2"/>
                    <w:jc w:val="center"/>
                    <w:rPr>
                      <w:vertAlign w:val="baseline"/>
                    </w:rPr>
                  </w:pPr>
                  <w:r>
                    <w:rPr>
                      <w:rFonts w:hint="eastAsia"/>
                      <w:b w:val="0"/>
                      <w:bCs/>
                      <w:sz w:val="21"/>
                      <w:vertAlign w:val="baseline"/>
                      <w:lang w:eastAsia="zh-CN"/>
                    </w:rPr>
                    <w:t>与环评一致</w:t>
                  </w:r>
                </w:p>
              </w:tc>
              <w:tc>
                <w:tcPr>
                  <w:tcW w:w="675" w:type="pct"/>
                  <w:vAlign w:val="center"/>
                </w:tcPr>
                <w:p>
                  <w:pPr>
                    <w:pStyle w:val="2"/>
                    <w:jc w:val="center"/>
                    <w:rPr>
                      <w:vertAlign w:val="baseline"/>
                    </w:rPr>
                  </w:pPr>
                  <w:r>
                    <w:rPr>
                      <w:rFonts w:hint="eastAsia"/>
                      <w:b w:val="0"/>
                      <w:bCs/>
                      <w:sz w:val="21"/>
                      <w:vertAlign w:val="baseline"/>
                      <w:lang w:val="en-US" w:eastAsia="zh-CN"/>
                    </w:rPr>
                    <w:t>/</w:t>
                  </w:r>
                </w:p>
              </w:tc>
            </w:tr>
          </w:tbl>
          <w:p>
            <w:pPr>
              <w:pStyle w:val="13"/>
              <w:spacing w:after="0" w:line="540" w:lineRule="exact"/>
              <w:ind w:left="0" w:leftChars="0" w:firstLine="0" w:firstLineChars="0"/>
              <w:rPr>
                <w:rFonts w:hint="eastAsia" w:hAnsi="宋体" w:asciiTheme="minorHAnsi" w:eastAsiaTheme="minorEastAsia" w:cstheme="minorBidi"/>
                <w:b/>
                <w:bCs/>
                <w:kern w:val="2"/>
                <w:sz w:val="24"/>
                <w:szCs w:val="24"/>
                <w:lang w:val="en-US" w:eastAsia="zh-CN" w:bidi="ar-SA"/>
              </w:rPr>
            </w:pPr>
            <w:r>
              <w:rPr>
                <w:rFonts w:hint="eastAsia" w:hAnsi="宋体" w:asciiTheme="minorHAnsi" w:eastAsiaTheme="minorEastAsia" w:cstheme="minorBidi"/>
                <w:b/>
                <w:bCs/>
                <w:kern w:val="2"/>
                <w:sz w:val="24"/>
                <w:szCs w:val="24"/>
                <w:lang w:val="en-US" w:eastAsia="zh-CN" w:bidi="ar-SA"/>
              </w:rPr>
              <w:t>建设内容及规模变更情况</w:t>
            </w:r>
          </w:p>
          <w:p>
            <w:pPr>
              <w:widowControl w:val="0"/>
              <w:spacing w:after="0" w:line="500" w:lineRule="exact"/>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sz w:val="24"/>
                <w:szCs w:val="24"/>
                <w:lang w:val="en-US" w:eastAsia="zh-CN" w:bidi="zh-CN"/>
              </w:rPr>
              <w:t>重庆万瑞眼镜有限公司眼镜镜架生产项目</w:t>
            </w:r>
            <w:r>
              <w:rPr>
                <w:rFonts w:hint="default" w:ascii="Times New Roman" w:hAnsi="Times New Roman" w:eastAsia="宋体" w:cs="Times New Roman"/>
                <w:sz w:val="24"/>
                <w:szCs w:val="24"/>
                <w:lang w:val="en-US" w:eastAsia="zh-CN" w:bidi="zh-CN"/>
              </w:rPr>
              <w:t>建设内容及规模与环评和批复相比，项目</w:t>
            </w:r>
            <w:r>
              <w:rPr>
                <w:rFonts w:hint="eastAsia" w:ascii="Times New Roman" w:hAnsi="Times New Roman" w:eastAsia="宋体" w:cs="Times New Roman"/>
                <w:sz w:val="24"/>
                <w:szCs w:val="24"/>
                <w:lang w:val="en-US" w:eastAsia="zh-CN" w:bidi="zh-CN"/>
              </w:rPr>
              <w:t>增设喷淋塔处理，利于有机废气的处理；</w:t>
            </w:r>
            <w:r>
              <w:rPr>
                <w:rFonts w:hint="default" w:ascii="Times New Roman" w:hAnsi="Times New Roman" w:eastAsia="宋体" w:cs="Times New Roman"/>
                <w:color w:val="auto"/>
                <w:kern w:val="0"/>
                <w:sz w:val="24"/>
                <w:szCs w:val="24"/>
                <w:lang w:val="en-US" w:eastAsia="zh-CN" w:bidi="ar-SA"/>
              </w:rPr>
              <w:t>目喷淋废水成分相对较复杂，且产生量较小。因此，本项目不设置喷淋废水预处理设施，定期更换的喷淋废水计入危废处置。</w:t>
            </w:r>
          </w:p>
          <w:p>
            <w:pPr>
              <w:widowControl w:val="0"/>
              <w:spacing w:after="0" w:line="500" w:lineRule="exact"/>
              <w:ind w:firstLine="480" w:firstLineChars="20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kern w:val="0"/>
                <w:sz w:val="24"/>
                <w:szCs w:val="24"/>
                <w:lang w:val="en-US" w:eastAsia="zh-CN" w:bidi="ar-SA"/>
              </w:rPr>
              <w:t>项目租用重庆市奉节县移民生态产业园兴园路1号B</w:t>
            </w:r>
            <w:r>
              <w:rPr>
                <w:rFonts w:hint="eastAsia" w:ascii="Times New Roman" w:hAnsi="Times New Roman" w:eastAsia="宋体" w:cs="Times New Roman"/>
                <w:color w:val="auto"/>
                <w:kern w:val="0"/>
                <w:sz w:val="24"/>
                <w:szCs w:val="24"/>
                <w:lang w:val="en-US" w:eastAsia="zh-CN" w:bidi="ar-SA"/>
              </w:rPr>
              <w:t>7</w:t>
            </w:r>
            <w:r>
              <w:rPr>
                <w:rFonts w:hint="default" w:ascii="Times New Roman" w:hAnsi="Times New Roman" w:eastAsia="宋体" w:cs="Times New Roman"/>
                <w:color w:val="auto"/>
                <w:kern w:val="0"/>
                <w:sz w:val="24"/>
                <w:szCs w:val="24"/>
                <w:lang w:val="en-US" w:eastAsia="zh-CN" w:bidi="ar-SA"/>
              </w:rPr>
              <w:t>幢4层标准厂房，污废水处理依托厂区已经修建的生化池，该生化池设计处理能力为50m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/d，出水水质能稳定达到《污水综合排放标准》（GB8978-1996）三级标准，根据调查，该生化池可接收B</w:t>
            </w:r>
            <w:r>
              <w:rPr>
                <w:rFonts w:hint="eastAsia" w:ascii="Times New Roman" w:hAnsi="Times New Roman" w:eastAsia="宋体" w:cs="Times New Roman"/>
                <w:color w:val="auto"/>
                <w:kern w:val="0"/>
                <w:sz w:val="24"/>
                <w:szCs w:val="24"/>
                <w:lang w:val="en-US" w:eastAsia="zh-CN" w:bidi="ar-SA"/>
              </w:rPr>
              <w:t>7</w:t>
            </w:r>
            <w:r>
              <w:rPr>
                <w:rFonts w:hint="default" w:ascii="Times New Roman" w:hAnsi="Times New Roman" w:eastAsia="宋体" w:cs="Times New Roman"/>
                <w:color w:val="auto"/>
                <w:kern w:val="0"/>
                <w:sz w:val="24"/>
                <w:szCs w:val="24"/>
                <w:lang w:val="en-US" w:eastAsia="zh-CN" w:bidi="ar-SA"/>
              </w:rPr>
              <w:t>幢标准厂房产生的生活污水和部分低浓度生产废水，本项目生产废水中主要含有少量LAS、SS、石油类，水质成分简单，不含重金属和难降解的有机物，均不是高浓度废水，无毒害，可排入已建生化池，根据调查该生化池目前约有15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/d余量，能满足本项目产生的4.197m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/d的废水处理需求。</w:t>
            </w:r>
            <w:r>
              <w:rPr>
                <w:rFonts w:hint="default" w:ascii="Times New Roman" w:hAnsi="Times New Roman" w:eastAsia="宋体" w:cs="Times New Roman"/>
                <w:sz w:val="24"/>
                <w:szCs w:val="24"/>
                <w:lang w:val="en-US" w:eastAsia="zh-CN"/>
              </w:rPr>
              <w:t>其排放浓度满足环评要求。</w:t>
            </w:r>
            <w:r>
              <w:rPr>
                <w:rFonts w:hint="default" w:ascii="Times New Roman" w:hAnsi="Times New Roman" w:eastAsia="宋体" w:cs="Times New Roman"/>
                <w:color w:val="auto"/>
                <w:kern w:val="0"/>
                <w:sz w:val="24"/>
                <w:szCs w:val="24"/>
                <w:lang w:val="en-US" w:eastAsia="zh-CN" w:bidi="ar-SA"/>
              </w:rPr>
              <w:t>其余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环保治理设施已按照环评要求进行建设。</w:t>
            </w:r>
          </w:p>
          <w:p>
            <w:pPr>
              <w:spacing w:line="240" w:lineRule="auto"/>
              <w:jc w:val="center"/>
              <w:rPr>
                <w:rFonts w:hint="eastAsia"/>
                <w:lang w:val="en-US" w:eastAsia="zh-CN"/>
              </w:rPr>
            </w:pPr>
            <w:r>
              <w:rPr>
                <w:rFonts w:hint="eastAsia"/>
                <w:b/>
                <w:bCs/>
                <w:sz w:val="21"/>
                <w:szCs w:val="21"/>
                <w:lang w:val="en-US" w:eastAsia="zh-CN"/>
              </w:rPr>
              <w:t>废水</w:t>
            </w:r>
            <w:r>
              <w:rPr>
                <w:rFonts w:hint="eastAsia"/>
                <w:b/>
                <w:bCs/>
                <w:sz w:val="21"/>
                <w:szCs w:val="21"/>
                <w:lang w:eastAsia="zh-CN"/>
              </w:rPr>
              <w:t>排放</w:t>
            </w:r>
            <w:r>
              <w:rPr>
                <w:b/>
                <w:bCs/>
                <w:sz w:val="21"/>
                <w:szCs w:val="21"/>
              </w:rPr>
              <w:t>情况表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3527"/>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53" w:type="pct"/>
                  <w:vAlign w:val="center"/>
                </w:tcPr>
                <w:p>
                  <w:pPr>
                    <w:pStyle w:val="27"/>
                    <w:rPr>
                      <w:rFonts w:hint="default" w:ascii="Times New Roman" w:hAnsi="Times New Roman" w:cs="Times New Roman"/>
                      <w:lang w:val="en-US" w:eastAsia="zh-CN"/>
                    </w:rPr>
                  </w:pPr>
                  <w:r>
                    <w:rPr>
                      <w:rFonts w:hint="default" w:ascii="Times New Roman" w:hAnsi="Times New Roman" w:cs="Times New Roman"/>
                      <w:lang w:val="en-US" w:eastAsia="zh-CN"/>
                    </w:rPr>
                    <w:t>污染物</w:t>
                  </w:r>
                </w:p>
              </w:tc>
              <w:tc>
                <w:tcPr>
                  <w:tcW w:w="1849" w:type="pct"/>
                  <w:vAlign w:val="center"/>
                </w:tcPr>
                <w:p>
                  <w:pPr>
                    <w:pStyle w:val="27"/>
                    <w:rPr>
                      <w:rFonts w:hint="default" w:ascii="Times New Roman" w:hAnsi="Times New Roman" w:cs="Times New Roman"/>
                      <w:lang w:val="en-US" w:eastAsia="zh-CN"/>
                    </w:rPr>
                  </w:pPr>
                  <w:r>
                    <w:rPr>
                      <w:rFonts w:hint="default" w:ascii="Times New Roman" w:hAnsi="Times New Roman" w:cs="Times New Roman"/>
                      <w:lang w:val="en-US" w:eastAsia="zh-CN"/>
                    </w:rPr>
                    <w:t>平均排放浓度，mg/L</w:t>
                  </w:r>
                </w:p>
              </w:tc>
              <w:tc>
                <w:tcPr>
                  <w:tcW w:w="1696" w:type="pct"/>
                  <w:vAlign w:val="center"/>
                </w:tcPr>
                <w:p>
                  <w:pPr>
                    <w:pStyle w:val="27"/>
                    <w:rPr>
                      <w:rFonts w:hint="default" w:ascii="Times New Roman" w:hAnsi="Times New Roman" w:cs="Times New Roman"/>
                      <w:lang w:val="en-US" w:eastAsia="zh-CN"/>
                    </w:rPr>
                  </w:pPr>
                  <w:r>
                    <w:rPr>
                      <w:rFonts w:hint="default" w:ascii="Times New Roman" w:hAnsi="Times New Roman" w:cs="Times New Roman"/>
                      <w:lang w:val="en-US" w:eastAsia="zh-CN"/>
                    </w:rPr>
                    <w:t>环评</w:t>
                  </w:r>
                  <w:r>
                    <w:rPr>
                      <w:rFonts w:hint="eastAsia" w:ascii="Times New Roman" w:hAnsi="Times New Roman" w:cs="Times New Roman"/>
                      <w:lang w:val="en-US" w:eastAsia="zh-CN"/>
                    </w:rPr>
                    <w:t>要求浓度，</w:t>
                  </w:r>
                  <w:r>
                    <w:rPr>
                      <w:rFonts w:hint="default" w:ascii="Times New Roman" w:hAnsi="Times New Roman" w:cs="Times New Roman"/>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sz w:val="21"/>
                      <w:szCs w:val="21"/>
                      <w:lang w:val="en-US" w:eastAsia="zh-CN"/>
                    </w:rPr>
                    <w:t>化学需氧量</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84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kern w:val="2"/>
                      <w:sz w:val="21"/>
                      <w:szCs w:val="21"/>
                      <w:lang w:val="en-US"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b w:val="0"/>
                      <w:bCs/>
                      <w:color w:val="000000"/>
                      <w:sz w:val="21"/>
                      <w:szCs w:val="21"/>
                      <w:lang w:val="en-US" w:eastAsia="zh-CN"/>
                    </w:rPr>
                    <w:t>悬浮物</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20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kern w:val="2"/>
                      <w:sz w:val="21"/>
                      <w:szCs w:val="21"/>
                      <w:lang w:val="en-US" w:eastAsia="zh-CN" w:bidi="ar-S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eastAsia" w:ascii="Times New Roman" w:hAnsi="Times New Roman" w:cs="Times New Roman"/>
                      <w:lang w:val="zh-CN" w:eastAsia="zh-CN"/>
                    </w:rPr>
                  </w:pPr>
                  <w:r>
                    <w:rPr>
                      <w:rFonts w:hint="eastAsia" w:ascii="Times New Roman" w:hAnsi="Times New Roman" w:eastAsia="宋体" w:cs="Times New Roman"/>
                      <w:b w:val="0"/>
                      <w:bCs/>
                      <w:color w:val="000000"/>
                      <w:sz w:val="21"/>
                      <w:szCs w:val="21"/>
                      <w:lang w:val="en-US" w:eastAsia="zh-CN"/>
                    </w:rPr>
                    <w:t>氨氮</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5.80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eastAsia" w:ascii="Times New Roman" w:hAnsi="Times New Roman" w:cs="Times New Roman"/>
                      <w:lang w:val="zh-CN" w:eastAsia="zh-CN"/>
                    </w:rPr>
                  </w:pPr>
                  <w:r>
                    <w:rPr>
                      <w:rFonts w:hint="eastAsia" w:ascii="Times New Roman" w:hAnsi="Times New Roman" w:eastAsia="宋体" w:cs="Times New Roman"/>
                      <w:b w:val="0"/>
                      <w:bCs/>
                      <w:color w:val="000000"/>
                      <w:sz w:val="21"/>
                      <w:szCs w:val="21"/>
                      <w:lang w:val="en-US" w:eastAsia="zh-CN"/>
                    </w:rPr>
                    <w:t>石油类</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0.82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eastAsia" w:ascii="Times New Roman" w:hAnsi="Times New Roman" w:cs="Times New Roman"/>
                      <w:lang w:val="zh-CN" w:eastAsia="zh-CN"/>
                    </w:rPr>
                  </w:pPr>
                  <w:r>
                    <w:rPr>
                      <w:rFonts w:hint="default" w:ascii="Times New Roman" w:hAnsi="Times New Roman" w:cs="Times New Roman"/>
                      <w:color w:val="000000"/>
                      <w:sz w:val="21"/>
                      <w:szCs w:val="21"/>
                      <w:lang w:val="en-US" w:eastAsia="zh-CN"/>
                    </w:rPr>
                    <w:t>五日生化需氧量</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34.5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kern w:val="2"/>
                      <w:sz w:val="21"/>
                      <w:szCs w:val="21"/>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3" w:type="pct"/>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eastAsia" w:ascii="Times New Roman" w:hAnsi="Times New Roman" w:cs="Times New Roman"/>
                      <w:lang w:val="zh-CN" w:eastAsia="zh-CN"/>
                    </w:rPr>
                  </w:pPr>
                  <w:r>
                    <w:rPr>
                      <w:rFonts w:hint="eastAsia" w:ascii="Times New Roman" w:hAnsi="Times New Roman" w:cs="Times New Roman"/>
                      <w:color w:val="000000"/>
                      <w:sz w:val="21"/>
                      <w:szCs w:val="21"/>
                      <w:lang w:val="en-US" w:eastAsia="zh-CN"/>
                    </w:rPr>
                    <w:t>阴离子表面活性剂</w:t>
                  </w:r>
                </w:p>
              </w:tc>
              <w:tc>
                <w:tcPr>
                  <w:tcW w:w="3527" w:type="dxa"/>
                  <w:vAlign w:val="center"/>
                </w:tcPr>
                <w:p>
                  <w:pPr>
                    <w:keepNext w:val="0"/>
                    <w:keepLines w:val="0"/>
                    <w:pageBreakBefore w:val="0"/>
                    <w:tabs>
                      <w:tab w:val="left" w:pos="735"/>
                    </w:tabs>
                    <w:kinsoku/>
                    <w:wordWrap/>
                    <w:overflowPunct/>
                    <w:topLinePunct w:val="0"/>
                    <w:autoSpaceDE/>
                    <w:autoSpaceDN/>
                    <w:bidi w:val="0"/>
                    <w:adjustRightInd/>
                    <w:spacing w:line="300" w:lineRule="exact"/>
                    <w:ind w:left="0" w:leftChars="0" w:right="66" w:rightChars="30"/>
                    <w:jc w:val="center"/>
                    <w:rPr>
                      <w:rFonts w:hint="default" w:ascii="Times New Roman" w:hAnsi="Times New Roman" w:cs="Times New Roman"/>
                      <w:lang w:val="en-US" w:eastAsia="zh-CN"/>
                    </w:rPr>
                  </w:pPr>
                  <w:r>
                    <w:rPr>
                      <w:rFonts w:hint="default" w:ascii="Times New Roman" w:hAnsi="Times New Roman" w:eastAsia="宋体" w:cs="Times New Roman"/>
                      <w:color w:val="000000"/>
                      <w:sz w:val="21"/>
                      <w:szCs w:val="21"/>
                      <w:lang w:val="en-US" w:eastAsia="zh-CN"/>
                    </w:rPr>
                    <w:t xml:space="preserve">0.997 </w:t>
                  </w:r>
                </w:p>
              </w:tc>
              <w:tc>
                <w:tcPr>
                  <w:tcW w:w="1696" w:type="pct"/>
                  <w:vAlign w:val="center"/>
                </w:tcPr>
                <w:p>
                  <w:pPr>
                    <w:keepNext w:val="0"/>
                    <w:keepLines w:val="0"/>
                    <w:pageBreakBefore w:val="0"/>
                    <w:kinsoku/>
                    <w:wordWrap/>
                    <w:overflowPunct/>
                    <w:topLinePunct w:val="0"/>
                    <w:autoSpaceDE/>
                    <w:autoSpaceDN/>
                    <w:bidi w:val="0"/>
                    <w:adjustRightInd/>
                    <w:spacing w:line="30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eastAsia="宋体" w:cs="Times New Roman"/>
                      <w:b w:val="0"/>
                      <w:bCs/>
                      <w:sz w:val="21"/>
                      <w:szCs w:val="21"/>
                      <w:lang w:val="en-US" w:eastAsia="zh-CN"/>
                    </w:rPr>
                    <w:t>20</w:t>
                  </w:r>
                </w:p>
              </w:tc>
            </w:tr>
          </w:tbl>
          <w:p>
            <w:pPr>
              <w:pStyle w:val="8"/>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关于印发《污染影响类建设项目重大变动清单（试行）》的通知，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pPr>
              <w:pStyle w:val="8"/>
              <w:ind w:firstLine="480" w:firstLineChars="200"/>
              <w:rPr>
                <w:rFonts w:ascii="Times New Roman" w:eastAsia="Times New Roman"/>
                <w:b/>
                <w:sz w:val="24"/>
              </w:rPr>
            </w:pPr>
            <w:r>
              <w:rPr>
                <w:rFonts w:hint="default" w:ascii="Times New Roman" w:hAnsi="Times New Roman" w:eastAsia="宋体" w:cs="Times New Roman"/>
                <w:sz w:val="24"/>
                <w:szCs w:val="24"/>
                <w:lang w:val="en-US" w:eastAsia="zh-CN"/>
              </w:rPr>
              <w:t>本验收项目的性质、规模、地点、生产工艺和环境保护措施未发生重大变动，因此，本验收项目的变更内容不属于重大变动，可纳入竣工环境保护验收管理。</w:t>
            </w:r>
          </w:p>
          <w:p>
            <w:pPr>
              <w:pStyle w:val="17"/>
              <w:ind w:left="105"/>
              <w:rPr>
                <w:b/>
                <w:sz w:val="24"/>
              </w:rPr>
            </w:pPr>
            <w:r>
              <w:rPr>
                <w:rFonts w:ascii="Times New Roman" w:eastAsia="Times New Roman"/>
                <w:b/>
                <w:sz w:val="24"/>
              </w:rPr>
              <w:t xml:space="preserve">2.3 </w:t>
            </w:r>
            <w:r>
              <w:rPr>
                <w:b/>
                <w:sz w:val="24"/>
              </w:rPr>
              <w:t>主要生产设备</w:t>
            </w:r>
          </w:p>
          <w:p>
            <w:pPr>
              <w:pStyle w:val="17"/>
              <w:spacing w:before="163"/>
              <w:ind w:left="24" w:right="3966"/>
              <w:jc w:val="center"/>
              <w:rPr>
                <w:sz w:val="24"/>
              </w:rPr>
            </w:pPr>
            <w:r>
              <w:rPr>
                <w:sz w:val="24"/>
              </w:rPr>
              <w:t xml:space="preserve">本验收项目主要生产设备详见表 </w:t>
            </w:r>
            <w:r>
              <w:rPr>
                <w:rFonts w:ascii="Times New Roman" w:eastAsia="Times New Roman"/>
                <w:sz w:val="24"/>
              </w:rPr>
              <w:t>2.3-1</w:t>
            </w:r>
            <w:r>
              <w:rPr>
                <w:sz w:val="24"/>
              </w:rPr>
              <w:t>。</w:t>
            </w:r>
          </w:p>
          <w:p>
            <w:pPr>
              <w:jc w:val="center"/>
              <w:rPr>
                <w:b/>
                <w:sz w:val="21"/>
              </w:rPr>
            </w:pPr>
            <w:r>
              <w:rPr>
                <w:b/>
                <w:sz w:val="21"/>
              </w:rPr>
              <w:t xml:space="preserve">表 </w:t>
            </w:r>
            <w:r>
              <w:rPr>
                <w:rFonts w:ascii="Times New Roman" w:eastAsia="Times New Roman"/>
                <w:b/>
                <w:sz w:val="21"/>
              </w:rPr>
              <w:t xml:space="preserve">2.3-1 </w:t>
            </w:r>
            <w:r>
              <w:rPr>
                <w:b/>
                <w:sz w:val="21"/>
              </w:rPr>
              <w:t>主要设备一览表</w:t>
            </w:r>
          </w:p>
          <w:tbl>
            <w:tblPr>
              <w:tblStyle w:val="14"/>
              <w:tblW w:w="49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
              <w:gridCol w:w="614"/>
              <w:gridCol w:w="1485"/>
              <w:gridCol w:w="1447"/>
              <w:gridCol w:w="8"/>
              <w:gridCol w:w="1730"/>
              <w:gridCol w:w="8"/>
              <w:gridCol w:w="981"/>
              <w:gridCol w:w="976"/>
              <w:gridCol w:w="2203"/>
              <w:gridCol w:w="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序号</w:t>
                  </w:r>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c>
                <w:tcPr>
                  <w:tcW w:w="784" w:type="pct"/>
                  <w:vMerge w:val="restar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设施（备）名称</w:t>
                  </w:r>
                </w:p>
              </w:tc>
              <w:tc>
                <w:tcPr>
                  <w:tcW w:w="768" w:type="pct"/>
                  <w:gridSpan w:val="2"/>
                  <w:vMerge w:val="restart"/>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规格、型号</w:t>
                  </w:r>
                </w:p>
              </w:tc>
              <w:tc>
                <w:tcPr>
                  <w:tcW w:w="917" w:type="pct"/>
                  <w:gridSpan w:val="2"/>
                  <w:vMerge w:val="restart"/>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对应工艺</w:t>
                  </w:r>
                </w:p>
              </w:tc>
              <w:tc>
                <w:tcPr>
                  <w:tcW w:w="1033" w:type="pct"/>
                  <w:gridSpan w:val="2"/>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数量（台）</w:t>
                  </w:r>
                </w:p>
              </w:tc>
              <w:tc>
                <w:tcPr>
                  <w:tcW w:w="1170" w:type="pct"/>
                  <w:gridSpan w:val="2"/>
                  <w:vMerge w:val="restar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与环评及批复对比情况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vMerge w:val="continue"/>
                  <w:tcBorders>
                    <w:top w:val="single" w:color="auto" w:sz="4" w:space="0"/>
                    <w:left w:val="single" w:color="auto" w:sz="4" w:space="0"/>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c>
                <w:tcPr>
                  <w:tcW w:w="784" w:type="pct"/>
                  <w:vMerge w:val="continue"/>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p>
              </w:tc>
              <w:tc>
                <w:tcPr>
                  <w:tcW w:w="768" w:type="pct"/>
                  <w:gridSpan w:val="2"/>
                  <w:vMerge w:val="continue"/>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p>
              </w:tc>
              <w:tc>
                <w:tcPr>
                  <w:tcW w:w="917" w:type="pct"/>
                  <w:gridSpan w:val="2"/>
                  <w:vMerge w:val="continue"/>
                  <w:tcBorders>
                    <w:top w:val="nil"/>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环评阶段</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实际情况</w:t>
                  </w:r>
                </w:p>
              </w:tc>
              <w:tc>
                <w:tcPr>
                  <w:tcW w:w="1170" w:type="pct"/>
                  <w:gridSpan w:val="2"/>
                  <w:vMerge w:val="continue"/>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注塑成型机</w:t>
                  </w:r>
                </w:p>
              </w:tc>
              <w:tc>
                <w:tcPr>
                  <w:tcW w:w="768"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250T</w:t>
                  </w:r>
                </w:p>
              </w:tc>
              <w:tc>
                <w:tcPr>
                  <w:tcW w:w="917" w:type="pct"/>
                  <w:gridSpan w:val="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注塑</w:t>
                  </w: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16</w:t>
                  </w:r>
                  <w:r>
                    <w:rPr>
                      <w:rFonts w:hint="default" w:ascii="Times New Roman" w:hAnsi="Times New Roman" w:eastAsia="宋体" w:cs="Times New Roman"/>
                      <w:color w:val="auto"/>
                      <w:kern w:val="0"/>
                      <w:sz w:val="21"/>
                      <w:szCs w:val="21"/>
                      <w:lang w:val="en-US" w:eastAsia="zh-CN"/>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16</w:t>
                  </w:r>
                  <w:r>
                    <w:rPr>
                      <w:rFonts w:hint="default" w:ascii="Times New Roman" w:hAnsi="Times New Roman" w:eastAsia="宋体" w:cs="Times New Roman"/>
                      <w:color w:val="auto"/>
                      <w:kern w:val="0"/>
                      <w:sz w:val="21"/>
                      <w:szCs w:val="21"/>
                      <w:lang w:val="en-US" w:eastAsia="zh-CN"/>
                    </w:rPr>
                    <w:t>台</w:t>
                  </w:r>
                </w:p>
              </w:tc>
              <w:tc>
                <w:tcPr>
                  <w:tcW w:w="1170" w:type="pct"/>
                  <w:gridSpan w:val="2"/>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2" w:type="pct"/>
                <w:trHeight w:val="3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2</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注塑成型机</w:t>
                  </w:r>
                </w:p>
              </w:tc>
              <w:tc>
                <w:tcPr>
                  <w:tcW w:w="768"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220T</w:t>
                  </w:r>
                </w:p>
              </w:tc>
              <w:tc>
                <w:tcPr>
                  <w:tcW w:w="917" w:type="pct"/>
                  <w:gridSpan w:val="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注塑</w:t>
                  </w: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4台</w:t>
                  </w:r>
                </w:p>
              </w:tc>
              <w:tc>
                <w:tcPr>
                  <w:tcW w:w="1170" w:type="pct"/>
                  <w:gridSpan w:val="2"/>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3</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破碎机</w:t>
                  </w:r>
                </w:p>
              </w:tc>
              <w:tc>
                <w:tcPr>
                  <w:tcW w:w="768"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YEZ-160L-4</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破碎</w:t>
                  </w: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1170" w:type="pct"/>
                  <w:gridSpan w:val="2"/>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4</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拌料机</w:t>
                  </w:r>
                </w:p>
              </w:tc>
              <w:tc>
                <w:tcPr>
                  <w:tcW w:w="768"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M250-500G</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拌料</w:t>
                  </w: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3台</w:t>
                  </w:r>
                </w:p>
              </w:tc>
              <w:tc>
                <w:tcPr>
                  <w:tcW w:w="1170" w:type="pct"/>
                  <w:gridSpan w:val="2"/>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pct"/>
                <w:trHeight w:val="3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5</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震动研磨机</w:t>
                  </w:r>
                </w:p>
              </w:tc>
              <w:tc>
                <w:tcPr>
                  <w:tcW w:w="768"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ZHM-400</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研磨</w:t>
                  </w:r>
                </w:p>
              </w:tc>
              <w:tc>
                <w:tcPr>
                  <w:tcW w:w="518"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1170" w:type="pct"/>
                  <w:gridSpan w:val="2"/>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6</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超声波清洗机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清洗</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7</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空压机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15kv</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8</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自动螺丝机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YEZ-112N-4</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组装</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9</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移印机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MNDY-125-100</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包装</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10</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烫金机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包装</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11</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手动喷台</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喷漆</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12</w:t>
                  </w:r>
                </w:p>
              </w:tc>
              <w:tc>
                <w:tcPr>
                  <w:tcW w:w="784" w:type="pct"/>
                  <w:tcBorders>
                    <w:left w:val="single" w:color="auto" w:sz="4" w:space="0"/>
                  </w:tcBorders>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自动喷涂机</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喷漆</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13</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电热烘箱</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烘干</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pct"/>
                <w:trHeight w:val="397" w:hRule="atLeast"/>
                <w:jc w:val="center"/>
              </w:trPr>
              <w:tc>
                <w:tcPr>
                  <w:tcW w:w="326"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14</w:t>
                  </w:r>
                </w:p>
              </w:tc>
              <w:tc>
                <w:tcPr>
                  <w:tcW w:w="784" w:type="pct"/>
                  <w:tcBorders>
                    <w:lef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冷却塔</w:t>
                  </w:r>
                </w:p>
              </w:tc>
              <w:tc>
                <w:tcPr>
                  <w:tcW w:w="764"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40T</w:t>
                  </w:r>
                </w:p>
              </w:tc>
              <w:tc>
                <w:tcPr>
                  <w:tcW w:w="917"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冷却</w:t>
                  </w:r>
                </w:p>
              </w:tc>
              <w:tc>
                <w:tcPr>
                  <w:tcW w:w="522" w:type="pct"/>
                  <w:gridSpan w:val="2"/>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台</w:t>
                  </w:r>
                </w:p>
              </w:tc>
              <w:tc>
                <w:tcPr>
                  <w:tcW w:w="515" w:type="pct"/>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台</w:t>
                  </w:r>
                </w:p>
              </w:tc>
              <w:tc>
                <w:tcPr>
                  <w:tcW w:w="1163" w:type="pct"/>
                  <w:tcBorders>
                    <w:right w:val="double" w:color="000000" w:sz="0" w:space="0"/>
                  </w:tcBorders>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r>
          </w:tbl>
          <w:p>
            <w:pPr>
              <w:pStyle w:val="4"/>
              <w:numPr>
                <w:ilvl w:val="1"/>
                <w:numId w:val="2"/>
              </w:numPr>
              <w:tabs>
                <w:tab w:val="left" w:pos="636"/>
              </w:tabs>
              <w:spacing w:before="0" w:after="0" w:line="240" w:lineRule="auto"/>
              <w:ind w:left="636" w:right="0" w:hanging="361"/>
              <w:jc w:val="left"/>
              <w:rPr>
                <w:rFonts w:hint="eastAsia"/>
                <w:lang w:eastAsia="zh-CN"/>
              </w:rPr>
            </w:pPr>
            <w:r>
              <w:t>原辅材料消耗及水平衡</w:t>
            </w:r>
          </w:p>
          <w:p>
            <w:pPr>
              <w:pStyle w:val="6"/>
              <w:spacing w:before="163"/>
              <w:ind w:left="756"/>
            </w:pPr>
            <w:r>
              <w:t xml:space="preserve">根据现场勘查，本项目主要使用的主要原辅料消耗情况见表 </w:t>
            </w:r>
            <w:r>
              <w:rPr>
                <w:rFonts w:ascii="Times New Roman" w:eastAsia="Times New Roman"/>
              </w:rPr>
              <w:t>2.4-1</w:t>
            </w:r>
            <w:r>
              <w:t>。</w:t>
            </w:r>
          </w:p>
          <w:p>
            <w:pPr>
              <w:pStyle w:val="2"/>
              <w:spacing w:line="480" w:lineRule="auto"/>
              <w:jc w:val="center"/>
              <w:rPr>
                <w:b/>
                <w:sz w:val="21"/>
              </w:rPr>
            </w:pPr>
            <w:r>
              <w:rPr>
                <w:b/>
                <w:sz w:val="21"/>
              </w:rPr>
              <w:t>表</w:t>
            </w:r>
            <w:r>
              <w:rPr>
                <w:b/>
                <w:spacing w:val="-58"/>
                <w:sz w:val="21"/>
              </w:rPr>
              <w:t xml:space="preserve"> </w:t>
            </w:r>
            <w:r>
              <w:rPr>
                <w:rFonts w:ascii="Times New Roman" w:eastAsia="Times New Roman"/>
                <w:b/>
                <w:sz w:val="21"/>
              </w:rPr>
              <w:t>2.4-1</w:t>
            </w:r>
            <w:r>
              <w:rPr>
                <w:rFonts w:ascii="Times New Roman" w:eastAsia="Times New Roman"/>
                <w:b/>
                <w:sz w:val="21"/>
              </w:rPr>
              <w:tab/>
            </w:r>
            <w:r>
              <w:rPr>
                <w:b/>
                <w:sz w:val="21"/>
              </w:rPr>
              <w:t>本项目主要原辅材料消耗</w:t>
            </w:r>
            <w:r>
              <w:rPr>
                <w:b/>
                <w:spacing w:val="-5"/>
                <w:sz w:val="21"/>
              </w:rPr>
              <w:t>情</w:t>
            </w:r>
            <w:r>
              <w:rPr>
                <w:b/>
                <w:sz w:val="21"/>
              </w:rPr>
              <w:t>况一览表</w:t>
            </w:r>
          </w:p>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25"/>
              <w:gridCol w:w="4095"/>
              <w:gridCol w:w="960"/>
              <w:gridCol w:w="130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序号</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名称</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规格组分</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单位</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环评年用量</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实际年用量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1</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PC塑料</w:t>
                  </w:r>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（聚碳酸脂）</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外购，25kg/袋，聚碳酸酯塑料颗粒</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135</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CA塑料</w:t>
                  </w:r>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（醋酸纤维）</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外购，25kg/袋，醋酸纤维塑料颗粒</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t/a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色粉</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外购，1kg/袋，塑胶色粉，用于镜架调色</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r>
          </w:tbl>
          <w:p>
            <w:pPr>
              <w:tabs>
                <w:tab w:val="left" w:pos="924"/>
              </w:tabs>
              <w:spacing w:before="97" w:after="24"/>
              <w:ind w:left="16" w:right="0" w:firstLine="0"/>
              <w:jc w:val="center"/>
              <w:rPr>
                <w:rFonts w:hint="default" w:eastAsia="宋体"/>
                <w:vertAlign w:val="baseline"/>
                <w:lang w:val="en-US" w:eastAsia="zh-CN"/>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2" w:hRule="atLeast"/>
        </w:trPr>
        <w:tc>
          <w:tcPr>
            <w:tcW w:w="9764" w:type="dxa"/>
          </w:tcPr>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25"/>
              <w:gridCol w:w="4095"/>
              <w:gridCol w:w="960"/>
              <w:gridCol w:w="130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4</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油漆</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外购，18kg/桶，用于镜架涂装</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2773</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稀释剂</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外购，18kg/桶，用于镜架涂装</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1492</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6</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移印油墨</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外购，1kg/罐，BPI-40，用于眼镜产品印字</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7</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螺丝</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外购，用于镜架组装</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万粒</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2000</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8</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塑料镜片</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外购，亚克力镜片</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万对</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1000</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9</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眼核片</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外购，用于切割镜片时的仿形模具</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2</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磨料</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外购，刚玉，25kg/袋，用于镜架震动研磨</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11</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胶带</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用于包装</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万个/年</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6000</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12</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纸箱</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用于包装</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万个/年</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13</w:t>
                  </w:r>
                </w:p>
              </w:tc>
              <w:tc>
                <w:tcPr>
                  <w:tcW w:w="142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液压油</w:t>
                  </w:r>
                </w:p>
              </w:tc>
              <w:tc>
                <w:tcPr>
                  <w:tcW w:w="409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外购，铁通包装，200kg/桶，用于注塑机油压系统</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t/a</w:t>
                  </w:r>
                </w:p>
              </w:tc>
              <w:tc>
                <w:tcPr>
                  <w:tcW w:w="1305"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c>
                <w:tcPr>
                  <w:tcW w:w="1306"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14</w:t>
                  </w:r>
                </w:p>
              </w:tc>
              <w:tc>
                <w:tcPr>
                  <w:tcW w:w="1425" w:type="dxa"/>
                  <w:vAlign w:val="center"/>
                </w:tcPr>
                <w:p>
                  <w:pPr>
                    <w:pStyle w:val="17"/>
                    <w:keepNext w:val="0"/>
                    <w:keepLines w:val="0"/>
                    <w:pageBreakBefore w:val="0"/>
                    <w:kinsoku w:val="0"/>
                    <w:wordWrap/>
                    <w:overflowPunct w:val="0"/>
                    <w:topLinePunct w:val="0"/>
                    <w:bidi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zh-CN"/>
                    </w:rPr>
                  </w:pPr>
                  <w:r>
                    <w:rPr>
                      <w:rFonts w:hint="default" w:ascii="Times New Roman" w:hAnsi="Times New Roman" w:eastAsia="宋体" w:cs="Times New Roman"/>
                      <w:bCs/>
                      <w:color w:val="auto"/>
                      <w:kern w:val="0"/>
                      <w:sz w:val="21"/>
                      <w:szCs w:val="21"/>
                      <w:lang w:val="en-US" w:eastAsia="zh-CN"/>
                    </w:rPr>
                    <w:t>润滑油</w:t>
                  </w:r>
                </w:p>
              </w:tc>
              <w:tc>
                <w:tcPr>
                  <w:tcW w:w="4095" w:type="dxa"/>
                  <w:vAlign w:val="center"/>
                </w:tcPr>
                <w:p>
                  <w:pPr>
                    <w:keepNext w:val="0"/>
                    <w:keepLines w:val="0"/>
                    <w:pageBreakBefore w:val="0"/>
                    <w:widowControl/>
                    <w:suppressLineNumbers w:val="0"/>
                    <w:wordWrap/>
                    <w:topLinePunct w:val="0"/>
                    <w:bidi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用于加工设备润滑使用，200kg/桶</w:t>
                  </w:r>
                </w:p>
              </w:tc>
              <w:tc>
                <w:tcPr>
                  <w:tcW w:w="960"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t/a</w:t>
                  </w:r>
                </w:p>
              </w:tc>
              <w:tc>
                <w:tcPr>
                  <w:tcW w:w="1305"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0.2</w:t>
                  </w:r>
                </w:p>
              </w:tc>
              <w:tc>
                <w:tcPr>
                  <w:tcW w:w="1306"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15</w:t>
                  </w:r>
                </w:p>
              </w:tc>
              <w:tc>
                <w:tcPr>
                  <w:tcW w:w="1425" w:type="dxa"/>
                  <w:vAlign w:val="center"/>
                </w:tcPr>
                <w:p>
                  <w:pPr>
                    <w:pStyle w:val="17"/>
                    <w:keepNext w:val="0"/>
                    <w:keepLines w:val="0"/>
                    <w:pageBreakBefore w:val="0"/>
                    <w:kinsoku w:val="0"/>
                    <w:wordWrap/>
                    <w:overflowPunct w:val="0"/>
                    <w:topLinePunct w:val="0"/>
                    <w:bidi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zh-CN"/>
                    </w:rPr>
                  </w:pPr>
                  <w:r>
                    <w:rPr>
                      <w:rFonts w:hint="default" w:ascii="Times New Roman" w:hAnsi="Times New Roman" w:eastAsia="宋体" w:cs="Times New Roman"/>
                      <w:bCs/>
                      <w:color w:val="auto"/>
                      <w:kern w:val="0"/>
                      <w:sz w:val="21"/>
                      <w:szCs w:val="21"/>
                      <w:lang w:val="en-US" w:eastAsia="zh-CN"/>
                    </w:rPr>
                    <w:t>模具</w:t>
                  </w:r>
                </w:p>
              </w:tc>
              <w:tc>
                <w:tcPr>
                  <w:tcW w:w="4095" w:type="dxa"/>
                  <w:vAlign w:val="center"/>
                </w:tcPr>
                <w:p>
                  <w:pPr>
                    <w:keepNext w:val="0"/>
                    <w:keepLines w:val="0"/>
                    <w:pageBreakBefore w:val="0"/>
                    <w:widowControl/>
                    <w:suppressLineNumbers w:val="0"/>
                    <w:wordWrap/>
                    <w:topLinePunct w:val="0"/>
                    <w:bidi w:val="0"/>
                    <w:spacing w:line="240" w:lineRule="auto"/>
                    <w:ind w:left="0" w:leftChars="0" w:right="0" w:rightChars="0"/>
                    <w:jc w:val="center"/>
                    <w:textAlignment w:val="center"/>
                    <w:rPr>
                      <w:rFonts w:hint="default" w:ascii="Times New Roman" w:hAnsi="Times New Roman" w:eastAsia="宋体" w:cs="Times New Roman"/>
                      <w:bCs/>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外购注塑模具</w:t>
                  </w:r>
                </w:p>
              </w:tc>
              <w:tc>
                <w:tcPr>
                  <w:tcW w:w="960"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个/a</w:t>
                  </w:r>
                </w:p>
              </w:tc>
              <w:tc>
                <w:tcPr>
                  <w:tcW w:w="1305"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200</w:t>
                  </w:r>
                </w:p>
              </w:tc>
              <w:tc>
                <w:tcPr>
                  <w:tcW w:w="1306" w:type="dxa"/>
                  <w:vAlign w:val="center"/>
                </w:tcPr>
                <w:p>
                  <w:pPr>
                    <w:keepNext w:val="0"/>
                    <w:keepLines w:val="0"/>
                    <w:pageBreakBefore w:val="0"/>
                    <w:wordWrap/>
                    <w:topLinePunct w:val="0"/>
                    <w:bidi w:val="0"/>
                    <w:spacing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top"/>
                </w:tcPr>
                <w:p>
                  <w:pPr>
                    <w:pStyle w:val="2"/>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16</w:t>
                  </w:r>
                </w:p>
              </w:tc>
              <w:tc>
                <w:tcPr>
                  <w:tcW w:w="1425" w:type="dxa"/>
                  <w:vAlign w:val="top"/>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水</w:t>
                  </w:r>
                </w:p>
              </w:tc>
              <w:tc>
                <w:tcPr>
                  <w:tcW w:w="4095" w:type="dxa"/>
                  <w:vAlign w:val="top"/>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kW.h/a</w:t>
                  </w:r>
                </w:p>
              </w:tc>
              <w:tc>
                <w:tcPr>
                  <w:tcW w:w="1305"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1488.1</w:t>
                  </w:r>
                </w:p>
              </w:tc>
              <w:tc>
                <w:tcPr>
                  <w:tcW w:w="1306"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1488.1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Align w:val="top"/>
                </w:tcPr>
                <w:p>
                  <w:pPr>
                    <w:pStyle w:val="2"/>
                    <w:jc w:val="center"/>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17</w:t>
                  </w:r>
                </w:p>
              </w:tc>
              <w:tc>
                <w:tcPr>
                  <w:tcW w:w="1425" w:type="dxa"/>
                  <w:vAlign w:val="top"/>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电</w:t>
                  </w:r>
                </w:p>
              </w:tc>
              <w:tc>
                <w:tcPr>
                  <w:tcW w:w="4095" w:type="dxa"/>
                  <w:vAlign w:val="top"/>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960" w:type="dxa"/>
                  <w:vAlign w:val="center"/>
                </w:tcPr>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吨/a</w:t>
                  </w:r>
                </w:p>
              </w:tc>
              <w:tc>
                <w:tcPr>
                  <w:tcW w:w="1305"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0万</w:t>
                  </w:r>
                </w:p>
              </w:tc>
              <w:tc>
                <w:tcPr>
                  <w:tcW w:w="1306" w:type="dxa"/>
                  <w:vAlign w:val="center"/>
                </w:tcPr>
                <w:p>
                  <w:pPr>
                    <w:pStyle w:val="19"/>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0万</w:t>
                  </w:r>
                </w:p>
              </w:tc>
            </w:tr>
          </w:tbl>
          <w:p>
            <w:pPr>
              <w:spacing w:before="108"/>
              <w:ind w:left="0" w:right="271" w:firstLine="0"/>
              <w:jc w:val="right"/>
              <w:rPr>
                <w:sz w:val="21"/>
              </w:rPr>
            </w:pPr>
            <w:r>
              <w:rPr>
                <w:sz w:val="21"/>
              </w:rPr>
              <w:t>以上数据均由业主提供</w:t>
            </w:r>
          </w:p>
          <w:p>
            <w:pPr>
              <w:pStyle w:val="2"/>
              <w:jc w:val="both"/>
            </w:pPr>
            <w:r>
              <w:drawing>
                <wp:inline distT="0" distB="0" distL="114300" distR="114300">
                  <wp:extent cx="5734050" cy="3457575"/>
                  <wp:effectExtent l="0" t="0" r="0"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8"/>
                          <a:stretch>
                            <a:fillRect/>
                          </a:stretch>
                        </pic:blipFill>
                        <pic:spPr>
                          <a:xfrm>
                            <a:off x="0" y="0"/>
                            <a:ext cx="5734050" cy="3457575"/>
                          </a:xfrm>
                          <a:prstGeom prst="rect">
                            <a:avLst/>
                          </a:prstGeom>
                          <a:noFill/>
                          <a:ln>
                            <a:noFill/>
                          </a:ln>
                        </pic:spPr>
                      </pic:pic>
                    </a:graphicData>
                  </a:graphic>
                </wp:inline>
              </w:drawing>
            </w:r>
          </w:p>
          <w:p>
            <w:pPr>
              <w:pStyle w:val="2"/>
              <w:jc w:val="center"/>
              <w:rPr>
                <w:rFonts w:ascii="Times New Roman" w:eastAsia="Times New Roman"/>
                <w:b/>
                <w:sz w:val="21"/>
              </w:rPr>
            </w:pPr>
          </w:p>
          <w:p>
            <w:pPr>
              <w:pStyle w:val="2"/>
              <w:jc w:val="center"/>
            </w:pPr>
            <w:r>
              <w:rPr>
                <w:rFonts w:ascii="Times New Roman" w:eastAsia="Times New Roman"/>
                <w:b/>
                <w:sz w:val="21"/>
              </w:rPr>
              <w:t xml:space="preserve">2.4-1 </w:t>
            </w:r>
            <w:r>
              <w:rPr>
                <w:b/>
                <w:sz w:val="21"/>
              </w:rPr>
              <w:t>项目水平衡图（</w:t>
            </w:r>
            <w:r>
              <w:rPr>
                <w:rFonts w:ascii="Times New Roman" w:eastAsia="Times New Roman"/>
                <w:b/>
                <w:sz w:val="21"/>
              </w:rPr>
              <w:t>m</w:t>
            </w:r>
            <w:r>
              <w:rPr>
                <w:rFonts w:ascii="Times New Roman" w:eastAsia="Times New Roman"/>
                <w:b/>
                <w:sz w:val="21"/>
                <w:vertAlign w:val="superscript"/>
              </w:rPr>
              <w:t>3</w:t>
            </w:r>
            <w:r>
              <w:rPr>
                <w:rFonts w:ascii="Times New Roman" w:eastAsia="Times New Roman"/>
                <w:b/>
                <w:sz w:val="21"/>
              </w:rPr>
              <w:t>/d</w:t>
            </w:r>
            <w:r>
              <w:rPr>
                <w:b/>
                <w:sz w:val="21"/>
              </w:rPr>
              <w:t>）</w:t>
            </w:r>
          </w:p>
        </w:tc>
      </w:tr>
    </w:tbl>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4"/>
              <w:numPr>
                <w:ilvl w:val="1"/>
                <w:numId w:val="2"/>
              </w:numPr>
              <w:tabs>
                <w:tab w:val="left" w:pos="636"/>
              </w:tabs>
              <w:spacing w:before="0" w:after="0" w:line="240" w:lineRule="auto"/>
              <w:ind w:left="636" w:right="0" w:hanging="361"/>
              <w:jc w:val="left"/>
            </w:pPr>
            <w:r>
              <w:t>主要生产工艺及产排污流程</w:t>
            </w:r>
            <w:r>
              <w:rPr>
                <w:spacing w:val="4"/>
              </w:rPr>
              <w:t>（</w:t>
            </w:r>
            <w:r>
              <w:t>附示意图）：</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本项目运营期建设生产线</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3条，生产的产品分别为</w:t>
            </w:r>
            <w:r>
              <w:rPr>
                <w:rFonts w:hint="eastAsia" w:ascii="Times New Roman" w:hAnsi="Times New Roman" w:eastAsia="宋体" w:cs="Times New Roman"/>
                <w:lang w:val="en-US" w:eastAsia="zh-CN"/>
              </w:rPr>
              <w:t>太阳镜、老花镜、防雾镜</w:t>
            </w:r>
            <w:r>
              <w:rPr>
                <w:rFonts w:hint="default" w:ascii="Times New Roman" w:hAnsi="Times New Roman" w:eastAsia="宋体" w:cs="Times New Roman"/>
                <w:lang w:val="en-US" w:eastAsia="zh-CN"/>
              </w:rPr>
              <w:t>。3 条生产线工艺流程相同，工艺流程如下：运营期工艺流程及产排污环节如图 2.5-1 所示。</w:t>
            </w:r>
          </w:p>
          <w:p>
            <w:pPr>
              <w:pStyle w:val="18"/>
              <w:numPr>
                <w:ilvl w:val="2"/>
                <w:numId w:val="2"/>
              </w:numPr>
              <w:tabs>
                <w:tab w:val="left" w:pos="1160"/>
              </w:tabs>
              <w:spacing w:before="95" w:after="0" w:line="240" w:lineRule="auto"/>
              <w:ind w:left="1159" w:right="0" w:hanging="400"/>
              <w:jc w:val="left"/>
              <w:rPr>
                <w:b/>
                <w:sz w:val="21"/>
              </w:rPr>
            </w:pPr>
            <w:r>
              <w:rPr>
                <w:b/>
                <w:spacing w:val="-1"/>
                <w:sz w:val="21"/>
              </w:rPr>
              <w:t>项目产品生产工艺流程</w:t>
            </w:r>
          </w:p>
          <w:p>
            <w:pPr>
              <w:pStyle w:val="18"/>
              <w:numPr>
                <w:ilvl w:val="0"/>
                <w:numId w:val="0"/>
              </w:numPr>
              <w:tabs>
                <w:tab w:val="left" w:pos="1160"/>
              </w:tabs>
              <w:spacing w:before="95" w:after="0" w:line="240" w:lineRule="auto"/>
              <w:ind w:left="759" w:leftChars="0" w:right="0" w:rightChars="0"/>
              <w:jc w:val="left"/>
              <w:rPr>
                <w:b/>
                <w:sz w:val="21"/>
              </w:rPr>
            </w:pPr>
          </w:p>
          <w:p>
            <w:pPr>
              <w:pStyle w:val="2"/>
              <w:jc w:val="center"/>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drawing>
                <wp:inline distT="0" distB="0" distL="114300" distR="114300">
                  <wp:extent cx="4406900" cy="6495415"/>
                  <wp:effectExtent l="0" t="0" r="12700" b="635"/>
                  <wp:docPr id="8" name="图片 3" descr="万瑞-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万瑞-工艺流程"/>
                          <pic:cNvPicPr>
                            <a:picLocks noChangeAspect="1"/>
                          </pic:cNvPicPr>
                        </pic:nvPicPr>
                        <pic:blipFill>
                          <a:blip r:embed="rId9"/>
                          <a:stretch>
                            <a:fillRect/>
                          </a:stretch>
                        </pic:blipFill>
                        <pic:spPr>
                          <a:xfrm>
                            <a:off x="0" y="0"/>
                            <a:ext cx="4406900" cy="6495415"/>
                          </a:xfrm>
                          <a:prstGeom prst="rect">
                            <a:avLst/>
                          </a:prstGeom>
                          <a:noFill/>
                          <a:ln>
                            <a:noFill/>
                          </a:ln>
                        </pic:spPr>
                      </pic:pic>
                    </a:graphicData>
                  </a:graphic>
                </wp:inline>
              </w:drawing>
            </w:r>
          </w:p>
          <w:p>
            <w:pPr>
              <w:spacing w:before="0" w:line="460" w:lineRule="atLeast"/>
              <w:ind w:left="381" w:right="3031" w:firstLine="2664"/>
              <w:jc w:val="left"/>
              <w:rPr>
                <w:b/>
                <w:sz w:val="21"/>
              </w:rPr>
            </w:pPr>
            <w:r>
              <w:rPr>
                <w:b/>
                <w:spacing w:val="-26"/>
                <w:sz w:val="21"/>
              </w:rPr>
              <w:t xml:space="preserve">图 </w:t>
            </w:r>
            <w:r>
              <w:rPr>
                <w:rFonts w:ascii="Times New Roman" w:eastAsia="Times New Roman"/>
                <w:b/>
                <w:sz w:val="21"/>
              </w:rPr>
              <w:t>2.5-1</w:t>
            </w:r>
            <w:r>
              <w:rPr>
                <w:rFonts w:ascii="Times New Roman" w:eastAsia="Times New Roman"/>
                <w:b/>
                <w:spacing w:val="51"/>
                <w:sz w:val="21"/>
              </w:rPr>
              <w:t xml:space="preserve"> </w:t>
            </w:r>
            <w:r>
              <w:rPr>
                <w:b/>
                <w:spacing w:val="-2"/>
                <w:sz w:val="21"/>
              </w:rPr>
              <w:t>项目产品生产工艺产污流图</w:t>
            </w:r>
            <w:r>
              <w:rPr>
                <w:b/>
                <w:sz w:val="21"/>
              </w:rPr>
              <w:t>项目产品生产工艺流程简介：</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镜架包含镜框、镜腿，均由同种材料注塑制成，仅注塑使用模具不同。</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cs="Times New Roman"/>
                <w:b w:val="0"/>
                <w:bCs w:val="0"/>
                <w:color w:val="auto"/>
                <w:sz w:val="24"/>
                <w:szCs w:val="24"/>
                <w:lang w:val="en-US" w:eastAsia="zh-CN"/>
              </w:rPr>
            </w:pPr>
            <w:r>
              <w:rPr>
                <w:rFonts w:hint="default" w:ascii="Times New Roman" w:hAnsi="Times New Roman" w:eastAsia="宋体" w:cs="Times New Roman"/>
                <w:lang w:val="en-US" w:eastAsia="zh-CN"/>
              </w:rPr>
              <w:t>①拌料/进料</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不同的产品需求，准备生产原料，主要是PC塑料、CA塑料和色粉，由工人拆包，按一定比例倒入拌料机混合均匀后，倒入储料桶，塑料颗粒通过吸料器从储料桶中吸到干燥器中进行烘干。此过程产生少量粉尘。</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②烘干：注塑机均配套烘料斗，通过热风干燥机烘干材料水分，烘干温度通常为</w:t>
            </w:r>
            <w:r>
              <w:rPr>
                <w:rFonts w:hint="eastAsia" w:ascii="Times New Roman" w:hAnsi="Times New Roman" w:eastAsia="宋体" w:cs="Times New Roman"/>
                <w:lang w:val="en-US" w:eastAsia="zh-CN"/>
              </w:rPr>
              <w:t>9</w:t>
            </w:r>
            <w:r>
              <w:rPr>
                <w:rFonts w:hint="default" w:ascii="Times New Roman" w:hAnsi="Times New Roman" w:eastAsia="宋体" w:cs="Times New Roman"/>
                <w:lang w:val="en-US" w:eastAsia="zh-CN"/>
              </w:rPr>
              <w:t>0-120℃，烘干时长</w:t>
            </w: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8</w:t>
            </w:r>
            <w:r>
              <w:rPr>
                <w:rFonts w:hint="default" w:ascii="Times New Roman" w:hAnsi="Times New Roman" w:eastAsia="宋体" w:cs="Times New Roman"/>
                <w:lang w:val="en-US" w:eastAsia="zh-CN"/>
              </w:rPr>
              <w:t>h。此过程产生的污染物为噪声。</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③注塑成型：原料充分干燥后进入注塑机热熔管在一定温度下呈熔融态，熔融态的原料在设备压力作用下从注射喷嘴注入模腔内，保持一定压力，在模具内循环冷却水作用下冷却成型，然后开模，由机械手取出注塑件。</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注塑机采用电加热，根据不同的材料设置不同加热温度，为了防止温度过高导致料变性塑化或者热分解，影响产品质量，加热温度不会超过材料分解温度，一般为200-2</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0℃。本项目厂区内设有冷却水池，用于注塑机冷却循环用水，水池规格为5m×3m×2m，容积约30m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。冷却用水经注塑机冷却后回流至水池中循环使用，定期补充。</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此过程产生的污染物为有机废气及噪声。</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④</w:t>
            </w:r>
            <w:r>
              <w:rPr>
                <w:rFonts w:hint="eastAsia" w:ascii="Times New Roman" w:hAnsi="Times New Roman" w:eastAsia="宋体" w:cs="Times New Roman"/>
                <w:lang w:val="en-US" w:eastAsia="zh-CN"/>
              </w:rPr>
              <w:t>去浇口/</w:t>
            </w:r>
            <w:r>
              <w:rPr>
                <w:rFonts w:hint="default" w:ascii="Times New Roman" w:hAnsi="Times New Roman" w:eastAsia="宋体" w:cs="Times New Roman"/>
                <w:lang w:val="en-US" w:eastAsia="zh-CN"/>
              </w:rPr>
              <w:t>品检</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注塑件送到</w:t>
            </w:r>
            <w:r>
              <w:rPr>
                <w:rFonts w:hint="eastAsia" w:ascii="Times New Roman" w:hAnsi="Times New Roman" w:eastAsia="宋体" w:cs="Times New Roman"/>
                <w:lang w:val="en-US" w:eastAsia="zh-CN"/>
              </w:rPr>
              <w:t>修剪、</w:t>
            </w:r>
            <w:r>
              <w:rPr>
                <w:rFonts w:hint="default" w:ascii="Times New Roman" w:hAnsi="Times New Roman" w:eastAsia="宋体" w:cs="Times New Roman"/>
                <w:lang w:val="en-US" w:eastAsia="zh-CN"/>
              </w:rPr>
              <w:t>品检工位检查产品质量，</w:t>
            </w:r>
            <w:r>
              <w:rPr>
                <w:rFonts w:hint="eastAsia" w:ascii="Times New Roman" w:hAnsi="Times New Roman" w:eastAsia="宋体" w:cs="Times New Roman"/>
                <w:lang w:val="en-US" w:eastAsia="zh-CN"/>
              </w:rPr>
              <w:t>由工人使用剪刀剔除注塑件交口等边角料，</w:t>
            </w:r>
            <w:r>
              <w:rPr>
                <w:rFonts w:hint="default" w:ascii="Times New Roman" w:hAnsi="Times New Roman" w:eastAsia="宋体" w:cs="Times New Roman"/>
                <w:lang w:val="en-US" w:eastAsia="zh-CN"/>
              </w:rPr>
              <w:t>去除残次品</w:t>
            </w:r>
            <w:r>
              <w:rPr>
                <w:rFonts w:hint="eastAsia" w:ascii="Times New Roman" w:hAnsi="Times New Roman" w:eastAsia="宋体" w:cs="Times New Roman"/>
                <w:lang w:val="en-US" w:eastAsia="zh-CN"/>
              </w:rPr>
              <w:t>，合格品装框备用</w:t>
            </w:r>
            <w:r>
              <w:rPr>
                <w:rFonts w:hint="default" w:ascii="Times New Roman" w:hAnsi="Times New Roman" w:eastAsia="宋体" w:cs="Times New Roman"/>
                <w:lang w:val="en-US"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⑤</w:t>
            </w:r>
            <w:r>
              <w:rPr>
                <w:rFonts w:hint="eastAsia" w:ascii="Times New Roman" w:hAnsi="Times New Roman" w:eastAsia="宋体" w:cs="Times New Roman"/>
                <w:lang w:val="en-US" w:eastAsia="zh-CN"/>
              </w:rPr>
              <w:t>破碎</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边角料及</w:t>
            </w:r>
            <w:r>
              <w:rPr>
                <w:rFonts w:hint="default" w:ascii="Times New Roman" w:hAnsi="Times New Roman" w:eastAsia="宋体" w:cs="Times New Roman"/>
                <w:lang w:val="en-US" w:eastAsia="zh-CN"/>
              </w:rPr>
              <w:t>残次品用塑料桶盛装送到碎料车间经破碎机破碎后，与新料经拌料机混合后使用。破碎过程产生少量粉尘以及噪声等。</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⑥震动研磨：将镜架（镜框、镜腿)、研磨石以及一定量的清水置于震动研磨机中对眼镜架表面进行打磨，目的是去除注塑件残留的棱角、毛刺等。</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设置2台震动研磨机，每台设备每次启动时加清水30L，磨料30kg，每次运行时长约1h，每天运行8次，每次运行结束后排出废水，取出工件，磨料重复使用，每周更换一次，每年消耗磨料1t。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⑦</w:t>
            </w:r>
            <w:r>
              <w:rPr>
                <w:rFonts w:hint="default" w:ascii="Times New Roman" w:hAnsi="Times New Roman" w:eastAsia="宋体" w:cs="Times New Roman"/>
                <w:lang w:val="en-US" w:eastAsia="zh-CN"/>
              </w:rPr>
              <w:t>超声波清洗/烘干</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注塑件震动研磨后使用超声波清洗机采用清水洗去粘在镜架上的粉尘。再进入脱水机甩</w:t>
            </w:r>
            <w:r>
              <w:rPr>
                <w:rFonts w:hint="eastAsia" w:ascii="Times New Roman" w:hAnsi="Times New Roman" w:eastAsia="宋体" w:cs="Times New Roman"/>
                <w:lang w:val="en-US" w:eastAsia="zh-CN"/>
              </w:rPr>
              <w:t>干</w:t>
            </w:r>
            <w:r>
              <w:rPr>
                <w:rFonts w:hint="default" w:ascii="Times New Roman" w:hAnsi="Times New Roman" w:eastAsia="宋体" w:cs="Times New Roman"/>
                <w:lang w:val="en-US" w:eastAsia="zh-CN"/>
              </w:rPr>
              <w:t>水分。设置1台超声波清洗机用于镜架清洗，水箱有效容积0.5m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，清洗机每天排水2次。此过程产生的污染物为清洗废水。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⑧涂装、烘干</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r>
              <w:rPr>
                <w:rFonts w:hint="default" w:ascii="Times New Roman" w:hAnsi="Times New Roman" w:eastAsia="宋体" w:cs="Times New Roman"/>
                <w:lang w:val="en-US" w:eastAsia="zh-CN"/>
              </w:rPr>
              <w:t>设置密闭喷漆房1间，配制</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台人工喷漆设备，共</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个工</w:t>
            </w:r>
            <w:r>
              <w:rPr>
                <w:rFonts w:hint="eastAsia" w:ascii="Times New Roman" w:hAnsi="Times New Roman" w:eastAsia="宋体" w:cs="Times New Roman"/>
                <w:lang w:val="en-US" w:eastAsia="zh-CN"/>
              </w:rPr>
              <w:t>位，喷漆房内设置1个烘干房，采用电热烘干；喷漆房顶部送风，底部排风（各工位处排风）。喷漆主要使用自动喷漆设备，</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人工喷漆设备作为补充，或特定喷漆需求时使用。</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A.调漆：喷漆作业前，工人在喷漆房喷涂工位处预先配制好油漆，在加入到喷漆设备储料桶中，随配随用，不长时间储存。调漆主要是调色以及使用稀释剂调节油漆使用粘度，稀释剂和油漆比例为1:1.1。</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B.装件：喷漆作业前，由工人将镜架装到专用夹具上，再安装到喷漆设备喷位上。自动喷漆设备夹具可装30副，人工喷涂设备夹具可装10副。</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C.喷漆：自动喷漆：开启自动喷漆设备，自动对镜架进行喷漆，每组喷漆时长 1min，喷漆后由工人将夹具从喷漆设备上取下，放置在周转架上。人工喷漆：由工人手持喷枪对镜架进行喷漆，每组喷漆时长2min，喷漆后由工人将夹具放置在周转架上。</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D.烘干：喷漆完成后，将放置镜架的周转架送入喷漆房内的烘干房进行干燥，采用电热烘箱烘干，烘干温度控制在38℃左右恒温30min。</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E.洗枪:喷漆完成后，需要对喷枪进行清洗，采用稀释剂清洗，清洗后的稀释剂可回用于调漆，喷枪喷嘴清洗过程在喷涂工位进行，一般每周清洗2次。此过程产生的污染物为喷漆、烘干过程产生的有机废气，废稀释剂桶、废油漆桶、噪声等。</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⑨印字</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镜架需要印上商标、型号等，一般采用单色移印，由工人依次将镜架放置到移印机夹具上，移印机自动依次印刷，同时工人取下印完的镜架整齐放置在周转筐中。</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⑩</w:t>
            </w:r>
            <w:r>
              <w:rPr>
                <w:rFonts w:hint="eastAsia" w:ascii="Times New Roman" w:hAnsi="Times New Roman" w:eastAsia="宋体" w:cs="Times New Roman"/>
                <w:lang w:val="en-US" w:eastAsia="zh-CN"/>
              </w:rPr>
              <w:t>镜架组装</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将生产处理后的镜框和镜腿用外购的五金配件组装成镜架。</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工人操作割片机将外购塑料镜片切割成规定的形状，切割时需要使用眼核片作为切割模具。将切割后的定型镜片安装到镜架上即为成品眼镜。之后进行打包入库外售。</w:t>
            </w:r>
          </w:p>
          <w:p>
            <w:pPr>
              <w:pStyle w:val="4"/>
              <w:numPr>
                <w:ilvl w:val="1"/>
                <w:numId w:val="2"/>
              </w:numPr>
              <w:tabs>
                <w:tab w:val="left" w:pos="636"/>
              </w:tabs>
              <w:spacing w:before="0" w:after="0" w:line="240" w:lineRule="auto"/>
              <w:ind w:left="636" w:right="0" w:hanging="361"/>
              <w:jc w:val="left"/>
            </w:pPr>
            <w:r>
              <w:t>主要污染源、污染物、治理措施及排放</w:t>
            </w:r>
          </w:p>
          <w:p>
            <w:pPr>
              <w:pStyle w:val="18"/>
              <w:numPr>
                <w:ilvl w:val="2"/>
                <w:numId w:val="3"/>
              </w:numPr>
              <w:tabs>
                <w:tab w:val="left" w:pos="819"/>
              </w:tabs>
              <w:spacing w:before="158" w:after="0" w:line="240" w:lineRule="auto"/>
              <w:ind w:left="818" w:right="0" w:hanging="544"/>
              <w:jc w:val="left"/>
              <w:rPr>
                <w:rFonts w:hint="default" w:ascii="Times New Roman" w:hAnsi="Times New Roman" w:cs="Times New Roman"/>
                <w:b w:val="0"/>
                <w:bCs w:val="0"/>
                <w:color w:val="auto"/>
                <w:sz w:val="24"/>
                <w:szCs w:val="24"/>
                <w:lang w:val="en-US" w:eastAsia="zh-CN"/>
              </w:rPr>
            </w:pPr>
            <w:r>
              <w:rPr>
                <w:b/>
                <w:sz w:val="24"/>
              </w:rPr>
              <w:t>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本验收项目生产过程产生的废气为主要项目残次品破碎过程中产生的颗粒物；注塑成型过程中产生的非甲烷总烃；</w:t>
            </w:r>
            <w:r>
              <w:rPr>
                <w:rFonts w:hint="eastAsia" w:ascii="Times New Roman" w:hAnsi="Times New Roman" w:eastAsia="宋体" w:cs="Times New Roman"/>
                <w:lang w:val="en-US" w:eastAsia="zh-CN"/>
              </w:rPr>
              <w:t>震动研磨过程产生的粉尘；涂装、烘干过程中产生的有机废气。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（1）粉尘</w:t>
            </w:r>
          </w:p>
          <w:p>
            <w:pPr>
              <w:keepNext w:val="0"/>
              <w:keepLines w:val="0"/>
              <w:pageBreakBefore w:val="0"/>
              <w:widowControl w:val="0"/>
              <w:kinsoku/>
              <w:wordWrap w:val="0"/>
              <w:overflowPunct/>
              <w:topLinePunct/>
              <w:autoSpaceDE/>
              <w:autoSpaceDN/>
              <w:bidi w:val="0"/>
              <w:adjustRightInd w:val="0"/>
              <w:snapToGrid w:val="0"/>
              <w:spacing w:line="360" w:lineRule="auto"/>
              <w:ind w:firstLine="360" w:firstLineChars="15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项目采用破碎机将注塑残次品和边角料的破碎，碎料机进料口设置有挡帘，粉尘外溢很少，基本都落到设备底部收料桶中，再加上碎料间为厂房内封闭式隔间</w:t>
            </w:r>
            <w:r>
              <w:rPr>
                <w:rFonts w:hint="default" w:ascii="Times New Roman" w:hAnsi="Times New Roman" w:eastAsia="宋体" w:cs="Times New Roman"/>
                <w:color w:val="000000"/>
                <w:sz w:val="24"/>
                <w:szCs w:val="24"/>
                <w:lang w:val="en-US" w:eastAsia="zh-CN" w:bidi="ar-SA"/>
              </w:rPr>
              <w:t>采取无组织排放。</w:t>
            </w:r>
            <w:r>
              <w:rPr>
                <w:rFonts w:hint="eastAsia" w:ascii="Times New Roman" w:hAnsi="Times New Roman" w:eastAsia="宋体" w:cs="Times New Roman"/>
                <w:color w:val="000000"/>
                <w:sz w:val="24"/>
                <w:szCs w:val="24"/>
                <w:lang w:val="en-US" w:eastAsia="zh-CN" w:bidi="ar-SA"/>
              </w:rPr>
              <w:t>震动研磨采用水磨，不产生粉尘。</w:t>
            </w:r>
          </w:p>
          <w:p>
            <w:pPr>
              <w:keepNext w:val="0"/>
              <w:keepLines w:val="0"/>
              <w:pageBreakBefore w:val="0"/>
              <w:widowControl w:val="0"/>
              <w:kinsoku/>
              <w:wordWrap w:val="0"/>
              <w:overflowPunct/>
              <w:topLinePunct/>
              <w:autoSpaceDE/>
              <w:autoSpaceDN/>
              <w:bidi w:val="0"/>
              <w:adjustRightInd w:val="0"/>
              <w:snapToGrid w:val="0"/>
              <w:spacing w:line="360" w:lineRule="auto"/>
              <w:ind w:firstLine="360" w:firstLineChars="150"/>
              <w:jc w:val="both"/>
              <w:textAlignment w:val="auto"/>
              <w:rPr>
                <w:vertAlign w:val="baseline"/>
              </w:rPr>
            </w:pPr>
            <w:r>
              <w:rPr>
                <w:rFonts w:hint="eastAsia" w:ascii="Times New Roman" w:hAnsi="Times New Roman" w:cs="Times New Roman"/>
                <w:b w:val="0"/>
                <w:bCs w:val="0"/>
                <w:color w:val="auto"/>
                <w:sz w:val="24"/>
                <w:szCs w:val="24"/>
                <w:lang w:val="en-US" w:eastAsia="zh-CN"/>
              </w:rPr>
              <w:t>（2）有机</w:t>
            </w:r>
            <w:r>
              <w:rPr>
                <w:rFonts w:hint="default" w:ascii="Times New Roman" w:hAnsi="Times New Roman" w:cs="Times New Roman"/>
                <w:b w:val="0"/>
                <w:bCs w:val="0"/>
                <w:color w:val="auto"/>
                <w:sz w:val="24"/>
                <w:szCs w:val="24"/>
                <w:lang w:val="en-US" w:eastAsia="zh-CN"/>
              </w:rPr>
              <w:t>废气</w:t>
            </w:r>
          </w:p>
        </w:tc>
      </w:tr>
    </w:tbl>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left"/>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本项目每</w:t>
            </w:r>
            <w:r>
              <w:rPr>
                <w:rFonts w:hint="eastAsia" w:ascii="Times New Roman" w:hAnsi="Times New Roman" w:cs="Times New Roman"/>
                <w:lang w:val="en-US" w:eastAsia="zh-CN"/>
              </w:rPr>
              <w:t>个</w:t>
            </w:r>
            <w:r>
              <w:rPr>
                <w:rFonts w:hint="eastAsia" w:ascii="Times New Roman" w:hAnsi="Times New Roman" w:eastAsia="宋体" w:cs="Times New Roman"/>
                <w:lang w:val="en-US" w:eastAsia="zh-CN"/>
              </w:rPr>
              <w:t>有机废气</w:t>
            </w:r>
            <w:r>
              <w:rPr>
                <w:rFonts w:hint="default" w:ascii="Times New Roman" w:hAnsi="Times New Roman" w:eastAsia="宋体" w:cs="Times New Roman"/>
                <w:lang w:val="en-US" w:eastAsia="zh-CN"/>
              </w:rPr>
              <w:t xml:space="preserve">产生点上设集气罩一个，设 </w:t>
            </w:r>
            <w:r>
              <w:rPr>
                <w:rFonts w:hint="eastAsia" w:ascii="Times New Roman" w:hAnsi="Times New Roman" w:cs="Times New Roman"/>
                <w:lang w:val="en-US" w:eastAsia="zh-CN"/>
              </w:rPr>
              <w:t>2</w:t>
            </w:r>
            <w:r>
              <w:rPr>
                <w:rFonts w:hint="default" w:ascii="Times New Roman" w:hAnsi="Times New Roman" w:eastAsia="宋体" w:cs="Times New Roman"/>
                <w:lang w:val="en-US" w:eastAsia="zh-CN"/>
              </w:rPr>
              <w:t xml:space="preserve"> 套</w:t>
            </w:r>
            <w:r>
              <w:rPr>
                <w:rFonts w:hint="eastAsia" w:ascii="Times New Roman" w:hAnsi="Times New Roman" w:cs="Times New Roman"/>
                <w:lang w:val="en-US" w:eastAsia="zh-CN"/>
              </w:rPr>
              <w:t>喷淋塔+</w:t>
            </w:r>
            <w:r>
              <w:rPr>
                <w:rFonts w:hint="default" w:ascii="Times New Roman" w:hAnsi="Times New Roman" w:eastAsia="宋体" w:cs="Times New Roman"/>
                <w:lang w:val="en-US" w:eastAsia="zh-CN"/>
              </w:rPr>
              <w:t>活性炭净化处理设施，废气</w:t>
            </w:r>
            <w:r>
              <w:rPr>
                <w:rFonts w:hint="eastAsia" w:ascii="Times New Roman" w:hAnsi="Times New Roman" w:cs="Times New Roman"/>
                <w:lang w:val="en-US" w:eastAsia="zh-CN"/>
              </w:rPr>
              <w:t>经集气罩</w:t>
            </w:r>
            <w:r>
              <w:rPr>
                <w:rFonts w:hint="default" w:ascii="Times New Roman" w:hAnsi="Times New Roman" w:eastAsia="宋体" w:cs="Times New Roman"/>
                <w:lang w:val="en-US" w:eastAsia="zh-CN"/>
              </w:rPr>
              <w:t>收集</w:t>
            </w:r>
            <w:r>
              <w:rPr>
                <w:rFonts w:hint="eastAsia" w:ascii="Times New Roman" w:hAnsi="Times New Roman" w:cs="Times New Roman"/>
                <w:lang w:val="en-US" w:eastAsia="zh-CN"/>
              </w:rPr>
              <w:t>后由喷淋塔+</w:t>
            </w:r>
            <w:r>
              <w:rPr>
                <w:rFonts w:hint="default" w:ascii="Times New Roman" w:hAnsi="Times New Roman" w:eastAsia="宋体" w:cs="Times New Roman"/>
                <w:lang w:val="en-US" w:eastAsia="zh-CN"/>
              </w:rPr>
              <w:t xml:space="preserve">活性炭净化处理设施后由 </w:t>
            </w:r>
            <w:r>
              <w:rPr>
                <w:rFonts w:hint="eastAsia" w:ascii="Times New Roman" w:hAnsi="Times New Roman" w:cs="Times New Roman"/>
                <w:lang w:val="en-US" w:eastAsia="zh-CN"/>
              </w:rPr>
              <w:t>2</w:t>
            </w:r>
            <w:r>
              <w:rPr>
                <w:rFonts w:hint="default" w:ascii="Times New Roman" w:hAnsi="Times New Roman" w:eastAsia="宋体" w:cs="Times New Roman"/>
                <w:lang w:val="en-US" w:eastAsia="zh-CN"/>
              </w:rPr>
              <w:t xml:space="preserve"> 根 15m 高排气筒排放，非甲烷总烃未被捕集到的部分通过加强车间通风换气以无组织的形式排放。</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left"/>
              <w:textAlignment w:val="baseline"/>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lang w:val="en-US" w:eastAsia="zh-CN"/>
              </w:rPr>
              <w:t>该废气治理措施及照片见图 2.6-1 及 2.6-2。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left"/>
                    <w:textAlignment w:val="baseline"/>
                    <w:rPr>
                      <w:rFonts w:hint="eastAsia" w:ascii="Times New Roman" w:hAnsi="Times New Roman" w:eastAsia="宋体" w:cs="Times New Roman"/>
                      <w:vertAlign w:val="baseline"/>
                      <w:lang w:val="en-US" w:eastAsia="zh-CN"/>
                    </w:rPr>
                  </w:pPr>
                  <w:r>
                    <w:rPr>
                      <w:rFonts w:hint="eastAsia" w:eastAsia="宋体"/>
                      <w:lang w:eastAsia="zh-CN"/>
                    </w:rPr>
                    <w:drawing>
                      <wp:inline distT="0" distB="0" distL="114300" distR="114300">
                        <wp:extent cx="2850515" cy="2183130"/>
                        <wp:effectExtent l="0" t="0" r="6985" b="7620"/>
                        <wp:docPr id="6" name="图片 6" descr="IMG_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4729"/>
                                <pic:cNvPicPr>
                                  <a:picLocks noChangeAspect="1"/>
                                </pic:cNvPicPr>
                              </pic:nvPicPr>
                              <pic:blipFill>
                                <a:blip r:embed="rId10"/>
                                <a:stretch>
                                  <a:fillRect/>
                                </a:stretch>
                              </pic:blipFill>
                              <pic:spPr>
                                <a:xfrm>
                                  <a:off x="0" y="0"/>
                                  <a:ext cx="2850515" cy="2183130"/>
                                </a:xfrm>
                                <a:prstGeom prst="rect">
                                  <a:avLst/>
                                </a:prstGeom>
                              </pic:spPr>
                            </pic:pic>
                          </a:graphicData>
                        </a:graphic>
                      </wp:inline>
                    </w:drawing>
                  </w:r>
                </w:p>
              </w:tc>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left"/>
                    <w:textAlignment w:val="baseline"/>
                    <w:rPr>
                      <w:rFonts w:hint="eastAsia" w:ascii="Times New Roman" w:hAnsi="Times New Roman" w:eastAsia="宋体" w:cs="Times New Roman"/>
                      <w:vertAlign w:val="baseline"/>
                      <w:lang w:val="en-US" w:eastAsia="zh-CN"/>
                    </w:rPr>
                  </w:pPr>
                  <w:r>
                    <w:rPr>
                      <w:rFonts w:hint="eastAsia" w:eastAsia="宋体"/>
                      <w:lang w:eastAsia="zh-CN"/>
                    </w:rPr>
                    <w:drawing>
                      <wp:inline distT="0" distB="0" distL="114300" distR="114300">
                        <wp:extent cx="2913380" cy="2185035"/>
                        <wp:effectExtent l="0" t="0" r="1270" b="5715"/>
                        <wp:docPr id="26" name="图片 26" descr="9a80dd34073ee491079b567da6004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9a80dd34073ee491079b567da6004b4"/>
                                <pic:cNvPicPr>
                                  <a:picLocks noChangeAspect="1"/>
                                </pic:cNvPicPr>
                              </pic:nvPicPr>
                              <pic:blipFill>
                                <a:blip r:embed="rId11"/>
                                <a:stretch>
                                  <a:fillRect/>
                                </a:stretch>
                              </pic:blipFill>
                              <pic:spPr>
                                <a:xfrm>
                                  <a:off x="0" y="0"/>
                                  <a:ext cx="2913380" cy="21850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left"/>
                    <w:textAlignment w:val="baseline"/>
                    <w:rPr>
                      <w:rFonts w:hint="eastAsia" w:eastAsia="宋体"/>
                      <w:lang w:eastAsia="zh-CN"/>
                    </w:rPr>
                  </w:pPr>
                  <w:r>
                    <w:rPr>
                      <w:rFonts w:hint="eastAsia" w:eastAsia="宋体"/>
                      <w:lang w:eastAsia="zh-CN"/>
                    </w:rPr>
                    <w:drawing>
                      <wp:inline distT="0" distB="0" distL="114300" distR="114300">
                        <wp:extent cx="2809240" cy="2412365"/>
                        <wp:effectExtent l="0" t="0" r="10160" b="6985"/>
                        <wp:docPr id="23" name="图片 23" descr="8fe27f9098cedf23a167472a84940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8fe27f9098cedf23a167472a84940c7"/>
                                <pic:cNvPicPr>
                                  <a:picLocks noChangeAspect="1"/>
                                </pic:cNvPicPr>
                              </pic:nvPicPr>
                              <pic:blipFill>
                                <a:blip r:embed="rId12"/>
                                <a:srcRect t="2543" b="1780"/>
                                <a:stretch>
                                  <a:fillRect/>
                                </a:stretch>
                              </pic:blipFill>
                              <pic:spPr>
                                <a:xfrm>
                                  <a:off x="0" y="0"/>
                                  <a:ext cx="2809240" cy="2412365"/>
                                </a:xfrm>
                                <a:prstGeom prst="rect">
                                  <a:avLst/>
                                </a:prstGeom>
                              </pic:spPr>
                            </pic:pic>
                          </a:graphicData>
                        </a:graphic>
                      </wp:inline>
                    </w:drawing>
                  </w:r>
                </w:p>
              </w:tc>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left"/>
                    <w:textAlignment w:val="baseline"/>
                    <w:rPr>
                      <w:rFonts w:hint="eastAsia" w:eastAsia="宋体"/>
                      <w:lang w:eastAsia="zh-CN"/>
                    </w:rPr>
                  </w:pPr>
                  <w:r>
                    <w:drawing>
                      <wp:inline distT="0" distB="0" distL="114300" distR="114300">
                        <wp:extent cx="2956560" cy="2406650"/>
                        <wp:effectExtent l="0" t="0" r="15240" b="12700"/>
                        <wp:docPr id="12" name="图片 12" descr="IMG_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4733"/>
                                <pic:cNvPicPr>
                                  <a:picLocks noChangeAspect="1"/>
                                </pic:cNvPicPr>
                              </pic:nvPicPr>
                              <pic:blipFill>
                                <a:blip r:embed="rId13"/>
                                <a:stretch>
                                  <a:fillRect/>
                                </a:stretch>
                              </pic:blipFill>
                              <pic:spPr>
                                <a:xfrm>
                                  <a:off x="0" y="0"/>
                                  <a:ext cx="2956560" cy="2406650"/>
                                </a:xfrm>
                                <a:prstGeom prst="rect">
                                  <a:avLst/>
                                </a:prstGeom>
                              </pic:spPr>
                            </pic:pic>
                          </a:graphicData>
                        </a:graphic>
                      </wp:inline>
                    </w:drawing>
                  </w:r>
                </w:p>
              </w:tc>
            </w:tr>
          </w:tbl>
          <w:p>
            <w:pPr>
              <w:tabs>
                <w:tab w:val="left" w:pos="907"/>
              </w:tabs>
              <w:spacing w:before="78"/>
              <w:ind w:left="0" w:right="173" w:firstLine="0"/>
              <w:jc w:val="center"/>
              <w:rPr>
                <w:b/>
                <w:sz w:val="21"/>
              </w:rPr>
            </w:pPr>
            <w:r>
              <w:rPr>
                <w:b/>
                <w:sz w:val="21"/>
              </w:rPr>
              <w:t>图</w:t>
            </w:r>
            <w:r>
              <w:rPr>
                <w:b/>
                <w:spacing w:val="-54"/>
                <w:sz w:val="21"/>
              </w:rPr>
              <w:t xml:space="preserve"> </w:t>
            </w:r>
            <w:r>
              <w:rPr>
                <w:rFonts w:ascii="Times New Roman" w:eastAsia="Times New Roman"/>
                <w:b/>
                <w:sz w:val="21"/>
              </w:rPr>
              <w:t>2.6-1</w:t>
            </w:r>
            <w:r>
              <w:rPr>
                <w:rFonts w:ascii="Times New Roman" w:eastAsia="Times New Roman"/>
                <w:b/>
                <w:sz w:val="21"/>
              </w:rPr>
              <w:tab/>
            </w:r>
            <w:r>
              <w:rPr>
                <w:b/>
                <w:sz w:val="21"/>
              </w:rPr>
              <w:t>有机废气设备</w:t>
            </w:r>
            <w:r>
              <w:rPr>
                <w:b/>
                <w:spacing w:val="-5"/>
                <w:sz w:val="21"/>
              </w:rPr>
              <w:t>现</w:t>
            </w:r>
            <w:r>
              <w:rPr>
                <w:b/>
                <w:sz w:val="21"/>
              </w:rPr>
              <w:t>场照片</w:t>
            </w:r>
          </w:p>
          <w:p>
            <w:pPr>
              <w:pStyle w:val="2"/>
              <w:jc w:val="both"/>
            </w:pPr>
            <w:r>
              <w:drawing>
                <wp:inline distT="0" distB="0" distL="114300" distR="114300">
                  <wp:extent cx="6000750" cy="23431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6000750" cy="2343150"/>
                          </a:xfrm>
                          <a:prstGeom prst="rect">
                            <a:avLst/>
                          </a:prstGeom>
                          <a:noFill/>
                          <a:ln>
                            <a:noFill/>
                          </a:ln>
                        </pic:spPr>
                      </pic:pic>
                    </a:graphicData>
                  </a:graphic>
                </wp:inline>
              </w:drawing>
            </w:r>
          </w:p>
          <w:p>
            <w:pPr>
              <w:pStyle w:val="2"/>
              <w:jc w:val="center"/>
              <w:rPr>
                <w:rFonts w:hint="default" w:ascii="Times New Roman" w:hAnsi="Times New Roman" w:eastAsia="宋体" w:cs="Times New Roman"/>
                <w:b/>
                <w:color w:val="auto"/>
                <w:sz w:val="21"/>
                <w:szCs w:val="22"/>
                <w:lang w:val="zh-CN" w:eastAsia="zh-CN" w:bidi="zh-CN"/>
              </w:rPr>
            </w:pPr>
            <w:r>
              <w:rPr>
                <w:rFonts w:hint="default" w:ascii="Times New Roman" w:hAnsi="Times New Roman" w:eastAsia="宋体" w:cs="Times New Roman"/>
                <w:b/>
                <w:color w:val="auto"/>
                <w:sz w:val="21"/>
                <w:szCs w:val="22"/>
                <w:lang w:val="zh-CN" w:eastAsia="zh-CN" w:bidi="zh-CN"/>
              </w:rPr>
              <w:t>图 2.6-2 有机废气治理工艺流程图</w:t>
            </w:r>
          </w:p>
          <w:p>
            <w:pPr>
              <w:pStyle w:val="18"/>
              <w:numPr>
                <w:ilvl w:val="0"/>
                <w:numId w:val="0"/>
              </w:numPr>
              <w:tabs>
                <w:tab w:val="left" w:pos="819"/>
              </w:tabs>
              <w:spacing w:before="158" w:after="0" w:line="240" w:lineRule="auto"/>
              <w:ind w:left="274" w:leftChars="0" w:right="0" w:rightChars="0"/>
              <w:jc w:val="left"/>
              <w:rPr>
                <w:rFonts w:hint="default" w:ascii="宋体" w:hAnsi="宋体" w:eastAsia="宋体" w:cs="宋体"/>
                <w:b/>
                <w:sz w:val="24"/>
                <w:lang w:val="en-US" w:eastAsia="zh-CN"/>
              </w:rPr>
            </w:pPr>
            <w:r>
              <w:rPr>
                <w:rFonts w:hint="default" w:ascii="Times New Roman" w:hAnsi="Times New Roman" w:eastAsia="宋体" w:cs="Times New Roman"/>
                <w:b/>
                <w:sz w:val="24"/>
                <w:lang w:val="en-US" w:eastAsia="zh-CN"/>
              </w:rPr>
              <w:t xml:space="preserve">2.6.2 </w:t>
            </w:r>
            <w:r>
              <w:rPr>
                <w:rFonts w:ascii="宋体" w:hAnsi="宋体" w:eastAsia="宋体" w:cs="宋体"/>
                <w:b/>
                <w:sz w:val="24"/>
              </w:rPr>
              <w:t>废</w:t>
            </w:r>
            <w:r>
              <w:rPr>
                <w:rFonts w:hint="eastAsia" w:ascii="宋体" w:hAnsi="宋体" w:eastAsia="宋体" w:cs="宋体"/>
                <w:b/>
                <w:sz w:val="24"/>
                <w:lang w:eastAsia="zh-CN"/>
              </w:rPr>
              <w:t>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left"/>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本工程废水主要包括生活污水、</w:t>
            </w:r>
            <w:r>
              <w:rPr>
                <w:rFonts w:hint="eastAsia" w:ascii="Times New Roman" w:hAnsi="Times New Roman" w:eastAsia="宋体" w:cs="Times New Roman"/>
                <w:lang w:val="en-US" w:eastAsia="zh-CN"/>
              </w:rPr>
              <w:t>超声波</w:t>
            </w:r>
            <w:r>
              <w:rPr>
                <w:rFonts w:hint="default" w:ascii="Times New Roman" w:hAnsi="Times New Roman" w:eastAsia="宋体" w:cs="Times New Roman"/>
                <w:lang w:val="en-US" w:eastAsia="zh-CN"/>
              </w:rPr>
              <w:t>清洗废水</w:t>
            </w:r>
            <w:r>
              <w:rPr>
                <w:rFonts w:hint="eastAsia" w:ascii="Times New Roman" w:hAnsi="Times New Roman" w:eastAsia="宋体" w:cs="Times New Roman"/>
                <w:lang w:val="en-US" w:eastAsia="zh-CN"/>
              </w:rPr>
              <w:t>、震动研磨废水、喷淋废水</w:t>
            </w:r>
            <w:r>
              <w:rPr>
                <w:rFonts w:hint="default" w:ascii="Times New Roman" w:hAnsi="Times New Roman" w:eastAsia="宋体" w:cs="Times New Roman"/>
                <w:lang w:val="en-US"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vertAlign w:val="baseline"/>
                <w:lang w:val="en-US"/>
              </w:rPr>
            </w:pPr>
            <w:r>
              <w:rPr>
                <w:rFonts w:hint="default" w:ascii="Times New Roman" w:hAnsi="Times New Roman" w:eastAsia="宋体" w:cs="Times New Roman"/>
                <w:lang w:val="en-US" w:eastAsia="zh-CN"/>
              </w:rPr>
              <w:t>本项目喷淋废水成分相对较复杂，且产生量较小</w:t>
            </w:r>
            <w:r>
              <w:rPr>
                <w:rFonts w:hint="eastAsia" w:ascii="Times New Roman" w:hAnsi="Times New Roman" w:eastAsia="宋体" w:cs="Times New Roman"/>
                <w:lang w:val="en-US" w:eastAsia="zh-CN"/>
              </w:rPr>
              <w:t>。现将</w:t>
            </w:r>
            <w:r>
              <w:rPr>
                <w:rFonts w:hint="default" w:ascii="Times New Roman" w:hAnsi="Times New Roman" w:eastAsia="宋体" w:cs="Times New Roman"/>
                <w:lang w:val="en-US" w:eastAsia="zh-CN"/>
              </w:rPr>
              <w:t>定期更换的喷淋废水计入危废处置</w:t>
            </w:r>
            <w:r>
              <w:rPr>
                <w:rFonts w:hint="eastAsia" w:ascii="Times New Roman" w:hAnsi="Times New Roman" w:eastAsia="宋体" w:cs="Times New Roman"/>
                <w:lang w:val="en-US" w:eastAsia="zh-CN"/>
              </w:rPr>
              <w:t>。超声波</w:t>
            </w:r>
            <w:r>
              <w:rPr>
                <w:rFonts w:hint="default" w:ascii="Times New Roman" w:hAnsi="Times New Roman" w:eastAsia="宋体" w:cs="Times New Roman"/>
                <w:lang w:val="en-US" w:eastAsia="zh-CN"/>
              </w:rPr>
              <w:t>清洗废水</w:t>
            </w:r>
            <w:r>
              <w:rPr>
                <w:rFonts w:hint="eastAsia" w:ascii="Times New Roman" w:hAnsi="Times New Roman" w:eastAsia="宋体" w:cs="Times New Roman"/>
                <w:lang w:val="en-US" w:eastAsia="zh-CN"/>
              </w:rPr>
              <w:t>、震动研磨废水</w:t>
            </w:r>
            <w:r>
              <w:rPr>
                <w:rFonts w:hint="default" w:ascii="Times New Roman" w:hAnsi="Times New Roman" w:eastAsia="宋体" w:cs="Times New Roman"/>
                <w:lang w:val="en-US" w:eastAsia="zh-CN"/>
              </w:rPr>
              <w:t>中主要含有少量LAS、SS、石油类，均不是高浓度废水</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无毒害，</w:t>
            </w:r>
            <w:r>
              <w:rPr>
                <w:rFonts w:hint="eastAsia" w:ascii="Times New Roman" w:hAnsi="Times New Roman" w:eastAsia="宋体" w:cs="Times New Roman"/>
                <w:lang w:val="en-US" w:eastAsia="zh-CN"/>
              </w:rPr>
              <w:t>经过自建的沉淀池后，</w:t>
            </w:r>
            <w:r>
              <w:rPr>
                <w:rFonts w:hint="default" w:ascii="Times New Roman" w:hAnsi="Times New Roman" w:eastAsia="宋体" w:cs="Times New Roman"/>
                <w:lang w:val="en-US" w:eastAsia="zh-CN"/>
              </w:rPr>
              <w:t>排入已建生化池废水</w:t>
            </w:r>
            <w:r>
              <w:rPr>
                <w:rFonts w:hint="eastAsia" w:ascii="Times New Roman" w:hAnsi="Times New Roman" w:eastAsia="宋体" w:cs="Times New Roman"/>
                <w:lang w:val="en-US" w:eastAsia="zh-CN"/>
              </w:rPr>
              <w:t>污水经处理达《污水综合排放标准》（GB8978-1996）三级标准后排入园区市政管网。之后进入草堂园区污水处理厂处理达到《城镇污水处理厂污染物排放标准》（</w:t>
            </w:r>
            <w:r>
              <w:rPr>
                <w:rFonts w:hint="default" w:ascii="Times New Roman" w:hAnsi="Times New Roman" w:eastAsia="宋体" w:cs="Times New Roman"/>
                <w:lang w:val="en-US" w:eastAsia="zh-CN"/>
              </w:rPr>
              <w:t>GB18918-2002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一级A标准后排入石马河</w:t>
            </w:r>
            <w:r>
              <w:rPr>
                <w:rFonts w:hint="eastAsia" w:ascii="Times New Roman" w:hAnsi="Times New Roman" w:eastAsia="宋体" w:cs="Times New Roman"/>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both"/>
                    <w:textAlignment w:val="baseline"/>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drawing>
                      <wp:inline distT="0" distB="0" distL="114300" distR="114300">
                        <wp:extent cx="3020060" cy="2265045"/>
                        <wp:effectExtent l="0" t="0" r="8890" b="1905"/>
                        <wp:docPr id="27" name="图片 27" descr="IMG_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4734"/>
                                <pic:cNvPicPr>
                                  <a:picLocks noChangeAspect="1"/>
                                </pic:cNvPicPr>
                              </pic:nvPicPr>
                              <pic:blipFill>
                                <a:blip r:embed="rId15"/>
                                <a:stretch>
                                  <a:fillRect/>
                                </a:stretch>
                              </pic:blipFill>
                              <pic:spPr>
                                <a:xfrm>
                                  <a:off x="0" y="0"/>
                                  <a:ext cx="3020060" cy="2265045"/>
                                </a:xfrm>
                                <a:prstGeom prst="rect">
                                  <a:avLst/>
                                </a:prstGeom>
                              </pic:spPr>
                            </pic:pic>
                          </a:graphicData>
                        </a:graphic>
                      </wp:inline>
                    </w:drawing>
                  </w:r>
                </w:p>
              </w:tc>
              <w:tc>
                <w:tcPr>
                  <w:tcW w:w="477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both"/>
                    <w:textAlignment w:val="baseline"/>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drawing>
                      <wp:inline distT="0" distB="0" distL="114300" distR="114300">
                        <wp:extent cx="3045460" cy="2284095"/>
                        <wp:effectExtent l="0" t="0" r="2540" b="1905"/>
                        <wp:docPr id="28" name="图片 28" descr="IMG_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4732"/>
                                <pic:cNvPicPr>
                                  <a:picLocks noChangeAspect="1"/>
                                </pic:cNvPicPr>
                              </pic:nvPicPr>
                              <pic:blipFill>
                                <a:blip r:embed="rId16"/>
                                <a:stretch>
                                  <a:fillRect/>
                                </a:stretch>
                              </pic:blipFill>
                              <pic:spPr>
                                <a:xfrm>
                                  <a:off x="0" y="0"/>
                                  <a:ext cx="3045460" cy="2284095"/>
                                </a:xfrm>
                                <a:prstGeom prst="rect">
                                  <a:avLst/>
                                </a:prstGeom>
                              </pic:spPr>
                            </pic:pic>
                          </a:graphicData>
                        </a:graphic>
                      </wp:inline>
                    </w:drawing>
                  </w:r>
                </w:p>
              </w:tc>
            </w:tr>
          </w:tbl>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center"/>
              <w:textAlignment w:val="baseline"/>
              <w:rPr>
                <w:rFonts w:hint="default" w:ascii="Times New Roman" w:hAnsi="Times New Roman" w:eastAsia="宋体" w:cs="Times New Roman"/>
                <w:b w:val="0"/>
                <w:bCs w:val="0"/>
                <w:color w:val="auto"/>
                <w:sz w:val="24"/>
                <w:szCs w:val="24"/>
                <w:lang w:val="en-US" w:eastAsia="zh-CN"/>
              </w:rPr>
            </w:pPr>
            <w:r>
              <w:rPr>
                <w:b/>
                <w:sz w:val="21"/>
              </w:rPr>
              <w:t xml:space="preserve">图 </w:t>
            </w:r>
            <w:r>
              <w:rPr>
                <w:rFonts w:ascii="Times New Roman" w:eastAsia="Times New Roman"/>
                <w:b/>
                <w:sz w:val="21"/>
              </w:rPr>
              <w:t xml:space="preserve">2.6-7 </w:t>
            </w:r>
            <w:r>
              <w:rPr>
                <w:rFonts w:hint="eastAsia" w:ascii="Times New Roman" w:eastAsia="宋体"/>
                <w:b/>
                <w:sz w:val="21"/>
                <w:lang w:eastAsia="zh-CN"/>
              </w:rPr>
              <w:t>污水处理</w:t>
            </w:r>
            <w:r>
              <w:rPr>
                <w:b/>
                <w:sz w:val="21"/>
              </w:rPr>
              <w:t>现场图</w:t>
            </w:r>
          </w:p>
          <w:p>
            <w:pPr>
              <w:pStyle w:val="4"/>
              <w:numPr>
                <w:ilvl w:val="0"/>
                <w:numId w:val="0"/>
              </w:numPr>
              <w:tabs>
                <w:tab w:val="left" w:pos="819"/>
              </w:tabs>
              <w:spacing w:before="195" w:after="0" w:line="240" w:lineRule="auto"/>
              <w:ind w:left="220" w:leftChars="0" w:right="0" w:rightChars="0"/>
              <w:jc w:val="left"/>
            </w:pPr>
            <w:r>
              <w:t>噪声</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本项目运营期主要噪声源为搅拌机、挤塑机、冷却塔、空压机、粉碎机等设备设备的运行噪声，噪声值均在 75～90dB（A）之间。主要噪声源及其治理情况见表 2.6-4。</w:t>
            </w:r>
          </w:p>
          <w:p>
            <w:pPr>
              <w:numPr>
                <w:ilvl w:val="0"/>
                <w:numId w:val="0"/>
              </w:numPr>
              <w:tabs>
                <w:tab w:val="left" w:pos="923"/>
              </w:tabs>
              <w:spacing w:before="0" w:after="22" w:line="360" w:lineRule="auto"/>
              <w:ind w:leftChars="0" w:right="0" w:rightChars="0"/>
              <w:jc w:val="center"/>
              <w:rPr>
                <w:rFonts w:hint="default" w:ascii="Times New Roman" w:hAnsi="Times New Roman" w:eastAsia="宋体" w:cs="Times New Roman"/>
                <w:lang w:val="en-US" w:eastAsia="zh-CN"/>
              </w:rPr>
            </w:pPr>
            <w:r>
              <w:rPr>
                <w:b/>
                <w:sz w:val="21"/>
              </w:rPr>
              <w:t>表</w:t>
            </w:r>
            <w:r>
              <w:rPr>
                <w:b/>
                <w:spacing w:val="-54"/>
                <w:sz w:val="21"/>
              </w:rPr>
              <w:t xml:space="preserve"> </w:t>
            </w:r>
            <w:r>
              <w:rPr>
                <w:rFonts w:ascii="Times New Roman" w:eastAsia="Times New Roman"/>
                <w:b/>
                <w:sz w:val="21"/>
              </w:rPr>
              <w:t>2.6-4</w:t>
            </w:r>
            <w:r>
              <w:rPr>
                <w:rFonts w:ascii="Times New Roman" w:eastAsia="Times New Roman"/>
                <w:b/>
                <w:sz w:val="21"/>
              </w:rPr>
              <w:tab/>
            </w:r>
            <w:r>
              <w:rPr>
                <w:b/>
                <w:sz w:val="21"/>
              </w:rPr>
              <w:t>项目主要噪声</w:t>
            </w:r>
            <w:r>
              <w:rPr>
                <w:b/>
                <w:spacing w:val="-5"/>
                <w:sz w:val="21"/>
              </w:rPr>
              <w:t>产</w:t>
            </w:r>
            <w:r>
              <w:rPr>
                <w:b/>
                <w:sz w:val="21"/>
              </w:rPr>
              <w:t>生及治理措施情况</w:t>
            </w:r>
          </w:p>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1980"/>
              <w:gridCol w:w="2309"/>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17"/>
                    <w:spacing w:before="1" w:line="253" w:lineRule="exact"/>
                    <w:ind w:right="983" w:rightChars="0"/>
                    <w:jc w:val="center"/>
                    <w:rPr>
                      <w:rFonts w:hint="default" w:ascii="宋体" w:hAnsi="宋体" w:eastAsia="宋体" w:cs="宋体"/>
                      <w:sz w:val="21"/>
                      <w:szCs w:val="22"/>
                      <w:lang w:val="en-US" w:eastAsia="zh-CN" w:bidi="zh-CN"/>
                    </w:rPr>
                  </w:pPr>
                  <w:r>
                    <w:rPr>
                      <w:rFonts w:hint="eastAsia" w:cs="宋体"/>
                      <w:sz w:val="21"/>
                      <w:szCs w:val="22"/>
                      <w:lang w:val="en-US" w:eastAsia="zh-CN" w:bidi="zh-CN"/>
                    </w:rPr>
                    <w:t xml:space="preserve">         噪声源</w:t>
                  </w:r>
                </w:p>
              </w:tc>
              <w:tc>
                <w:tcPr>
                  <w:tcW w:w="1980" w:type="dxa"/>
                  <w:vAlign w:val="center"/>
                </w:tcPr>
                <w:p>
                  <w:pPr>
                    <w:pStyle w:val="17"/>
                    <w:spacing w:before="1" w:line="253" w:lineRule="exact"/>
                    <w:ind w:left="166" w:leftChars="0" w:right="161" w:rightChars="0"/>
                    <w:jc w:val="center"/>
                    <w:rPr>
                      <w:rFonts w:hint="default" w:ascii="宋体" w:hAnsi="宋体" w:eastAsia="宋体" w:cs="宋体"/>
                      <w:sz w:val="21"/>
                      <w:szCs w:val="22"/>
                      <w:lang w:val="en-US" w:eastAsia="zh-CN" w:bidi="zh-CN"/>
                    </w:rPr>
                  </w:pPr>
                  <w:r>
                    <w:rPr>
                      <w:sz w:val="21"/>
                    </w:rPr>
                    <w:t>设备数量（台）</w:t>
                  </w:r>
                </w:p>
              </w:tc>
              <w:tc>
                <w:tcPr>
                  <w:tcW w:w="2309" w:type="dxa"/>
                  <w:vAlign w:val="center"/>
                </w:tcPr>
                <w:p>
                  <w:pPr>
                    <w:pStyle w:val="17"/>
                    <w:spacing w:before="1" w:line="253" w:lineRule="exact"/>
                    <w:ind w:left="110" w:leftChars="0" w:right="100" w:rightChars="0"/>
                    <w:jc w:val="center"/>
                    <w:rPr>
                      <w:rFonts w:hint="default" w:ascii="宋体" w:hAnsi="宋体" w:eastAsia="宋体" w:cs="宋体"/>
                      <w:sz w:val="21"/>
                      <w:szCs w:val="22"/>
                      <w:lang w:val="en-US" w:eastAsia="zh-CN" w:bidi="zh-CN"/>
                    </w:rPr>
                  </w:pPr>
                  <w:r>
                    <w:rPr>
                      <w:sz w:val="21"/>
                    </w:rPr>
                    <w:t>声压级（</w:t>
                  </w:r>
                  <w:r>
                    <w:rPr>
                      <w:rFonts w:ascii="Times New Roman" w:eastAsia="Times New Roman"/>
                      <w:sz w:val="21"/>
                    </w:rPr>
                    <w:t>dB</w:t>
                  </w:r>
                  <w:r>
                    <w:rPr>
                      <w:sz w:val="21"/>
                    </w:rPr>
                    <w:t>（</w:t>
                  </w:r>
                  <w:r>
                    <w:rPr>
                      <w:rFonts w:ascii="Times New Roman" w:eastAsia="Times New Roman"/>
                      <w:sz w:val="21"/>
                    </w:rPr>
                    <w:t>A</w:t>
                  </w:r>
                  <w:r>
                    <w:rPr>
                      <w:sz w:val="21"/>
                    </w:rPr>
                    <w:t>））</w:t>
                  </w:r>
                </w:p>
              </w:tc>
              <w:tc>
                <w:tcPr>
                  <w:tcW w:w="2387" w:type="dxa"/>
                  <w:vAlign w:val="center"/>
                </w:tcPr>
                <w:p>
                  <w:pPr>
                    <w:pStyle w:val="17"/>
                    <w:spacing w:before="1" w:line="253" w:lineRule="exact"/>
                    <w:ind w:left="672" w:leftChars="0" w:right="0" w:rightChars="0"/>
                    <w:rPr>
                      <w:rFonts w:hint="default" w:ascii="宋体" w:hAnsi="宋体" w:eastAsia="宋体" w:cs="宋体"/>
                      <w:sz w:val="21"/>
                      <w:szCs w:val="22"/>
                      <w:lang w:val="en-US" w:eastAsia="zh-CN" w:bidi="zh-CN"/>
                    </w:rPr>
                  </w:pPr>
                  <w:r>
                    <w:rPr>
                      <w:sz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注塑成型机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default" w:ascii="Times New Roman" w:hAnsi="Times New Roman" w:cs="Times New Roman"/>
                      <w:color w:val="auto"/>
                      <w:kern w:val="0"/>
                      <w:sz w:val="21"/>
                      <w:szCs w:val="21"/>
                      <w:lang w:val="en-US" w:eastAsia="zh-CN"/>
                    </w:rPr>
                    <w:t>8</w:t>
                  </w:r>
                  <w:r>
                    <w:rPr>
                      <w:rFonts w:hint="default" w:ascii="Times New Roman" w:hAnsi="Times New Roman" w:eastAsia="宋体" w:cs="Times New Roman"/>
                      <w:color w:val="auto"/>
                      <w:kern w:val="0"/>
                      <w:sz w:val="21"/>
                      <w:szCs w:val="21"/>
                      <w:lang w:val="en-US" w:eastAsia="zh-CN"/>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restart"/>
                  <w:vAlign w:val="center"/>
                </w:tcPr>
                <w:p>
                  <w:pPr>
                    <w:pStyle w:val="17"/>
                    <w:spacing w:before="151" w:line="244" w:lineRule="auto"/>
                    <w:ind w:left="148" w:leftChars="0" w:right="136" w:rightChars="0"/>
                    <w:jc w:val="center"/>
                    <w:rPr>
                      <w:rFonts w:hint="default" w:ascii="宋体" w:hAnsi="宋体" w:eastAsia="宋体" w:cs="宋体"/>
                      <w:sz w:val="21"/>
                      <w:szCs w:val="22"/>
                      <w:lang w:val="en-US" w:eastAsia="zh-CN" w:bidi="zh-CN"/>
                    </w:rPr>
                  </w:pPr>
                  <w:r>
                    <w:rPr>
                      <w:rFonts w:hint="eastAsia" w:ascii="宋体" w:hAnsi="宋体" w:eastAsia="宋体" w:cs="Times New Roman"/>
                      <w:color w:val="auto"/>
                      <w:kern w:val="0"/>
                      <w:sz w:val="21"/>
                      <w:szCs w:val="21"/>
                      <w:lang w:val="en-US" w:eastAsia="zh-CN" w:bidi="zh-CN"/>
                    </w:rPr>
                    <w:t>选用低噪声设备，合理布局、进行隔声、减震处理。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注塑成型机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default" w:ascii="Times New Roman" w:hAnsi="Times New Roman" w:cs="Times New Roman"/>
                      <w:color w:val="auto"/>
                      <w:kern w:val="0"/>
                      <w:sz w:val="21"/>
                      <w:szCs w:val="21"/>
                      <w:lang w:val="en-US" w:eastAsia="zh-CN"/>
                    </w:rPr>
                    <w:t>16台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破碎机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拌料机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震动研磨机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kern w:val="0"/>
                      <w:sz w:val="21"/>
                      <w:szCs w:val="20"/>
                      <w:lang w:val="en-US" w:eastAsia="zh-CN" w:bidi="zh-CN"/>
                    </w:rPr>
                  </w:pPr>
                  <w:r>
                    <w:rPr>
                      <w:rFonts w:hint="default" w:ascii="Times New Roman" w:hAnsi="Times New Roman" w:cs="Times New Roman"/>
                      <w:color w:val="auto"/>
                      <w:kern w:val="0"/>
                      <w:sz w:val="21"/>
                      <w:szCs w:val="21"/>
                      <w:lang w:val="en-US" w:eastAsia="zh-CN"/>
                    </w:rPr>
                    <w:t>11</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超声波清洗机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空压机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台</w:t>
                  </w:r>
                </w:p>
              </w:tc>
              <w:tc>
                <w:tcPr>
                  <w:tcW w:w="2309" w:type="dxa"/>
                  <w:vAlign w:val="center"/>
                </w:tcPr>
                <w:p>
                  <w:pPr>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80-90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自动螺丝机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台</w:t>
                  </w:r>
                </w:p>
              </w:tc>
              <w:tc>
                <w:tcPr>
                  <w:tcW w:w="2309" w:type="dxa"/>
                  <w:vAlign w:val="center"/>
                </w:tcPr>
                <w:p>
                  <w:pPr>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移印机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8</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烫金机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6</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70-80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手动喷台</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自动喷涂机</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cs="Times New Roman"/>
                      <w:color w:val="auto"/>
                      <w:sz w:val="21"/>
                      <w:szCs w:val="21"/>
                      <w:lang w:val="en-US" w:eastAsia="zh-CN"/>
                    </w:rPr>
                    <w:t>75-85</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电热烘箱</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8</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kern w:val="0"/>
                      <w:sz w:val="21"/>
                      <w:szCs w:val="20"/>
                      <w:lang w:val="en-US" w:eastAsia="zh-CN" w:bidi="zh-CN"/>
                    </w:rPr>
                  </w:pPr>
                  <w:r>
                    <w:rPr>
                      <w:rFonts w:hint="eastAsia" w:cs="Times New Roman"/>
                      <w:color w:val="auto"/>
                      <w:kern w:val="0"/>
                      <w:sz w:val="21"/>
                      <w:szCs w:val="21"/>
                      <w:lang w:val="en-US" w:eastAsia="zh-CN"/>
                    </w:rPr>
                    <w:t>冷却塔</w:t>
                  </w:r>
                </w:p>
              </w:tc>
              <w:tc>
                <w:tcPr>
                  <w:tcW w:w="1980" w:type="dxa"/>
                  <w:vAlign w:val="center"/>
                </w:tcPr>
                <w:p>
                  <w:pPr>
                    <w:pStyle w:val="7"/>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w w:val="100"/>
                      <w:kern w:val="0"/>
                      <w:sz w:val="21"/>
                      <w:szCs w:val="20"/>
                      <w:lang w:val="en-US" w:eastAsia="zh-CN" w:bidi="zh-CN"/>
                    </w:rPr>
                  </w:pPr>
                  <w:r>
                    <w:rPr>
                      <w:rFonts w:hint="default"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台</w:t>
                  </w:r>
                </w:p>
              </w:tc>
              <w:tc>
                <w:tcPr>
                  <w:tcW w:w="2309" w:type="dxa"/>
                  <w:vAlign w:val="center"/>
                </w:tcPr>
                <w:p>
                  <w:pPr>
                    <w:pStyle w:val="17"/>
                    <w:keepNext w:val="0"/>
                    <w:keepLines w:val="0"/>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color w:val="auto"/>
                      <w:sz w:val="21"/>
                      <w:szCs w:val="21"/>
                    </w:rPr>
                    <w:t>80</w:t>
                  </w:r>
                  <w:r>
                    <w:rPr>
                      <w:rFonts w:hint="default" w:ascii="Times New Roman" w:hAnsi="Times New Roman" w:cs="Times New Roman"/>
                      <w:color w:val="auto"/>
                      <w:sz w:val="21"/>
                      <w:szCs w:val="21"/>
                      <w:lang w:val="en-US" w:eastAsia="zh-CN"/>
                    </w:rPr>
                    <w:t>-90</w:t>
                  </w:r>
                </w:p>
              </w:tc>
              <w:tc>
                <w:tcPr>
                  <w:tcW w:w="2387" w:type="dxa"/>
                  <w:vMerge w:val="continue"/>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kern w:val="0"/>
                      <w:sz w:val="24"/>
                      <w:szCs w:val="24"/>
                      <w:vertAlign w:val="baseline"/>
                      <w:lang w:val="en-US" w:eastAsia="zh-CN" w:bidi="ar-SA"/>
                    </w:rPr>
                  </w:pPr>
                </w:p>
              </w:tc>
            </w:tr>
          </w:tbl>
          <w:p>
            <w:pPr>
              <w:pStyle w:val="2"/>
              <w:ind w:firstLine="480" w:firstLineChars="20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本项目噪声采用建筑隔声、基础减震等措施确保厂界达标。</w:t>
            </w:r>
          </w:p>
          <w:p>
            <w:pPr>
              <w:pStyle w:val="4"/>
              <w:numPr>
                <w:ilvl w:val="0"/>
                <w:numId w:val="0"/>
              </w:numPr>
              <w:tabs>
                <w:tab w:val="left" w:pos="819"/>
              </w:tabs>
              <w:spacing w:before="74" w:after="0" w:line="360" w:lineRule="auto"/>
              <w:ind w:left="220" w:leftChars="0" w:right="0" w:rightChars="0"/>
              <w:jc w:val="left"/>
            </w:pPr>
            <w:r>
              <w:rPr>
                <w:rFonts w:hint="default" w:ascii="Times New Roman" w:hAnsi="Times New Roman" w:cs="Times New Roman"/>
                <w:lang w:val="en-US" w:eastAsia="zh-CN"/>
              </w:rPr>
              <w:t>2.6.4</w:t>
            </w:r>
            <w:r>
              <w:rPr>
                <w:rFonts w:hint="eastAsia" w:ascii="Times New Roman" w:hAnsi="Times New Roman" w:cs="Times New Roman"/>
                <w:lang w:val="en-US" w:eastAsia="zh-CN"/>
              </w:rPr>
              <w:t xml:space="preserve"> </w:t>
            </w:r>
            <w:r>
              <w:t>固体废物</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本项目生产过程中产生的固体废物为一般工业固废、危险固废、生活垃圾。危废暂存间设于厂房北侧占地面积约10m</w:t>
            </w:r>
            <w:r>
              <w:rPr>
                <w:rFonts w:hint="eastAsia" w:ascii="Times New Roman" w:hAnsi="Times New Roman" w:eastAsia="宋体" w:cs="Times New Roman"/>
                <w:vertAlign w:val="superscript"/>
                <w:lang w:val="en-US" w:eastAsia="zh-CN"/>
              </w:rPr>
              <w:t>2</w:t>
            </w:r>
            <w:r>
              <w:rPr>
                <w:rFonts w:hint="eastAsia" w:ascii="Times New Roman" w:hAnsi="Times New Roman" w:eastAsia="宋体" w:cs="Times New Roman"/>
                <w:lang w:val="en-US" w:eastAsia="zh-CN"/>
              </w:rPr>
              <w:t>，按《危险废物贮存污染控制标准》（GB18597-2001）</w:t>
            </w:r>
            <w:r>
              <w:rPr>
                <w:rFonts w:hint="eastAsia" w:ascii="Times New Roman" w:hAnsi="Times New Roman" w:cs="Times New Roman"/>
                <w:lang w:val="en-US" w:eastAsia="zh-CN"/>
              </w:rPr>
              <w:t>设置。</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一般固废</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验收项目生产过程中产生的一般工业固废主要为注塑边角料、残次品料产生量约 </w:t>
            </w:r>
            <w:r>
              <w:rPr>
                <w:rFonts w:hint="default" w:ascii="Times New Roman" w:hAnsi="Times New Roman" w:cs="Times New Roman"/>
                <w:sz w:val="24"/>
                <w:szCs w:val="24"/>
                <w:lang w:val="en-US" w:eastAsia="zh-CN"/>
              </w:rPr>
              <w:t>5.1t/a</w:t>
            </w:r>
            <w:r>
              <w:rPr>
                <w:rFonts w:hint="default" w:ascii="Times New Roman" w:hAnsi="Times New Roman" w:eastAsia="宋体" w:cs="Times New Roman"/>
                <w:lang w:val="en-US" w:eastAsia="zh-CN"/>
              </w:rPr>
              <w:t>，残次品、废边角料经破碎后回用与生产。原料、成品废包装材料产生量约1t/a及</w:t>
            </w:r>
            <w:r>
              <w:rPr>
                <w:rFonts w:hint="default" w:ascii="Times New Roman" w:hAnsi="Times New Roman" w:cs="Times New Roman"/>
                <w:b w:val="0"/>
                <w:bCs w:val="0"/>
                <w:color w:val="auto"/>
                <w:sz w:val="24"/>
                <w:szCs w:val="24"/>
                <w:lang w:val="en-US" w:eastAsia="zh-CN"/>
              </w:rPr>
              <w:t>废磨料废磨料产生量为1t/a，</w:t>
            </w:r>
            <w:r>
              <w:rPr>
                <w:rFonts w:hint="default" w:ascii="Times New Roman" w:hAnsi="Times New Roman" w:eastAsia="宋体" w:cs="Times New Roman"/>
                <w:lang w:val="en-US" w:eastAsia="zh-CN"/>
              </w:rPr>
              <w:t>和生活垃圾一起交由环卫部门清运。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危险废物</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废活性炭属于危险废物，分类专用容器收集，委托重庆巨光实业有限公司进行处理，危险废物暂存于危废间。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设备维护废机油</w:t>
            </w:r>
            <w:r>
              <w:rPr>
                <w:rFonts w:hint="eastAsia" w:ascii="Times New Roman" w:hAnsi="Times New Roman" w:eastAsia="宋体" w:cs="Times New Roman"/>
                <w:lang w:val="en-US" w:eastAsia="zh-CN"/>
              </w:rPr>
              <w:t>、废润滑油</w:t>
            </w:r>
            <w:r>
              <w:rPr>
                <w:rFonts w:hint="default" w:ascii="Times New Roman" w:hAnsi="Times New Roman" w:eastAsia="宋体" w:cs="Times New Roman"/>
                <w:lang w:val="en-US" w:eastAsia="zh-CN"/>
              </w:rPr>
              <w:t>和桶：设备维护保养产生产废机油和桶，</w:t>
            </w:r>
            <w:r>
              <w:rPr>
                <w:rFonts w:hint="eastAsia" w:ascii="Times New Roman" w:hAnsi="Times New Roman" w:eastAsia="宋体" w:cs="Times New Roman"/>
                <w:lang w:val="en-US" w:eastAsia="zh-CN"/>
              </w:rPr>
              <w:t>属于“HW08废矿物油与含矿物油废物 非特定行业中废矿物油再生净化过程中产生的沉淀残渣、过滤残渣、废过滤吸附介质（900-214-08）”。暂存于危废暂存间，定期交由有资质的单位处理。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沾染化学品的废包装材料：如染色剂等的包装材料，产生量0.1t/a，属于“HW49其他废物-900-041-49”。密封处理后，暂存于危废暂存间，定期交由有资质的单位处理。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漆渣：漆渣产生量为0.5t/a。属于“HW49其他废物-900-041-49”。密封处理后，暂存于危废暂存间，定期交由有资质的单位处理。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喷淋废液：半年更换一次，产生量 </w:t>
            </w:r>
            <w:r>
              <w:rPr>
                <w:rFonts w:hint="default" w:ascii="Times New Roman" w:hAnsi="Times New Roman" w:eastAsia="宋体" w:cs="Times New Roman"/>
                <w:lang w:val="en-US" w:eastAsia="zh-CN"/>
              </w:rPr>
              <w:t>1.4t/a</w:t>
            </w:r>
            <w:r>
              <w:rPr>
                <w:rFonts w:hint="eastAsia" w:ascii="Times New Roman" w:hAnsi="Times New Roman" w:eastAsia="宋体" w:cs="Times New Roman"/>
                <w:lang w:val="en-US" w:eastAsia="zh-CN"/>
              </w:rPr>
              <w:t>。密封处理，暂存于危废暂存间，定期交具 有危废处理资质的单位处置。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废棉纱手套：为工人劳保用品，沾染废油的废抹布、废棉纱、废手套、废拖把等， 属于危险废物 HW49 900-041-49，依据《国家危险废物名录》（2016）附录危险废物豁免管理，废棉纱手套豁免环节为全部环节，混入生活垃圾，全过程不按危险废物管理。</w:t>
            </w:r>
          </w:p>
          <w:p>
            <w:pPr>
              <w:keepNext w:val="0"/>
              <w:keepLines w:val="0"/>
              <w:pageBreakBefore w:val="0"/>
              <w:widowControl w:val="0"/>
              <w:kinsoku/>
              <w:wordWrap w:val="0"/>
              <w:overflowPunct/>
              <w:topLinePunct/>
              <w:autoSpaceDE/>
              <w:autoSpaceDN/>
              <w:bidi w:val="0"/>
              <w:adjustRightInd w:val="0"/>
              <w:snapToGrid w:val="0"/>
              <w:spacing w:line="360" w:lineRule="auto"/>
              <w:ind w:firstLine="360" w:firstLineChars="150"/>
              <w:jc w:val="both"/>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（3）生活垃圾</w:t>
            </w:r>
          </w:p>
          <w:p>
            <w:pPr>
              <w:keepNext w:val="0"/>
              <w:keepLines w:val="0"/>
              <w:pageBreakBefore w:val="0"/>
              <w:widowControl w:val="0"/>
              <w:kinsoku/>
              <w:wordWrap w:val="0"/>
              <w:overflowPunct/>
              <w:topLinePunct/>
              <w:autoSpaceDE/>
              <w:autoSpaceDN/>
              <w:bidi w:val="0"/>
              <w:adjustRightInd w:val="0"/>
              <w:snapToGrid w:val="0"/>
              <w:spacing w:line="360" w:lineRule="auto"/>
              <w:ind w:firstLine="360" w:firstLineChars="150"/>
              <w:jc w:val="both"/>
              <w:textAlignment w:val="auto"/>
              <w:rPr>
                <w:rFonts w:hint="eastAsia"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lang w:val="en-US" w:eastAsia="zh-CN"/>
              </w:rPr>
              <w:t>生活垃圾员工生活垃圾分类袋装收集交由当地环卫部门处理。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vertAlign w:val="baseline"/>
                <w:lang w:val="en-US"/>
              </w:rPr>
            </w:pPr>
          </w:p>
        </w:tc>
      </w:tr>
    </w:tbl>
    <w:p>
      <w:pPr>
        <w:pStyle w:val="2"/>
      </w:pPr>
    </w:p>
    <w:p>
      <w:pPr>
        <w:pStyle w:val="2"/>
        <w:rPr>
          <w:rFonts w:hint="default" w:eastAsia="宋体"/>
          <w:lang w:val="en-US" w:eastAsia="zh-CN"/>
        </w:rPr>
      </w:pPr>
    </w:p>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7" w:hRule="atLeast"/>
        </w:trPr>
        <w:tc>
          <w:tcPr>
            <w:tcW w:w="9764" w:type="dxa"/>
          </w:tcPr>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9"/>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drawing>
                      <wp:inline distT="0" distB="0" distL="114300" distR="114300">
                        <wp:extent cx="2867660" cy="2007870"/>
                        <wp:effectExtent l="0" t="0" r="8890" b="11430"/>
                        <wp:docPr id="9" name="图片 9" descr="IMG_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4731"/>
                                <pic:cNvPicPr>
                                  <a:picLocks noChangeAspect="1"/>
                                </pic:cNvPicPr>
                              </pic:nvPicPr>
                              <pic:blipFill>
                                <a:blip r:embed="rId17"/>
                                <a:stretch>
                                  <a:fillRect/>
                                </a:stretch>
                              </pic:blipFill>
                              <pic:spPr>
                                <a:xfrm>
                                  <a:off x="0" y="0"/>
                                  <a:ext cx="2867660" cy="2007870"/>
                                </a:xfrm>
                                <a:prstGeom prst="rect">
                                  <a:avLst/>
                                </a:prstGeom>
                              </pic:spPr>
                            </pic:pic>
                          </a:graphicData>
                        </a:graphic>
                      </wp:inline>
                    </w:drawing>
                  </w:r>
                </w:p>
              </w:tc>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drawing>
                      <wp:inline distT="0" distB="0" distL="114300" distR="114300">
                        <wp:extent cx="2867660" cy="2054860"/>
                        <wp:effectExtent l="0" t="0" r="8890" b="2540"/>
                        <wp:docPr id="10" name="图片 10" descr="IMG_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4730"/>
                                <pic:cNvPicPr>
                                  <a:picLocks noChangeAspect="1"/>
                                </pic:cNvPicPr>
                              </pic:nvPicPr>
                              <pic:blipFill>
                                <a:blip r:embed="rId18"/>
                                <a:stretch>
                                  <a:fillRect/>
                                </a:stretch>
                              </pic:blipFill>
                              <pic:spPr>
                                <a:xfrm>
                                  <a:off x="0" y="0"/>
                                  <a:ext cx="2867660" cy="2054860"/>
                                </a:xfrm>
                                <a:prstGeom prst="rect">
                                  <a:avLst/>
                                </a:prstGeom>
                              </pic:spPr>
                            </pic:pic>
                          </a:graphicData>
                        </a:graphic>
                      </wp:inline>
                    </w:drawing>
                  </w:r>
                </w:p>
              </w:tc>
            </w:tr>
          </w:tbl>
          <w:p>
            <w:pPr>
              <w:pStyle w:val="24"/>
              <w:spacing w:line="240" w:lineRule="auto"/>
              <w:ind w:firstLine="0" w:firstLineChars="0"/>
              <w:jc w:val="center"/>
              <w:rPr>
                <w:b/>
                <w:sz w:val="21"/>
              </w:rPr>
            </w:pPr>
          </w:p>
          <w:p>
            <w:pPr>
              <w:pStyle w:val="24"/>
              <w:spacing w:line="360" w:lineRule="auto"/>
              <w:ind w:firstLine="0" w:firstLineChars="0"/>
              <w:jc w:val="center"/>
              <w:rPr>
                <w:b/>
                <w:sz w:val="21"/>
              </w:rPr>
            </w:pPr>
            <w:r>
              <w:rPr>
                <w:b/>
                <w:sz w:val="21"/>
              </w:rPr>
              <w:t xml:space="preserve">图 </w:t>
            </w:r>
            <w:r>
              <w:rPr>
                <w:rFonts w:ascii="Times New Roman" w:eastAsia="Times New Roman"/>
                <w:b/>
                <w:sz w:val="21"/>
              </w:rPr>
              <w:t xml:space="preserve">2.6-7 </w:t>
            </w:r>
            <w:r>
              <w:rPr>
                <w:b/>
                <w:sz w:val="21"/>
              </w:rPr>
              <w:t>危废暂存间</w:t>
            </w:r>
            <w:r>
              <w:rPr>
                <w:rFonts w:hint="eastAsia"/>
                <w:b/>
                <w:sz w:val="21"/>
                <w:lang w:eastAsia="zh-CN"/>
              </w:rPr>
              <w:t>及固废暂存间</w:t>
            </w:r>
          </w:p>
          <w:p>
            <w:pPr>
              <w:pStyle w:val="24"/>
              <w:spacing w:line="360" w:lineRule="auto"/>
              <w:ind w:firstLine="0" w:firstLineChars="0"/>
              <w:jc w:val="both"/>
              <w:rPr>
                <w:b/>
                <w:sz w:val="21"/>
              </w:rPr>
            </w:pPr>
          </w:p>
          <w:p>
            <w:pPr>
              <w:pStyle w:val="24"/>
              <w:spacing w:line="360" w:lineRule="auto"/>
              <w:ind w:firstLine="0" w:firstLineChars="0"/>
              <w:jc w:val="center"/>
              <w:rPr>
                <w:rFonts w:ascii="Times New Roman" w:hAnsi="Times New Roman"/>
                <w:b/>
                <w:bCs/>
                <w:color w:val="auto"/>
              </w:rPr>
            </w:pPr>
            <w:r>
              <w:rPr>
                <w:b/>
                <w:sz w:val="21"/>
              </w:rPr>
              <w:t>表</w:t>
            </w:r>
            <w:r>
              <w:rPr>
                <w:b/>
                <w:spacing w:val="-54"/>
                <w:sz w:val="21"/>
              </w:rPr>
              <w:t xml:space="preserve"> </w:t>
            </w:r>
            <w:r>
              <w:rPr>
                <w:rFonts w:ascii="Times New Roman" w:eastAsia="Times New Roman"/>
                <w:b/>
                <w:sz w:val="21"/>
              </w:rPr>
              <w:t>2.6-5</w:t>
            </w:r>
            <w:r>
              <w:rPr>
                <w:rFonts w:ascii="Times New Roman" w:eastAsia="Times New Roman"/>
                <w:b/>
                <w:sz w:val="21"/>
              </w:rPr>
              <w:tab/>
            </w:r>
            <w:r>
              <w:rPr>
                <w:b/>
                <w:sz w:val="21"/>
              </w:rPr>
              <w:t>固体废物产生</w:t>
            </w:r>
            <w:r>
              <w:rPr>
                <w:b/>
                <w:spacing w:val="-5"/>
                <w:sz w:val="21"/>
              </w:rPr>
              <w:t>处</w:t>
            </w:r>
            <w:r>
              <w:rPr>
                <w:b/>
                <w:sz w:val="21"/>
              </w:rPr>
              <w:t>置情况一览表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38"/>
              <w:gridCol w:w="2090"/>
              <w:gridCol w:w="978"/>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9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0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cs="Times New Roman"/>
                      <w:b/>
                      <w:bCs/>
                      <w:color w:val="000000"/>
                      <w:kern w:val="2"/>
                      <w:sz w:val="21"/>
                      <w:szCs w:val="21"/>
                      <w:lang w:val="en-US" w:eastAsia="zh-CN" w:bidi="ar-SA"/>
                    </w:rPr>
                    <w:t>性质</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产生量（t/a）</w:t>
                  </w:r>
                </w:p>
              </w:tc>
              <w:tc>
                <w:tcPr>
                  <w:tcW w:w="205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color w:val="000000"/>
                      <w:sz w:val="21"/>
                      <w:szCs w:val="21"/>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生活垃圾</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一般固体废物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4.5</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垃圾桶收集，分类收集后交由市政环卫部门处理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注塑边角料</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2"/>
                      <w:sz w:val="21"/>
                      <w:szCs w:val="21"/>
                      <w:lang w:val="en-US" w:eastAsia="zh-CN" w:bidi="ar-SA"/>
                    </w:rPr>
                    <w:t>一般固体废物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5.1</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收集后回用于生产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cs="Times New Roman"/>
                      <w:sz w:val="21"/>
                      <w:szCs w:val="21"/>
                      <w:lang w:val="en-US" w:eastAsia="zh-CN"/>
                    </w:rPr>
                    <w:t>废</w:t>
                  </w:r>
                  <w:r>
                    <w:rPr>
                      <w:rFonts w:hint="default" w:ascii="Times New Roman" w:hAnsi="Times New Roman" w:eastAsia="宋体" w:cs="Times New Roman"/>
                      <w:sz w:val="21"/>
                      <w:szCs w:val="21"/>
                    </w:rPr>
                    <w:t>包装材料</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2"/>
                      <w:sz w:val="21"/>
                      <w:szCs w:val="21"/>
                      <w:lang w:val="en-US" w:eastAsia="zh-CN" w:bidi="ar-SA"/>
                    </w:rPr>
                    <w:t>一般固体废物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sz w:val="21"/>
                      <w:szCs w:val="21"/>
                      <w:lang w:val="en-US" w:eastAsia="zh-CN"/>
                    </w:rPr>
                    <w:t>和</w:t>
                  </w:r>
                  <w:r>
                    <w:rPr>
                      <w:rFonts w:hint="default" w:ascii="Times New Roman" w:hAnsi="Times New Roman" w:eastAsia="宋体" w:cs="Times New Roman"/>
                      <w:sz w:val="21"/>
                      <w:szCs w:val="21"/>
                      <w:lang w:val="en-US" w:eastAsia="zh-CN"/>
                    </w:rPr>
                    <w:t>生活垃圾一起交由环卫部门清运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废磨料</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一般固体废物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和</w:t>
                  </w:r>
                  <w:r>
                    <w:rPr>
                      <w:rFonts w:hint="default" w:ascii="Times New Roman" w:hAnsi="Times New Roman" w:eastAsia="宋体" w:cs="Times New Roman"/>
                      <w:sz w:val="21"/>
                      <w:szCs w:val="21"/>
                      <w:lang w:val="en-US" w:eastAsia="zh-CN"/>
                    </w:rPr>
                    <w:t>生活垃圾一起交由环卫部门清运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5</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w:t>
                  </w:r>
                  <w:r>
                    <w:rPr>
                      <w:rFonts w:hint="default" w:ascii="Times New Roman" w:hAnsi="Times New Roman" w:eastAsia="宋体" w:cs="Times New Roman"/>
                      <w:sz w:val="21"/>
                      <w:szCs w:val="21"/>
                      <w:lang w:val="en-US" w:eastAsia="zh-CN"/>
                    </w:rPr>
                    <w:t>活性炭（HW4</w:t>
                  </w:r>
                  <w:r>
                    <w:rPr>
                      <w:rFonts w:hint="default" w:ascii="Times New Roman" w:hAnsi="Times New Roman" w:cs="Times New Roman"/>
                      <w:sz w:val="21"/>
                      <w:szCs w:val="21"/>
                      <w:lang w:val="en-US" w:eastAsia="zh-CN"/>
                    </w:rPr>
                    <w:t>9</w:t>
                  </w:r>
                  <w:r>
                    <w:rPr>
                      <w:rFonts w:hint="default" w:ascii="Times New Roman" w:hAnsi="Times New Roman" w:eastAsia="宋体" w:cs="Times New Roman"/>
                      <w:sz w:val="21"/>
                      <w:szCs w:val="21"/>
                      <w:lang w:val="en-US" w:eastAsia="zh-CN"/>
                    </w:rPr>
                    <w:t>）</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900-039-49</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kern w:val="2"/>
                      <w:sz w:val="21"/>
                      <w:szCs w:val="21"/>
                      <w:lang w:val="en-US" w:eastAsia="zh-CN" w:bidi="ar-SA"/>
                    </w:rPr>
                    <w:t>10</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厂内统一收集后，</w:t>
                  </w:r>
                  <w:r>
                    <w:rPr>
                      <w:rFonts w:hint="default" w:ascii="Times New Roman" w:hAnsi="Times New Roman" w:cs="Times New Roman"/>
                      <w:sz w:val="21"/>
                      <w:szCs w:val="21"/>
                      <w:lang w:val="en-US" w:eastAsia="zh-CN"/>
                    </w:rPr>
                    <w:t>暂存于危废暂存间，定期</w:t>
                  </w:r>
                  <w:r>
                    <w:rPr>
                      <w:rFonts w:hint="default" w:ascii="Times New Roman" w:hAnsi="Times New Roman" w:cs="Times New Roman"/>
                      <w:sz w:val="21"/>
                      <w:szCs w:val="21"/>
                    </w:rPr>
                    <w:t>交由有资质的单位处理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沾染化学品的废包装材料</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bidi="ar-SA"/>
                    </w:rPr>
                    <w:t>900-041-49</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0.5</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厂内统一收集后，</w:t>
                  </w:r>
                  <w:r>
                    <w:rPr>
                      <w:rFonts w:hint="default" w:ascii="Times New Roman" w:hAnsi="Times New Roman" w:cs="Times New Roman"/>
                      <w:sz w:val="21"/>
                      <w:szCs w:val="21"/>
                      <w:lang w:val="en-US" w:eastAsia="zh-CN"/>
                    </w:rPr>
                    <w:t>暂存于危废暂存间，定期</w:t>
                  </w:r>
                  <w:r>
                    <w:rPr>
                      <w:rFonts w:hint="default" w:ascii="Times New Roman" w:hAnsi="Times New Roman" w:cs="Times New Roman"/>
                      <w:sz w:val="21"/>
                      <w:szCs w:val="21"/>
                    </w:rPr>
                    <w:t>交由有资质的单位处理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7</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sz w:val="21"/>
                      <w:szCs w:val="21"/>
                      <w:lang w:val="en-US" w:eastAsia="zh-CN"/>
                    </w:rPr>
                    <w:t>漆渣</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bidi="ar-SA"/>
                    </w:rPr>
                    <w:t>900-041-49</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0.5</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sz w:val="21"/>
                      <w:szCs w:val="21"/>
                    </w:rPr>
                    <w:t>厂内统一收集后，</w:t>
                  </w:r>
                  <w:r>
                    <w:rPr>
                      <w:rFonts w:hint="default" w:ascii="Times New Roman" w:hAnsi="Times New Roman" w:cs="Times New Roman"/>
                      <w:sz w:val="21"/>
                      <w:szCs w:val="21"/>
                      <w:lang w:val="en-US" w:eastAsia="zh-CN"/>
                    </w:rPr>
                    <w:t>暂存于危废暂存间，定期</w:t>
                  </w:r>
                  <w:r>
                    <w:rPr>
                      <w:rFonts w:hint="default" w:ascii="Times New Roman" w:hAnsi="Times New Roman" w:cs="Times New Roman"/>
                      <w:sz w:val="21"/>
                      <w:szCs w:val="21"/>
                    </w:rPr>
                    <w:t>交由有资质的单位处理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sz w:val="21"/>
                      <w:szCs w:val="21"/>
                      <w:lang w:val="en-US" w:eastAsia="zh-CN"/>
                    </w:rPr>
                    <w:t>8</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废机油（HW08）</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900-214-08</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0.12</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厂内统一收集后，</w:t>
                  </w:r>
                  <w:r>
                    <w:rPr>
                      <w:rFonts w:hint="default" w:ascii="Times New Roman" w:hAnsi="Times New Roman" w:cs="Times New Roman"/>
                      <w:sz w:val="21"/>
                      <w:szCs w:val="21"/>
                      <w:lang w:val="en-US" w:eastAsia="zh-CN"/>
                    </w:rPr>
                    <w:t>暂存于危废暂存间，定期</w:t>
                  </w:r>
                  <w:r>
                    <w:rPr>
                      <w:rFonts w:hint="default" w:ascii="Times New Roman" w:hAnsi="Times New Roman" w:cs="Times New Roman"/>
                      <w:sz w:val="21"/>
                      <w:szCs w:val="21"/>
                    </w:rPr>
                    <w:t>交由有资质的单位处理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lang w:val="en-US" w:eastAsia="zh-CN"/>
                    </w:rPr>
                    <w:t>9</w:t>
                  </w:r>
                </w:p>
              </w:tc>
              <w:tc>
                <w:tcPr>
                  <w:tcW w:w="185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含油抹布、手套</w:t>
                  </w:r>
                </w:p>
              </w:tc>
              <w:tc>
                <w:tcPr>
                  <w:tcW w:w="2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color w:val="000000"/>
                      <w:kern w:val="2"/>
                      <w:sz w:val="21"/>
                      <w:szCs w:val="21"/>
                      <w:lang w:val="en-US" w:eastAsia="zh-CN" w:bidi="ar-SA"/>
                    </w:rPr>
                    <w:t>不按危险废物管理</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lang w:val="en-US" w:eastAsia="zh-CN"/>
                    </w:rPr>
                    <w:t>0.01</w:t>
                  </w:r>
                </w:p>
              </w:tc>
              <w:tc>
                <w:tcPr>
                  <w:tcW w:w="3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混入</w:t>
                  </w:r>
                  <w:r>
                    <w:rPr>
                      <w:rFonts w:hint="default" w:ascii="Times New Roman" w:hAnsi="Times New Roman" w:eastAsia="宋体" w:cs="Times New Roman"/>
                      <w:sz w:val="21"/>
                      <w:szCs w:val="21"/>
                      <w:lang w:val="en-US" w:eastAsia="zh-CN"/>
                    </w:rPr>
                    <w:t>生活垃圾一起交由环卫部门清运</w:t>
                  </w:r>
                </w:p>
              </w:tc>
            </w:tr>
          </w:tbl>
          <w:p>
            <w:pPr>
              <w:pStyle w:val="2"/>
              <w:jc w:val="both"/>
              <w:rPr>
                <w:vertAlign w:val="baseline"/>
              </w:rPr>
            </w:pPr>
          </w:p>
        </w:tc>
      </w:tr>
    </w:tbl>
    <w:p>
      <w:pPr>
        <w:pStyle w:val="3"/>
        <w:tabs>
          <w:tab w:val="left" w:pos="1120"/>
        </w:tabs>
        <w:ind w:left="275" w:firstLine="0"/>
      </w:pPr>
      <w:r>
        <w:rPr>
          <w:spacing w:val="5"/>
        </w:rPr>
        <w:t>表</w:t>
      </w:r>
      <w:r>
        <w:t>三</w:t>
      </w:r>
      <w:r>
        <w:tab/>
      </w:r>
      <w:r>
        <w:rPr>
          <w:spacing w:val="5"/>
        </w:rPr>
        <w:t>环</w:t>
      </w:r>
      <w:r>
        <w:t>境</w:t>
      </w:r>
      <w:r>
        <w:rPr>
          <w:spacing w:val="5"/>
        </w:rPr>
        <w:t>影</w:t>
      </w:r>
      <w:r>
        <w:t>响</w:t>
      </w:r>
      <w:r>
        <w:rPr>
          <w:spacing w:val="5"/>
        </w:rPr>
        <w:t>评</w:t>
      </w:r>
      <w:r>
        <w:t>价</w:t>
      </w:r>
      <w:r>
        <w:rPr>
          <w:spacing w:val="5"/>
        </w:rPr>
        <w:t>回</w:t>
      </w:r>
      <w:r>
        <w:t>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4"/>
              <w:spacing w:before="223"/>
              <w:ind w:left="275" w:firstLine="0"/>
            </w:pPr>
            <w:r>
              <w:t>环境影响评价的主要结论及建议</w:t>
            </w:r>
          </w:p>
          <w:p>
            <w:pPr>
              <w:pStyle w:val="18"/>
              <w:keepNext w:val="0"/>
              <w:keepLines w:val="0"/>
              <w:pageBreakBefore w:val="0"/>
              <w:widowControl w:val="0"/>
              <w:numPr>
                <w:ilvl w:val="1"/>
                <w:numId w:val="4"/>
              </w:numPr>
              <w:tabs>
                <w:tab w:val="left" w:pos="636"/>
              </w:tabs>
              <w:kinsoku/>
              <w:wordWrap/>
              <w:overflowPunct/>
              <w:topLinePunct w:val="0"/>
              <w:autoSpaceDE w:val="0"/>
              <w:autoSpaceDN w:val="0"/>
              <w:bidi w:val="0"/>
              <w:adjustRightInd/>
              <w:snapToGrid/>
              <w:spacing w:before="159" w:after="0" w:line="240" w:lineRule="auto"/>
              <w:ind w:left="583" w:leftChars="100" w:right="0" w:hanging="363" w:firstLineChars="0"/>
              <w:jc w:val="left"/>
              <w:textAlignment w:val="auto"/>
              <w:rPr>
                <w:b/>
                <w:sz w:val="24"/>
              </w:rPr>
            </w:pPr>
            <w:r>
              <w:rPr>
                <w:b/>
                <w:sz w:val="24"/>
              </w:rPr>
              <w:t>主要结论</w:t>
            </w:r>
          </w:p>
          <w:p>
            <w:pPr>
              <w:pStyle w:val="18"/>
              <w:numPr>
                <w:ilvl w:val="2"/>
                <w:numId w:val="4"/>
              </w:numPr>
              <w:tabs>
                <w:tab w:val="left" w:pos="819"/>
              </w:tabs>
              <w:spacing w:before="162" w:after="0" w:line="240" w:lineRule="auto"/>
              <w:ind w:left="818" w:right="0" w:hanging="544"/>
              <w:jc w:val="left"/>
              <w:rPr>
                <w:sz w:val="24"/>
              </w:rPr>
            </w:pPr>
            <w:r>
              <w:rPr>
                <w:sz w:val="24"/>
              </w:rPr>
              <w:t>项目概况</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重庆万瑞眼镜有限公司眼镜镜架生产项目</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位于重庆市奉节县生态工业园区兴园路1号</w:t>
            </w:r>
            <w:r>
              <w:rPr>
                <w:rFonts w:hint="eastAsia" w:ascii="Times New Roman" w:hAnsi="Times New Roman" w:eastAsia="宋体" w:cs="Times New Roman"/>
                <w:lang w:val="en-US" w:eastAsia="zh-CN"/>
              </w:rPr>
              <w:t>B7幢4层</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租用标准厂房3000平方米，引进注塑眼镜设备及配套设备，建成太阳镜、老花镜、防雾镜生产线各1条，年产成品眼镜1000万副。</w:t>
            </w:r>
            <w:r>
              <w:rPr>
                <w:rFonts w:hint="default" w:ascii="Times New Roman" w:hAnsi="Times New Roman" w:eastAsia="宋体" w:cs="Times New Roman"/>
                <w:lang w:val="en-US" w:eastAsia="zh-CN"/>
              </w:rPr>
              <w:t>本项目于2021年</w:t>
            </w:r>
            <w:r>
              <w:rPr>
                <w:rFonts w:hint="eastAsia" w:ascii="Times New Roman" w:hAnsi="Times New Roman" w:eastAsia="宋体" w:cs="Times New Roman"/>
                <w:lang w:val="en-US" w:eastAsia="zh-CN"/>
              </w:rPr>
              <w:t>9</w:t>
            </w:r>
            <w:r>
              <w:rPr>
                <w:rFonts w:hint="default" w:ascii="Times New Roman" w:hAnsi="Times New Roman" w:eastAsia="宋体" w:cs="Times New Roman"/>
                <w:lang w:val="en-US" w:eastAsia="zh-CN"/>
              </w:rPr>
              <w:t>月</w:t>
            </w:r>
            <w:r>
              <w:rPr>
                <w:rFonts w:hint="eastAsia" w:ascii="Times New Roman" w:hAnsi="Times New Roman" w:eastAsia="宋体" w:cs="Times New Roman"/>
                <w:lang w:val="en-US" w:eastAsia="zh-CN"/>
              </w:rPr>
              <w:t>10</w:t>
            </w:r>
            <w:r>
              <w:rPr>
                <w:rFonts w:hint="default" w:ascii="Times New Roman" w:hAnsi="Times New Roman" w:eastAsia="宋体" w:cs="Times New Roman"/>
                <w:lang w:val="en-US" w:eastAsia="zh-CN"/>
              </w:rPr>
              <w:t>日取得重庆市奉节县发展和改革委员会下发的投资项目备案证，备案编码</w:t>
            </w:r>
            <w:r>
              <w:rPr>
                <w:rFonts w:hint="eastAsia" w:ascii="Times New Roman" w:hAnsi="Times New Roman" w:eastAsia="宋体" w:cs="Times New Roman"/>
                <w:lang w:val="en-US" w:eastAsia="zh-CN"/>
              </w:rPr>
              <w:t>2109-500236-04-05-771384</w:t>
            </w:r>
            <w:r>
              <w:rPr>
                <w:rFonts w:hint="default" w:ascii="Times New Roman" w:hAnsi="Times New Roman" w:eastAsia="宋体" w:cs="Times New Roman"/>
                <w:lang w:val="en-US" w:eastAsia="zh-CN"/>
              </w:rPr>
              <w:t>，详见附件 1。</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总投资3000万元，其中环保投资198万元，占总投资的6.6%。</w:t>
            </w:r>
          </w:p>
          <w:p>
            <w:pPr>
              <w:pStyle w:val="18"/>
              <w:numPr>
                <w:ilvl w:val="2"/>
                <w:numId w:val="4"/>
              </w:numPr>
              <w:tabs>
                <w:tab w:val="left" w:pos="819"/>
              </w:tabs>
              <w:spacing w:before="162" w:after="0" w:line="360" w:lineRule="auto"/>
              <w:ind w:left="818" w:right="0" w:hanging="544"/>
              <w:jc w:val="left"/>
              <w:rPr>
                <w:rFonts w:ascii="宋体" w:hAnsi="宋体" w:eastAsia="宋体" w:cs="宋体"/>
                <w:sz w:val="24"/>
              </w:rPr>
            </w:pPr>
            <w:r>
              <w:rPr>
                <w:rFonts w:ascii="宋体" w:hAnsi="宋体" w:eastAsia="宋体" w:cs="宋体"/>
                <w:sz w:val="24"/>
              </w:rPr>
              <w:t>产业政策及规划符合性分析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产业政策符合性</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拟建项目主要生产眼镜镜片，根据《国民经济行业分类》（GBT4754-2017）（2019修订）），本项目属于“C3587  眼镜制造”，对照国家发改委颁布的《产业结构调整指导目录》（2019年本），该项目不属鼓励类、限制类和淘汰类，符合国家有关法律、法规和政策规定，符合国家产业政策。</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采用的工艺设备不属于《产业结构调整指导目录（2019）》、《部分工业行业淘汰落后生产工艺装备和产品指导目录（2010年本）》和工信部发布第一、二、三批《高耗能落后机电设备（产品）淘汰目录》淘汰范畴，符合国家产业政策。</w:t>
            </w:r>
          </w:p>
          <w:p>
            <w:pPr>
              <w:pStyle w:val="6"/>
              <w:keepNext w:val="0"/>
              <w:keepLines w:val="0"/>
              <w:pageBreakBefore w:val="0"/>
              <w:widowControl w:val="0"/>
              <w:kinsoku/>
              <w:wordWrap/>
              <w:overflowPunct/>
              <w:topLinePunct w:val="0"/>
              <w:autoSpaceDE w:val="0"/>
              <w:autoSpaceDN w:val="0"/>
              <w:bidi w:val="0"/>
              <w:adjustRightInd/>
              <w:snapToGrid/>
              <w:spacing w:before="0" w:line="364" w:lineRule="auto"/>
              <w:ind w:left="275" w:right="271"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规划、选址符合性</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（1）规划空间布局</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《重庆奉节工业园区总体规划》确定重庆市奉节工业园区为“一园两组团”总体功能结构。“一园”指重庆奉节工业园“两组团”指草堂组团、康乐组团。</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草堂组团：东至七里社区8社孔家沟，南至石马河河坝，西起八角楼，北至完宜高速公路。主导产业：农副产品加工、医药（生物制药）特色轻工等产业人。草堂组团以滨河路为主轴线，串联从东北到西南规划形成的四个片区，总体构成“一轴四片”的功能结构。</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一轴：指沿滨河路形成的产业发展轴线。</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四片区：东部片区、中部片区、南部片区、西部片区。</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r>
              <w:rPr>
                <w:rFonts w:hint="eastAsia" w:ascii="Times New Roman" w:hAnsi="Times New Roman" w:eastAsia="宋体" w:cs="Times New Roman"/>
                <w:lang w:val="en-US" w:eastAsia="zh-CN"/>
              </w:rPr>
              <w:t>东部片区：为医药食品产业发展片区。主要发展中药材精深加工为主的药品生产及研发、脐橙深加工、油橄推深加工等项目。同时，在东部预留发展用地。</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中部片区：为眼镜及眼健康产品制造纳米新材料产业发展片区。主要发展以镜架制造、镜片生产、成镜及眼健康产品制造为主的眼镜制造全产业链以及以纳米纤维材料、复合材料为主的新材料研发制造项目。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南部片区为建材产业发展片区。主要发展陶瓷建材等项目。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西部片区：主要依托草堂镇镇区，为各工业片区提供配套设施服务。</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）给水规划</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新建自来水厂（规模3万吨/d）一座，位于规划区东北部、高速公路南侧。此处地势高程为240米左右，水厂出水压力控制在0.4~0.5Mpa，可向园区安全供水。水厂取水口位于奇峰河上游段。同时，园区规划设有一备用取水方式，由新泉供水公司进行补给。园区内部主要以环状网布置管道，并辅以局部树枝状网，以确保供水的安全性、可靠性和经济性。</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园区内自来水厂已建设完成并投入使用。</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）排水规划</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园区内采用雨污分流体制，建设污水处理厂一座（草堂污水处理厂），设在园区西南部，石马河靠北侧。该污水处理厂已经投入试运行（尚未验收），管网已全部建成。园区企业废水排放执行《污水综合排放标准》（GB8978-1996）三级标准，对不可生化和不能进入污水处理厂的废水必须执行相应的第一类污染物最高允许排放浓度（车间排口）和一级排放标准，污水处理厂出水执行《城镇污水处理厂污染物排放标准》（GB18918-2002）一级A标准，采用两级处理工艺。污水处理厂设计污水处理能力为5000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/d，远期2020年规划污水处理能力为10000m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/d。</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本项目为眼镜镜片制造项目，位于园区规划的西部片区内的工业用地已建的标准厂房内，其用地性质与园区规划是相符合的。</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（4）选址合理性分析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厂房租用园区内标准厂房，租赁协议见附件4。本项目位于重庆市奉节县草堂镇生态工业园区兴园路1号。园区交通便利，给排水、供电等各项基础配套措施完备，项目所在园区污水处理厂已经建成试运行，能满足本项目运行需求。</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r>
              <w:rPr>
                <w:rFonts w:hint="eastAsia" w:ascii="Times New Roman" w:hAnsi="Times New Roman" w:eastAsia="宋体" w:cs="Times New Roman"/>
                <w:lang w:val="en-US" w:eastAsia="zh-CN"/>
              </w:rPr>
              <w:t>区域空气环境质量、地表水环境质量、声环境质量及土壤环境质量良好，有一定的环境容量。根据环境影响预测评价，本项目正常生产时所排污染物经治理达标后，对周围环境不会产生明显的不利影响，环境可以接受。项目所在区域常年主导风向为东北风，项目位于居住区的常年主导风向下、侧风向，项目产排污对环境敏感点影响较小。根据以上分析，项目区域交通便捷，巿政配套设施齐全，环境质量较好，项目运行过程中产生的污染物通过采取</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272"/>
              <w:jc w:val="both"/>
              <w:textAlignment w:val="auto"/>
              <w:rPr>
                <w:rFonts w:hint="eastAsia"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相应的有效污染防治措施后，项目对环境影响小，无外环境制约因素，项目选址合理。</w:t>
            </w:r>
          </w:p>
          <w:p>
            <w:pPr>
              <w:pStyle w:val="6"/>
              <w:keepNext w:val="0"/>
              <w:keepLines w:val="0"/>
              <w:pageBreakBefore w:val="0"/>
              <w:widowControl w:val="0"/>
              <w:kinsoku/>
              <w:wordWrap/>
              <w:overflowPunct/>
              <w:topLinePunct w:val="0"/>
              <w:autoSpaceDE w:val="0"/>
              <w:autoSpaceDN w:val="0"/>
              <w:bidi w:val="0"/>
              <w:adjustRightInd/>
              <w:snapToGrid/>
              <w:spacing w:before="0" w:line="364" w:lineRule="auto"/>
              <w:ind w:left="275" w:right="271"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3、其他文件符合性分析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根据分析，本项目企业符合重庆市工业项目准入条件、三线一单、渝环发〔2012〕142 号《重庆市工业项目环境准入规定（修订）》、《重庆市发展和改革委员会关于印发重庆市产业投资准入工作手册的通知》（渝发改投【2018】541 号）、渝发改[2018]781 号《重庆市发展和改革委员会重庆市经济和信息化委员会关于严格工业布局和准入的通知》、《重庆市推动长江经济带发展领导小组办公室关于印发《重庆市长江经济带发展负面清单实施细则（试行）》的通知》渝推长办发〔2019〕40 号等文件相关要求。</w:t>
            </w:r>
          </w:p>
          <w:p>
            <w:pPr>
              <w:pStyle w:val="18"/>
              <w:numPr>
                <w:ilvl w:val="2"/>
                <w:numId w:val="4"/>
              </w:numPr>
              <w:tabs>
                <w:tab w:val="left" w:pos="819"/>
              </w:tabs>
              <w:spacing w:before="162" w:after="0" w:line="360" w:lineRule="auto"/>
              <w:ind w:left="818" w:right="0" w:hanging="544"/>
              <w:jc w:val="left"/>
              <w:rPr>
                <w:rFonts w:hint="eastAsia" w:ascii="宋体" w:hAnsi="宋体" w:eastAsia="宋体" w:cs="宋体"/>
                <w:sz w:val="24"/>
                <w:lang w:val="en-US" w:eastAsia="zh-CN"/>
              </w:rPr>
            </w:pPr>
            <w:r>
              <w:rPr>
                <w:rFonts w:hint="eastAsia" w:ascii="宋体" w:hAnsi="宋体" w:eastAsia="宋体" w:cs="宋体"/>
                <w:sz w:val="24"/>
                <w:lang w:val="en-US" w:eastAsia="zh-CN"/>
              </w:rPr>
              <w:t>项目区域环境质量状况</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根据《重庆市环境空气质量功能区划分规定》，拟建项目大气环境质量执行《环境空气质量标准》（GB3095-2012）中二级标准，</w:t>
            </w:r>
            <w:r>
              <w:rPr>
                <w:rFonts w:hint="default" w:ascii="Times New Roman" w:hAnsi="Times New Roman" w:eastAsia="宋体" w:cs="Times New Roman"/>
                <w:lang w:val="en-US" w:eastAsia="zh-CN"/>
              </w:rPr>
              <w:t>项目所在大气环境SO</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、NO</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、PM</w:t>
            </w:r>
            <w:r>
              <w:rPr>
                <w:rFonts w:hint="default" w:ascii="Times New Roman" w:hAnsi="Times New Roman" w:eastAsia="宋体" w:cs="Times New Roman"/>
                <w:vertAlign w:val="subscript"/>
                <w:lang w:val="en-US" w:eastAsia="zh-CN"/>
              </w:rPr>
              <w:t>10</w:t>
            </w:r>
            <w:r>
              <w:rPr>
                <w:rFonts w:hint="default" w:ascii="Times New Roman" w:hAnsi="Times New Roman" w:eastAsia="宋体" w:cs="Times New Roman"/>
                <w:lang w:val="en-US" w:eastAsia="zh-CN"/>
              </w:rPr>
              <w:t>、PM</w:t>
            </w:r>
            <w:r>
              <w:rPr>
                <w:rFonts w:hint="default" w:ascii="Times New Roman" w:hAnsi="Times New Roman" w:eastAsia="宋体" w:cs="Times New Roman"/>
                <w:vertAlign w:val="subscript"/>
                <w:lang w:val="en-US" w:eastAsia="zh-CN"/>
              </w:rPr>
              <w:t>2.5</w:t>
            </w:r>
            <w:r>
              <w:rPr>
                <w:rFonts w:hint="default" w:ascii="Times New Roman" w:hAnsi="Times New Roman" w:eastAsia="宋体" w:cs="Times New Roman"/>
                <w:lang w:val="en-US" w:eastAsia="zh-CN"/>
              </w:rPr>
              <w:t>、CO和O</w:t>
            </w:r>
            <w:r>
              <w:rPr>
                <w:rFonts w:hint="default" w:ascii="Times New Roman" w:hAnsi="Times New Roman" w:eastAsia="宋体" w:cs="Times New Roman"/>
                <w:vertAlign w:val="subscript"/>
                <w:lang w:val="en-US" w:eastAsia="zh-CN"/>
              </w:rPr>
              <w:t>3</w:t>
            </w:r>
            <w:r>
              <w:rPr>
                <w:rFonts w:hint="default" w:ascii="Times New Roman" w:hAnsi="Times New Roman" w:eastAsia="宋体" w:cs="Times New Roman"/>
                <w:lang w:val="en-US" w:eastAsia="zh-CN"/>
              </w:rPr>
              <w:t>满足《环境空气质量标准》</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GB3095-2012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二级标准，属于达标区。项目所在地</w:t>
            </w:r>
            <w:r>
              <w:rPr>
                <w:rFonts w:hint="eastAsia" w:ascii="Times New Roman" w:hAnsi="Times New Roman" w:eastAsia="宋体" w:cs="Times New Roman"/>
                <w:lang w:val="en-US" w:eastAsia="zh-CN"/>
              </w:rPr>
              <w:t>各评价因子最大浓度占标率低于100%，非甲烷总烃、颗粒物均</w:t>
            </w:r>
            <w:r>
              <w:rPr>
                <w:rFonts w:hint="default" w:ascii="Times New Roman" w:hAnsi="Times New Roman" w:eastAsia="宋体" w:cs="Times New Roman"/>
                <w:lang w:val="en-US" w:eastAsia="zh-CN"/>
              </w:rPr>
              <w:t>无超标现象，</w:t>
            </w:r>
            <w:r>
              <w:rPr>
                <w:rFonts w:hint="eastAsia" w:ascii="Times New Roman" w:hAnsi="Times New Roman" w:eastAsia="宋体" w:cs="Times New Roman"/>
                <w:lang w:val="en-US" w:eastAsia="zh-CN"/>
              </w:rPr>
              <w:t>非甲烷总烃</w:t>
            </w:r>
            <w:r>
              <w:rPr>
                <w:rFonts w:hint="default" w:ascii="Times New Roman" w:hAnsi="Times New Roman" w:eastAsia="宋体" w:cs="Times New Roman"/>
                <w:lang w:val="en-US" w:eastAsia="zh-CN"/>
              </w:rPr>
              <w:t>满足</w:t>
            </w:r>
            <w:r>
              <w:rPr>
                <w:rFonts w:hint="eastAsia" w:ascii="Times New Roman" w:hAnsi="Times New Roman" w:eastAsia="宋体" w:cs="Times New Roman"/>
                <w:lang w:val="en-US" w:eastAsia="zh-CN"/>
              </w:rPr>
              <w:t>河北省</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环境空气质量  非甲烷总烃限值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DB13/1577-2012</w:t>
            </w:r>
            <w:r>
              <w:rPr>
                <w:rFonts w:hint="default" w:ascii="Times New Roman" w:hAnsi="Times New Roman" w:eastAsia="宋体" w:cs="Times New Roman"/>
                <w:lang w:val="en-US" w:eastAsia="zh-CN"/>
              </w:rPr>
              <w:t>）中</w:t>
            </w:r>
            <w:r>
              <w:rPr>
                <w:rFonts w:hint="eastAsia" w:ascii="Times New Roman" w:hAnsi="Times New Roman" w:eastAsia="宋体" w:cs="Times New Roman"/>
                <w:lang w:val="en-US" w:eastAsia="zh-CN"/>
              </w:rPr>
              <w:t>二级</w:t>
            </w:r>
            <w:r>
              <w:rPr>
                <w:rFonts w:hint="default" w:ascii="Times New Roman" w:hAnsi="Times New Roman" w:eastAsia="宋体" w:cs="Times New Roman"/>
                <w:lang w:val="en-US" w:eastAsia="zh-CN"/>
              </w:rPr>
              <w:t>标准限值要求，</w:t>
            </w:r>
            <w:r>
              <w:rPr>
                <w:rFonts w:hint="eastAsia" w:ascii="Times New Roman" w:hAnsi="Times New Roman" w:eastAsia="宋体" w:cs="Times New Roman"/>
                <w:lang w:val="en-US" w:eastAsia="zh-CN"/>
              </w:rPr>
              <w:t>颗粒物满足《环境空气质量标准》（GB3095-2012）二级标准。</w:t>
            </w:r>
            <w:r>
              <w:rPr>
                <w:rFonts w:hint="default" w:ascii="Times New Roman" w:hAnsi="Times New Roman" w:eastAsia="宋体" w:cs="Times New Roman"/>
                <w:lang w:val="en-US" w:eastAsia="zh-CN"/>
              </w:rPr>
              <w:t>本项目纳污水体为石马河，根据《重庆市人民政府批转重庆市地表水环境功能类别调整方案的通知》渝府发[2012]4号）可知，石马河全河段执行《地表水监环境质量标准》（GB3838-2002）中Ⅲ类水域标准。监测断水温、pH、溶解氧、COD、BOD</w:t>
            </w:r>
            <w:r>
              <w:rPr>
                <w:rFonts w:hint="default" w:ascii="Times New Roman" w:hAnsi="Times New Roman" w:eastAsia="宋体" w:cs="Times New Roman"/>
                <w:vertAlign w:val="subscript"/>
                <w:lang w:val="en-US" w:eastAsia="zh-CN"/>
              </w:rPr>
              <w:t>5</w:t>
            </w:r>
            <w:r>
              <w:rPr>
                <w:rFonts w:hint="default" w:ascii="Times New Roman" w:hAnsi="Times New Roman" w:eastAsia="宋体" w:cs="Times New Roman"/>
                <w:lang w:val="en-US" w:eastAsia="zh-CN"/>
              </w:rPr>
              <w:t>、氨氮、总磷、挥发酚、石油类、阴离子表面活性剂、粪大肠菌群均满足《地表水环境质量标准》（GB3838-2002）Ⅲ类水域水质标准。根据《奉节县声环境功能区划分调整方案》（奉节府办发[2018]162号），项目所在区域声环境属3类区，执行《声环境质量标准》（GB3096-2008）3类标准。</w:t>
            </w:r>
            <w:r>
              <w:rPr>
                <w:rFonts w:hint="eastAsia" w:ascii="Times New Roman" w:hAnsi="Times New Roman" w:eastAsia="宋体" w:cs="Times New Roman"/>
                <w:lang w:val="en-US" w:eastAsia="zh-CN"/>
              </w:rPr>
              <w:t>项目西侧金开路侧</w:t>
            </w:r>
            <w:r>
              <w:rPr>
                <w:rFonts w:hint="default" w:ascii="Times New Roman" w:hAnsi="Times New Roman" w:eastAsia="宋体" w:cs="Times New Roman"/>
                <w:lang w:val="en-US" w:eastAsia="zh-CN"/>
              </w:rPr>
              <w:t>执行《声环境质量标准》（GB3096-2008）</w:t>
            </w:r>
            <w:r>
              <w:rPr>
                <w:rFonts w:hint="eastAsia" w:ascii="Times New Roman" w:hAnsi="Times New Roman" w:eastAsia="宋体" w:cs="Times New Roman"/>
                <w:lang w:val="en-US" w:eastAsia="zh-CN"/>
              </w:rPr>
              <w:t>4a</w:t>
            </w:r>
            <w:r>
              <w:rPr>
                <w:rFonts w:hint="default" w:ascii="Times New Roman" w:hAnsi="Times New Roman" w:eastAsia="宋体" w:cs="Times New Roman"/>
                <w:lang w:val="en-US" w:eastAsia="zh-CN"/>
              </w:rPr>
              <w:t>类标准。</w:t>
            </w:r>
            <w:r>
              <w:rPr>
                <w:rFonts w:hint="eastAsia" w:ascii="Times New Roman" w:hAnsi="Times New Roman" w:eastAsia="宋体" w:cs="Times New Roman"/>
                <w:lang w:val="en-US" w:eastAsia="zh-CN"/>
              </w:rPr>
              <w:t>本项目</w:t>
            </w:r>
            <w:r>
              <w:rPr>
                <w:rFonts w:hint="default" w:ascii="Times New Roman" w:hAnsi="Times New Roman" w:eastAsia="宋体" w:cs="Times New Roman"/>
                <w:lang w:val="en-US" w:eastAsia="zh-CN"/>
              </w:rPr>
              <w:t>昼间、夜间噪声均满足《声环境质量标准》（GB3096-2008）满足3类</w:t>
            </w:r>
            <w:r>
              <w:rPr>
                <w:rFonts w:hint="eastAsia" w:ascii="Times New Roman" w:hAnsi="Times New Roman" w:eastAsia="宋体" w:cs="Times New Roman"/>
                <w:lang w:val="en-US" w:eastAsia="zh-CN"/>
              </w:rPr>
              <w:t>及4a类</w:t>
            </w:r>
            <w:r>
              <w:rPr>
                <w:rFonts w:hint="default" w:ascii="Times New Roman" w:hAnsi="Times New Roman" w:eastAsia="宋体" w:cs="Times New Roman"/>
                <w:lang w:val="en-US" w:eastAsia="zh-CN"/>
              </w:rPr>
              <w:t>标准要求。项目所在地声环境质量良好。</w:t>
            </w:r>
          </w:p>
          <w:p>
            <w:pPr>
              <w:pStyle w:val="18"/>
              <w:numPr>
                <w:ilvl w:val="2"/>
                <w:numId w:val="4"/>
              </w:numPr>
              <w:tabs>
                <w:tab w:val="left" w:pos="876"/>
              </w:tabs>
              <w:spacing w:before="4" w:after="0" w:line="360" w:lineRule="auto"/>
              <w:ind w:left="876" w:right="0" w:hanging="601"/>
              <w:jc w:val="both"/>
              <w:rPr>
                <w:sz w:val="24"/>
              </w:rPr>
            </w:pPr>
            <w:r>
              <w:rPr>
                <w:sz w:val="24"/>
              </w:rPr>
              <w:t>营运期环境影响及污染防治措施</w:t>
            </w:r>
          </w:p>
          <w:p>
            <w:pPr>
              <w:numPr>
                <w:ilvl w:val="0"/>
                <w:numId w:val="5"/>
              </w:numPr>
              <w:adjustRightInd w:val="0"/>
              <w:snapToGrid w:val="0"/>
              <w:spacing w:line="360" w:lineRule="auto"/>
              <w:ind w:firstLine="480" w:firstLineChars="200"/>
              <w:jc w:val="both"/>
              <w:rPr>
                <w:rFonts w:hint="eastAsia"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废水</w:t>
            </w:r>
          </w:p>
          <w:p>
            <w:pPr>
              <w:numPr>
                <w:ilvl w:val="0"/>
                <w:numId w:val="0"/>
              </w:numPr>
              <w:adjustRightInd w:val="0"/>
              <w:snapToGrid w:val="0"/>
              <w:spacing w:line="360" w:lineRule="auto"/>
              <w:ind w:leftChars="200" w:right="0" w:rightChars="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本项目项目采用雨污分流体制，厂区内雨水经雨水管网收集后就近排入市政雨水管网。</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项目营运期产生的废水有：</w:t>
            </w:r>
            <w:r>
              <w:rPr>
                <w:rFonts w:hint="default" w:ascii="Times New Roman" w:hAnsi="Times New Roman" w:eastAsia="宋体" w:cs="Times New Roman"/>
                <w:color w:val="000000"/>
                <w:sz w:val="24"/>
                <w:szCs w:val="24"/>
                <w:lang w:val="en-US" w:eastAsia="zh-CN" w:bidi="ar-SA"/>
              </w:rPr>
              <w:t>①生活污水</w:t>
            </w:r>
            <w:r>
              <w:rPr>
                <w:rFonts w:hint="eastAsia" w:ascii="Times New Roman" w:hAnsi="Times New Roman" w:eastAsia="宋体" w:cs="Times New Roman"/>
                <w:color w:val="000000"/>
                <w:sz w:val="24"/>
                <w:szCs w:val="24"/>
                <w:lang w:val="en-US" w:eastAsia="zh-CN" w:bidi="ar-SA"/>
              </w:rPr>
              <w:t>②超声波</w:t>
            </w:r>
            <w:r>
              <w:rPr>
                <w:rFonts w:hint="default" w:ascii="Times New Roman" w:hAnsi="Times New Roman" w:eastAsia="宋体" w:cs="Times New Roman"/>
                <w:color w:val="000000"/>
                <w:sz w:val="24"/>
                <w:szCs w:val="24"/>
                <w:lang w:val="en-US" w:eastAsia="zh-CN" w:bidi="ar-SA"/>
              </w:rPr>
              <w:t>清洗废水</w:t>
            </w:r>
            <w:r>
              <w:rPr>
                <w:rFonts w:hint="eastAsia" w:ascii="Times New Roman" w:hAnsi="Times New Roman" w:eastAsia="宋体" w:cs="Times New Roman"/>
                <w:color w:val="000000"/>
                <w:sz w:val="24"/>
                <w:szCs w:val="24"/>
                <w:lang w:val="en-US" w:eastAsia="zh-CN" w:bidi="ar-SA"/>
              </w:rPr>
              <w:t>③震动研磨废水④喷淋废水</w:t>
            </w:r>
          </w:p>
          <w:p>
            <w:pPr>
              <w:adjustRightInd w:val="0"/>
              <w:snapToGrid w:val="0"/>
              <w:spacing w:line="360" w:lineRule="auto"/>
              <w:ind w:firstLine="480" w:firstLineChars="200"/>
              <w:jc w:val="both"/>
              <w:rPr>
                <w:vertAlign w:val="baseline"/>
              </w:rPr>
            </w:pPr>
            <w:r>
              <w:rPr>
                <w:rFonts w:hint="default" w:ascii="Times New Roman" w:hAnsi="Times New Roman" w:eastAsia="宋体" w:cs="Times New Roman"/>
                <w:color w:val="000000"/>
                <w:sz w:val="24"/>
                <w:szCs w:val="24"/>
                <w:lang w:val="en-US" w:eastAsia="zh-CN" w:bidi="ar-SA"/>
              </w:rPr>
              <w:t>本项目建成后拟设置1套污水处理设备，处理能力</w:t>
            </w:r>
            <w:r>
              <w:rPr>
                <w:rFonts w:hint="eastAsia" w:ascii="Times New Roman" w:hAnsi="Times New Roman" w:eastAsia="宋体" w:cs="Times New Roman"/>
                <w:color w:val="000000"/>
                <w:sz w:val="24"/>
                <w:szCs w:val="24"/>
                <w:lang w:val="en-US" w:eastAsia="zh-CN" w:bidi="ar-SA"/>
              </w:rPr>
              <w:t>5</w:t>
            </w:r>
            <w:r>
              <w:rPr>
                <w:rFonts w:hint="default" w:ascii="Times New Roman" w:hAnsi="Times New Roman" w:eastAsia="宋体" w:cs="Times New Roman"/>
                <w:color w:val="000000"/>
                <w:sz w:val="24"/>
                <w:szCs w:val="24"/>
                <w:lang w:val="en-US" w:eastAsia="zh-CN" w:bidi="ar-SA"/>
              </w:rPr>
              <w:t>0m³/d，采用</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初沉池+pH调节+</w:t>
            </w:r>
            <w:r>
              <w:rPr>
                <w:rFonts w:hint="eastAsia" w:ascii="Times New Roman" w:hAnsi="Times New Roman" w:eastAsia="宋体" w:cs="Times New Roman"/>
                <w:color w:val="000000"/>
                <w:sz w:val="24"/>
                <w:szCs w:val="24"/>
                <w:lang w:val="en-US" w:eastAsia="zh-CN" w:bidi="ar-SA"/>
              </w:rPr>
              <w:t>生化池</w:t>
            </w:r>
            <w:r>
              <w:rPr>
                <w:rFonts w:hint="default" w:ascii="Times New Roman" w:hAnsi="Times New Roman" w:eastAsia="宋体" w:cs="Times New Roman"/>
                <w:color w:val="000000"/>
                <w:sz w:val="24"/>
                <w:szCs w:val="24"/>
                <w:lang w:val="en-US" w:eastAsia="zh-CN" w:bidi="ar-SA"/>
              </w:rPr>
              <w:t>+混凝沉淀+二级过滤</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工艺，污水经处理达《污水综合排放标准》（GB8978-1996）三级标准后排入园区市政管网。之后进入</w:t>
            </w:r>
            <w:r>
              <w:rPr>
                <w:rFonts w:hint="eastAsia" w:ascii="Times New Roman" w:hAnsi="Times New Roman" w:eastAsia="宋体" w:cs="Times New Roman"/>
                <w:color w:val="000000"/>
                <w:sz w:val="24"/>
                <w:szCs w:val="24"/>
                <w:lang w:val="en-US" w:eastAsia="zh-CN" w:bidi="ar-SA"/>
              </w:rPr>
              <w:t>园区</w:t>
            </w:r>
            <w:r>
              <w:rPr>
                <w:rFonts w:hint="default" w:ascii="Times New Roman" w:hAnsi="Times New Roman" w:eastAsia="宋体" w:cs="Times New Roman"/>
                <w:color w:val="000000"/>
                <w:sz w:val="24"/>
                <w:szCs w:val="24"/>
                <w:lang w:val="en-US" w:eastAsia="zh-CN" w:bidi="ar-SA"/>
              </w:rPr>
              <w:t>污水处理厂进一步处理达《城镇污水处理厂污染物</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adjustRightInd w:val="0"/>
              <w:snapToGrid w:val="0"/>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排放标准》（GB18918-2002）一级A标准后排入石马河。项目废水通过上述处理后周边环境影响较小，环境可以接受。</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本项目运营期产生的废气有：残次品破碎过程中产生的颗粒物；注塑成型过程中产生的非甲烷总烃；震动研磨过程产生的粉尘；涂装、烘干过程中产生的有机废气。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项目采用破碎机将注塑残次品和边角料的破碎，碎料机进料口设置有挡帘，粉尘外溢很少，基本都落到设备底部收料桶中，再加上碎料间为厂房内封闭式隔间采取无组织排放。震动研磨采用水磨，不产生粉尘。</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注塑车间：拟在每个有机废气产生点侧向、上方设计吸风装置（设计风量10000m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/h），为了确保收集效率，收集罩在注塑口处设置环形集气罩，将注塑产生的有机废气收集。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喷漆房：拟设置密闭喷漆房1间，配制2台自动喷漆设备，2台人工喷漆设备，共4个工位，喷漆房内设置1个烘干房，采用电烘干。喷漆房采取顶部送风，底部排风（设计风量30000m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/h）。喷漆房废气随着喷漆房排风排出，再进入末端设置处理。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末端治理设施：有机废气汇至同一根管道进入活性炭吸附装置处理，经分解吸附后由15m排气筒排放。</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项目废气通过上述处理后周边环境影响较小，环境可以接受。</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（3）噪声</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主要是生产设备噪声，本项目产生的噪声主要来源于搅拌机、挤塑机、冷却塔、空压机、粉碎机等生产设备。根据同类行业数据统计，其噪声值在75~95dB（A）。利用车间建筑降噪，并采取选用低噪声设备、隔声等综合降噪措施，确保厂界噪声达标。</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（4）固体废物</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本项目运营期产生的固体废物包括一般工业固废，危险废物、生活垃圾。</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一般固废：项目生产过程中产生的一般工业固废主要为注塑边角料、残次品。残次品、废边角料经破碎后回用与生产。原料、成品废包装材料、废磨料和生活垃圾一起交由环卫部门清运。</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危险废物：废活性炭、沾染化学品的废包装材料、设备维护废机油、漆渣分类专用容器收集，危险废物暂存于暂存于危险废物暂存间，定期交由定期交由有危废处理资质单位处置。生活垃圾：生活垃圾员工生活垃圾分类袋装收集交由当地环卫部门处理。</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采取以上措施后，本项目固体废物对环境影响小。</w:t>
            </w:r>
          </w:p>
          <w:p>
            <w:pPr>
              <w:pStyle w:val="18"/>
              <w:numPr>
                <w:ilvl w:val="2"/>
                <w:numId w:val="4"/>
              </w:numPr>
              <w:tabs>
                <w:tab w:val="left" w:pos="819"/>
              </w:tabs>
              <w:spacing w:before="162" w:after="0" w:line="360" w:lineRule="auto"/>
              <w:ind w:left="818" w:right="0" w:hanging="544"/>
              <w:jc w:val="left"/>
            </w:pPr>
            <w:r>
              <w:rPr>
                <w:rFonts w:hint="eastAsia"/>
                <w:sz w:val="24"/>
                <w:lang w:val="en-US" w:eastAsia="zh-CN"/>
              </w:rPr>
              <w:t>综合结论</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重庆万瑞眼镜有限公司</w:t>
            </w:r>
            <w:r>
              <w:rPr>
                <w:rFonts w:hint="default" w:ascii="Times New Roman" w:hAnsi="Times New Roman" w:eastAsia="宋体" w:cs="Times New Roman"/>
                <w:color w:val="000000"/>
                <w:sz w:val="24"/>
                <w:szCs w:val="24"/>
                <w:lang w:val="en-US" w:eastAsia="zh-CN" w:bidi="ar-SA"/>
              </w:rPr>
              <w:t>“重庆万瑞眼镜有限公司眼镜镜架生产项目”位于重庆市奉节县生态工业园区兴园路1号</w:t>
            </w:r>
            <w:r>
              <w:rPr>
                <w:rFonts w:hint="eastAsia" w:ascii="Times New Roman" w:hAnsi="Times New Roman" w:eastAsia="宋体" w:cs="Times New Roman"/>
                <w:color w:val="000000"/>
                <w:sz w:val="24"/>
                <w:szCs w:val="24"/>
                <w:lang w:val="en-US" w:eastAsia="zh-CN" w:bidi="ar-SA"/>
              </w:rPr>
              <w:t>B7幢，租用园区标准厂房，总投资3000万元，租用标准厂房3000平方米，引进注塑眼镜设备及配套设备，建成太阳镜、老花镜、防雾镜生产线各1条，年产成品眼镜1000万副。本项目的建设符合国家及重庆市产业政策和规划要求，符合《奉节县三峡库区移民生态工业园环境影响评价报告书》及其审查意见及“三线一单”等要求。</w:t>
            </w:r>
          </w:p>
          <w:p>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所在区域的大气、地表水及噪声环境质量现状较好。营运期废水主要为员工生活污水及生产废水，经污水处理站处理达《污水综合排放标准》（GB8978-1996）三级标准后排入园区市政管网。运营期废气主要为有机废气和粉尘。有机废气中，注塑车间有机废气在注塑口处设置环形集气罩，将注塑产生的有机废气收集。喷漆房有机废气采取顶部送风，底部排风。喷漆房废气随着喷漆房排风排出，再进入末端设置处理。有机废气汇至同一根管道进入活性炭吸附装置处理，经分解吸附后由15m排气筒排放。粉尘产生量极小，在厂区内无组织排放。均能达到《合成树脂工业污染物排放标准》（GB31572-2015）、《重庆市大气污染物综合排放标准》（DB50/418-2016）中相关标准。运营期噪声主要为设备噪声，各噪声源均在厂房内，利用减振、厂房建筑物隔声、距离衰减等措施，预计各厂界噪声满足《工业企业厂界环境噪声排放标准》（GB12348-2008）3类标准。企业夜间不生产。固体废物分为一般固废及危险废物。一般固废中，生活垃圾用垃圾桶收集后，交由环卫部门清运。废注塑边角料、残次品收集后回用于生产。废包装材料、废磨料交由环卫部门清运。危险废物中废气治理设备废活性炭、沾染化学品的废包装材料、漆渣、设备维护废机油厂内统一收集后，暂存于危废暂存间，定期交由有资质的单位处理。含油抹布、手套混入生活垃圾一起交由环卫部门清运。本项目运营期将执行环境风险防范措施及环境管理制度与监测计划。</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综上，在落实相应的污染防范和减缓措施后，项目产生的污染物可实现达标排放，对周边环境的影响较小，可满足区域环境功能要求。因此，从环境保护的角度出发，本项目建设可行。</w:t>
            </w:r>
          </w:p>
          <w:p>
            <w:pPr>
              <w:pStyle w:val="18"/>
              <w:numPr>
                <w:ilvl w:val="1"/>
                <w:numId w:val="4"/>
              </w:numPr>
              <w:tabs>
                <w:tab w:val="left" w:pos="636"/>
              </w:tabs>
              <w:spacing w:before="159" w:after="0" w:line="240" w:lineRule="auto"/>
              <w:ind w:left="361" w:leftChars="0" w:right="0" w:hanging="361" w:firstLineChars="0"/>
              <w:jc w:val="left"/>
              <w:rPr>
                <w:b/>
                <w:sz w:val="24"/>
              </w:rPr>
            </w:pPr>
            <w:r>
              <w:rPr>
                <w:b/>
                <w:sz w:val="24"/>
              </w:rPr>
              <w:t>各级环境保护行政主管部门的批复意见（摘录）</w:t>
            </w:r>
          </w:p>
          <w:p>
            <w:pPr>
              <w:adjustRightInd w:val="0"/>
              <w:snapToGrid w:val="0"/>
              <w:spacing w:line="360" w:lineRule="auto"/>
              <w:jc w:val="both"/>
              <w:rPr>
                <w:rFonts w:hint="eastAsia" w:ascii="Times New Roman" w:hAnsi="Times New Roman" w:eastAsia="宋体" w:cs="Times New Roman"/>
                <w:color w:val="000000"/>
                <w:sz w:val="24"/>
                <w:szCs w:val="24"/>
                <w:lang w:val="en-US" w:eastAsia="zh-CN" w:bidi="ar-SA"/>
              </w:rPr>
            </w:pPr>
            <w:r>
              <w:rPr>
                <w:rFonts w:hint="eastAsia"/>
                <w:spacing w:val="-1"/>
                <w:lang w:val="en-US" w:eastAsia="zh-CN"/>
              </w:rPr>
              <w:t xml:space="preserve">                        </w:t>
            </w:r>
            <w:r>
              <w:rPr>
                <w:rFonts w:hint="eastAsia" w:ascii="Times New Roman" w:hAnsi="Times New Roman" w:eastAsia="宋体" w:cs="Times New Roman"/>
                <w:color w:val="000000"/>
                <w:sz w:val="24"/>
                <w:szCs w:val="24"/>
                <w:lang w:val="en-US" w:eastAsia="zh-CN" w:bidi="ar-SA"/>
              </w:rPr>
              <w:t>重庆市建设项目环境影响评价文件批准书</w:t>
            </w:r>
          </w:p>
          <w:p>
            <w:pPr>
              <w:adjustRightInd w:val="0"/>
              <w:snapToGrid w:val="0"/>
              <w:spacing w:line="360" w:lineRule="auto"/>
              <w:jc w:val="both"/>
              <w:rPr>
                <w:rFonts w:hint="default"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 xml:space="preserve">            </w:t>
            </w:r>
            <w:r>
              <w:rPr>
                <w:rFonts w:hint="eastAsia" w:ascii="Times New Roman" w:hAnsi="Times New Roman" w:cs="Times New Roman"/>
                <w:color w:val="000000"/>
                <w:sz w:val="24"/>
                <w:szCs w:val="24"/>
                <w:lang w:val="en-US" w:eastAsia="zh-CN" w:bidi="ar-SA"/>
              </w:rPr>
              <w:t xml:space="preserve">        </w:t>
            </w:r>
            <w:r>
              <w:rPr>
                <w:rFonts w:hint="eastAsia" w:ascii="Times New Roman" w:hAnsi="Times New Roman" w:eastAsia="宋体" w:cs="Times New Roman"/>
                <w:color w:val="000000"/>
                <w:sz w:val="24"/>
                <w:szCs w:val="24"/>
                <w:lang w:val="en-US" w:eastAsia="zh-CN" w:bidi="ar-SA"/>
              </w:rPr>
              <w:t xml:space="preserve">       </w:t>
            </w:r>
            <w:r>
              <w:rPr>
                <w:rFonts w:hint="default" w:ascii="Times New Roman" w:hAnsi="Times New Roman" w:eastAsia="宋体" w:cs="Times New Roman"/>
                <w:color w:val="000000"/>
                <w:sz w:val="24"/>
                <w:szCs w:val="24"/>
                <w:lang w:val="en-US" w:eastAsia="zh-CN" w:bidi="ar-SA"/>
              </w:rPr>
              <w:t>渝（奉）环准〔2021〕054号</w:t>
            </w:r>
          </w:p>
          <w:p>
            <w:pPr>
              <w:adjustRightInd w:val="0"/>
              <w:snapToGrid w:val="0"/>
              <w:spacing w:line="360" w:lineRule="auto"/>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重庆万瑞眼镜有限公司：</w:t>
            </w:r>
          </w:p>
          <w:p>
            <w:pPr>
              <w:adjustRightInd w:val="0"/>
              <w:snapToGrid w:val="0"/>
              <w:spacing w:line="360" w:lineRule="auto"/>
              <w:jc w:val="both"/>
              <w:rPr>
                <w:rFonts w:hint="eastAsia" w:eastAsia="宋体"/>
                <w:lang w:val="en-US" w:eastAsia="zh-CN"/>
              </w:rPr>
            </w:pPr>
            <w:r>
              <w:rPr>
                <w:rFonts w:hint="eastAsia" w:ascii="Times New Roman" w:hAnsi="Times New Roman" w:eastAsia="宋体" w:cs="Times New Roman"/>
                <w:color w:val="000000"/>
                <w:sz w:val="24"/>
                <w:szCs w:val="24"/>
                <w:lang w:val="en-US" w:eastAsia="zh-CN" w:bidi="ar-SA"/>
              </w:rPr>
              <w:t>你单位报送的重庆万瑞眼镜有限公司眼镜镜架生产项目环境影响评价文件审批申报</w:t>
            </w:r>
            <w:r>
              <w:rPr>
                <w:rFonts w:hint="eastAsia" w:ascii="Times New Roman" w:hAnsi="Times New Roman" w:cs="Times New Roman"/>
                <w:color w:val="000000"/>
                <w:sz w:val="24"/>
                <w:szCs w:val="24"/>
                <w:lang w:val="en-US" w:eastAsia="zh-CN" w:bidi="ar-SA"/>
              </w:rPr>
              <w:t>表</w:t>
            </w:r>
            <w:r>
              <w:rPr>
                <w:rFonts w:hint="eastAsia" w:ascii="Times New Roman" w:hAnsi="Times New Roman" w:eastAsia="宋体" w:cs="Times New Roman"/>
                <w:color w:val="000000"/>
                <w:sz w:val="24"/>
                <w:szCs w:val="24"/>
                <w:lang w:val="en-US" w:eastAsia="zh-CN" w:bidi="ar-SA"/>
              </w:rPr>
              <w:t>及相关材料收悉，根据《中华人民共和国环境影响评价法》等法规的有关规定，我局原则同意贵州醉风源环保科技有限公司编制的项目环境影响报告表结论及其提出的环境保护措施。</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一、该建设项目的建设内容和建设规模为：</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项目租赁奉节县生态工业园区兴园路1号B7幢4层作为生产厂房，占地面积3502m</w:t>
            </w:r>
            <w:r>
              <w:rPr>
                <w:rFonts w:hint="eastAsia" w:ascii="Times New Roman" w:hAnsi="Times New Roman" w:eastAsia="宋体" w:cs="Times New Roman"/>
                <w:color w:val="000000"/>
                <w:sz w:val="24"/>
                <w:szCs w:val="24"/>
                <w:vertAlign w:val="superscript"/>
                <w:lang w:val="en-US" w:eastAsia="zh-CN" w:bidi="ar-SA"/>
              </w:rPr>
              <w:t>2</w:t>
            </w:r>
            <w:r>
              <w:rPr>
                <w:rFonts w:hint="eastAsia" w:ascii="Times New Roman" w:hAnsi="Times New Roman" w:eastAsia="宋体" w:cs="Times New Roman"/>
                <w:color w:val="000000"/>
                <w:sz w:val="24"/>
                <w:szCs w:val="24"/>
                <w:lang w:val="en-US" w:eastAsia="zh-CN" w:bidi="ar-SA"/>
              </w:rPr>
              <w:t>，项目建设太阳镜、老花镜、防雾镜生产线各1条，并配套建设相应的公用工程、辅助工程、储运工程和环保工程，项目建成后年产成品眼镜1000万副。项目总投资3000万元，其中环保投资198万元。</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二、该项目在设计、建设和运行过程中，应认真落实本项目环境影响报告表中提出的各项生态保护及污染防治措施，严格执行相关污染物排放标准和总量控制的要求，并重点做好以下工作：</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（一）水污染防治措施。项目生活污水和生产废水经污水处理设施处理达标后，排入污水管网进入园区污水处理厂处理。</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（二）废气污染治理措施。注塑废气经集气罩收集后进入活性炭吸附装置处理，处理后经15m高的排气筒高空排放；设置密闭喷漆房，</w:t>
            </w:r>
            <w:r>
              <w:rPr>
                <w:rFonts w:hint="eastAsia" w:ascii="Times New Roman" w:hAnsi="Times New Roman" w:eastAsia="宋体" w:cs="Times New Roman"/>
                <w:color w:val="000000"/>
                <w:sz w:val="24"/>
                <w:szCs w:val="24"/>
                <w:lang w:val="zh-CN" w:eastAsia="zh-CN" w:bidi="ar-SA"/>
              </w:rPr>
              <w:t>喷漆、烘干废气经</w:t>
            </w:r>
            <w:r>
              <w:rPr>
                <w:rFonts w:hint="eastAsia" w:ascii="Times New Roman" w:hAnsi="Times New Roman" w:eastAsia="宋体" w:cs="Times New Roman"/>
                <w:color w:val="000000"/>
                <w:sz w:val="24"/>
                <w:szCs w:val="24"/>
                <w:lang w:val="en-US" w:eastAsia="zh-CN" w:bidi="ar-SA"/>
              </w:rPr>
              <w:t>活性炭吸附装置</w:t>
            </w:r>
            <w:r>
              <w:rPr>
                <w:rFonts w:hint="eastAsia" w:ascii="Times New Roman" w:hAnsi="Times New Roman" w:eastAsia="宋体" w:cs="Times New Roman"/>
                <w:color w:val="000000"/>
                <w:sz w:val="24"/>
                <w:szCs w:val="24"/>
                <w:lang w:val="zh-CN" w:eastAsia="zh-CN" w:bidi="ar-SA"/>
              </w:rPr>
              <w:t>处理后通过</w:t>
            </w:r>
            <w:r>
              <w:rPr>
                <w:rFonts w:hint="eastAsia" w:ascii="Times New Roman" w:hAnsi="Times New Roman" w:eastAsia="宋体" w:cs="Times New Roman"/>
                <w:color w:val="000000"/>
                <w:sz w:val="24"/>
                <w:szCs w:val="24"/>
                <w:lang w:val="en-US" w:eastAsia="zh-CN" w:bidi="ar-SA"/>
              </w:rPr>
              <w:t>15</w:t>
            </w:r>
            <w:r>
              <w:rPr>
                <w:rFonts w:hint="eastAsia" w:ascii="Times New Roman" w:hAnsi="Times New Roman" w:eastAsia="宋体" w:cs="Times New Roman"/>
                <w:color w:val="000000"/>
                <w:sz w:val="24"/>
                <w:szCs w:val="24"/>
                <w:lang w:val="zh-CN" w:eastAsia="zh-CN" w:bidi="ar-SA"/>
              </w:rPr>
              <w:t>m高排气筒</w:t>
            </w:r>
            <w:r>
              <w:rPr>
                <w:rFonts w:hint="eastAsia" w:ascii="Times New Roman" w:hAnsi="Times New Roman" w:eastAsia="宋体" w:cs="Times New Roman"/>
                <w:color w:val="000000"/>
                <w:sz w:val="24"/>
                <w:szCs w:val="24"/>
                <w:lang w:val="en-US" w:eastAsia="zh-CN" w:bidi="ar-SA"/>
              </w:rPr>
              <w:t>高空排放。加强车间通风，加快废气扩散。</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（三）噪声污染防治措施。合理布局生产车间，选用低噪声设备，机械设备加强维修保养，采取减震、建筑隔声等降噪措施；严禁夜间生产。</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四）固体废弃物污染治理措施。废注塑边角料、残次品收集后回用于生产；未污染化学品的废包装材料、废磨料、含油抹布、手套和生活垃圾一起交由环卫部门统一清运处理。设置危废暂存间，将危险废物分类收集后暂存，定期交具有危废处理资质单位处置。</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zh-CN" w:eastAsia="zh-CN" w:bidi="ar-SA"/>
              </w:rPr>
            </w:pPr>
            <w:r>
              <w:rPr>
                <w:rFonts w:hint="eastAsia" w:ascii="Times New Roman" w:hAnsi="Times New Roman" w:eastAsia="宋体" w:cs="Times New Roman"/>
                <w:color w:val="000000"/>
                <w:sz w:val="24"/>
                <w:szCs w:val="24"/>
                <w:lang w:val="en-US" w:eastAsia="zh-CN" w:bidi="ar-SA"/>
              </w:rPr>
              <w:t>（五）严格环境风险防范。配套消防设施，做好分区防渗；危废暂存间应符合《危险废物贮存污染控制标准》（GB18597-2001）（2013年修改）要求，不同种类危险废物采用专用容器分类存放，液态物质储</w:t>
            </w:r>
            <w:r>
              <w:rPr>
                <w:rFonts w:hint="eastAsia" w:ascii="Times New Roman" w:hAnsi="Times New Roman" w:eastAsia="宋体" w:cs="Times New Roman"/>
                <w:color w:val="000000"/>
                <w:sz w:val="24"/>
                <w:szCs w:val="24"/>
                <w:lang w:val="zh-CN" w:eastAsia="zh-CN" w:bidi="ar-SA"/>
              </w:rPr>
              <w:t>存区设置堵截泄漏的裙脚，物料储存点通风，远离电源，设置醒目的禁火标志。制定相应的事故应急预案，并认真落实各项风险防范措施。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zh-CN" w:eastAsia="zh-CN" w:bidi="ar-SA"/>
              </w:rPr>
            </w:pPr>
            <w:r>
              <w:rPr>
                <w:rFonts w:hint="eastAsia" w:ascii="Times New Roman" w:hAnsi="Times New Roman" w:eastAsia="宋体" w:cs="Times New Roman"/>
                <w:color w:val="000000"/>
                <w:sz w:val="24"/>
                <w:szCs w:val="24"/>
                <w:lang w:val="zh-CN" w:eastAsia="zh-CN" w:bidi="ar-SA"/>
              </w:rPr>
              <w:t>三、该项目建设必须严格执行环境保护设施与主体工程同时设计、同时施工、同时投入使用的环境保护“三同时”制度。项目竣工后，建设单位应按照有关规定对配套建设的环境保护设施进行验收。</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四、该项目的性质、规模、地点、采用的生产工艺或者防治污染、防止生态破坏的措施发生重大变动的，应当重新报批该项目的环境影响评价文件。自批准之日起超过５年方决定该项目开工建设的，其环境影响评价文件应当报我局重新审核。</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五、请奉节县生态环境保护综合行政执法支队负责该项目环境保护日常监督管理工作。</w:t>
            </w:r>
          </w:p>
          <w:p>
            <w:pPr>
              <w:adjustRightInd w:val="0"/>
              <w:snapToGrid w:val="0"/>
              <w:spacing w:line="360" w:lineRule="auto"/>
              <w:ind w:firstLine="480" w:firstLineChars="200"/>
              <w:jc w:val="both"/>
              <w:rPr>
                <w:rFonts w:hint="default" w:eastAsia="宋体"/>
                <w:vertAlign w:val="baseline"/>
                <w:lang w:val="en-US" w:eastAsia="zh-CN"/>
              </w:rPr>
            </w:pPr>
            <w:r>
              <w:rPr>
                <w:rFonts w:hint="eastAsia" w:ascii="Times New Roman" w:hAnsi="Times New Roman" w:cs="Times New Roman"/>
                <w:color w:val="000000"/>
                <w:sz w:val="24"/>
                <w:szCs w:val="24"/>
                <w:lang w:val="en-US" w:eastAsia="zh-CN" w:bidi="ar-SA"/>
              </w:rPr>
              <w:t>详见附件1。</w:t>
            </w:r>
            <w:r>
              <w:rPr>
                <w:rFonts w:hint="eastAsia" w:ascii="Times New Roman" w:hAnsi="Times New Roman" w:eastAsia="宋体" w:cs="Times New Roman"/>
                <w:color w:val="000000"/>
                <w:sz w:val="24"/>
                <w:szCs w:val="24"/>
                <w:lang w:val="en-US" w:eastAsia="zh-CN" w:bidi="ar-SA"/>
              </w:rPr>
              <w:t xml:space="preserve">                </w:t>
            </w:r>
          </w:p>
        </w:tc>
      </w:tr>
    </w:tbl>
    <w:p>
      <w:pPr>
        <w:pStyle w:val="3"/>
        <w:tabs>
          <w:tab w:val="left" w:pos="1120"/>
        </w:tabs>
        <w:ind w:left="275" w:firstLine="0"/>
      </w:pPr>
      <w:r>
        <w:rPr>
          <w:spacing w:val="5"/>
        </w:rPr>
        <w:t>表</w:t>
      </w:r>
      <w:r>
        <w:t>四</w:t>
      </w:r>
      <w:r>
        <w:tab/>
      </w:r>
      <w:r>
        <w:rPr>
          <w:spacing w:val="5"/>
        </w:rPr>
        <w:t>监</w:t>
      </w:r>
      <w:r>
        <w:t>测</w:t>
      </w:r>
      <w:r>
        <w:rPr>
          <w:spacing w:val="5"/>
        </w:rPr>
        <w:t>点</w:t>
      </w:r>
      <w:r>
        <w:t>位</w:t>
      </w:r>
      <w:r>
        <w:rPr>
          <w:spacing w:val="5"/>
        </w:rPr>
        <w:t>、</w:t>
      </w:r>
      <w:r>
        <w:t>因</w:t>
      </w:r>
      <w:r>
        <w:rPr>
          <w:spacing w:val="5"/>
        </w:rPr>
        <w:t>子</w:t>
      </w:r>
      <w:r>
        <w:t>和</w:t>
      </w:r>
      <w:r>
        <w:rPr>
          <w:spacing w:val="5"/>
        </w:rPr>
        <w:t>频</w:t>
      </w:r>
      <w:r>
        <w:t>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jc w:val="both"/>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2475"/>
              <w:gridCol w:w="2310"/>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7" w:type="dxa"/>
                  <w:vAlign w:val="top"/>
                </w:tcPr>
                <w:p>
                  <w:pPr>
                    <w:pStyle w:val="17"/>
                    <w:spacing w:before="83"/>
                    <w:ind w:left="244" w:leftChars="0" w:right="233" w:rightChars="0"/>
                    <w:jc w:val="center"/>
                    <w:rPr>
                      <w:rFonts w:hint="default"/>
                      <w:lang w:val="zh-CN" w:eastAsia="zh-CN"/>
                    </w:rPr>
                  </w:pPr>
                  <w:r>
                    <w:rPr>
                      <w:rFonts w:hint="default"/>
                    </w:rPr>
                    <w:t>类别</w:t>
                  </w:r>
                </w:p>
              </w:tc>
              <w:tc>
                <w:tcPr>
                  <w:tcW w:w="2475" w:type="dxa"/>
                  <w:vAlign w:val="top"/>
                </w:tcPr>
                <w:p>
                  <w:pPr>
                    <w:pStyle w:val="17"/>
                    <w:spacing w:before="83"/>
                    <w:ind w:left="92" w:leftChars="0" w:right="87" w:rightChars="0"/>
                    <w:jc w:val="center"/>
                    <w:rPr>
                      <w:rFonts w:hint="default"/>
                      <w:lang w:val="zh-CN" w:eastAsia="zh-CN"/>
                    </w:rPr>
                  </w:pPr>
                  <w:r>
                    <w:rPr>
                      <w:rFonts w:hint="default"/>
                    </w:rPr>
                    <w:t>监测点位名称及编号</w:t>
                  </w:r>
                </w:p>
              </w:tc>
              <w:tc>
                <w:tcPr>
                  <w:tcW w:w="2310" w:type="dxa"/>
                  <w:vAlign w:val="top"/>
                </w:tcPr>
                <w:p>
                  <w:pPr>
                    <w:pStyle w:val="17"/>
                    <w:spacing w:before="83"/>
                    <w:ind w:left="60" w:leftChars="0" w:right="51" w:rightChars="0"/>
                    <w:jc w:val="center"/>
                    <w:rPr>
                      <w:rFonts w:hint="default"/>
                      <w:lang w:val="zh-CN" w:eastAsia="zh-CN"/>
                    </w:rPr>
                  </w:pPr>
                  <w:r>
                    <w:rPr>
                      <w:rFonts w:hint="default"/>
                    </w:rPr>
                    <w:t>监测频次</w:t>
                  </w:r>
                </w:p>
              </w:tc>
              <w:tc>
                <w:tcPr>
                  <w:tcW w:w="2943" w:type="dxa"/>
                  <w:vAlign w:val="top"/>
                </w:tcPr>
                <w:p>
                  <w:pPr>
                    <w:pStyle w:val="17"/>
                    <w:spacing w:before="83"/>
                    <w:ind w:left="110" w:leftChars="0" w:right="99" w:rightChars="0"/>
                    <w:jc w:val="center"/>
                    <w:rPr>
                      <w:rFonts w:hint="default"/>
                      <w:lang w:val="zh-CN" w:eastAsia="zh-CN"/>
                    </w:rPr>
                  </w:pPr>
                  <w:r>
                    <w:rPr>
                      <w:rFonts w:hint="default"/>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7" w:type="dxa"/>
                  <w:vAlign w:val="center"/>
                </w:tcPr>
                <w:p>
                  <w:pPr>
                    <w:pStyle w:val="17"/>
                    <w:spacing w:before="97" w:line="278" w:lineRule="auto"/>
                    <w:ind w:left="105" w:leftChars="0" w:right="-15" w:rightChars="0" w:hanging="106" w:firstLineChars="0"/>
                    <w:jc w:val="center"/>
                    <w:rPr>
                      <w:rFonts w:hint="default"/>
                      <w:lang w:val="zh-CN" w:eastAsia="zh-CN"/>
                    </w:rPr>
                  </w:pPr>
                  <w:r>
                    <w:rPr>
                      <w:rFonts w:hint="default"/>
                    </w:rPr>
                    <w:t>废水</w:t>
                  </w:r>
                </w:p>
              </w:tc>
              <w:tc>
                <w:tcPr>
                  <w:tcW w:w="2475" w:type="dxa"/>
                  <w:vAlign w:val="center"/>
                </w:tcPr>
                <w:p>
                  <w:pPr>
                    <w:pStyle w:val="17"/>
                    <w:spacing w:before="97" w:line="278" w:lineRule="auto"/>
                    <w:ind w:left="105" w:leftChars="0" w:right="-15" w:rightChars="0" w:hanging="106" w:firstLineChars="0"/>
                    <w:jc w:val="center"/>
                    <w:rPr>
                      <w:rFonts w:hint="default"/>
                      <w:lang w:val="en-US" w:eastAsia="zh-CN"/>
                    </w:rPr>
                  </w:pPr>
                  <w:r>
                    <w:rPr>
                      <w:rFonts w:hint="default"/>
                    </w:rPr>
                    <w:t>污水出口</w:t>
                  </w:r>
                  <w:r>
                    <w:rPr>
                      <w:rFonts w:hint="default"/>
                      <w:lang w:val="en-US" w:eastAsia="zh-CN"/>
                    </w:rPr>
                    <w:t>W1</w:t>
                  </w:r>
                </w:p>
              </w:tc>
              <w:tc>
                <w:tcPr>
                  <w:tcW w:w="2310" w:type="dxa"/>
                  <w:vAlign w:val="center"/>
                </w:tcPr>
                <w:p>
                  <w:pPr>
                    <w:pStyle w:val="17"/>
                    <w:spacing w:before="131"/>
                    <w:ind w:left="60" w:leftChars="0" w:right="51" w:rightChars="0"/>
                    <w:jc w:val="center"/>
                    <w:rPr>
                      <w:rFonts w:hint="default"/>
                      <w:lang w:val="zh-CN" w:eastAsia="zh-CN"/>
                    </w:rPr>
                  </w:pPr>
                  <w:r>
                    <w:rPr>
                      <w:rFonts w:hint="default"/>
                      <w:lang w:val="en-US" w:eastAsia="zh-CN"/>
                    </w:rPr>
                    <w:t>4</w:t>
                  </w:r>
                  <w:r>
                    <w:rPr>
                      <w:rFonts w:hint="default"/>
                    </w:rPr>
                    <w:t xml:space="preserve"> 次/天，监测 2 天</w:t>
                  </w:r>
                </w:p>
              </w:tc>
              <w:tc>
                <w:tcPr>
                  <w:tcW w:w="2943" w:type="dxa"/>
                  <w:vAlign w:val="center"/>
                </w:tcPr>
                <w:p>
                  <w:pPr>
                    <w:pStyle w:val="17"/>
                    <w:spacing w:before="97" w:line="278" w:lineRule="auto"/>
                    <w:ind w:left="105" w:leftChars="0" w:right="-15" w:rightChars="0" w:hanging="106" w:firstLineChars="0"/>
                    <w:jc w:val="center"/>
                    <w:rPr>
                      <w:rFonts w:hint="default"/>
                      <w:lang w:val="zh-CN" w:eastAsia="zh-CN"/>
                    </w:rPr>
                  </w:pPr>
                  <w:r>
                    <w:rPr>
                      <w:rFonts w:hint="default"/>
                    </w:rPr>
                    <w:t>COD、BOD5、氨氮、SS</w:t>
                  </w:r>
                  <w:r>
                    <w:rPr>
                      <w:rFonts w:hint="default"/>
                      <w:lang w:eastAsia="zh-CN"/>
                    </w:rPr>
                    <w:t>、</w:t>
                  </w:r>
                  <w:r>
                    <w:rPr>
                      <w:rFonts w:hint="default"/>
                      <w:lang w:val="en-US" w:eastAsia="zh-CN"/>
                    </w:rPr>
                    <w:t>石油类、LAS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7" w:type="dxa"/>
                  <w:vAlign w:val="center"/>
                </w:tcPr>
                <w:p>
                  <w:pPr>
                    <w:pStyle w:val="17"/>
                    <w:spacing w:before="97" w:line="278" w:lineRule="auto"/>
                    <w:ind w:left="105" w:leftChars="0" w:right="-15" w:rightChars="0" w:hanging="106" w:firstLineChars="0"/>
                    <w:jc w:val="center"/>
                    <w:rPr>
                      <w:rFonts w:hint="default"/>
                      <w:lang w:val="zh-CN" w:eastAsia="zh-CN"/>
                    </w:rPr>
                  </w:pPr>
                  <w:r>
                    <w:rPr>
                      <w:rFonts w:hint="default"/>
                    </w:rPr>
                    <w:t>无组织废气</w:t>
                  </w:r>
                </w:p>
              </w:tc>
              <w:tc>
                <w:tcPr>
                  <w:tcW w:w="2475" w:type="dxa"/>
                  <w:vAlign w:val="center"/>
                </w:tcPr>
                <w:p>
                  <w:pPr>
                    <w:pStyle w:val="17"/>
                    <w:spacing w:before="97" w:line="278" w:lineRule="auto"/>
                    <w:ind w:left="105" w:leftChars="0" w:right="-15" w:rightChars="0" w:hanging="106" w:firstLineChars="0"/>
                    <w:jc w:val="center"/>
                    <w:rPr>
                      <w:rFonts w:hint="default"/>
                      <w:lang w:val="en-US" w:eastAsia="zh-CN"/>
                    </w:rPr>
                  </w:pPr>
                  <w:r>
                    <w:rPr>
                      <w:rFonts w:hint="default"/>
                      <w:lang w:val="en-US" w:eastAsia="zh-CN"/>
                    </w:rPr>
                    <w:t>G5</w:t>
                  </w:r>
                  <w:r>
                    <w:rPr>
                      <w:rFonts w:hint="eastAsia"/>
                      <w:lang w:val="en-US" w:eastAsia="zh-CN"/>
                    </w:rPr>
                    <w:t>、</w:t>
                  </w:r>
                  <w:r>
                    <w:rPr>
                      <w:rFonts w:hint="default"/>
                      <w:lang w:val="en-US" w:eastAsia="zh-CN"/>
                    </w:rPr>
                    <w:t>G6</w:t>
                  </w:r>
                </w:p>
              </w:tc>
              <w:tc>
                <w:tcPr>
                  <w:tcW w:w="2310" w:type="dxa"/>
                  <w:vAlign w:val="center"/>
                </w:tcPr>
                <w:p>
                  <w:pPr>
                    <w:pStyle w:val="17"/>
                    <w:spacing w:before="131"/>
                    <w:ind w:left="92" w:leftChars="0" w:right="82" w:rightChars="0"/>
                    <w:jc w:val="center"/>
                    <w:rPr>
                      <w:rFonts w:hint="default"/>
                      <w:lang w:val="zh-CN" w:eastAsia="zh-CN"/>
                    </w:rPr>
                  </w:pPr>
                  <w:r>
                    <w:rPr>
                      <w:rFonts w:hint="default"/>
                    </w:rPr>
                    <w:t>3 次/天，监测 2 天</w:t>
                  </w:r>
                </w:p>
              </w:tc>
              <w:tc>
                <w:tcPr>
                  <w:tcW w:w="2943" w:type="dxa"/>
                  <w:vAlign w:val="center"/>
                </w:tcPr>
                <w:p>
                  <w:pPr>
                    <w:pStyle w:val="17"/>
                    <w:spacing w:before="131"/>
                    <w:ind w:left="92" w:leftChars="0" w:right="82" w:rightChars="0"/>
                    <w:jc w:val="center"/>
                    <w:rPr>
                      <w:rFonts w:hint="default"/>
                      <w:lang w:val="zh-CN" w:eastAsia="zh-CN"/>
                    </w:rPr>
                  </w:pPr>
                  <w:r>
                    <w:rPr>
                      <w:rFonts w:hint="default"/>
                      <w:lang w:val="de-DE"/>
                    </w:rPr>
                    <w:t>非甲烷总烃</w:t>
                  </w:r>
                  <w:r>
                    <w:rPr>
                      <w:rFonts w:hint="default"/>
                      <w:lang w:eastAsia="zh-CN"/>
                    </w:rPr>
                    <w:t>、</w:t>
                  </w:r>
                  <w:r>
                    <w:rPr>
                      <w:rFonts w:hint="default"/>
                      <w:lang w:val="en-US" w:eastAsia="zh-CN"/>
                    </w:rPr>
                    <w:t>二甲苯、</w:t>
                  </w:r>
                  <w:r>
                    <w:rPr>
                      <w:rFonts w:hint="default"/>
                      <w:lang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7" w:type="dxa"/>
                  <w:vMerge w:val="restart"/>
                  <w:vAlign w:val="center"/>
                </w:tcPr>
                <w:p>
                  <w:pPr>
                    <w:pStyle w:val="17"/>
                    <w:spacing w:before="97" w:line="278" w:lineRule="auto"/>
                    <w:ind w:left="105" w:leftChars="0" w:right="-15" w:rightChars="0" w:hanging="106" w:firstLineChars="0"/>
                    <w:jc w:val="center"/>
                    <w:rPr>
                      <w:rFonts w:hint="default"/>
                      <w:lang w:val="zh-CN" w:eastAsia="zh-CN"/>
                    </w:rPr>
                  </w:pPr>
                  <w:r>
                    <w:rPr>
                      <w:rFonts w:hint="default"/>
                    </w:rPr>
                    <w:t>有组织废气</w:t>
                  </w:r>
                </w:p>
              </w:tc>
              <w:tc>
                <w:tcPr>
                  <w:tcW w:w="2475" w:type="dxa"/>
                  <w:vAlign w:val="center"/>
                </w:tcPr>
                <w:p>
                  <w:pPr>
                    <w:pStyle w:val="17"/>
                    <w:spacing w:before="97" w:line="278" w:lineRule="auto"/>
                    <w:ind w:left="105" w:leftChars="0" w:right="-15" w:rightChars="0" w:hanging="106" w:firstLineChars="0"/>
                    <w:jc w:val="center"/>
                    <w:rPr>
                      <w:rFonts w:hint="default"/>
                      <w:lang w:val="en-US" w:eastAsia="zh-CN"/>
                    </w:rPr>
                  </w:pPr>
                  <w:r>
                    <w:rPr>
                      <w:rFonts w:hint="default"/>
                    </w:rPr>
                    <w:t>1#排气筒</w:t>
                  </w:r>
                  <w:r>
                    <w:rPr>
                      <w:rFonts w:hint="default"/>
                      <w:lang w:eastAsia="zh-CN"/>
                    </w:rPr>
                    <w:t>进</w:t>
                  </w:r>
                  <w:r>
                    <w:rPr>
                      <w:rFonts w:hint="default"/>
                    </w:rPr>
                    <w:t>出口</w:t>
                  </w:r>
                  <w:r>
                    <w:rPr>
                      <w:rFonts w:hint="default"/>
                      <w:lang w:val="en-US" w:eastAsia="zh-CN"/>
                    </w:rPr>
                    <w:t>G1、G2</w:t>
                  </w:r>
                </w:p>
              </w:tc>
              <w:tc>
                <w:tcPr>
                  <w:tcW w:w="2310" w:type="dxa"/>
                  <w:vMerge w:val="restart"/>
                  <w:vAlign w:val="center"/>
                </w:tcPr>
                <w:p>
                  <w:pPr>
                    <w:pStyle w:val="17"/>
                    <w:spacing w:before="131"/>
                    <w:ind w:left="92" w:leftChars="0" w:right="82" w:rightChars="0"/>
                    <w:jc w:val="center"/>
                    <w:rPr>
                      <w:rFonts w:hint="default"/>
                      <w:lang w:val="zh-CN" w:eastAsia="zh-CN"/>
                    </w:rPr>
                  </w:pPr>
                  <w:r>
                    <w:rPr>
                      <w:rFonts w:hint="default"/>
                    </w:rPr>
                    <w:t>3 次/天，监测 2 天</w:t>
                  </w:r>
                </w:p>
              </w:tc>
              <w:tc>
                <w:tcPr>
                  <w:tcW w:w="2943" w:type="dxa"/>
                  <w:vMerge w:val="restart"/>
                  <w:vAlign w:val="center"/>
                </w:tcPr>
                <w:p>
                  <w:pPr>
                    <w:pStyle w:val="17"/>
                    <w:spacing w:before="131"/>
                    <w:ind w:left="92" w:leftChars="0" w:right="82" w:rightChars="0"/>
                    <w:jc w:val="center"/>
                    <w:rPr>
                      <w:rFonts w:hint="default"/>
                      <w:lang w:val="zh-CN" w:eastAsia="zh-CN"/>
                    </w:rPr>
                  </w:pPr>
                  <w:r>
                    <w:rPr>
                      <w:rFonts w:hint="default"/>
                      <w:lang w:val="de-DE"/>
                    </w:rPr>
                    <w:t>非甲烷总烃</w:t>
                  </w:r>
                  <w:r>
                    <w:rPr>
                      <w:rFonts w:hint="default"/>
                      <w:lang w:eastAsia="zh-CN"/>
                    </w:rPr>
                    <w:t>、</w:t>
                  </w:r>
                  <w:r>
                    <w:rPr>
                      <w:rFonts w:hint="default"/>
                      <w:lang w:val="en-US" w:eastAsia="zh-CN"/>
                    </w:rPr>
                    <w:t>二甲苯、</w:t>
                  </w:r>
                  <w:r>
                    <w:rPr>
                      <w:rFonts w:hint="default"/>
                      <w:lang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7" w:type="dxa"/>
                  <w:vMerge w:val="continue"/>
                  <w:vAlign w:val="center"/>
                </w:tcPr>
                <w:p>
                  <w:pPr>
                    <w:pStyle w:val="17"/>
                    <w:spacing w:before="97" w:line="278" w:lineRule="auto"/>
                    <w:ind w:left="105" w:leftChars="0" w:right="-15" w:rightChars="0" w:hanging="106" w:firstLineChars="0"/>
                    <w:jc w:val="center"/>
                    <w:rPr>
                      <w:rFonts w:hint="default"/>
                    </w:rPr>
                  </w:pPr>
                </w:p>
              </w:tc>
              <w:tc>
                <w:tcPr>
                  <w:tcW w:w="2475" w:type="dxa"/>
                  <w:vAlign w:val="center"/>
                </w:tcPr>
                <w:p>
                  <w:pPr>
                    <w:pStyle w:val="17"/>
                    <w:spacing w:before="97" w:line="278" w:lineRule="auto"/>
                    <w:ind w:left="105" w:leftChars="0" w:right="-15" w:rightChars="0" w:hanging="106" w:firstLineChars="0"/>
                    <w:jc w:val="center"/>
                    <w:rPr>
                      <w:rFonts w:hint="default"/>
                      <w:lang w:val="en-US" w:eastAsia="zh-CN"/>
                    </w:rPr>
                  </w:pPr>
                  <w:r>
                    <w:rPr>
                      <w:rFonts w:hint="default"/>
                    </w:rPr>
                    <w:t>2#排气筒进</w:t>
                  </w:r>
                  <w:r>
                    <w:rPr>
                      <w:rFonts w:hint="default"/>
                      <w:lang w:eastAsia="zh-CN"/>
                    </w:rPr>
                    <w:t>出</w:t>
                  </w:r>
                  <w:r>
                    <w:rPr>
                      <w:rFonts w:hint="default"/>
                    </w:rPr>
                    <w:t>口</w:t>
                  </w:r>
                  <w:r>
                    <w:rPr>
                      <w:rFonts w:hint="default"/>
                      <w:lang w:val="en-US" w:eastAsia="zh-CN"/>
                    </w:rPr>
                    <w:t>G3、G4</w:t>
                  </w:r>
                </w:p>
              </w:tc>
              <w:tc>
                <w:tcPr>
                  <w:tcW w:w="2310" w:type="dxa"/>
                  <w:vMerge w:val="continue"/>
                  <w:vAlign w:val="center"/>
                </w:tcPr>
                <w:p>
                  <w:pPr>
                    <w:pStyle w:val="17"/>
                    <w:spacing w:before="131"/>
                    <w:ind w:left="92" w:leftChars="0" w:right="82" w:rightChars="0"/>
                    <w:jc w:val="center"/>
                    <w:rPr>
                      <w:rFonts w:hint="default"/>
                    </w:rPr>
                  </w:pPr>
                </w:p>
              </w:tc>
              <w:tc>
                <w:tcPr>
                  <w:tcW w:w="2943" w:type="dxa"/>
                  <w:vMerge w:val="continue"/>
                  <w:vAlign w:val="center"/>
                </w:tcPr>
                <w:p>
                  <w:pPr>
                    <w:pStyle w:val="17"/>
                    <w:spacing w:before="131"/>
                    <w:ind w:left="92" w:leftChars="0" w:right="82" w:rightChars="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7" w:type="dxa"/>
                  <w:vMerge w:val="restart"/>
                  <w:vAlign w:val="center"/>
                </w:tcPr>
                <w:p>
                  <w:pPr>
                    <w:pStyle w:val="17"/>
                    <w:spacing w:before="97" w:line="278" w:lineRule="auto"/>
                    <w:ind w:left="105" w:leftChars="0" w:right="-15" w:rightChars="0" w:hanging="106" w:firstLineChars="0"/>
                    <w:jc w:val="center"/>
                    <w:rPr>
                      <w:rFonts w:hint="default"/>
                      <w:lang w:val="zh-CN" w:eastAsia="zh-CN"/>
                    </w:rPr>
                  </w:pPr>
                  <w:r>
                    <w:rPr>
                      <w:rFonts w:hint="default"/>
                    </w:rPr>
                    <w:t>噪声</w:t>
                  </w:r>
                </w:p>
              </w:tc>
              <w:tc>
                <w:tcPr>
                  <w:tcW w:w="2475" w:type="dxa"/>
                  <w:vAlign w:val="center"/>
                </w:tcPr>
                <w:p>
                  <w:pPr>
                    <w:pStyle w:val="17"/>
                    <w:spacing w:before="97" w:line="278" w:lineRule="auto"/>
                    <w:ind w:left="105" w:leftChars="0" w:right="-15" w:rightChars="0" w:hanging="106" w:firstLineChars="0"/>
                    <w:jc w:val="center"/>
                    <w:rPr>
                      <w:rFonts w:hint="default"/>
                      <w:lang w:val="en-US" w:eastAsia="zh-CN"/>
                    </w:rPr>
                  </w:pPr>
                  <w:r>
                    <w:rPr>
                      <w:rFonts w:hint="default"/>
                    </w:rPr>
                    <w:t>厂界</w:t>
                  </w:r>
                  <w:r>
                    <w:rPr>
                      <w:rFonts w:hint="default"/>
                      <w:lang w:eastAsia="zh-CN"/>
                    </w:rPr>
                    <w:t>东</w:t>
                  </w:r>
                  <w:r>
                    <w:rPr>
                      <w:rFonts w:hint="default"/>
                    </w:rPr>
                    <w:t>侧 1m 处</w:t>
                  </w:r>
                  <w:r>
                    <w:rPr>
                      <w:rFonts w:hint="default"/>
                      <w:lang w:val="en-US" w:eastAsia="zh-CN"/>
                    </w:rPr>
                    <w:t>N1</w:t>
                  </w:r>
                </w:p>
              </w:tc>
              <w:tc>
                <w:tcPr>
                  <w:tcW w:w="2310" w:type="dxa"/>
                  <w:vMerge w:val="restart"/>
                  <w:vAlign w:val="center"/>
                </w:tcPr>
                <w:p>
                  <w:pPr>
                    <w:pStyle w:val="17"/>
                    <w:spacing w:before="131"/>
                    <w:ind w:left="92" w:leftChars="0" w:right="82" w:rightChars="0"/>
                    <w:jc w:val="center"/>
                    <w:rPr>
                      <w:rFonts w:hint="default"/>
                      <w:lang w:val="zh-CN" w:eastAsia="zh-CN"/>
                    </w:rPr>
                  </w:pPr>
                  <w:r>
                    <w:rPr>
                      <w:rFonts w:hint="default"/>
                    </w:rPr>
                    <w:t>昼间 1 次，监测 2 天</w:t>
                  </w:r>
                </w:p>
              </w:tc>
              <w:tc>
                <w:tcPr>
                  <w:tcW w:w="2943" w:type="dxa"/>
                  <w:vMerge w:val="restart"/>
                  <w:vAlign w:val="center"/>
                </w:tcPr>
                <w:p>
                  <w:pPr>
                    <w:pStyle w:val="17"/>
                    <w:spacing w:before="131"/>
                    <w:ind w:left="92" w:leftChars="0" w:right="82" w:rightChars="0"/>
                    <w:jc w:val="center"/>
                    <w:rPr>
                      <w:rFonts w:hint="default"/>
                      <w:lang w:val="zh-CN" w:eastAsia="zh-CN"/>
                    </w:rPr>
                  </w:pPr>
                  <w:r>
                    <w:rPr>
                      <w:rFonts w:hint="default"/>
                    </w:rPr>
                    <w:t>厂界噪声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7" w:type="dxa"/>
                  <w:vMerge w:val="continue"/>
                </w:tcPr>
                <w:p>
                  <w:pPr>
                    <w:pStyle w:val="17"/>
                    <w:spacing w:before="97" w:line="278" w:lineRule="auto"/>
                    <w:ind w:left="105" w:leftChars="0" w:right="-15" w:rightChars="0" w:hanging="106" w:firstLineChars="0"/>
                    <w:jc w:val="center"/>
                    <w:rPr>
                      <w:rFonts w:hint="default"/>
                    </w:rPr>
                  </w:pPr>
                </w:p>
              </w:tc>
              <w:tc>
                <w:tcPr>
                  <w:tcW w:w="2475" w:type="dxa"/>
                </w:tcPr>
                <w:p>
                  <w:pPr>
                    <w:pStyle w:val="17"/>
                    <w:spacing w:before="97" w:line="278" w:lineRule="auto"/>
                    <w:ind w:left="105" w:leftChars="0" w:right="-15" w:rightChars="0" w:hanging="106" w:firstLineChars="0"/>
                    <w:jc w:val="center"/>
                    <w:rPr>
                      <w:rFonts w:hint="default"/>
                      <w:lang w:val="en-US" w:eastAsia="zh-CN"/>
                    </w:rPr>
                  </w:pPr>
                  <w:r>
                    <w:rPr>
                      <w:rFonts w:hint="default"/>
                    </w:rPr>
                    <w:t>厂界</w:t>
                  </w:r>
                  <w:r>
                    <w:rPr>
                      <w:rFonts w:hint="default"/>
                      <w:lang w:eastAsia="zh-CN"/>
                    </w:rPr>
                    <w:t>南</w:t>
                  </w:r>
                  <w:r>
                    <w:rPr>
                      <w:rFonts w:hint="default"/>
                    </w:rPr>
                    <w:t>侧 1m 处</w:t>
                  </w:r>
                  <w:r>
                    <w:rPr>
                      <w:rFonts w:hint="default"/>
                      <w:lang w:val="en-US" w:eastAsia="zh-CN"/>
                    </w:rPr>
                    <w:t>N2</w:t>
                  </w:r>
                </w:p>
              </w:tc>
              <w:tc>
                <w:tcPr>
                  <w:tcW w:w="2310" w:type="dxa"/>
                  <w:vMerge w:val="continue"/>
                </w:tcPr>
                <w:p>
                  <w:pPr>
                    <w:pStyle w:val="2"/>
                    <w:jc w:val="both"/>
                  </w:pPr>
                </w:p>
              </w:tc>
              <w:tc>
                <w:tcPr>
                  <w:tcW w:w="2943" w:type="dxa"/>
                  <w:vMerge w:val="continue"/>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7" w:type="dxa"/>
                  <w:vMerge w:val="continue"/>
                </w:tcPr>
                <w:p>
                  <w:pPr>
                    <w:pStyle w:val="17"/>
                    <w:spacing w:before="97" w:line="278" w:lineRule="auto"/>
                    <w:ind w:left="105" w:leftChars="0" w:right="-15" w:rightChars="0" w:hanging="106" w:firstLineChars="0"/>
                    <w:jc w:val="center"/>
                    <w:rPr>
                      <w:rFonts w:hint="default"/>
                    </w:rPr>
                  </w:pPr>
                </w:p>
              </w:tc>
              <w:tc>
                <w:tcPr>
                  <w:tcW w:w="2475" w:type="dxa"/>
                </w:tcPr>
                <w:p>
                  <w:pPr>
                    <w:pStyle w:val="17"/>
                    <w:spacing w:before="97" w:line="278" w:lineRule="auto"/>
                    <w:ind w:left="105" w:leftChars="0" w:right="-15" w:rightChars="0" w:hanging="106" w:firstLineChars="0"/>
                    <w:jc w:val="center"/>
                    <w:rPr>
                      <w:rFonts w:hint="default"/>
                      <w:lang w:val="en-US" w:eastAsia="zh-CN"/>
                    </w:rPr>
                  </w:pPr>
                  <w:r>
                    <w:rPr>
                      <w:rFonts w:hint="default"/>
                    </w:rPr>
                    <w:t>厂界西侧 1m 处</w:t>
                  </w:r>
                  <w:r>
                    <w:rPr>
                      <w:rFonts w:hint="default"/>
                      <w:lang w:val="en-US" w:eastAsia="zh-CN"/>
                    </w:rPr>
                    <w:t>N3</w:t>
                  </w:r>
                </w:p>
              </w:tc>
              <w:tc>
                <w:tcPr>
                  <w:tcW w:w="2310" w:type="dxa"/>
                  <w:vMerge w:val="continue"/>
                </w:tcPr>
                <w:p>
                  <w:pPr>
                    <w:pStyle w:val="2"/>
                    <w:jc w:val="both"/>
                  </w:pPr>
                </w:p>
              </w:tc>
              <w:tc>
                <w:tcPr>
                  <w:tcW w:w="2943" w:type="dxa"/>
                  <w:vMerge w:val="continue"/>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7" w:type="dxa"/>
                  <w:vMerge w:val="continue"/>
                </w:tcPr>
                <w:p>
                  <w:pPr>
                    <w:pStyle w:val="17"/>
                    <w:spacing w:before="97" w:line="278" w:lineRule="auto"/>
                    <w:ind w:left="105" w:leftChars="0" w:right="-15" w:rightChars="0" w:hanging="106" w:firstLineChars="0"/>
                    <w:jc w:val="center"/>
                    <w:rPr>
                      <w:rFonts w:hint="default"/>
                    </w:rPr>
                  </w:pPr>
                </w:p>
              </w:tc>
              <w:tc>
                <w:tcPr>
                  <w:tcW w:w="2475" w:type="dxa"/>
                </w:tcPr>
                <w:p>
                  <w:pPr>
                    <w:pStyle w:val="17"/>
                    <w:spacing w:before="97" w:line="278" w:lineRule="auto"/>
                    <w:ind w:left="105" w:leftChars="0" w:right="-15" w:rightChars="0" w:hanging="106" w:firstLineChars="0"/>
                    <w:jc w:val="center"/>
                    <w:rPr>
                      <w:rFonts w:hint="default"/>
                      <w:lang w:val="en-US" w:eastAsia="zh-CN"/>
                    </w:rPr>
                  </w:pPr>
                  <w:r>
                    <w:rPr>
                      <w:rFonts w:hint="default"/>
                    </w:rPr>
                    <w:t>厂界</w:t>
                  </w:r>
                  <w:r>
                    <w:rPr>
                      <w:rFonts w:hint="default"/>
                      <w:lang w:eastAsia="zh-CN"/>
                    </w:rPr>
                    <w:t>北</w:t>
                  </w:r>
                  <w:r>
                    <w:rPr>
                      <w:rFonts w:hint="default"/>
                    </w:rPr>
                    <w:t>侧 1m 处</w:t>
                  </w:r>
                  <w:r>
                    <w:rPr>
                      <w:rFonts w:hint="default"/>
                      <w:lang w:val="en-US" w:eastAsia="zh-CN"/>
                    </w:rPr>
                    <w:t>N4</w:t>
                  </w:r>
                </w:p>
              </w:tc>
              <w:tc>
                <w:tcPr>
                  <w:tcW w:w="2310" w:type="dxa"/>
                  <w:vMerge w:val="continue"/>
                </w:tcPr>
                <w:p>
                  <w:pPr>
                    <w:pStyle w:val="2"/>
                    <w:jc w:val="both"/>
                  </w:pPr>
                </w:p>
              </w:tc>
              <w:tc>
                <w:tcPr>
                  <w:tcW w:w="2943" w:type="dxa"/>
                  <w:vMerge w:val="continue"/>
                </w:tcPr>
                <w:p>
                  <w:pPr>
                    <w:pStyle w:val="2"/>
                    <w:jc w:val="both"/>
                  </w:pPr>
                </w:p>
              </w:tc>
            </w:tr>
          </w:tbl>
          <w:p>
            <w:pPr>
              <w:adjustRightInd w:val="0"/>
              <w:snapToGrid w:val="0"/>
              <w:spacing w:line="360" w:lineRule="auto"/>
              <w:ind w:firstLine="440" w:firstLineChars="200"/>
              <w:jc w:val="both"/>
              <w:rPr>
                <w:rFonts w:hint="eastAsia"/>
                <w:lang w:val="zh-CN" w:eastAsia="zh-CN"/>
              </w:rPr>
            </w:pPr>
            <w:r>
              <w:rPr>
                <w:rFonts w:hint="eastAsia"/>
                <w:lang w:val="zh-CN" w:eastAsia="zh-CN"/>
              </w:rPr>
              <w:t>项目废气及噪声监测布点示意图见 4.1-1，有组织废气、废水采样示意图详见图 4.1-2。</w:t>
            </w:r>
          </w:p>
          <w:p>
            <w:pPr>
              <w:pStyle w:val="2"/>
              <w:jc w:val="center"/>
            </w:pPr>
            <w:r>
              <w:drawing>
                <wp:inline distT="0" distB="0" distL="114300" distR="114300">
                  <wp:extent cx="4495800" cy="13525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9"/>
                          <a:stretch>
                            <a:fillRect/>
                          </a:stretch>
                        </pic:blipFill>
                        <pic:spPr>
                          <a:xfrm>
                            <a:off x="0" y="0"/>
                            <a:ext cx="4495800" cy="1352550"/>
                          </a:xfrm>
                          <a:prstGeom prst="rect">
                            <a:avLst/>
                          </a:prstGeom>
                          <a:noFill/>
                          <a:ln>
                            <a:noFill/>
                          </a:ln>
                        </pic:spPr>
                      </pic:pic>
                    </a:graphicData>
                  </a:graphic>
                </wp:inline>
              </w:drawing>
            </w:r>
          </w:p>
          <w:p>
            <w:pPr>
              <w:pStyle w:val="17"/>
              <w:spacing w:before="190" w:line="360" w:lineRule="auto"/>
            </w:pPr>
            <w:r>
              <w:t>注： O 表示无组织监测点， © 表示有组织监测点，▲表示噪声监测点。</w:t>
            </w:r>
          </w:p>
          <w:p>
            <w:pPr>
              <w:pStyle w:val="2"/>
              <w:spacing w:line="360" w:lineRule="auto"/>
              <w:jc w:val="center"/>
            </w:pPr>
            <w:r>
              <w:t>图 4.1-1 废气、废水及噪声监测布点图</w:t>
            </w:r>
          </w:p>
          <w:p>
            <w:pPr>
              <w:pStyle w:val="2"/>
              <w:spacing w:line="360" w:lineRule="auto"/>
              <w:jc w:val="center"/>
            </w:pPr>
            <w:r>
              <w:drawing>
                <wp:inline distT="0" distB="0" distL="114300" distR="114300">
                  <wp:extent cx="2924175" cy="13716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2924175" cy="1371600"/>
                          </a:xfrm>
                          <a:prstGeom prst="rect">
                            <a:avLst/>
                          </a:prstGeom>
                          <a:noFill/>
                          <a:ln>
                            <a:noFill/>
                          </a:ln>
                        </pic:spPr>
                      </pic:pic>
                    </a:graphicData>
                  </a:graphic>
                </wp:inline>
              </w:drawing>
            </w:r>
            <w:r>
              <w:drawing>
                <wp:inline distT="0" distB="0" distL="114300" distR="114300">
                  <wp:extent cx="4686300" cy="971550"/>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21"/>
                          <a:stretch>
                            <a:fillRect/>
                          </a:stretch>
                        </pic:blipFill>
                        <pic:spPr>
                          <a:xfrm>
                            <a:off x="0" y="0"/>
                            <a:ext cx="4686300" cy="971550"/>
                          </a:xfrm>
                          <a:prstGeom prst="rect">
                            <a:avLst/>
                          </a:prstGeom>
                          <a:noFill/>
                          <a:ln>
                            <a:noFill/>
                          </a:ln>
                        </pic:spPr>
                      </pic:pic>
                    </a:graphicData>
                  </a:graphic>
                </wp:inline>
              </w:drawing>
            </w:r>
          </w:p>
          <w:p>
            <w:pPr>
              <w:pStyle w:val="4"/>
              <w:spacing w:before="233"/>
              <w:ind w:left="316" w:right="314" w:firstLine="0"/>
              <w:jc w:val="center"/>
            </w:pPr>
            <w:r>
              <w:t xml:space="preserve">图 4.1-2 </w:t>
            </w:r>
            <w:r>
              <w:t>废气</w:t>
            </w:r>
            <w:r>
              <w:rPr>
                <w:rFonts w:hint="eastAsia"/>
                <w:lang w:eastAsia="zh-CN"/>
              </w:rPr>
              <w:t>、废水</w:t>
            </w:r>
            <w:r>
              <w:t>采样示意图</w:t>
            </w:r>
          </w:p>
          <w:p>
            <w:bookmarkStart w:id="0" w:name="_GoBack"/>
            <w:bookmarkEnd w:id="0"/>
          </w:p>
        </w:tc>
      </w:tr>
    </w:tbl>
    <w:p>
      <w:pPr>
        <w:pStyle w:val="2"/>
        <w:rPr>
          <w:vertAlign w:val="baseline"/>
        </w:rPr>
      </w:pPr>
      <w:r>
        <w:rPr>
          <w:b/>
          <w:spacing w:val="5"/>
          <w:sz w:val="28"/>
        </w:rPr>
        <w:t>表</w:t>
      </w:r>
      <w:r>
        <w:rPr>
          <w:b/>
          <w:sz w:val="28"/>
        </w:rPr>
        <w:t>五</w:t>
      </w:r>
      <w:r>
        <w:rPr>
          <w:b/>
          <w:sz w:val="28"/>
        </w:rPr>
        <w:tab/>
      </w:r>
      <w:r>
        <w:rPr>
          <w:b/>
          <w:spacing w:val="5"/>
          <w:sz w:val="28"/>
        </w:rPr>
        <w:t>监</w:t>
      </w:r>
      <w:r>
        <w:rPr>
          <w:b/>
          <w:sz w:val="28"/>
        </w:rPr>
        <w:t>测</w:t>
      </w:r>
      <w:r>
        <w:rPr>
          <w:b/>
          <w:spacing w:val="5"/>
          <w:sz w:val="28"/>
        </w:rPr>
        <w:t>工</w:t>
      </w:r>
      <w:r>
        <w:rPr>
          <w:b/>
          <w:sz w:val="28"/>
        </w:rPr>
        <w:t>况</w:t>
      </w:r>
      <w:r>
        <w:rPr>
          <w:b/>
          <w:spacing w:val="5"/>
          <w:sz w:val="28"/>
        </w:rPr>
        <w:t>、验</w:t>
      </w:r>
      <w:r>
        <w:rPr>
          <w:b/>
          <w:sz w:val="28"/>
        </w:rPr>
        <w:t>收</w:t>
      </w:r>
      <w:r>
        <w:rPr>
          <w:b/>
          <w:spacing w:val="5"/>
          <w:sz w:val="28"/>
        </w:rPr>
        <w:t>监</w:t>
      </w:r>
      <w:r>
        <w:rPr>
          <w:b/>
          <w:sz w:val="28"/>
        </w:rPr>
        <w:t>测</w:t>
      </w:r>
      <w:r>
        <w:rPr>
          <w:b/>
          <w:spacing w:val="5"/>
          <w:sz w:val="28"/>
        </w:rPr>
        <w:t>质</w:t>
      </w:r>
      <w:r>
        <w:rPr>
          <w:b/>
          <w:sz w:val="28"/>
        </w:rPr>
        <w:t>量</w:t>
      </w:r>
      <w:r>
        <w:rPr>
          <w:b/>
          <w:spacing w:val="5"/>
          <w:sz w:val="28"/>
        </w:rPr>
        <w:t>保</w:t>
      </w:r>
      <w:r>
        <w:rPr>
          <w:b/>
          <w:sz w:val="28"/>
        </w:rPr>
        <w:t>证</w:t>
      </w:r>
      <w:r>
        <w:rPr>
          <w:b/>
          <w:spacing w:val="5"/>
          <w:sz w:val="28"/>
        </w:rPr>
        <w:t>及质</w:t>
      </w:r>
      <w:r>
        <w:rPr>
          <w:b/>
          <w:sz w:val="28"/>
        </w:rPr>
        <w:t>量</w:t>
      </w:r>
      <w:r>
        <w:rPr>
          <w:b/>
          <w:spacing w:val="5"/>
          <w:sz w:val="28"/>
        </w:rPr>
        <w:t>控</w:t>
      </w:r>
      <w:r>
        <w:rPr>
          <w:b/>
          <w:sz w:val="28"/>
        </w:rPr>
        <w:t>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764" w:type="dxa"/>
          </w:tcPr>
          <w:p>
            <w:pPr>
              <w:pStyle w:val="17"/>
              <w:numPr>
                <w:ilvl w:val="1"/>
                <w:numId w:val="6"/>
              </w:numPr>
              <w:tabs>
                <w:tab w:val="left" w:pos="466"/>
              </w:tabs>
              <w:spacing w:before="7" w:after="0" w:line="480" w:lineRule="auto"/>
              <w:ind w:left="465" w:right="0" w:hanging="361"/>
              <w:jc w:val="both"/>
              <w:rPr>
                <w:b/>
                <w:sz w:val="24"/>
              </w:rPr>
            </w:pPr>
            <w:r>
              <w:rPr>
                <w:b/>
                <w:sz w:val="24"/>
              </w:rPr>
              <w:t>验收监测期间生产工况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项目委托重庆中涵环保技术研究院有限公司于202</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年0</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月</w:t>
            </w:r>
            <w:r>
              <w:rPr>
                <w:rFonts w:hint="eastAsia" w:ascii="Times New Roman" w:hAnsi="Times New Roman" w:cs="Times New Roman"/>
                <w:color w:val="000000"/>
                <w:sz w:val="24"/>
                <w:szCs w:val="24"/>
                <w:lang w:val="en-US" w:eastAsia="zh-CN" w:bidi="ar-SA"/>
              </w:rPr>
              <w:t>24</w:t>
            </w:r>
            <w:r>
              <w:rPr>
                <w:rFonts w:hint="eastAsia" w:ascii="Times New Roman" w:hAnsi="Times New Roman" w:eastAsia="宋体" w:cs="Times New Roman"/>
                <w:color w:val="000000"/>
                <w:sz w:val="24"/>
                <w:szCs w:val="24"/>
                <w:lang w:val="en-US" w:eastAsia="zh-CN" w:bidi="ar-SA"/>
              </w:rPr>
              <w:t>日~</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5日对项目进行了验收监测，验收监测期间企业环保处理设施运行正常，生产负荷由企业提供，达到了国家建设项目竣工环保验收监测工况均大于75%的要求，符合验收监测技术规范。</w:t>
            </w:r>
          </w:p>
          <w:p>
            <w:pPr>
              <w:pStyle w:val="17"/>
              <w:numPr>
                <w:ilvl w:val="1"/>
                <w:numId w:val="6"/>
              </w:numPr>
              <w:tabs>
                <w:tab w:val="left" w:pos="466"/>
              </w:tabs>
              <w:spacing w:before="7" w:after="0" w:line="480" w:lineRule="auto"/>
              <w:ind w:left="465" w:right="0" w:hanging="361"/>
              <w:jc w:val="both"/>
              <w:rPr>
                <w:b/>
                <w:sz w:val="24"/>
              </w:rPr>
            </w:pPr>
            <w:r>
              <w:rPr>
                <w:b/>
                <w:sz w:val="24"/>
              </w:rPr>
              <w:t>监测分析方法</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根据重庆市奉节县生态环境局渝</w:t>
            </w:r>
            <w:r>
              <w:rPr>
                <w:rFonts w:hint="eastAsia" w:ascii="Times New Roman" w:hAnsi="Times New Roman" w:cs="Times New Roman"/>
                <w:color w:val="000000"/>
                <w:sz w:val="24"/>
                <w:szCs w:val="24"/>
                <w:lang w:val="en-US" w:eastAsia="zh-CN" w:bidi="ar-SA"/>
              </w:rPr>
              <w:t>（奉）</w:t>
            </w:r>
            <w:r>
              <w:rPr>
                <w:rFonts w:hint="eastAsia" w:ascii="Times New Roman" w:hAnsi="Times New Roman" w:eastAsia="宋体" w:cs="Times New Roman"/>
                <w:color w:val="000000"/>
                <w:sz w:val="24"/>
                <w:szCs w:val="24"/>
                <w:lang w:val="en-US" w:eastAsia="zh-CN" w:bidi="ar-SA"/>
              </w:rPr>
              <w:t>环准</w:t>
            </w:r>
            <w:r>
              <w:rPr>
                <w:rFonts w:hint="eastAsia" w:ascii="Times New Roman" w:hAnsi="Times New Roman" w:cs="Times New Roman"/>
                <w:color w:val="000000"/>
                <w:sz w:val="24"/>
                <w:szCs w:val="24"/>
                <w:lang w:val="en-US" w:eastAsia="zh-CN" w:bidi="ar-SA"/>
              </w:rPr>
              <w:t>（</w:t>
            </w:r>
            <w:r>
              <w:rPr>
                <w:rFonts w:hint="eastAsia" w:ascii="Times New Roman" w:hAnsi="Times New Roman" w:eastAsia="宋体" w:cs="Times New Roman"/>
                <w:color w:val="000000"/>
                <w:sz w:val="24"/>
                <w:szCs w:val="24"/>
                <w:lang w:val="en-US" w:eastAsia="zh-CN" w:bidi="ar-SA"/>
              </w:rPr>
              <w:t>20</w:t>
            </w:r>
            <w:r>
              <w:rPr>
                <w:rFonts w:hint="eastAsia" w:ascii="Times New Roman" w:hAnsi="Times New Roman" w:cs="Times New Roman"/>
                <w:color w:val="000000"/>
                <w:sz w:val="24"/>
                <w:szCs w:val="24"/>
                <w:lang w:val="en-US" w:eastAsia="zh-CN" w:bidi="ar-SA"/>
              </w:rPr>
              <w:t>21）</w:t>
            </w:r>
            <w:r>
              <w:rPr>
                <w:rFonts w:hint="eastAsia" w:ascii="Times New Roman" w:hAnsi="Times New Roman" w:eastAsia="宋体" w:cs="Times New Roman"/>
                <w:color w:val="000000"/>
                <w:sz w:val="24"/>
                <w:szCs w:val="24"/>
                <w:lang w:val="en-US" w:eastAsia="zh-CN" w:bidi="ar-SA"/>
              </w:rPr>
              <w:t>0</w:t>
            </w:r>
            <w:r>
              <w:rPr>
                <w:rFonts w:hint="eastAsia" w:ascii="Times New Roman" w:hAnsi="Times New Roman" w:cs="Times New Roman"/>
                <w:color w:val="000000"/>
                <w:sz w:val="24"/>
                <w:szCs w:val="24"/>
                <w:lang w:val="en-US" w:eastAsia="zh-CN" w:bidi="ar-SA"/>
              </w:rPr>
              <w:t>54</w:t>
            </w:r>
            <w:r>
              <w:rPr>
                <w:rFonts w:hint="eastAsia" w:ascii="Times New Roman" w:hAnsi="Times New Roman" w:eastAsia="宋体" w:cs="Times New Roman"/>
                <w:color w:val="000000"/>
                <w:sz w:val="24"/>
                <w:szCs w:val="24"/>
                <w:lang w:val="en-US" w:eastAsia="zh-CN" w:bidi="ar-SA"/>
              </w:rPr>
              <w:t xml:space="preserve"> 号《重庆市建设项目环境影响评价文件批准书》，严格按《环境监测技术规范》规定的方法进行监测分析，其监测项目、分析方法及方法来源见表 5.2-1。</w:t>
            </w:r>
          </w:p>
          <w:p>
            <w:pPr>
              <w:pStyle w:val="2"/>
              <w:jc w:val="center"/>
              <w:rPr>
                <w:rFonts w:hint="default" w:ascii="Times New Roman" w:hAnsi="Times New Roman" w:cs="Times New Roman"/>
                <w:b/>
                <w:bCs/>
                <w:sz w:val="21"/>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5.2-1 </w:t>
            </w:r>
            <w:r>
              <w:rPr>
                <w:rFonts w:hint="default" w:ascii="Times New Roman" w:hAnsi="Times New Roman" w:cs="Times New Roman"/>
                <w:b/>
                <w:bCs/>
                <w:sz w:val="21"/>
              </w:rPr>
              <w:t>验收监测分析方法</w:t>
            </w:r>
          </w:p>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470"/>
              <w:gridCol w:w="436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检测类型</w:t>
                  </w: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检测项目</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检测方法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生活污水</w:t>
                  </w: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化学需氧量</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化学需氧量的测定 重铬酸盐法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悬浮物</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悬浮物的测定 重量法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GB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氨氮</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水质</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氨氮的测定</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纳氏试剂分光光度法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石油类</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石油类和动植物油的测定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红外分光光度法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五日生化需氧量</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水质 五日生化需氧量的测定 稀释与接种法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 xml:space="preserve">HJ </w:t>
                  </w:r>
                  <w:r>
                    <w:rPr>
                      <w:rFonts w:hint="eastAsia" w:ascii="Times New Roman" w:hAnsi="Times New Roman" w:eastAsia="宋体" w:cs="Times New Roman"/>
                      <w:sz w:val="21"/>
                      <w:szCs w:val="21"/>
                      <w:lang w:val="en-US" w:eastAsia="zh-CN"/>
                    </w:rPr>
                    <w:t>505</w:t>
                  </w: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阴离子表面活性剂</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水质</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阴离子表面活性剂的测定</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亚甲蓝分光光度法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GB 7494-</w:t>
                  </w:r>
                  <w:r>
                    <w:rPr>
                      <w:rFonts w:hint="eastAsia"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有组织废气</w:t>
                  </w: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烟气参数</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5.2烟气参数的测定 温度、含湿量、烟气成分、压力、流速和流量</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《空气和废气监测分析方法》(第四版) 国家环境保护总局（2003年）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有组织废气</w:t>
                  </w:r>
                </w:p>
              </w:tc>
              <w:tc>
                <w:tcPr>
                  <w:tcW w:w="1470"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烟气参数</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固定源废气监测技术规范</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HJ/T 397-2007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1470"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固定污染源</w:t>
                  </w:r>
                  <w:r>
                    <w:rPr>
                      <w:rFonts w:hint="eastAsia" w:ascii="Times New Roman" w:hAnsi="Times New Roman" w:eastAsia="宋体" w:cs="Times New Roman"/>
                      <w:sz w:val="21"/>
                      <w:szCs w:val="21"/>
                      <w:lang w:val="en-US" w:eastAsia="zh-CN"/>
                    </w:rPr>
                    <w:t>烟</w:t>
                  </w:r>
                  <w:r>
                    <w:rPr>
                      <w:rFonts w:hint="default" w:ascii="Times New Roman" w:hAnsi="Times New Roman" w:eastAsia="宋体" w:cs="Times New Roman"/>
                      <w:sz w:val="21"/>
                      <w:szCs w:val="21"/>
                      <w:lang w:val="en-US" w:eastAsia="zh-CN"/>
                    </w:rPr>
                    <w:t>气（SO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NO</w:t>
                  </w:r>
                  <w:r>
                    <w:rPr>
                      <w:rFonts w:hint="default" w:ascii="Times New Roman" w:hAnsi="Times New Roman" w:eastAsia="宋体" w:cs="Times New Roman"/>
                      <w:sz w:val="21"/>
                      <w:szCs w:val="21"/>
                      <w:vertAlign w:val="subscript"/>
                      <w:lang w:val="en-US" w:eastAsia="zh-CN"/>
                    </w:rPr>
                    <w:t>X</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颗粒物）排放连续监测系统</w:t>
                  </w:r>
                  <w:r>
                    <w:rPr>
                      <w:rFonts w:hint="eastAsia" w:ascii="Times New Roman" w:hAnsi="Times New Roman" w:eastAsia="宋体" w:cs="Times New Roman"/>
                      <w:sz w:val="21"/>
                      <w:szCs w:val="21"/>
                      <w:lang w:val="en-US" w:eastAsia="zh-CN"/>
                    </w:rPr>
                    <w:t>技术</w:t>
                  </w:r>
                  <w:r>
                    <w:rPr>
                      <w:rFonts w:hint="default" w:ascii="Times New Roman" w:hAnsi="Times New Roman" w:eastAsia="宋体" w:cs="Times New Roman"/>
                      <w:sz w:val="21"/>
                      <w:szCs w:val="21"/>
                      <w:lang w:val="en-US" w:eastAsia="zh-CN"/>
                    </w:rPr>
                    <w:t>要求及检测方法 附录D</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颗粒物</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固定污染源废气 低浓度颗粒物的测定 重量法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HJ 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固定污染源排气中颗粒物和气态污染物采样方法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GB/T 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非甲烷总烃</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固</w:t>
                  </w:r>
                  <w:r>
                    <w:rPr>
                      <w:rFonts w:hint="default" w:ascii="Times New Roman" w:hAnsi="Times New Roman" w:eastAsia="宋体" w:cs="Times New Roman"/>
                      <w:sz w:val="21"/>
                      <w:szCs w:val="21"/>
                      <w:lang w:val="en-US" w:eastAsia="zh-CN"/>
                    </w:rPr>
                    <w:t>定污染源</w:t>
                  </w:r>
                  <w:r>
                    <w:rPr>
                      <w:rFonts w:hint="eastAsia" w:ascii="Times New Roman" w:hAnsi="Times New Roman" w:eastAsia="宋体" w:cs="Times New Roman"/>
                      <w:sz w:val="21"/>
                      <w:szCs w:val="21"/>
                      <w:lang w:val="en-US" w:eastAsia="zh-CN"/>
                    </w:rPr>
                    <w:t>废气 总烃、甲烷和非甲烷总烃的测定 气相色谱法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HJ 38-2017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二甲苯</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6.2.1.1</w:t>
                  </w:r>
                  <w:r>
                    <w:rPr>
                      <w:rFonts w:hint="default" w:ascii="Times New Roman" w:hAnsi="Times New Roman" w:eastAsia="宋体" w:cs="Times New Roman"/>
                      <w:sz w:val="21"/>
                      <w:szCs w:val="21"/>
                      <w:lang w:val="en-US" w:eastAsia="zh-CN"/>
                    </w:rPr>
                    <w:t>活性炭吸附二硫化碳解吸气相色谱法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空气和废气</w:t>
                  </w:r>
                  <w:r>
                    <w:rPr>
                      <w:rFonts w:hint="default" w:ascii="Times New Roman" w:hAnsi="Times New Roman" w:eastAsia="宋体" w:cs="Times New Roman"/>
                      <w:sz w:val="21"/>
                      <w:szCs w:val="21"/>
                      <w:lang w:val="en-US" w:eastAsia="zh-CN"/>
                    </w:rPr>
                    <w:t>监测分析方法》（第四版）国家环境保护总局（</w:t>
                  </w:r>
                  <w:r>
                    <w:rPr>
                      <w:rFonts w:hint="eastAsia" w:ascii="Times New Roman" w:hAnsi="Times New Roman" w:eastAsia="宋体" w:cs="Times New Roman"/>
                      <w:sz w:val="21"/>
                      <w:szCs w:val="21"/>
                      <w:lang w:val="en-US" w:eastAsia="zh-CN"/>
                    </w:rPr>
                    <w:t>2003</w:t>
                  </w:r>
                  <w:r>
                    <w:rPr>
                      <w:rFonts w:hint="default" w:ascii="Times New Roman" w:hAnsi="Times New Roman" w:eastAsia="宋体"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无组织废气</w:t>
                  </w: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颗粒物</w:t>
                  </w:r>
                </w:p>
              </w:tc>
              <w:tc>
                <w:tcPr>
                  <w:tcW w:w="4364"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环境空气 总悬浮颗粒物的测定 重量法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GB/T 15432-1995</w:t>
                  </w:r>
                </w:p>
              </w:tc>
            </w:tr>
          </w:tbl>
          <w:p>
            <w:pPr>
              <w:pStyle w:val="2"/>
              <w:jc w:val="both"/>
              <w:rPr>
                <w:rFonts w:hint="default" w:ascii="Times New Roman" w:hAnsi="Times New Roman" w:cs="Times New Roman"/>
                <w:b/>
                <w:bCs/>
                <w:sz w:val="21"/>
              </w:rPr>
            </w:pPr>
          </w:p>
        </w:tc>
      </w:tr>
    </w:tbl>
    <w:p>
      <w:pPr>
        <w:pStyle w:val="2"/>
      </w:pPr>
    </w:p>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2" w:hRule="atLeast"/>
        </w:trPr>
        <w:tc>
          <w:tcPr>
            <w:tcW w:w="9764" w:type="dxa"/>
          </w:tcPr>
          <w:p>
            <w:pPr>
              <w:pStyle w:val="2"/>
              <w:jc w:val="both"/>
              <w:rPr>
                <w:vertAlign w:val="baseline"/>
              </w:rPr>
            </w:pPr>
          </w:p>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470"/>
              <w:gridCol w:w="4379"/>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非甲烷总烃</w:t>
                  </w:r>
                </w:p>
              </w:tc>
              <w:tc>
                <w:tcPr>
                  <w:tcW w:w="4379"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环境空气 总烃、甲烷和非甲烷总烃的测定 直接进样</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气相色谱法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HJ 604-2017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p>
              </w:tc>
              <w:tc>
                <w:tcPr>
                  <w:tcW w:w="1470"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二甲苯</w:t>
                  </w:r>
                </w:p>
              </w:tc>
              <w:tc>
                <w:tcPr>
                  <w:tcW w:w="4379"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6.2.1.1</w:t>
                  </w:r>
                  <w:r>
                    <w:rPr>
                      <w:rFonts w:hint="default" w:ascii="Times New Roman" w:hAnsi="Times New Roman" w:eastAsia="宋体" w:cs="Times New Roman"/>
                      <w:sz w:val="21"/>
                      <w:szCs w:val="21"/>
                      <w:lang w:val="en-US" w:eastAsia="zh-CN"/>
                    </w:rPr>
                    <w:t>活性炭吸附二硫化碳解吸气相色谱法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空气和废气</w:t>
                  </w:r>
                  <w:r>
                    <w:rPr>
                      <w:rFonts w:hint="default" w:ascii="Times New Roman" w:hAnsi="Times New Roman" w:eastAsia="宋体" w:cs="Times New Roman"/>
                      <w:sz w:val="21"/>
                      <w:szCs w:val="21"/>
                      <w:lang w:val="en-US" w:eastAsia="zh-CN"/>
                    </w:rPr>
                    <w:t>监测分析方法》（第四版）国家环境保护总局（</w:t>
                  </w:r>
                  <w:r>
                    <w:rPr>
                      <w:rFonts w:hint="eastAsia" w:ascii="Times New Roman" w:hAnsi="Times New Roman" w:eastAsia="宋体" w:cs="Times New Roman"/>
                      <w:sz w:val="21"/>
                      <w:szCs w:val="21"/>
                      <w:lang w:val="en-US" w:eastAsia="zh-CN"/>
                    </w:rPr>
                    <w:t>2003</w:t>
                  </w:r>
                  <w:r>
                    <w:rPr>
                      <w:rFonts w:hint="default" w:ascii="Times New Roman" w:hAnsi="Times New Roman" w:eastAsia="宋体"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eastAsia="zh-CN"/>
                    </w:rPr>
                    <w:t>噪声</w:t>
                  </w:r>
                </w:p>
              </w:tc>
              <w:tc>
                <w:tcPr>
                  <w:tcW w:w="1470"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工业企业厂界环境噪声</w:t>
                  </w:r>
                </w:p>
              </w:tc>
              <w:tc>
                <w:tcPr>
                  <w:tcW w:w="4379" w:type="dxa"/>
                  <w:vAlign w:val="center"/>
                </w:tcPr>
                <w:p>
                  <w:pPr>
                    <w:pStyle w:val="17"/>
                    <w:spacing w:before="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工业企业厂界环境噪声排放标准</w:t>
                  </w:r>
                </w:p>
                <w:p>
                  <w:pPr>
                    <w:pStyle w:val="17"/>
                    <w:spacing w:before="8"/>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 测量方法）</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dxa"/>
                  <w:vMerge w:val="continue"/>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p>
              </w:tc>
              <w:tc>
                <w:tcPr>
                  <w:tcW w:w="1470" w:type="dxa"/>
                  <w:vMerge w:val="continue"/>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p>
              </w:tc>
              <w:tc>
                <w:tcPr>
                  <w:tcW w:w="4379"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环境噪声监测技术规范 噪声测量值修正</w:t>
                  </w:r>
                </w:p>
              </w:tc>
              <w:tc>
                <w:tcPr>
                  <w:tcW w:w="2387" w:type="dxa"/>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HJ 706-2014</w:t>
                  </w:r>
                </w:p>
              </w:tc>
            </w:tr>
          </w:tbl>
          <w:p>
            <w:pPr>
              <w:pStyle w:val="17"/>
              <w:numPr>
                <w:ilvl w:val="1"/>
                <w:numId w:val="6"/>
              </w:numPr>
              <w:tabs>
                <w:tab w:val="left" w:pos="466"/>
              </w:tabs>
              <w:spacing w:before="7" w:after="0" w:line="480" w:lineRule="auto"/>
              <w:ind w:left="465" w:right="0" w:hanging="361"/>
              <w:jc w:val="both"/>
              <w:rPr>
                <w:b/>
                <w:sz w:val="24"/>
              </w:rPr>
            </w:pPr>
            <w:r>
              <w:rPr>
                <w:b/>
                <w:sz w:val="24"/>
              </w:rPr>
              <w:t>监测仪器</w:t>
            </w:r>
          </w:p>
          <w:p>
            <w:pPr>
              <w:keepNext w:val="0"/>
              <w:keepLines w:val="0"/>
              <w:pageBreakBefore w:val="0"/>
              <w:widowControl w:val="0"/>
              <w:kinsoku/>
              <w:wordWrap/>
              <w:overflowPunct/>
              <w:topLinePunct w:val="0"/>
              <w:autoSpaceDE/>
              <w:autoSpaceDN/>
              <w:bidi w:val="0"/>
              <w:adjustRightInd/>
              <w:snapToGrid/>
              <w:spacing w:line="240" w:lineRule="atLeast"/>
              <w:ind w:left="2520" w:firstLine="420"/>
              <w:textAlignment w:val="auto"/>
              <w:rPr>
                <w:rFonts w:ascii="Times New Roman" w:hAnsi="Times New Roman" w:eastAsia="宋体" w:cs="Times New Roman"/>
                <w:b/>
                <w:color w:val="000000" w:themeColor="text1"/>
                <w:kern w:val="2"/>
                <w:sz w:val="24"/>
                <w:szCs w:val="21"/>
                <w14:textFill>
                  <w14:solidFill>
                    <w14:schemeClr w14:val="tx1"/>
                  </w14:solidFill>
                </w14:textFill>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5.3-1  </w:t>
            </w:r>
            <w:r>
              <w:rPr>
                <w:rFonts w:hint="default" w:ascii="Times New Roman" w:hAnsi="Times New Roman" w:cs="Times New Roman"/>
                <w:b/>
                <w:bCs/>
                <w:sz w:val="21"/>
              </w:rPr>
              <w:t>监测使用仪器一览表</w:t>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14"/>
              <w:gridCol w:w="3510"/>
              <w:gridCol w:w="175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3" w:type="dxa"/>
                  <w:noWrap w:val="0"/>
                  <w:vAlign w:val="center"/>
                </w:tcPr>
                <w:p>
                  <w:pPr>
                    <w:pStyle w:val="17"/>
                    <w:spacing w:before="62"/>
                    <w:ind w:left="84" w:leftChars="0" w:right="50" w:rightChars="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sz w:val="21"/>
                    </w:rPr>
                    <w:t>检测类型</w:t>
                  </w:r>
                </w:p>
              </w:tc>
              <w:tc>
                <w:tcPr>
                  <w:tcW w:w="1614" w:type="dxa"/>
                  <w:noWrap w:val="0"/>
                  <w:vAlign w:val="center"/>
                </w:tcPr>
                <w:p>
                  <w:pPr>
                    <w:widowControl w:val="0"/>
                    <w:adjustRightInd/>
                    <w:snapToGrid/>
                    <w:spacing w:after="0"/>
                    <w:ind w:left="0" w:leftChars="0" w:right="0" w:rightChars="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检测项目</w:t>
                  </w:r>
                </w:p>
              </w:tc>
              <w:tc>
                <w:tcPr>
                  <w:tcW w:w="3510" w:type="dxa"/>
                  <w:noWrap w:val="0"/>
                  <w:vAlign w:val="center"/>
                </w:tcPr>
                <w:p>
                  <w:pPr>
                    <w:widowControl w:val="0"/>
                    <w:adjustRightInd/>
                    <w:snapToGrid/>
                    <w:spacing w:after="0"/>
                    <w:ind w:left="0" w:leftChars="0" w:right="0" w:rightChars="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仪器名称及型号</w:t>
                  </w:r>
                </w:p>
              </w:tc>
              <w:tc>
                <w:tcPr>
                  <w:tcW w:w="1750" w:type="dxa"/>
                  <w:noWrap w:val="0"/>
                  <w:vAlign w:val="center"/>
                </w:tcPr>
                <w:p>
                  <w:pPr>
                    <w:widowControl w:val="0"/>
                    <w:adjustRightInd/>
                    <w:snapToGrid/>
                    <w:spacing w:after="0"/>
                    <w:ind w:left="0" w:leftChars="0" w:right="0" w:rightChars="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仪器编号</w:t>
                  </w:r>
                </w:p>
              </w:tc>
              <w:tc>
                <w:tcPr>
                  <w:tcW w:w="1370" w:type="dxa"/>
                  <w:noWrap w:val="0"/>
                  <w:vAlign w:val="center"/>
                </w:tcPr>
                <w:p>
                  <w:pPr>
                    <w:widowControl w:val="0"/>
                    <w:adjustRightInd/>
                    <w:snapToGrid/>
                    <w:spacing w:after="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生活污水</w:t>
                  </w:r>
                </w:p>
              </w:tc>
              <w:tc>
                <w:tcPr>
                  <w:tcW w:w="1614"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滴定管</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ZB1906274</w:t>
                  </w:r>
                </w:p>
              </w:tc>
              <w:tc>
                <w:tcPr>
                  <w:tcW w:w="1370" w:type="dxa"/>
                  <w:vMerge w:val="restart"/>
                  <w:noWrap w:val="0"/>
                  <w:vAlign w:val="center"/>
                </w:tcPr>
                <w:p>
                  <w:pPr>
                    <w:widowControl w:val="0"/>
                    <w:autoSpaceDE w:val="0"/>
                    <w:autoSpaceDN w:val="0"/>
                    <w:adjustRightInd/>
                    <w:snapToGrid/>
                    <w:spacing w:after="0"/>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仪器在计量检定有效期内使用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悬浮物</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GZX-GF101-1-BS-Ⅱ/H</w:t>
                  </w:r>
                  <w:r>
                    <w:rPr>
                      <w:rFonts w:hint="default" w:ascii="Times New Roman" w:hAnsi="Times New Roman" w:eastAsia="宋体" w:cs="Times New Roman"/>
                      <w:sz w:val="21"/>
                      <w:szCs w:val="21"/>
                      <w:lang w:val="en-US" w:eastAsia="zh-CN"/>
                    </w:rPr>
                    <w:t xml:space="preserve"> 电热恒温鼓风干燥箱</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04261702</w:t>
                  </w:r>
                </w:p>
              </w:tc>
              <w:tc>
                <w:tcPr>
                  <w:tcW w:w="1370" w:type="dxa"/>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BSA224S</w:t>
                  </w:r>
                  <w:r>
                    <w:rPr>
                      <w:rFonts w:hint="default" w:ascii="Times New Roman" w:hAnsi="Times New Roman" w:eastAsia="宋体" w:cs="Times New Roman"/>
                      <w:sz w:val="21"/>
                      <w:szCs w:val="21"/>
                      <w:lang w:val="en-US" w:eastAsia="zh-CN"/>
                    </w:rPr>
                    <w:t xml:space="preserve"> 万分之一电子天平</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33790750</w:t>
                  </w:r>
                </w:p>
              </w:tc>
              <w:tc>
                <w:tcPr>
                  <w:tcW w:w="1370" w:type="dxa"/>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V-1200可见分光光度计</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VEC 1705049</w:t>
                  </w:r>
                </w:p>
              </w:tc>
              <w:tc>
                <w:tcPr>
                  <w:tcW w:w="1370" w:type="dxa"/>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石油类</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OIL-460红外分光测油仪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111IIC16010014</w:t>
                  </w:r>
                </w:p>
              </w:tc>
              <w:tc>
                <w:tcPr>
                  <w:tcW w:w="1370" w:type="dxa"/>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阴离子表面活性剂</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V-1200可见分光光度计</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VEC 1705049</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五日生化需氧量</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SPX-150-II 生化培养箱</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02051706</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滴定管</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ZB1862911</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有组织废气</w:t>
                  </w: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烟气参数</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ZR-3260自动烟尘烟气综合测试仪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3260A18035297</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ZR-3260自动烟尘烟气综合测试仪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3260A17113903</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颗粒物</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ZR-3260自动烟尘烟气综合测试仪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3260A18035297</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ZR-3260自动烟尘烟气综合测试仪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3260A17113903</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有组织废气</w:t>
                  </w: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颗粒物</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101-1A电热恒温干燥箱</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50313091</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ATY224电子天平</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D318900241</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NVN-800低浓度称量恒温恒湿设备</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JN180527</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MSU125P-.CE 十万分之一天平</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35702910</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p>
              </w:tc>
              <w:tc>
                <w:tcPr>
                  <w:tcW w:w="1614"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非甲烷总烃</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GC9790 PLUS气相色谱仪</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9790p0155</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二甲苯</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ZR-3710双路烟气采样器</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371018057914</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ZR-3710双路烟气采样器</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371017012961</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GC-2014C气相色谱</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C11885538604CS</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无组织废气</w:t>
                  </w:r>
                </w:p>
              </w:tc>
              <w:tc>
                <w:tcPr>
                  <w:tcW w:w="1614" w:type="dxa"/>
                  <w:vMerge w:val="restart"/>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颗粒物</w:t>
                  </w: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ZR-3922环境空气颗粒物综合采样器</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392218056031</w:t>
                  </w:r>
                </w:p>
              </w:tc>
              <w:tc>
                <w:tcPr>
                  <w:tcW w:w="1370" w:type="dxa"/>
                  <w:vMerge w:val="continue"/>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1614" w:type="dxa"/>
                  <w:vMerge w:val="continue"/>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rPr>
                  </w:pPr>
                </w:p>
              </w:tc>
              <w:tc>
                <w:tcPr>
                  <w:tcW w:w="351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ZR-3922环境空气颗粒物综合采样器</w:t>
                  </w:r>
                </w:p>
              </w:tc>
              <w:tc>
                <w:tcPr>
                  <w:tcW w:w="1750" w:type="dxa"/>
                  <w:noWrap w:val="0"/>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392218066206</w:t>
                  </w:r>
                </w:p>
              </w:tc>
              <w:tc>
                <w:tcPr>
                  <w:tcW w:w="1370" w:type="dxa"/>
                  <w:vMerge w:val="continue"/>
                  <w:noWrap w:val="0"/>
                  <w:vAlign w:val="center"/>
                </w:tcPr>
                <w:p>
                  <w:pPr>
                    <w:jc w:val="center"/>
                    <w:rPr>
                      <w:rFonts w:hint="default" w:ascii="Times New Roman" w:hAnsi="Times New Roman" w:cs="Times New Roman"/>
                      <w:sz w:val="24"/>
                    </w:rPr>
                  </w:pPr>
                </w:p>
              </w:tc>
            </w:tr>
          </w:tbl>
          <w:p>
            <w:pPr>
              <w:pStyle w:val="2"/>
              <w:jc w:val="both"/>
              <w:rPr>
                <w:rFonts w:hint="default" w:ascii="Times New Roman" w:hAnsi="Times New Roman" w:cs="Times New Roman"/>
                <w:b/>
                <w:bCs/>
                <w:sz w:val="21"/>
                <w:lang w:val="en-US" w:eastAsia="zh-CN"/>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1" w:hRule="atLeast"/>
        </w:trPr>
        <w:tc>
          <w:tcPr>
            <w:tcW w:w="9764" w:type="dxa"/>
          </w:tcPr>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635"/>
              <w:gridCol w:w="3510"/>
              <w:gridCol w:w="178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restart"/>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restart"/>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FB-8三杯风速仪</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JC2018042007</w:t>
                  </w:r>
                </w:p>
              </w:tc>
              <w:tc>
                <w:tcPr>
                  <w:tcW w:w="1336" w:type="dxa"/>
                  <w:vMerge w:val="restart"/>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LRHS-150-II 恒温恒湿箱</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08051507</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 xml:space="preserve">     ATY224电子天平</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D318900241</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非甲烷总烃</w:t>
                  </w: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FB-8三杯风速仪</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JC2018042007</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GC9790 PLUS气相色谱仪</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9790p0155</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二甲苯</w:t>
                  </w: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ZR-3922环境空气颗粒物综合采样器</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392218056031</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ZR-3922环境空气颗粒物综合采样器</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392218066206</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FB-8三杯风速仪</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JC2018042007</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GC-2014C气相色谱</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zh-CN" w:eastAsia="zh-CN" w:bidi="zh-CN"/>
                    </w:rPr>
                  </w:pPr>
                  <w:r>
                    <w:rPr>
                      <w:rFonts w:hint="eastAsia" w:ascii="Times New Roman" w:hAnsi="Times New Roman" w:eastAsia="宋体" w:cs="Times New Roman"/>
                      <w:sz w:val="21"/>
                      <w:szCs w:val="21"/>
                      <w:lang w:val="en-US" w:eastAsia="zh-CN"/>
                    </w:rPr>
                    <w:t>C11885538604CS</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噪声</w:t>
                  </w:r>
                </w:p>
              </w:tc>
              <w:tc>
                <w:tcPr>
                  <w:tcW w:w="1635" w:type="dxa"/>
                  <w:vMerge w:val="restart"/>
                  <w:vAlign w:val="center"/>
                </w:tcPr>
                <w:p>
                  <w:pPr>
                    <w:pStyle w:val="17"/>
                    <w:spacing w:before="8"/>
                    <w:ind w:left="0" w:leftChars="0" w:right="0" w:right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工业企业厂界环境噪声</w:t>
                  </w: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AWA5688多功能声级计</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00312379</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AWA6221A声校准器</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1005735</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1635"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c>
                <w:tcPr>
                  <w:tcW w:w="3510"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FB-8三杯风速仪</w:t>
                  </w:r>
                </w:p>
              </w:tc>
              <w:tc>
                <w:tcPr>
                  <w:tcW w:w="1785" w:type="dxa"/>
                  <w:vAlign w:val="center"/>
                </w:tcPr>
                <w:p>
                  <w:pPr>
                    <w:pStyle w:val="17"/>
                    <w:spacing w:before="8"/>
                    <w:ind w:left="0" w:leftChars="0" w:right="0" w:rightChars="0"/>
                    <w:jc w:val="center"/>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en-US" w:eastAsia="zh-CN"/>
                    </w:rPr>
                    <w:t>JC2018042006</w:t>
                  </w:r>
                </w:p>
              </w:tc>
              <w:tc>
                <w:tcPr>
                  <w:tcW w:w="1336" w:type="dxa"/>
                  <w:vMerge w:val="continue"/>
                </w:tcPr>
                <w:p>
                  <w:pPr>
                    <w:pStyle w:val="17"/>
                    <w:numPr>
                      <w:ilvl w:val="0"/>
                      <w:numId w:val="0"/>
                    </w:numPr>
                    <w:tabs>
                      <w:tab w:val="left" w:pos="466"/>
                    </w:tabs>
                    <w:spacing w:before="7" w:after="0" w:line="480" w:lineRule="auto"/>
                    <w:ind w:right="0" w:rightChars="0"/>
                    <w:jc w:val="both"/>
                    <w:rPr>
                      <w:rFonts w:ascii="宋体" w:hAnsi="宋体" w:eastAsia="宋体" w:cs="宋体"/>
                      <w:b/>
                      <w:sz w:val="24"/>
                      <w:vertAlign w:val="baseline"/>
                    </w:rPr>
                  </w:pPr>
                </w:p>
              </w:tc>
            </w:tr>
          </w:tbl>
          <w:p>
            <w:pPr>
              <w:pStyle w:val="17"/>
              <w:numPr>
                <w:ilvl w:val="1"/>
                <w:numId w:val="6"/>
              </w:numPr>
              <w:tabs>
                <w:tab w:val="left" w:pos="466"/>
              </w:tabs>
              <w:spacing w:before="7" w:after="0" w:line="480" w:lineRule="auto"/>
              <w:ind w:left="465" w:right="0" w:hanging="361"/>
              <w:jc w:val="both"/>
              <w:rPr>
                <w:rFonts w:ascii="宋体" w:hAnsi="宋体" w:eastAsia="宋体" w:cs="宋体"/>
                <w:b/>
                <w:sz w:val="24"/>
              </w:rPr>
            </w:pPr>
            <w:r>
              <w:rPr>
                <w:rFonts w:ascii="宋体" w:hAnsi="宋体" w:eastAsia="宋体" w:cs="宋体"/>
                <w:b/>
                <w:sz w:val="24"/>
              </w:rPr>
              <w:t>监测分析过程中的质量保证和是质量控制</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监测过程中的质量保证措施按国家环境保护总局颁发的《环境监测质量保证管理规定》（暂行）的要求进行，实施全过程质量保证。保证了监测过程中生产工况负荷满足验收监测技术规范要求和各监测布点的科学性和可比性；监测分析方法采用国家有关部门颁布的标准（或推荐）分析方法，监测人员经过考核并持有合格证书；监测数据实行三级审核制度，经过校对、校核，最后由技术负责人审定。</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气体监测分析： 被测排放物的浓度在仪器测试量程的有效范围即仪器量程的30~70%之间。在采样前用标准气体进行校正，烟尘测试仪在采样前均进行了漏气检验， 对采样器流量计、流速计等进行校核，在测试时保证其采样流量。</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噪声监测分析：监测时使用经计量部门检定、并在有效期内的声级计；声级计在测试前后用标准发生源进行校准，测量前后仪器的灵敏度相差不大于 0.5dB。</w:t>
            </w:r>
          </w:p>
          <w:p>
            <w:pPr>
              <w:pStyle w:val="2"/>
              <w:jc w:val="both"/>
              <w:rPr>
                <w:vertAlign w:val="baseline"/>
              </w:rPr>
            </w:pPr>
          </w:p>
        </w:tc>
      </w:tr>
    </w:tbl>
    <w:p>
      <w:pPr>
        <w:pStyle w:val="3"/>
        <w:tabs>
          <w:tab w:val="left" w:pos="1120"/>
        </w:tabs>
        <w:ind w:left="0" w:leftChars="0" w:firstLine="0" w:firstLineChars="0"/>
      </w:pPr>
      <w:r>
        <w:rPr>
          <w:spacing w:val="5"/>
        </w:rPr>
        <w:t>表</w:t>
      </w:r>
      <w:r>
        <w:t>六</w:t>
      </w:r>
      <w:r>
        <w:rPr>
          <w:rFonts w:hint="eastAsia"/>
          <w:lang w:val="en-US" w:eastAsia="zh-CN"/>
        </w:rPr>
        <w:t xml:space="preserve">  </w:t>
      </w:r>
      <w:r>
        <w:rPr>
          <w:spacing w:val="5"/>
        </w:rPr>
        <w:t>监</w:t>
      </w:r>
      <w:r>
        <w:t>测</w:t>
      </w:r>
      <w:r>
        <w:rPr>
          <w:spacing w:val="5"/>
        </w:rPr>
        <w:t>结</w:t>
      </w:r>
      <w:r>
        <w:t>果</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0" w:hRule="atLeast"/>
        </w:trPr>
        <w:tc>
          <w:tcPr>
            <w:tcW w:w="9764" w:type="dxa"/>
          </w:tcPr>
          <w:p>
            <w:pPr>
              <w:pStyle w:val="17"/>
              <w:spacing w:before="82"/>
              <w:ind w:left="105"/>
              <w:rPr>
                <w:rFonts w:ascii="Times New Roman" w:hAnsi="宋体" w:eastAsia="Times New Roman" w:cs="宋体"/>
                <w:b/>
                <w:sz w:val="24"/>
              </w:rPr>
            </w:pPr>
            <w:r>
              <w:rPr>
                <w:rFonts w:ascii="Times New Roman" w:hAnsi="宋体" w:eastAsia="Times New Roman" w:cs="宋体"/>
                <w:b/>
                <w:sz w:val="24"/>
              </w:rPr>
              <w:t xml:space="preserve">6.1 </w:t>
            </w:r>
            <w:r>
              <w:rPr>
                <w:rFonts w:hint="eastAsia" w:ascii="Times New Roman" w:hAnsi="宋体" w:eastAsia="宋体" w:cs="宋体"/>
                <w:b/>
                <w:sz w:val="24"/>
                <w:lang w:val="en-US" w:eastAsia="zh-CN"/>
              </w:rPr>
              <w:t xml:space="preserve"> </w:t>
            </w:r>
            <w:r>
              <w:rPr>
                <w:rFonts w:ascii="Times New Roman" w:hAnsi="宋体" w:eastAsia="Times New Roman" w:cs="宋体"/>
                <w:b/>
                <w:sz w:val="24"/>
              </w:rPr>
              <w:t>废水</w:t>
            </w:r>
          </w:p>
          <w:p>
            <w:pPr>
              <w:pStyle w:val="17"/>
              <w:spacing w:before="159" w:line="367" w:lineRule="auto"/>
              <w:ind w:left="105" w:right="96" w:firstLine="480"/>
              <w:rPr>
                <w:rFonts w:ascii="Times New Roman" w:eastAsia="Times New Roman"/>
                <w:sz w:val="24"/>
              </w:rPr>
            </w:pPr>
            <w:r>
              <w:rPr>
                <w:rFonts w:ascii="Times New Roman" w:eastAsia="Times New Roman"/>
                <w:sz w:val="24"/>
              </w:rPr>
              <w:t>202</w:t>
            </w:r>
            <w:r>
              <w:rPr>
                <w:rFonts w:hint="eastAsia" w:ascii="Times New Roman" w:eastAsia="Times New Roman"/>
                <w:sz w:val="24"/>
                <w:lang w:val="en-US" w:eastAsia="zh-CN"/>
              </w:rPr>
              <w:t>2</w:t>
            </w:r>
            <w:r>
              <w:rPr>
                <w:rFonts w:ascii="Times New Roman" w:eastAsia="Times New Roman"/>
                <w:sz w:val="24"/>
              </w:rPr>
              <w:t>年</w:t>
            </w:r>
            <w:r>
              <w:rPr>
                <w:rFonts w:hint="eastAsia" w:ascii="Times New Roman" w:eastAsia="Times New Roman"/>
                <w:sz w:val="24"/>
                <w:lang w:val="en-US" w:eastAsia="zh-CN"/>
              </w:rPr>
              <w:t>3</w:t>
            </w:r>
            <w:r>
              <w:rPr>
                <w:rFonts w:ascii="Times New Roman" w:eastAsia="Times New Roman"/>
                <w:sz w:val="24"/>
              </w:rPr>
              <w:t>月</w:t>
            </w:r>
            <w:r>
              <w:rPr>
                <w:rFonts w:hint="eastAsia" w:ascii="Times New Roman" w:eastAsia="Times New Roman"/>
                <w:sz w:val="24"/>
                <w:lang w:val="en-US" w:eastAsia="zh-CN"/>
              </w:rPr>
              <w:t>24</w:t>
            </w:r>
            <w:r>
              <w:rPr>
                <w:rFonts w:ascii="Times New Roman" w:eastAsia="Times New Roman"/>
                <w:sz w:val="24"/>
              </w:rPr>
              <w:t>日~202</w:t>
            </w:r>
            <w:r>
              <w:rPr>
                <w:rFonts w:hint="eastAsia" w:ascii="Times New Roman" w:eastAsia="Times New Roman"/>
                <w:sz w:val="24"/>
                <w:lang w:val="en-US" w:eastAsia="zh-CN"/>
              </w:rPr>
              <w:t>2</w:t>
            </w:r>
            <w:r>
              <w:rPr>
                <w:rFonts w:ascii="Times New Roman" w:eastAsia="Times New Roman"/>
                <w:sz w:val="24"/>
              </w:rPr>
              <w:t>年0</w:t>
            </w:r>
            <w:r>
              <w:rPr>
                <w:rFonts w:hint="eastAsia" w:ascii="Times New Roman" w:eastAsia="Times New Roman"/>
                <w:sz w:val="24"/>
                <w:lang w:val="en-US" w:eastAsia="zh-CN"/>
              </w:rPr>
              <w:t>3</w:t>
            </w:r>
            <w:r>
              <w:rPr>
                <w:rFonts w:ascii="Times New Roman" w:eastAsia="Times New Roman"/>
                <w:sz w:val="24"/>
              </w:rPr>
              <w:t>月</w:t>
            </w:r>
            <w:r>
              <w:rPr>
                <w:rFonts w:hint="eastAsia" w:ascii="Times New Roman" w:eastAsia="Times New Roman"/>
                <w:sz w:val="24"/>
                <w:lang w:val="en-US" w:eastAsia="zh-CN"/>
              </w:rPr>
              <w:t>25</w:t>
            </w:r>
            <w:r>
              <w:rPr>
                <w:rFonts w:ascii="Times New Roman" w:eastAsia="Times New Roman"/>
                <w:sz w:val="24"/>
              </w:rPr>
              <w:t>日，对出口进行连续2天监测，每天监测</w:t>
            </w:r>
            <w:r>
              <w:rPr>
                <w:rFonts w:hint="eastAsia" w:ascii="Times New Roman" w:eastAsia="Times New Roman"/>
                <w:sz w:val="24"/>
                <w:lang w:val="en-US" w:eastAsia="zh-CN"/>
              </w:rPr>
              <w:t>4</w:t>
            </w:r>
            <w:r>
              <w:rPr>
                <w:rFonts w:ascii="Times New Roman" w:eastAsia="Times New Roman"/>
                <w:sz w:val="24"/>
              </w:rPr>
              <w:t>次，监测结果见表6.1-1。</w:t>
            </w:r>
          </w:p>
          <w:p>
            <w:pPr>
              <w:pStyle w:val="17"/>
              <w:spacing w:before="159" w:line="367" w:lineRule="auto"/>
              <w:ind w:left="105" w:right="96" w:firstLine="480"/>
              <w:rPr>
                <w:rFonts w:hint="eastAsia" w:ascii="Times New Roman" w:eastAsia="Times New Roman"/>
                <w:sz w:val="24"/>
                <w:lang w:eastAsia="zh-CN"/>
              </w:rPr>
            </w:pPr>
            <w:r>
              <w:rPr>
                <w:rFonts w:hint="eastAsia" w:ascii="Times New Roman" w:eastAsia="Times New Roman"/>
                <w:sz w:val="24"/>
                <w:lang w:eastAsia="zh-CN"/>
              </w:rPr>
              <w:t>废水</w:t>
            </w:r>
            <w:r>
              <w:rPr>
                <w:rFonts w:ascii="Times New Roman" w:eastAsia="Times New Roman"/>
                <w:sz w:val="24"/>
              </w:rPr>
              <w:t>进口不具备监测条件，未进行监测，仅对出口进行监测</w:t>
            </w:r>
            <w:r>
              <w:rPr>
                <w:rFonts w:hint="eastAsia" w:ascii="Times New Roman" w:eastAsia="Times New Roman"/>
                <w:sz w:val="24"/>
                <w:lang w:eastAsia="zh-CN"/>
              </w:rPr>
              <w:t>。</w:t>
            </w:r>
          </w:p>
          <w:p>
            <w:pPr>
              <w:pStyle w:val="17"/>
              <w:spacing w:before="159" w:line="367" w:lineRule="auto"/>
              <w:ind w:left="105" w:right="96" w:firstLine="480"/>
              <w:jc w:val="center"/>
              <w:rPr>
                <w:rFonts w:hint="default" w:ascii="Times New Roman" w:hAnsi="Times New Roman" w:eastAsia="宋体" w:cs="Times New Roman"/>
                <w:bCs/>
                <w:sz w:val="24"/>
                <w:szCs w:val="24"/>
                <w:lang w:val="en-US" w:eastAsia="zh-CN"/>
              </w:rPr>
            </w:pPr>
            <w:r>
              <w:rPr>
                <w:rFonts w:hint="default" w:ascii="Times New Roman" w:hAnsi="Times New Roman" w:eastAsia="Times New Roman" w:cs="Times New Roman"/>
                <w:b/>
                <w:bCs/>
                <w:sz w:val="21"/>
                <w:szCs w:val="21"/>
              </w:rPr>
              <w:t>表</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Times New Roman" w:cs="Times New Roman"/>
                <w:b/>
                <w:bCs/>
                <w:sz w:val="21"/>
                <w:szCs w:val="21"/>
              </w:rPr>
              <w:t>6.1-1</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废水监</w:t>
            </w:r>
            <w:r>
              <w:rPr>
                <w:rFonts w:hint="default" w:ascii="Times New Roman" w:hAnsi="Times New Roman" w:eastAsia="宋体" w:cs="Times New Roman"/>
                <w:b/>
                <w:bCs/>
                <w:sz w:val="21"/>
                <w:szCs w:val="21"/>
              </w:rPr>
              <w:t>测</w:t>
            </w:r>
            <w:r>
              <w:rPr>
                <w:rFonts w:hint="default" w:ascii="Times New Roman" w:hAnsi="Times New Roman" w:eastAsia="宋体" w:cs="Times New Roman"/>
                <w:b/>
                <w:bCs/>
                <w:sz w:val="21"/>
                <w:szCs w:val="21"/>
                <w:lang w:val="en-US" w:eastAsia="zh-CN"/>
              </w:rPr>
              <w:t>结果</w:t>
            </w:r>
            <w:r>
              <w:rPr>
                <w:rFonts w:hint="default" w:ascii="Times New Roman" w:hAnsi="Times New Roman" w:cs="Times New Roman"/>
                <w:b/>
                <w:bCs/>
                <w:sz w:val="21"/>
                <w:szCs w:val="21"/>
                <w:lang w:val="en-US" w:eastAsia="zh-CN"/>
              </w:rPr>
              <w:t>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398"/>
              <w:gridCol w:w="1398"/>
              <w:gridCol w:w="1398"/>
              <w:gridCol w:w="1401"/>
              <w:gridCol w:w="660"/>
              <w:gridCol w:w="73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7776" w:type="dxa"/>
                  <w:gridSpan w:val="7"/>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color w:val="000000"/>
                      <w:sz w:val="21"/>
                      <w:szCs w:val="21"/>
                      <w:lang w:val="en-US" w:eastAsia="zh-CN"/>
                    </w:rPr>
                    <w:t>2022年3月24日（废水排口</w:t>
                  </w:r>
                  <w:r>
                    <w:rPr>
                      <w:rFonts w:hint="default" w:ascii="Times New Roman" w:hAnsi="Times New Roman" w:eastAsia="宋体" w:cs="Times New Roman"/>
                      <w:bCs/>
                      <w:sz w:val="21"/>
                      <w:szCs w:val="21"/>
                      <w:lang w:val="en-US" w:eastAsia="zh-CN"/>
                    </w:rPr>
                    <w:t>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20320</wp:posOffset>
                            </wp:positionV>
                            <wp:extent cx="1089025" cy="532130"/>
                            <wp:effectExtent l="1905" t="4445" r="13970" b="15875"/>
                            <wp:wrapNone/>
                            <wp:docPr id="18" name="直接连接符 18"/>
                            <wp:cNvGraphicFramePr/>
                            <a:graphic xmlns:a="http://schemas.openxmlformats.org/drawingml/2006/main">
                              <a:graphicData uri="http://schemas.microsoft.com/office/word/2010/wordprocessingShape">
                                <wps:wsp>
                                  <wps:cNvCnPr/>
                                  <wps:spPr>
                                    <a:xfrm>
                                      <a:off x="0" y="0"/>
                                      <a:ext cx="1089025" cy="5321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5pt;margin-top:1.6pt;height:41.9pt;width:85.75pt;z-index:251662336;mso-width-relative:page;mso-height-relative:page;" filled="f" stroked="t" coordsize="21600,21600" o:gfxdata="UEsDBAoAAAAAAIdO4kAAAAAAAAAAAAAAAAAEAAAAZHJzL1BLAwQUAAAACACHTuJAzEx0EdUAAAAH&#10;AQAADwAAAGRycy9kb3ducmV2LnhtbE2OPU/DQBBEeyT+w2mRaKLkzg5KgvE6BeCOhkBEu7EX28K3&#10;5/guH/DruVRQjmb05uXrs+3VkUffOUFIZgYUS+XqThqE97dyugLlA0lNvRNG+GYP6+L6Kqesdid5&#10;5eMmNCpCxGeE0IYwZFr7qmVLfuYGlth9utFSiHFsdD3SKcJtr1NjFtpSJ/GhpYEfW66+NgeL4Mst&#10;78ufSTUxH/PGcbp/enkmxNubxDyACnwOf2O46Ed1KKLTzh2k9qpHmN4ncYkwT0Fd6kV6B2qHsFoa&#10;0EWu//sXv1BLAwQUAAAACACHTuJABf4dBfsBAADrAwAADgAAAGRycy9lMm9Eb2MueG1srVPNjtMw&#10;EL4j8Q6W7zRpV0W7UdM9bFkuCCoBDzB1nMSS/+Rxm/YleAEkbnDiyJ23YXkMxk7p/nDpgRycsWf8&#10;zXzfjBfXe6PZTgZUztZ8Oik5k1a4Rtmu5h8/3L645Awj2Aa0s7LmB4n8evn82WLwlZy53ulGBkYg&#10;FqvB17yP0VdFgaKXBnDivLTkbF0wEGkbuqIJMBC60cWsLF8WgwuND05IRDpdjU5+RAznALq2VUKu&#10;nNgaaeOIGqSGSJSwVx75MlfbtlLEd22LMjJdc2Ia80pJyN6ktVguoOoC+F6JYwlwTglPOBlQlpKe&#10;oFYQgW2D+gfKKBEcujZOhDPFSCQrQiym5RNt3vfgZeZCUqM/iY7/D1a83a0DUw1NAvXdgqGO333+&#10;8evT198/v9B69/0bIw/JNHisKPrGrsNxh34dEud9G0z6Exu2z9IeTtLKfWSCDqfl5VU5m3MmyDe/&#10;mE0vsvbF/W0fML6WzrBk1Fwrm6hDBbs3GCkjhf4NScfasqHmV/OMCTSHLfWf4I0nLmi7fBedVs2t&#10;0jrdwNBtbnRgO0izkL/Ei3AfhaUkK8B+jMuucUp6Cc0r27B48CSSpcfBUwlGNpxpSW8pWQQIVQSl&#10;z4mk1NpSBUnaUcxkbVxzoJ5sfVBdT0pMc5XJQzOQ6z3Oaxqyh/uMdP9Gl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Ex0EdUAAAAHAQAADwAAAAAAAAABACAAAAAiAAAAZHJzL2Rvd25yZXYueG1s&#10;UEsBAhQAFAAAAAgAh07iQAX+HQX7AQAA6wMAAA4AAAAAAAAAAQAgAAAAJA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21"/>
                      <w:szCs w:val="21"/>
                      <w:lang w:val="en-US" w:eastAsia="zh-CN"/>
                    </w:rPr>
                    <w:t xml:space="preserve">     样品编号</w:t>
                  </w:r>
                </w:p>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p>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监测项目</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2203031-W1-1</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2203031-W1-2</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2203031-W1-3</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2203031-W1-4</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均值</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标准值</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化学需氧量</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71</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96</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89</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86</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86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悬浮物</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19</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19</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20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氨氮</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5.26</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4.96</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5.80</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5.37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石油类</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0.87</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1.07</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0.95</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0.82</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0.93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五日生化需氧量</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35.0</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35.4</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35.7</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32.8</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34.7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阴离子表面活性剂</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0.989</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0.965</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0.950</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0.981</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0.971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监测时间及点位</w:t>
                  </w:r>
                </w:p>
              </w:tc>
              <w:tc>
                <w:tcPr>
                  <w:tcW w:w="7776" w:type="dxa"/>
                  <w:gridSpan w:val="7"/>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2022年3月25日（废水排口W1）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mc:AlternateContent>
                      <mc:Choice Requires="wps">
                        <w:drawing>
                          <wp:anchor distT="0" distB="0" distL="114300" distR="114300" simplePos="0" relativeHeight="251663360" behindDoc="0" locked="0" layoutInCell="1" allowOverlap="1">
                            <wp:simplePos x="0" y="0"/>
                            <wp:positionH relativeFrom="column">
                              <wp:posOffset>-58420</wp:posOffset>
                            </wp:positionH>
                            <wp:positionV relativeFrom="paragraph">
                              <wp:posOffset>13970</wp:posOffset>
                            </wp:positionV>
                            <wp:extent cx="1127760" cy="565785"/>
                            <wp:effectExtent l="1905" t="4445" r="13335" b="20320"/>
                            <wp:wrapNone/>
                            <wp:docPr id="19" name="直接连接符 19"/>
                            <wp:cNvGraphicFramePr/>
                            <a:graphic xmlns:a="http://schemas.openxmlformats.org/drawingml/2006/main">
                              <a:graphicData uri="http://schemas.microsoft.com/office/word/2010/wordprocessingShape">
                                <wps:wsp>
                                  <wps:cNvCnPr/>
                                  <wps:spPr>
                                    <a:xfrm>
                                      <a:off x="0" y="0"/>
                                      <a:ext cx="1127760" cy="5657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pt;margin-top:1.1pt;height:44.55pt;width:88.8pt;z-index:251663360;mso-width-relative:page;mso-height-relative:page;" filled="f" stroked="t" coordsize="21600,21600" o:gfxdata="UEsDBAoAAAAAAIdO4kAAAAAAAAAAAAAAAAAEAAAAZHJzL1BLAwQUAAAACACHTuJA7srb7tYAAAAH&#10;AQAADwAAAGRycy9kb3ducmV2LnhtbE2OvU7DQBCEeyTe4bRINFFytoOixPE6BeCOhgCi3fg2toVv&#10;z/FdfuDpuVRQjUYzmvmKzcX26sSj75wgpLMEFEvtTCcNwvtbNV2C8oHEUO+EEb7Zw6a8vSkoN+4s&#10;r3zahkbFEfE5IbQhDLnWvm7Zkp+5gSVmezdaCtGOjTYjneO47XWWJAttqZP40NLAjy3XX9ujRfDV&#10;Bx+qn0k9ST7njePs8PTyTIj3d2myBhX4Ev7KcMWP6FBGpp07ivGqR5iusthEyKJc48XyAdQOYZXO&#10;QZeF/s9f/gJQSwMEFAAAAAgAh07iQBWv3Yj6AQAA6wMAAA4AAABkcnMvZTJvRG9jLnhtbK1TS44T&#10;MRDdI3EHy3vSSaQkM610ZjFh2CCIBByg4nZ3W/JPLiedXIILILGDFUv23IaZY1B2hwwMmyzohbvs&#10;en6u91xe3hyMZnsZUDlb8clozJm0wtXKthX/8P7uxRVnGMHWoJ2VFT9K5Der58+WvS/l1HVO1zIw&#10;IrFY9r7iXYy+LAoUnTSAI+elpWTjgoFI09AWdYCe2I0upuPxvOhdqH1wQiLS6npI8hNjuITQNY0S&#10;cu3EzkgbB9YgNUSShJ3yyFe52qaRIr5tGpSR6YqT0phHOoTibRqL1RLKNoDvlDiVAJeU8ESTAWXp&#10;0DPVGiKwXVD/UBklgkPXxJFwphiEZEdIxWT8xJt3HXiZtZDV6M+m4/+jFW/2m8BUTZ1wzZkFQzd+&#10;/+n7z49fHn58pvH+21dGGbKp91gS+tZuwmmGfhOS5kMTTPqTGnbI1h7P1spDZIIWJ5PpYjEn1wXl&#10;ZvPZ4mqWSIvH3T5gfCWdYSmouFY2SYcS9q8xDtDfkLSsLesrfj2bzogTqA8bun8KjSctaNu8F51W&#10;9Z3SOu3A0G5vdWB7SL2Qv1MJf8HSIWvAbsDlVIJB2UmoX9qaxaMnkyw9Dp5KMLLmTEt6SynKyAhK&#10;X4Ik9dqSCcnawcwUbV19pDvZ+aDajpyY5CpThnogW3bq19Rkf84z0+Mb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srb7tYAAAAHAQAADwAAAAAAAAABACAAAAAiAAAAZHJzL2Rvd25yZXYueG1s&#10;UEsBAhQAFAAAAAgAh07iQBWv3Yj6AQAA6w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21"/>
                      <w:szCs w:val="21"/>
                      <w:lang w:val="en-US" w:eastAsia="zh-CN"/>
                    </w:rPr>
                    <w:t xml:space="preserve">     样品编号</w:t>
                  </w:r>
                </w:p>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p>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监测项目</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2203031-W1-5</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2203031-W1-6</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2203031-W1-7</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2203031-W1-8</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均值</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标准值</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化学需氧量</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83</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89</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84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悬浮物</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21</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17</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21</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20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     氨氮</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6.21</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5.82</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5.07</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6.08</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5.80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   石油类</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0.74</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0.95</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0.73</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0.84</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0.82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五日生化需氧量</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33.3</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33.9</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34.5</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36.4</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34.5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阴离子表面活性剂</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1.01</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1.03</w:t>
                  </w:r>
                </w:p>
              </w:tc>
              <w:tc>
                <w:tcPr>
                  <w:tcW w:w="1398"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0.998</w:t>
                  </w:r>
                </w:p>
              </w:tc>
              <w:tc>
                <w:tcPr>
                  <w:tcW w:w="1401"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0.948</w:t>
                  </w:r>
                </w:p>
              </w:tc>
              <w:tc>
                <w:tcPr>
                  <w:tcW w:w="660"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0.997 </w:t>
                  </w:r>
                </w:p>
              </w:tc>
              <w:tc>
                <w:tcPr>
                  <w:tcW w:w="735"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786"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2" w:type="dxa"/>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标准依据</w:t>
                  </w:r>
                </w:p>
              </w:tc>
              <w:tc>
                <w:tcPr>
                  <w:tcW w:w="7776" w:type="dxa"/>
                  <w:gridSpan w:val="7"/>
                  <w:noWrap w:val="0"/>
                  <w:vAlign w:val="center"/>
                </w:tcPr>
                <w:p>
                  <w:pPr>
                    <w:keepNext w:val="0"/>
                    <w:keepLines w:val="0"/>
                    <w:pageBreakBefore w:val="0"/>
                    <w:tabs>
                      <w:tab w:val="left" w:pos="735"/>
                    </w:tabs>
                    <w:kinsoku/>
                    <w:wordWrap/>
                    <w:overflowPunct/>
                    <w:topLinePunct w:val="0"/>
                    <w:autoSpaceDE/>
                    <w:autoSpaceDN/>
                    <w:bidi w:val="0"/>
                    <w:adjustRightInd/>
                    <w:spacing w:line="300" w:lineRule="exact"/>
                    <w:ind w:right="66" w:rightChars="3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《污水综合排放标准》GB 8978-1996 表4 三级标准</w:t>
                  </w:r>
                </w:p>
              </w:tc>
            </w:tr>
          </w:tbl>
          <w:p>
            <w:pPr>
              <w:pStyle w:val="17"/>
              <w:spacing w:before="82"/>
              <w:ind w:left="105"/>
              <w:rPr>
                <w:rFonts w:ascii="Times New Roman" w:hAnsi="宋体" w:eastAsia="Times New Roman" w:cs="宋体"/>
                <w:b/>
                <w:sz w:val="24"/>
              </w:rPr>
            </w:pPr>
            <w:r>
              <w:rPr>
                <w:rFonts w:hint="eastAsia" w:ascii="Times New Roman" w:hAnsi="宋体" w:eastAsia="宋体" w:cs="宋体"/>
                <w:b/>
                <w:sz w:val="24"/>
                <w:lang w:val="en-US" w:eastAsia="zh-CN"/>
              </w:rPr>
              <w:t xml:space="preserve">6.2  </w:t>
            </w:r>
            <w:r>
              <w:rPr>
                <w:rFonts w:ascii="Times New Roman" w:hAnsi="宋体" w:eastAsia="Times New Roman" w:cs="宋体"/>
                <w:b/>
                <w:sz w:val="24"/>
              </w:rPr>
              <w:t>废气</w:t>
            </w:r>
          </w:p>
          <w:p>
            <w:pPr>
              <w:pStyle w:val="17"/>
              <w:numPr>
                <w:ilvl w:val="2"/>
                <w:numId w:val="7"/>
              </w:numPr>
              <w:tabs>
                <w:tab w:val="left" w:pos="947"/>
              </w:tabs>
              <w:spacing w:before="214" w:after="0" w:line="240" w:lineRule="auto"/>
              <w:ind w:left="946" w:right="0" w:hanging="362"/>
              <w:jc w:val="left"/>
              <w:rPr>
                <w:sz w:val="24"/>
              </w:rPr>
            </w:pPr>
            <w:r>
              <w:rPr>
                <w:rFonts w:hint="eastAsia"/>
                <w:sz w:val="24"/>
                <w:lang w:eastAsia="zh-CN"/>
              </w:rPr>
              <w:t>有</w:t>
            </w:r>
            <w:r>
              <w:rPr>
                <w:sz w:val="24"/>
              </w:rPr>
              <w:t>组织废气监测结果</w:t>
            </w:r>
          </w:p>
          <w:p>
            <w:pPr>
              <w:pStyle w:val="17"/>
              <w:spacing w:before="159" w:line="367" w:lineRule="auto"/>
              <w:ind w:left="105" w:right="96" w:firstLine="480"/>
              <w:rPr>
                <w:rFonts w:hint="eastAsia"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2022 年 0</w:t>
            </w:r>
            <w:r>
              <w:rPr>
                <w:rFonts w:hint="eastAsia" w:ascii="Times New Roman" w:hAnsi="Times New Roman" w:eastAsia="宋体" w:cs="Times New Roman"/>
                <w:bCs/>
                <w:color w:val="auto"/>
                <w:kern w:val="2"/>
                <w:sz w:val="24"/>
                <w:szCs w:val="24"/>
                <w:lang w:val="en-US" w:eastAsia="zh-CN" w:bidi="ar-SA"/>
              </w:rPr>
              <w:t xml:space="preserve"> </w:t>
            </w:r>
            <w:r>
              <w:rPr>
                <w:rFonts w:hint="default" w:ascii="Times New Roman" w:hAnsi="Times New Roman" w:eastAsia="宋体" w:cs="Times New Roman"/>
                <w:bCs/>
                <w:color w:val="auto"/>
                <w:kern w:val="2"/>
                <w:sz w:val="24"/>
                <w:szCs w:val="24"/>
                <w:lang w:val="en-US" w:eastAsia="zh-CN" w:bidi="ar-SA"/>
              </w:rPr>
              <w:t>3月 2</w:t>
            </w:r>
            <w:r>
              <w:rPr>
                <w:rFonts w:hint="eastAsia" w:ascii="Times New Roman" w:hAnsi="Times New Roman" w:eastAsia="宋体" w:cs="Times New Roman"/>
                <w:bCs/>
                <w:color w:val="auto"/>
                <w:kern w:val="2"/>
                <w:sz w:val="24"/>
                <w:szCs w:val="24"/>
                <w:lang w:val="en-US" w:eastAsia="zh-CN" w:bidi="ar-SA"/>
              </w:rPr>
              <w:t>4</w:t>
            </w:r>
            <w:r>
              <w:rPr>
                <w:rFonts w:hint="default" w:ascii="Times New Roman" w:hAnsi="Times New Roman" w:eastAsia="宋体" w:cs="Times New Roman"/>
                <w:bCs/>
                <w:color w:val="auto"/>
                <w:kern w:val="2"/>
                <w:sz w:val="24"/>
                <w:szCs w:val="24"/>
                <w:lang w:val="en-US" w:eastAsia="zh-CN" w:bidi="ar-SA"/>
              </w:rPr>
              <w:t xml:space="preserve">日~2022 年 03月 </w:t>
            </w:r>
            <w:r>
              <w:rPr>
                <w:rFonts w:hint="eastAsia" w:ascii="Times New Roman" w:hAnsi="Times New Roman" w:eastAsia="宋体" w:cs="Times New Roman"/>
                <w:bCs/>
                <w:color w:val="auto"/>
                <w:kern w:val="2"/>
                <w:sz w:val="24"/>
                <w:szCs w:val="24"/>
                <w:lang w:val="en-US" w:eastAsia="zh-CN" w:bidi="ar-SA"/>
              </w:rPr>
              <w:t>25</w:t>
            </w:r>
            <w:r>
              <w:rPr>
                <w:rFonts w:hint="default" w:ascii="Times New Roman" w:hAnsi="Times New Roman" w:eastAsia="宋体" w:cs="Times New Roman"/>
                <w:bCs/>
                <w:color w:val="auto"/>
                <w:kern w:val="2"/>
                <w:sz w:val="24"/>
                <w:szCs w:val="24"/>
                <w:lang w:val="en-US" w:eastAsia="zh-CN" w:bidi="ar-SA"/>
              </w:rPr>
              <w:t>日，对有组织废气进行连续 2 天监测，每天监测 3次。监测结果见表 6.2-1~</w:t>
            </w:r>
            <w:r>
              <w:rPr>
                <w:rFonts w:hint="eastAsia" w:ascii="Times New Roman" w:hAnsi="Times New Roman" w:eastAsia="宋体" w:cs="Times New Roman"/>
                <w:bCs/>
                <w:color w:val="auto"/>
                <w:kern w:val="2"/>
                <w:sz w:val="24"/>
                <w:szCs w:val="24"/>
                <w:lang w:val="en-US" w:eastAsia="zh-CN" w:bidi="ar-SA"/>
              </w:rPr>
              <w:t>6.2.2</w:t>
            </w:r>
            <w:r>
              <w:rPr>
                <w:rFonts w:hint="default" w:ascii="Times New Roman" w:hAnsi="Times New Roman" w:eastAsia="宋体" w:cs="Times New Roman"/>
                <w:bCs/>
                <w:color w:val="auto"/>
                <w:kern w:val="2"/>
                <w:sz w:val="24"/>
                <w:szCs w:val="24"/>
                <w:lang w:val="en-US" w:eastAsia="zh-CN" w:bidi="ar-SA"/>
              </w:rPr>
              <w:t>。</w:t>
            </w:r>
          </w:p>
          <w:p>
            <w:pPr>
              <w:rPr>
                <w:rFonts w:hint="default" w:eastAsia="宋体"/>
                <w:vertAlign w:val="baseline"/>
                <w:lang w:val="en-US" w:eastAsia="zh-CN"/>
              </w:rPr>
            </w:pPr>
          </w:p>
        </w:tc>
      </w:tr>
    </w:tbl>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17"/>
              <w:spacing w:before="98"/>
              <w:ind w:left="64" w:right="107"/>
              <w:jc w:val="center"/>
              <w:rPr>
                <w:rFonts w:hint="default" w:ascii="Times New Roman" w:hAnsi="Times New Roman" w:cs="Times New Roman"/>
                <w:bCs/>
                <w:sz w:val="24"/>
                <w:szCs w:val="24"/>
                <w:lang w:val="en-US" w:eastAsia="zh-CN"/>
              </w:rPr>
            </w:pPr>
            <w:r>
              <w:rPr>
                <w:rFonts w:hint="default" w:ascii="Times New Roman" w:hAnsi="Times New Roman" w:cs="Times New Roman"/>
                <w:b/>
                <w:sz w:val="21"/>
              </w:rPr>
              <w:t>表 6.2-1</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喷漆房进口</w:t>
            </w:r>
            <w:r>
              <w:rPr>
                <w:rFonts w:hint="default" w:ascii="Times New Roman" w:hAnsi="Times New Roman" w:cs="Times New Roman"/>
                <w:b/>
                <w:sz w:val="21"/>
              </w:rPr>
              <w:t>监测结果一览表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5"/>
              <w:gridCol w:w="1146"/>
              <w:gridCol w:w="1795"/>
              <w:gridCol w:w="20"/>
              <w:gridCol w:w="1744"/>
              <w:gridCol w:w="6"/>
              <w:gridCol w:w="1774"/>
              <w:gridCol w:w="7"/>
              <w:gridCol w:w="958"/>
              <w:gridCol w:w="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6" w:type="dxa"/>
                  <w:gridSpan w:val="3"/>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7292" w:type="dxa"/>
                  <w:gridSpan w:val="9"/>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2022年3月24日</w:t>
                  </w:r>
                  <w:r>
                    <w:rPr>
                      <w:rFonts w:hint="eastAsia" w:ascii="Times New Roman" w:hAnsi="Times New Roman" w:cs="Times New Roman"/>
                      <w:bCs/>
                      <w:sz w:val="21"/>
                      <w:szCs w:val="21"/>
                      <w:lang w:eastAsia="zh-CN"/>
                    </w:rPr>
                    <w:t>（喷漆房进口</w:t>
                  </w:r>
                  <w:r>
                    <w:rPr>
                      <w:rFonts w:hint="eastAsia" w:ascii="Times New Roman" w:hAnsi="Times New Roman" w:cs="Times New Roman"/>
                      <w:bCs/>
                      <w:sz w:val="21"/>
                      <w:szCs w:val="21"/>
                      <w:lang w:val="en-US" w:eastAsia="zh-CN"/>
                    </w:rPr>
                    <w:t>G1</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-5715</wp:posOffset>
                            </wp:positionV>
                            <wp:extent cx="1407795" cy="600710"/>
                            <wp:effectExtent l="1905" t="4445" r="19050" b="4445"/>
                            <wp:wrapNone/>
                            <wp:docPr id="20" name="直接连接符 20"/>
                            <wp:cNvGraphicFramePr/>
                            <a:graphic xmlns:a="http://schemas.openxmlformats.org/drawingml/2006/main">
                              <a:graphicData uri="http://schemas.microsoft.com/office/word/2010/wordprocessingShape">
                                <wps:wsp>
                                  <wps:cNvCnPr/>
                                  <wps:spPr>
                                    <a:xfrm>
                                      <a:off x="0" y="0"/>
                                      <a:ext cx="1407795" cy="6007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45pt;height:47.3pt;width:110.85pt;z-index:251664384;mso-width-relative:page;mso-height-relative:page;" filled="f" stroked="t" coordsize="21600,21600" o:gfxdata="UEsDBAoAAAAAAIdO4kAAAAAAAAAAAAAAAAAEAAAAZHJzL1BLAwQUAAAACACHTuJAiRdKutcAAAAI&#10;AQAADwAAAGRycy9kb3ducmV2LnhtbE2PzU7DMBCE70i8g7VIXKrWjisoCXF6AHLjQqHiuo2XJCJe&#10;p7H7A0+POcFtVjOa+bZcn90gjjSF3rOBbKFAEDfe9twaeHut53cgQkS2OHgmA18UYF1dXpRYWH/i&#10;FzpuYitSCYcCDXQxjoWUoenIYVj4kTh5H35yGNM5tdJOeErlbpBaqVvpsOe00OFIDx01n5uDMxDq&#10;Le3r71kzU+/L1pPePz4/oTHXV5m6BxHpHP/C8Iuf0KFKTDt/YBvEYGCeaZ2iSeQgkq9VfgNiZyBf&#10;rkBWpfz/QPUDUEsDBBQAAAAIAIdO4kByeJNx+wEAAOsDAAAOAAAAZHJzL2Uyb0RvYy54bWytU82O&#10;0zAQviPxDpbvNGnFbtmo6R62LBcElYAHmDpOYsl/8rhN+xK8ABI3OHHkztvs8hiMndKF5dIDOThj&#10;z/ib+T7PLK73RrOdDKicrfl0UnImrXCNsl3NP7y/ffaCM4xgG9DOypofJPLr5dMni8FXcuZ6pxsZ&#10;GIFYrAZf8z5GXxUFil4awInz0pKzdcFApG3oiibAQOhGF7OyvCwGFxofnJCIdLoanfyIGM4BdG2r&#10;hFw5sTXSxhE1SA2RKGGvPPJlrrZtpYhv2xZlZLrmxDTmlZKQvUlrsVxA1QXwvRLHEuCcEh5xMqAs&#10;JT1BrSAC2wb1D5RRIjh0bZwIZ4qRSFaEWEzLR9q868HLzIWkRn8SHf8frHizWwemmprPSBILhl78&#10;/tP3u49ffv74TOv9t6+MPCTT4LGi6Bu7Dscd+nVInPdtMOlPbNg+S3s4SSv3kQk6nD4v5/OrC84E&#10;+S7Lcj7NoMXDbR8wvpLOsGTUXCubqEMFu9cYKSOF/g5Jx9qyoeZXF7OECdSHLb0/mcYTF7RdvotO&#10;q+ZWaZ1uYOg2NzqwHaReyF/iRbh/haUkK8B+jMuusUt6Cc1L27B48CSSpeHgqQQjG860pFlKFgFC&#10;FUHpcyIptbZUQZJ2FDNZG9cc6E22PqiuJyWmucrkoR7I9R77NTXZn/uM9DCj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F0q61wAAAAgBAAAPAAAAAAAAAAEAIAAAACIAAABkcnMvZG93bnJldi54&#10;bWxQSwECFAAUAAAACACHTuJAcniTcfsBAADrAwAADgAAAAAAAAABACAAAAAmAQAAZHJzL2Uyb0Rv&#10;Yy54bWxQSwUGAAAAAAYABgBZAQAAkwU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2203031-G1-1</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2203031-G1-2</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2203031-G1-3</w:t>
                  </w:r>
                </w:p>
              </w:tc>
              <w:tc>
                <w:tcPr>
                  <w:tcW w:w="970" w:type="dxa"/>
                  <w:gridSpan w:val="3"/>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983" w:type="dxa"/>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7.7</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7.8</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2.95</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2.97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2.93</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6.4</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6.5</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1.07×10</w:t>
                  </w:r>
                  <w:r>
                    <w:rPr>
                      <w:rFonts w:hint="default" w:ascii="Times New Roman" w:hAnsi="Times New Roman" w:eastAsia="宋体" w:cs="Times New Roman"/>
                      <w:bCs/>
                      <w:sz w:val="21"/>
                      <w:szCs w:val="21"/>
                      <w:vertAlign w:val="superscript"/>
                      <w:lang w:val="en-US" w:eastAsia="zh-CN"/>
                    </w:rPr>
                    <w:t>4</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1.11×10</w:t>
                  </w:r>
                  <w:r>
                    <w:rPr>
                      <w:rFonts w:hint="default" w:ascii="Times New Roman" w:hAnsi="Times New Roman" w:eastAsia="宋体" w:cs="Times New Roman"/>
                      <w:bCs/>
                      <w:sz w:val="21"/>
                      <w:szCs w:val="21"/>
                      <w:vertAlign w:val="superscript"/>
                      <w:lang w:val="en-US" w:eastAsia="zh-CN"/>
                    </w:rPr>
                    <w:t>4</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1.08×10</w:t>
                  </w:r>
                  <w:r>
                    <w:rPr>
                      <w:rFonts w:hint="default" w:ascii="Times New Roman" w:hAnsi="Times New Roman" w:eastAsia="宋体" w:cs="Times New Roman"/>
                      <w:bCs/>
                      <w:sz w:val="21"/>
                      <w:szCs w:val="21"/>
                      <w:vertAlign w:val="superscript"/>
                      <w:lang w:val="en-US" w:eastAsia="zh-CN"/>
                    </w:rPr>
                    <w:t>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43.2</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40.6</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45.4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43.2</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40.6</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45.4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0.46</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0.45</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0.49</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15.2</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15.2</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15.2</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15.2</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0.16</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0.17</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0.027</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gridSpan w:val="2"/>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1815"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3.10×10</w:t>
                  </w:r>
                  <w:r>
                    <w:rPr>
                      <w:rFonts w:hint="default" w:ascii="Times New Roman" w:hAnsi="Times New Roman" w:eastAsia="宋体" w:cs="Times New Roman"/>
                      <w:bCs/>
                      <w:sz w:val="21"/>
                      <w:szCs w:val="21"/>
                      <w:vertAlign w:val="superscript"/>
                      <w:lang w:val="en-US" w:eastAsia="zh-CN"/>
                    </w:rPr>
                    <w:t>-4</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3.00×10</w:t>
                  </w:r>
                  <w:r>
                    <w:rPr>
                      <w:rFonts w:hint="default" w:ascii="Times New Roman" w:hAnsi="Times New Roman" w:eastAsia="宋体" w:cs="Times New Roman"/>
                      <w:bCs/>
                      <w:sz w:val="21"/>
                      <w:szCs w:val="21"/>
                      <w:vertAlign w:val="superscript"/>
                      <w:lang w:val="en-US" w:eastAsia="zh-CN"/>
                    </w:rPr>
                    <w:t>-4</w:t>
                  </w:r>
                </w:p>
              </w:tc>
              <w:tc>
                <w:tcPr>
                  <w:tcW w:w="1774"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3.13×10</w:t>
                  </w:r>
                  <w:r>
                    <w:rPr>
                      <w:rFonts w:hint="default" w:ascii="Times New Roman" w:hAnsi="Times New Roman" w:eastAsia="宋体" w:cs="Times New Roman"/>
                      <w:bCs/>
                      <w:sz w:val="21"/>
                      <w:szCs w:val="21"/>
                      <w:vertAlign w:val="superscript"/>
                      <w:lang w:val="en-US" w:eastAsia="zh-CN"/>
                    </w:rPr>
                    <w:t>-4</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3"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6" w:type="dxa"/>
                  <w:gridSpan w:val="3"/>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7292" w:type="dxa"/>
                  <w:gridSpan w:val="9"/>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2022年3月25日</w:t>
                  </w:r>
                  <w:r>
                    <w:rPr>
                      <w:rFonts w:hint="eastAsia" w:ascii="Times New Roman" w:hAnsi="Times New Roman" w:cs="Times New Roman"/>
                      <w:bCs/>
                      <w:sz w:val="21"/>
                      <w:szCs w:val="21"/>
                      <w:lang w:eastAsia="zh-CN"/>
                    </w:rPr>
                    <w:t>（喷漆房进口</w:t>
                  </w:r>
                  <w:r>
                    <w:rPr>
                      <w:rFonts w:hint="eastAsia" w:ascii="Times New Roman" w:hAnsi="Times New Roman" w:cs="Times New Roman"/>
                      <w:bCs/>
                      <w:sz w:val="21"/>
                      <w:szCs w:val="21"/>
                      <w:lang w:val="en-US" w:eastAsia="zh-CN"/>
                    </w:rPr>
                    <w:t xml:space="preserve"> G1</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3810</wp:posOffset>
                            </wp:positionV>
                            <wp:extent cx="1396365" cy="544195"/>
                            <wp:effectExtent l="1905" t="4445" r="11430" b="22860"/>
                            <wp:wrapNone/>
                            <wp:docPr id="15" name="直接连接符 15"/>
                            <wp:cNvGraphicFramePr/>
                            <a:graphic xmlns:a="http://schemas.openxmlformats.org/drawingml/2006/main">
                              <a:graphicData uri="http://schemas.microsoft.com/office/word/2010/wordprocessingShape">
                                <wps:wsp>
                                  <wps:cNvCnPr/>
                                  <wps:spPr>
                                    <a:xfrm>
                                      <a:off x="0" y="0"/>
                                      <a:ext cx="1396365" cy="5441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2.85pt;width:109.95pt;z-index:251665408;mso-width-relative:page;mso-height-relative:page;" filled="f" stroked="t" coordsize="21600,21600" o:gfxdata="UEsDBAoAAAAAAIdO4kAAAAAAAAAAAAAAAAAEAAAAZHJzL1BLAwQUAAAACACHTuJA+vSY+9UAAAAH&#10;AQAADwAAAGRycy9kb3ducmV2LnhtbE2OTU/DMBBE70j8B2uRuFStHVdKq5BND0BuXCggrtt4m0SN&#10;7TR2P+DXY05wHM3ozSs3VzuIM0+h9w4hWygQ7BpvetcivL/V8zWIEMkZGrxjhC8OsKlub0oqjL+4&#10;Vz5vYysSxIWCELoYx0LK0HRsKSz8yC51ez9ZiilOrTQTXRLcDlIrlUtLvUsPHY382HFz2J4sQqg/&#10;+Fh/z5qZ+ly2nvXx6eWZEO/vMvUAIvI1/o3hVz+pQ5Wcdv7kTBADwjzTOk0RchCp1mq1ArFDWOdL&#10;kFUp//tXP1BLAwQUAAAACACHTuJAvsFrifsBAADrAwAADgAAAGRycy9lMm9Eb2MueG1srVPNjtMw&#10;EL4j8Q6W7zRtd1vRqOketiwXBJWAB5g6TmLJf/K4TfsSvAASNzhx5M7bsDwGY6d0Ybn0QA7O2DP+&#10;Zr7PM8ubg9FsLwMqZys+GY05k1a4Wtm24u/f3T17zhlGsDVoZ2XFjxL5zerpk2XvSzl1ndO1DIxA&#10;LJa9r3gXoy+LAkUnDeDIeWnJ2bhgINI2tEUdoCd0o4vpeDwvehdqH5yQiHS6Hpz8hBguAXRNo4Rc&#10;O7Ez0sYBNUgNkShhpzzyVa62aaSIb5oGZWS64sQ05pWSkL1Na7FaQtkG8J0SpxLgkhIecTKgLCU9&#10;Q60hAtsF9Q+UUSI4dE0cCWeKgUhWhFhMxo+0eduBl5kLSY3+LDr+P1jxer8JTNXUCTPOLBh68fuP&#10;3358+Pzz+yda779+YeQhmXqPJUXf2k047dBvQuJ8aIJJf2LDDlna41laeYhM0OHkajG/mlMKQb7Z&#10;9fVkkUGLh9s+YHwpnWHJqLhWNlGHEvavMFJGCv0dko61ZX3FF7NpwgTqw4ben0zjiQvaNt9Fp1V9&#10;p7RONzC021sd2B5SL+Qv8SLcv8JSkjVgN8Rl19AlnYT6ha1ZPHoSydJw8FSCkTVnWtIsJYsAoYyg&#10;9CWRlFpbqiBJO4iZrK2rj/QmOx9U25ESk1xl8lAP5HpP/Zqa7M99RnqY0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SY+9UAAAAHAQAADwAAAAAAAAABACAAAAAiAAAAZHJzL2Rvd25yZXYueG1s&#10;UEsBAhQAFAAAAAgAh07iQL7Ba4n7AQAA6wMAAA4AAAAAAAAAAQAgAAAAJA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2203031-G1-4</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2203031-G1-5</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lang w:val="en-US" w:eastAsia="zh-CN"/>
                    </w:rPr>
                    <w:t>2203031-G1-6</w:t>
                  </w:r>
                </w:p>
              </w:tc>
              <w:tc>
                <w:tcPr>
                  <w:tcW w:w="958" w:type="dxa"/>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988"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8.2</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8.1</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7.8</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2.90</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2.94</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3.00</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6.8</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6.6</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6.3</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1.12×10</w:t>
                  </w:r>
                  <w:r>
                    <w:rPr>
                      <w:rFonts w:hint="default" w:ascii="Times New Roman" w:hAnsi="Times New Roman" w:eastAsia="宋体" w:cs="Times New Roman"/>
                      <w:bCs/>
                      <w:sz w:val="21"/>
                      <w:szCs w:val="21"/>
                      <w:vertAlign w:val="superscript"/>
                      <w:lang w:val="en-US" w:eastAsia="zh-CN"/>
                    </w:rPr>
                    <w:t>4</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1.09×10</w:t>
                  </w:r>
                  <w:r>
                    <w:rPr>
                      <w:rFonts w:hint="default" w:ascii="Times New Roman" w:hAnsi="Times New Roman" w:eastAsia="宋体" w:cs="Times New Roman"/>
                      <w:bCs/>
                      <w:sz w:val="21"/>
                      <w:szCs w:val="21"/>
                      <w:vertAlign w:val="superscript"/>
                      <w:lang w:val="en-US" w:eastAsia="zh-CN"/>
                    </w:rPr>
                    <w:t>4</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1.05×10</w:t>
                  </w:r>
                  <w:r>
                    <w:rPr>
                      <w:rFonts w:hint="default" w:ascii="Times New Roman" w:hAnsi="Times New Roman" w:eastAsia="宋体" w:cs="Times New Roman"/>
                      <w:bCs/>
                      <w:sz w:val="21"/>
                      <w:szCs w:val="21"/>
                      <w:vertAlign w:val="superscript"/>
                      <w:lang w:val="en-US" w:eastAsia="zh-CN"/>
                    </w:rPr>
                    <w:t>4</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38.6</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41.7</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39.5</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38.6</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41.7</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39.5</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1161"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0.43</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0.45</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0.41</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eastAsia="zh-CN"/>
                    </w:rPr>
                    <w:t>非甲烷总烃</w:t>
                  </w: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实测浓度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15.4</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15.5</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15.3</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15.4</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15.5</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15.3</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p>
              </w:tc>
              <w:tc>
                <w:tcPr>
                  <w:tcW w:w="1161"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排放速率</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0.17</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0.17</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0.16</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eastAsia="zh-CN"/>
                    </w:rPr>
                    <w:t>二甲苯</w:t>
                  </w: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实测浓度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0.031</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0.031</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排放浓度</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0.031</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0.029</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0.031</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5" w:type="dxa"/>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ind w:left="0" w:leftChars="0" w:right="0" w:rightChars="0"/>
                    <w:jc w:val="center"/>
                    <w:textAlignment w:val="auto"/>
                    <w:rPr>
                      <w:rFonts w:hint="default" w:ascii="Times New Roman" w:hAnsi="Times New Roman" w:eastAsia="宋体" w:cs="Times New Roman"/>
                      <w:bCs/>
                      <w:sz w:val="21"/>
                      <w:szCs w:val="21"/>
                    </w:rPr>
                  </w:pPr>
                </w:p>
              </w:tc>
              <w:tc>
                <w:tcPr>
                  <w:tcW w:w="1161"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排放速率</w:t>
                  </w:r>
                </w:p>
              </w:tc>
              <w:tc>
                <w:tcPr>
                  <w:tcW w:w="1795"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3.47×10</w:t>
                  </w:r>
                  <w:r>
                    <w:rPr>
                      <w:rFonts w:hint="default" w:ascii="Times New Roman" w:hAnsi="Times New Roman" w:eastAsia="宋体" w:cs="Times New Roman"/>
                      <w:bCs/>
                      <w:sz w:val="21"/>
                      <w:szCs w:val="21"/>
                      <w:vertAlign w:val="superscript"/>
                      <w:lang w:val="en-US" w:eastAsia="zh-CN"/>
                    </w:rPr>
                    <w:t>-4</w:t>
                  </w:r>
                </w:p>
              </w:tc>
              <w:tc>
                <w:tcPr>
                  <w:tcW w:w="1764"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3.16×10</w:t>
                  </w:r>
                  <w:r>
                    <w:rPr>
                      <w:rFonts w:hint="default" w:ascii="Times New Roman" w:hAnsi="Times New Roman" w:eastAsia="宋体" w:cs="Times New Roman"/>
                      <w:bCs/>
                      <w:sz w:val="21"/>
                      <w:szCs w:val="21"/>
                      <w:vertAlign w:val="superscript"/>
                      <w:lang w:val="en-US" w:eastAsia="zh-CN"/>
                    </w:rPr>
                    <w:t>-4</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3.26×10</w:t>
                  </w:r>
                  <w:r>
                    <w:rPr>
                      <w:rFonts w:hint="default" w:ascii="Times New Roman" w:hAnsi="Times New Roman" w:eastAsia="宋体" w:cs="Times New Roman"/>
                      <w:bCs/>
                      <w:sz w:val="21"/>
                      <w:szCs w:val="21"/>
                      <w:vertAlign w:val="superscript"/>
                      <w:lang w:val="en-US" w:eastAsia="zh-CN"/>
                    </w:rPr>
                    <w:t>-4</w:t>
                  </w:r>
                </w:p>
              </w:tc>
              <w:tc>
                <w:tcPr>
                  <w:tcW w:w="958"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988" w:type="dxa"/>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6" w:type="dxa"/>
                  <w:gridSpan w:val="3"/>
                  <w:noWrap w:val="0"/>
                  <w:vAlign w:val="center"/>
                </w:tcPr>
                <w:p>
                  <w:pPr>
                    <w:tabs>
                      <w:tab w:val="left" w:pos="735"/>
                    </w:tabs>
                    <w:snapToGrid w:val="0"/>
                    <w:spacing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 w:val="0"/>
                      <w:bCs/>
                      <w:sz w:val="21"/>
                      <w:szCs w:val="21"/>
                      <w:lang w:val="en-US" w:eastAsia="zh-CN"/>
                    </w:rPr>
                    <w:t>备注</w:t>
                  </w:r>
                </w:p>
              </w:tc>
              <w:tc>
                <w:tcPr>
                  <w:tcW w:w="7292" w:type="dxa"/>
                  <w:gridSpan w:val="9"/>
                  <w:noWrap w:val="0"/>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排气筒尺寸：</w:t>
                  </w:r>
                  <w:r>
                    <w:rPr>
                      <w:rFonts w:hint="eastAsia" w:ascii="Times New Roman" w:hAnsi="Times New Roman" w:eastAsia="宋体" w:cs="Times New Roman"/>
                      <w:b w:val="0"/>
                      <w:bCs/>
                      <w:sz w:val="21"/>
                      <w:szCs w:val="21"/>
                      <w:lang w:val="en-US" w:eastAsia="zh-CN"/>
                    </w:rPr>
                    <w:t>0.63</w:t>
                  </w:r>
                  <w:r>
                    <w:rPr>
                      <w:rFonts w:hint="eastAsia" w:ascii="Times New Roman" w:hAnsi="Times New Roman" w:eastAsia="宋体" w:cs="Times New Roman"/>
                      <w:b w:val="0"/>
                      <w:bCs/>
                      <w:color w:val="auto"/>
                      <w:sz w:val="21"/>
                      <w:szCs w:val="21"/>
                      <w:lang w:val="en-US" w:eastAsia="zh-CN"/>
                    </w:rPr>
                    <w:t>m</w:t>
                  </w:r>
                  <w:r>
                    <w:rPr>
                      <w:rFonts w:hint="default" w:ascii="Arial" w:hAnsi="Arial" w:eastAsia="宋体" w:cs="Arial"/>
                      <w:bCs/>
                      <w:sz w:val="21"/>
                      <w:szCs w:val="21"/>
                      <w:lang w:val="en-US" w:eastAsia="zh-CN"/>
                    </w:rPr>
                    <w:t>×</w:t>
                  </w:r>
                  <w:r>
                    <w:rPr>
                      <w:rFonts w:hint="eastAsia" w:ascii="Times New Roman" w:hAnsi="Times New Roman" w:eastAsia="宋体" w:cs="Times New Roman"/>
                      <w:b w:val="0"/>
                      <w:bCs/>
                      <w:sz w:val="21"/>
                      <w:szCs w:val="21"/>
                      <w:lang w:val="en-US" w:eastAsia="zh-CN"/>
                    </w:rPr>
                    <w:t>0.8</w:t>
                  </w:r>
                  <w:r>
                    <w:rPr>
                      <w:rFonts w:hint="eastAsia" w:ascii="Times New Roman" w:hAnsi="Times New Roman" w:eastAsia="宋体" w:cs="Times New Roman"/>
                      <w:b w:val="0"/>
                      <w:bCs/>
                      <w:color w:val="auto"/>
                      <w:sz w:val="21"/>
                      <w:szCs w:val="21"/>
                      <w:lang w:val="en-US" w:eastAsia="zh-CN"/>
                    </w:rPr>
                    <w:t>m。</w:t>
                  </w:r>
                </w:p>
              </w:tc>
            </w:tr>
          </w:tbl>
          <w:p>
            <w:pPr>
              <w:pStyle w:val="2"/>
              <w:jc w:val="both"/>
              <w:rPr>
                <w:vertAlign w:val="baseline"/>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182"/>
              <w:gridCol w:w="1785"/>
              <w:gridCol w:w="1716"/>
              <w:gridCol w:w="1743"/>
              <w:gridCol w:w="993"/>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6"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2022年3月24日</w:t>
                  </w:r>
                  <w:r>
                    <w:rPr>
                      <w:rFonts w:hint="eastAsia" w:ascii="Times New Roman" w:hAnsi="Times New Roman" w:cs="Times New Roman"/>
                      <w:bCs/>
                      <w:sz w:val="21"/>
                      <w:szCs w:val="21"/>
                      <w:lang w:eastAsia="zh-CN"/>
                    </w:rPr>
                    <w:t>（喷漆房进口</w:t>
                  </w:r>
                  <w:r>
                    <w:rPr>
                      <w:rFonts w:hint="eastAsia" w:ascii="Times New Roman" w:hAnsi="Times New Roman" w:cs="Times New Roman"/>
                      <w:bCs/>
                      <w:sz w:val="21"/>
                      <w:szCs w:val="21"/>
                      <w:lang w:val="en-US" w:eastAsia="zh-CN"/>
                    </w:rPr>
                    <w:t>G3</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6432" behindDoc="0" locked="0" layoutInCell="1" allowOverlap="1">
                            <wp:simplePos x="0" y="0"/>
                            <wp:positionH relativeFrom="column">
                              <wp:posOffset>-77470</wp:posOffset>
                            </wp:positionH>
                            <wp:positionV relativeFrom="paragraph">
                              <wp:posOffset>3810</wp:posOffset>
                            </wp:positionV>
                            <wp:extent cx="1531620" cy="600710"/>
                            <wp:effectExtent l="1905" t="4445" r="9525" b="4445"/>
                            <wp:wrapNone/>
                            <wp:docPr id="21" name="直接连接符 21"/>
                            <wp:cNvGraphicFramePr/>
                            <a:graphic xmlns:a="http://schemas.openxmlformats.org/drawingml/2006/main">
                              <a:graphicData uri="http://schemas.microsoft.com/office/word/2010/wordprocessingShape">
                                <wps:wsp>
                                  <wps:cNvCnPr/>
                                  <wps:spPr>
                                    <a:xfrm>
                                      <a:off x="0" y="0"/>
                                      <a:ext cx="1531620" cy="6007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7.3pt;width:120.6pt;z-index:251666432;mso-width-relative:page;mso-height-relative:page;" filled="f" stroked="t" coordsize="21600,21600" o:gfxdata="UEsDBAoAAAAAAIdO4kAAAAAAAAAAAAAAAAAEAAAAZHJzL1BLAwQUAAAACACHTuJAnqjAANUAAAAH&#10;AQAADwAAAGRycy9kb3ducmV2LnhtbE2PzU7DMBCE70i8g7VIXKrWjhEVDdn0AOTGhRbEdZssSUS8&#10;TmP3B54ec4LjaEYz3xTrsxvUkafQe0HIFgYUS+2bXlqE1201vwMVIklDgxdG+OIA6/LyoqC88Sd5&#10;4eMmtiqVSMgJoYtxzLUOdceOwsKPLMn78JOjmOTU6maiUyp3g7bGLLWjXtJCRyM/dFx/bg4OIVRv&#10;vK++Z/XMvN+0nu3+8fmJEK+vMnMPKvI5/oXhFz+hQ5mYdv4gTVADwjyzNkURlqCSbe0qXdshrG4t&#10;6LLQ//nLH1BLAwQUAAAACACHTuJAaROY9/sBAADrAwAADgAAAGRycy9lMm9Eb2MueG1srVNLjhMx&#10;EN0jcQfLe9IflACtdGYxYdggiAQcwLHd3Zb8k8tJJ5fgAkjsYMWSPbeZ4RiU3SEDwyYLeuEuu8qv&#10;6j1XLa8ORpO9DKCcbWk1KymRljuhbN/SD+9vnjynBCKzgmlnZUuPEujV6vGj5egbWbvBaSEDQRAL&#10;zehbOsTom6IAPkjDYOa8tOjsXDAs4jb0hQhsRHSji7osF8XogvDBcQmAp+vJSU+I4RJA13WKy7Xj&#10;OyNtnFCD1CwiJRiUB7rK1Xad5PFt14GMRLcUmca8YhK0t2ktVkvW9IH5QfFTCeySEh5wMkxZTHqG&#10;WrPIyC6of6CM4sGB6+KMO1NMRLIiyKIqH2jzbmBeZi4oNfiz6PD/YPmb/SYQJVpaV5RYZvDF7z59&#10;v/345eePz7jefftK0IMyjR4ajL62m3Dagd+ExPnQBZP+yIYcsrTHs7TyEAnHw2r+tFrUqDpH36Is&#10;n1VZ++L+tg8QX0lnSDJaqpVN1FnD9q8hYkYM/R2SjrUlY0tfzOs5YjLsww7fH03jkQvYPt8Fp5W4&#10;UVqnGxD67bUOZM9SL+Qv8ULcv8JSkjWDYYrLrqlLBsnESytIPHoUyeJw0FSCkYISLXGWkoWArIlM&#10;6UsiMbW2WEGSdhIzWVsnjvgmOx9UP6ASWf0cgz2Q6z31a2qyP/cZ6X5G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qjAANUAAAAHAQAADwAAAAAAAAABACAAAAAiAAAAZHJzL2Rvd25yZXYueG1s&#10;UEsBAhQAFAAAAAgAh07iQGkTmPf7AQAA6wMAAA4AAAAAAAAAAQAgAAAAJA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3-2</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3</w:t>
                  </w:r>
                </w:p>
              </w:tc>
              <w:tc>
                <w:tcPr>
                  <w:tcW w:w="521"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14"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9.0</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8.8</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2.59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2.55</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2.62</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10.7</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1.75</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1.77</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1.72</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47.1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44.6</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46.3</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47.1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44.6</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46.3</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0.82</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0.79</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0.80</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12.1</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12.1</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0.22</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0.21</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0.21</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1.12</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1.13</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1.10</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6"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2022年3月25日</w:t>
                  </w:r>
                  <w:r>
                    <w:rPr>
                      <w:rFonts w:hint="eastAsia" w:ascii="Times New Roman" w:hAnsi="Times New Roman" w:cs="Times New Roman"/>
                      <w:bCs/>
                      <w:sz w:val="21"/>
                      <w:szCs w:val="21"/>
                      <w:lang w:eastAsia="zh-CN"/>
                    </w:rPr>
                    <w:t>（喷漆房进口</w:t>
                  </w:r>
                  <w:r>
                    <w:rPr>
                      <w:rFonts w:hint="eastAsia" w:ascii="Times New Roman" w:hAnsi="Times New Roman" w:cs="Times New Roman"/>
                      <w:bCs/>
                      <w:sz w:val="21"/>
                      <w:szCs w:val="21"/>
                      <w:lang w:val="en-US" w:eastAsia="zh-CN"/>
                    </w:rPr>
                    <w:t xml:space="preserve"> G3</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7456" behindDoc="0" locked="0" layoutInCell="1" allowOverlap="1">
                            <wp:simplePos x="0" y="0"/>
                            <wp:positionH relativeFrom="column">
                              <wp:posOffset>-77470</wp:posOffset>
                            </wp:positionH>
                            <wp:positionV relativeFrom="paragraph">
                              <wp:posOffset>3810</wp:posOffset>
                            </wp:positionV>
                            <wp:extent cx="1529080" cy="572770"/>
                            <wp:effectExtent l="1905" t="4445" r="12065" b="13335"/>
                            <wp:wrapNone/>
                            <wp:docPr id="22" name="直接连接符 22"/>
                            <wp:cNvGraphicFramePr/>
                            <a:graphic xmlns:a="http://schemas.openxmlformats.org/drawingml/2006/main">
                              <a:graphicData uri="http://schemas.microsoft.com/office/word/2010/wordprocessingShape">
                                <wps:wsp>
                                  <wps:cNvCnPr/>
                                  <wps:spPr>
                                    <a:xfrm>
                                      <a:off x="0" y="0"/>
                                      <a:ext cx="1529080" cy="5727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5.1pt;width:120.4pt;z-index:251667456;mso-width-relative:page;mso-height-relative:page;" filled="f" stroked="t" coordsize="21600,21600" o:gfxdata="UEsDBAoAAAAAAIdO4kAAAAAAAAAAAAAAAAAEAAAAZHJzL1BLAwQUAAAACACHTuJAL8Oz69QAAAAH&#10;AQAADwAAAGRycy9kb3ducmV2LnhtbE2OzU7DMBCE70i8g7VIXKrWjpGqEOL0AOTGhQLiuk2WJCJe&#10;p7H7A0/PcoLbjGY085Wbsx/VkeY4BHaQrQwo4ia0A3cOXl/qZQ4qJuQWx8Dk4IsibKrLixKLNpz4&#10;mY7b1CkZ4Viggz6lqdA6Nj15jKswEUv2EWaPSezc6XbGk4z7UVtj1trjwPLQ40T3PTWf24N3EOs3&#10;2tffi2Zh3m+6QHb/8PSIzl1fZeYOVKJz+ivDL76gQyVMu3DgNqrRwTKzVqoO1qAktjYXsXNwa3LQ&#10;Van/81c/UEsDBBQAAAAIAIdO4kAhKgk//AEAAOsDAAAOAAAAZHJzL2Uyb0RvYy54bWytU82O0zAQ&#10;viPxDpbvNG2k0t2o6R62LBcElYAHmDpOYsl/8rhN+xK8ABI3OHHkztuwPAZjp3RhufRADs7YM/5m&#10;vs8zy5uD0WwvAypnaz6bTDmTVrhG2a7m79/dPbviDCPYBrSzsuZHifxm9fTJcvCVLF3vdCMDIxCL&#10;1eBr3sfoq6JA0UsDOHFeWnK2LhiItA1d0QQYCN3oopxOnxeDC40PTkhEOl2PTn5CDJcAurZVQq6d&#10;2Blp44gapIZIlLBXHvkqV9u2UsQ3bYsyMl1zYhrzSknI3qa1WC2h6gL4XolTCXBJCY84GVCWkp6h&#10;1hCB7YL6B8ooERy6Nk6EM8VIJCtCLGbTR9q87cHLzIWkRn8WHf8frHi93wSmmpqXJWcWDL34/cdv&#10;Pz58/vn9E633X78w8pBMg8eKom/tJpx26DchcT60waQ/sWGHLO3xLK08RCbocDYvr6dXpLog33xR&#10;LhZZ++Lhtg8YX0pnWDJqrpVN1KGC/SuMlJFCf4ekY23ZUPPreTknTKA+bOn9yTSeuKDt8l10WjV3&#10;Sut0A0O3vdWB7SH1Qv4SL8L9KywlWQP2Y1x2jV3SS2he2IbFoyeRLA0HTyUY2XCmJc1SsggQqghK&#10;XxJJqbWlCpK0o5jJ2rrmSG+y80F1PSkxy1UmD/VArvfUr6nJ/txnpIcZ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8Oz69QAAAAHAQAADwAAAAAAAAABACAAAAAiAAAAZHJzL2Rvd25yZXYueG1s&#10;UEsBAhQAFAAAAAgAh07iQCEqCT/8AQAA6wMAAA4AAAAAAAAAAQAgAAAAIw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3-5</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3</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521"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14"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9.7</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9.1</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2.62</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2.69</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2.73</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10.3</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10.2</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10.0</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1.71</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1.66</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42.7</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39.7</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41.5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42.7</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39.7</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41.5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0.73</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0.67</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0.68</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12.5</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12.8</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13.5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12.5</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12.8</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13.5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0.22</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0.22</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0.066</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0.066</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0.065</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1.09</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1.11</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1.08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2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tabs>
                      <w:tab w:val="left" w:pos="735"/>
                    </w:tabs>
                    <w:snapToGrid w:val="0"/>
                    <w:spacing w:line="240" w:lineRule="auto"/>
                    <w:jc w:val="center"/>
                    <w:rPr>
                      <w:rFonts w:hint="default" w:ascii="Times New Roman" w:hAnsi="Times New Roman" w:cs="Times New Roman"/>
                      <w:bCs/>
                      <w:kern w:val="2"/>
                      <w:sz w:val="21"/>
                      <w:szCs w:val="21"/>
                      <w:lang w:val="en-US" w:eastAsia="zh-CN" w:bidi="ar-SA"/>
                    </w:rPr>
                  </w:pPr>
                  <w:r>
                    <w:rPr>
                      <w:rFonts w:hint="default" w:ascii="Times New Roman" w:hAnsi="Times New Roman" w:eastAsia="宋体" w:cs="Times New Roman"/>
                      <w:b w:val="0"/>
                      <w:bCs/>
                      <w:sz w:val="21"/>
                      <w:szCs w:val="21"/>
                      <w:lang w:val="en-US" w:eastAsia="zh-CN"/>
                    </w:rPr>
                    <w:t>备注</w:t>
                  </w:r>
                </w:p>
              </w:tc>
              <w:tc>
                <w:tcPr>
                  <w:tcW w:w="3786" w:type="pct"/>
                  <w:gridSpan w:val="5"/>
                  <w:noWrap w:val="0"/>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排气筒尺寸：</w:t>
                  </w:r>
                  <w:r>
                    <w:rPr>
                      <w:rFonts w:hint="eastAsia" w:ascii="Times New Roman" w:hAnsi="Times New Roman" w:eastAsia="宋体" w:cs="Times New Roman"/>
                      <w:b w:val="0"/>
                      <w:bCs/>
                      <w:sz w:val="21"/>
                      <w:szCs w:val="21"/>
                      <w:lang w:val="en-US" w:eastAsia="zh-CN"/>
                    </w:rPr>
                    <w:t>0.63</w:t>
                  </w:r>
                  <w:r>
                    <w:rPr>
                      <w:rFonts w:hint="eastAsia" w:ascii="Times New Roman" w:hAnsi="Times New Roman" w:eastAsia="宋体" w:cs="Times New Roman"/>
                      <w:b w:val="0"/>
                      <w:bCs/>
                      <w:color w:val="auto"/>
                      <w:sz w:val="21"/>
                      <w:szCs w:val="21"/>
                      <w:lang w:val="en-US" w:eastAsia="zh-CN"/>
                    </w:rPr>
                    <w:t>m</w:t>
                  </w:r>
                  <w:r>
                    <w:rPr>
                      <w:rFonts w:hint="default" w:ascii="Arial" w:hAnsi="Arial" w:eastAsia="宋体" w:cs="Arial"/>
                      <w:bCs/>
                      <w:sz w:val="21"/>
                      <w:szCs w:val="21"/>
                      <w:lang w:val="en-US" w:eastAsia="zh-CN"/>
                    </w:rPr>
                    <w:t>×</w:t>
                  </w:r>
                  <w:r>
                    <w:rPr>
                      <w:rFonts w:hint="eastAsia" w:ascii="Times New Roman" w:hAnsi="Times New Roman" w:eastAsia="宋体" w:cs="Times New Roman"/>
                      <w:b w:val="0"/>
                      <w:bCs/>
                      <w:sz w:val="21"/>
                      <w:szCs w:val="21"/>
                      <w:lang w:val="en-US" w:eastAsia="zh-CN"/>
                    </w:rPr>
                    <w:t>0.8</w:t>
                  </w:r>
                  <w:r>
                    <w:rPr>
                      <w:rFonts w:hint="eastAsia" w:ascii="Times New Roman" w:hAnsi="Times New Roman" w:eastAsia="宋体" w:cs="Times New Roman"/>
                      <w:b w:val="0"/>
                      <w:bCs/>
                      <w:color w:val="auto"/>
                      <w:sz w:val="21"/>
                      <w:szCs w:val="21"/>
                      <w:lang w:val="en-US" w:eastAsia="zh-CN"/>
                    </w:rPr>
                    <w:t>m。</w:t>
                  </w:r>
                </w:p>
              </w:tc>
            </w:tr>
          </w:tbl>
          <w:p>
            <w:pPr>
              <w:pStyle w:val="2"/>
              <w:jc w:val="both"/>
              <w:rPr>
                <w:vertAlign w:val="baseline"/>
              </w:rPr>
            </w:pPr>
          </w:p>
        </w:tc>
      </w:tr>
    </w:tbl>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17"/>
              <w:spacing w:before="98"/>
              <w:ind w:left="64" w:right="107"/>
              <w:jc w:val="center"/>
              <w:rPr>
                <w:rFonts w:hint="default" w:ascii="Times New Roman" w:hAnsi="Times New Roman" w:cs="Times New Roman"/>
                <w:bCs/>
                <w:sz w:val="24"/>
                <w:szCs w:val="24"/>
                <w:lang w:val="en-US" w:eastAsia="zh-CN"/>
              </w:rPr>
            </w:pPr>
            <w:r>
              <w:rPr>
                <w:rFonts w:hint="default" w:ascii="Times New Roman" w:hAnsi="Times New Roman" w:cs="Times New Roman"/>
                <w:b/>
                <w:sz w:val="21"/>
              </w:rPr>
              <w:t>表 6.2-</w:t>
            </w:r>
            <w:r>
              <w:rPr>
                <w:rFonts w:hint="eastAsia" w:ascii="Times New Roman" w:hAnsi="Times New Roman" w:cs="Times New Roman"/>
                <w:b/>
                <w:sz w:val="21"/>
                <w:lang w:val="en-US" w:eastAsia="zh-CN"/>
              </w:rPr>
              <w:t>2</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喷漆房出口</w:t>
            </w:r>
            <w:r>
              <w:rPr>
                <w:rFonts w:hint="default" w:ascii="Times New Roman" w:hAnsi="Times New Roman" w:cs="Times New Roman"/>
                <w:b/>
                <w:sz w:val="21"/>
              </w:rPr>
              <w:t>监测结果一览表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460" w:lineRule="exact"/>
              <w:ind w:right="66" w:rightChars="30"/>
              <w:jc w:val="center"/>
              <w:textAlignment w:val="auto"/>
              <w:outlineLvl w:val="9"/>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表6</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82"/>
              <w:gridCol w:w="1785"/>
              <w:gridCol w:w="1718"/>
              <w:gridCol w:w="1785"/>
              <w:gridCol w:w="94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5"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2022年3月24日</w:t>
                  </w:r>
                  <w:r>
                    <w:rPr>
                      <w:rFonts w:hint="eastAsia" w:ascii="Times New Roman" w:hAnsi="Times New Roman" w:cs="Times New Roman"/>
                      <w:bCs/>
                      <w:sz w:val="21"/>
                      <w:szCs w:val="21"/>
                      <w:lang w:eastAsia="zh-CN"/>
                    </w:rPr>
                    <w:t>（喷漆房出口</w:t>
                  </w:r>
                  <w:r>
                    <w:rPr>
                      <w:rFonts w:hint="eastAsia" w:ascii="Times New Roman" w:hAnsi="Times New Roman" w:cs="Times New Roman"/>
                      <w:bCs/>
                      <w:sz w:val="21"/>
                      <w:szCs w:val="21"/>
                      <w:lang w:val="en-US" w:eastAsia="zh-CN"/>
                    </w:rPr>
                    <w:t>G2</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3810</wp:posOffset>
                            </wp:positionV>
                            <wp:extent cx="1531620" cy="571500"/>
                            <wp:effectExtent l="1905" t="4445" r="9525" b="14605"/>
                            <wp:wrapNone/>
                            <wp:docPr id="25" name="直接连接符 25"/>
                            <wp:cNvGraphicFramePr/>
                            <a:graphic xmlns:a="http://schemas.openxmlformats.org/drawingml/2006/main">
                              <a:graphicData uri="http://schemas.microsoft.com/office/word/2010/wordprocessingShape">
                                <wps:wsp>
                                  <wps:cNvCnPr/>
                                  <wps:spPr>
                                    <a:xfrm>
                                      <a:off x="0" y="0"/>
                                      <a:ext cx="1531620" cy="571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5pt;width:120.6pt;z-index:251668480;mso-width-relative:page;mso-height-relative:page;" filled="f" stroked="t" coordsize="21600,21600" o:gfxdata="UEsDBAoAAAAAAIdO4kAAAAAAAAAAAAAAAAAEAAAAZHJzL1BLAwQUAAAACACHTuJAY3UiwtUAAAAH&#10;AQAADwAAAGRycy9kb3ducmV2LnhtbE2PzU7DMBCE70i8g7VIXKrWjpEiGrLpAciNCwXEdZssSUS8&#10;TmP3B54ec4LjaEYz35SbsxvVkecweEHIVgYUS+PbQTqE15d6eQsqRJKWRi+M8MUBNtXlRUlF60/y&#10;zMdt7FQqkVAQQh/jVGgdmp4dhZWfWJL34WdHMcm50+1Mp1TuRm2NybWjQdJCTxPf99x8bg8OIdRv&#10;vK+/F83CvN90nu3+4emREK+vMnMHKvI5/oXhFz+hQ5WYdv4gbVAjwjKzNkURclDJtnadru0Q1iYH&#10;XZX6P3/1A1BLAwQUAAAACACHTuJABv6fd/wBAADrAwAADgAAAGRycy9lMm9Eb2MueG1srVPNjtMw&#10;EL4j8Q6W7zRNURc2arqHLcsFQSXgAaaOk1jynzxu074EL4DEDU4cufM2uzwGY6fbheXSAzk4Y8/4&#10;m/k+zyyu9kaznQyonK15OZlyJq1wjbJdzT9+uHn2kjOMYBvQzsqaHyTyq+XTJ4vBV3LmeqcbGRiB&#10;WKwGX/M+Rl8VBYpeGsCJ89KSs3XBQKRt6IomwEDoRhez6fSiGFxofHBCItLpanTyI2I4B9C1rRJy&#10;5cTWSBtH1CA1RKKEvfLIl7natpUivmtblJHpmhPTmFdKQvYmrcVyAVUXwPdKHEuAc0p4xMmAspT0&#10;BLWCCGwb1D9QRong0LVxIpwpRiJZEWJRTh9p874HLzMXkhr9SXT8f7Di7W4dmGpqPptzZsHQi999&#10;/nH76euvn19ovfv+jZGHZBo8VhR9bdfhuEO/Donzvg0m/YkN22dpDydp5T4yQYfl/Hl5MSPVBfnm&#10;L8r5NGtfPNz2AeNr6QxLRs21sok6VLB7g5EyUuh9SDrWlg01v5ynsgVQH7b0/mQaT1zQdvkuOq2a&#10;G6V1uoGh21zrwHaQeiF/iRfh/hWWkqwA+zEuu8Yu6SU0r2zD4sGTSJaGg6cSjGw405JmKVkECFUE&#10;pc+JpNTaUgVJ2lHMZG1cc6A32fqgup6UKHOVyUM9kOs99mtqsj/3GelhR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N1IsLVAAAABwEAAA8AAAAAAAAAAQAgAAAAIgAAAGRycy9kb3ducmV2Lnht&#10;bFBLAQIUABQAAAAIAIdO4kAG/p93/AEAAOsDAAAOAAAAAAAAAAEAIAAAACQBAABkcnMvZTJvRG9j&#10;LnhtbFBLBQYAAAAABgAGAFkBAACSBQ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1</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2-2</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3</w:t>
                  </w:r>
                </w:p>
              </w:tc>
              <w:tc>
                <w:tcPr>
                  <w:tcW w:w="49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13"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18.5</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18.3</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18.1</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2.61</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2.58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2.55</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18.8</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19.1</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19.2</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1.64</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1.66</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8.0</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7.6</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7.3</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8.0</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7.6</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7.3</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0.12</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4.08</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4.18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3.69</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4.08</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4.18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3.69</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0.07</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1.15</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1.33</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5.9</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5"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2022年3月25日</w:t>
                  </w:r>
                  <w:r>
                    <w:rPr>
                      <w:rFonts w:hint="eastAsia" w:ascii="Times New Roman" w:hAnsi="Times New Roman" w:cs="Times New Roman"/>
                      <w:bCs/>
                      <w:sz w:val="21"/>
                      <w:szCs w:val="21"/>
                      <w:lang w:eastAsia="zh-CN"/>
                    </w:rPr>
                    <w:t>（喷漆房出口</w:t>
                  </w:r>
                  <w:r>
                    <w:rPr>
                      <w:rFonts w:hint="eastAsia" w:ascii="Times New Roman" w:hAnsi="Times New Roman" w:cs="Times New Roman"/>
                      <w:bCs/>
                      <w:sz w:val="21"/>
                      <w:szCs w:val="21"/>
                      <w:lang w:val="en-US" w:eastAsia="zh-CN"/>
                    </w:rPr>
                    <w:t>G2</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3810</wp:posOffset>
                            </wp:positionV>
                            <wp:extent cx="1529080" cy="572770"/>
                            <wp:effectExtent l="1905" t="4445" r="12065" b="13335"/>
                            <wp:wrapNone/>
                            <wp:docPr id="24" name="直接连接符 24"/>
                            <wp:cNvGraphicFramePr/>
                            <a:graphic xmlns:a="http://schemas.openxmlformats.org/drawingml/2006/main">
                              <a:graphicData uri="http://schemas.microsoft.com/office/word/2010/wordprocessingShape">
                                <wps:wsp>
                                  <wps:cNvCnPr/>
                                  <wps:spPr>
                                    <a:xfrm>
                                      <a:off x="0" y="0"/>
                                      <a:ext cx="1529080" cy="5727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5.1pt;width:120.4pt;z-index:251669504;mso-width-relative:page;mso-height-relative:page;" filled="f" stroked="t" coordsize="21600,21600" o:gfxdata="UEsDBAoAAAAAAIdO4kAAAAAAAAAAAAAAAAAEAAAAZHJzL1BLAwQUAAAACACHTuJAL8Oz69QAAAAH&#10;AQAADwAAAGRycy9kb3ducmV2LnhtbE2OzU7DMBCE70i8g7VIXKrWjpGqEOL0AOTGhQLiuk2WJCJe&#10;p7H7A0/PcoLbjGY085Wbsx/VkeY4BHaQrQwo4ia0A3cOXl/qZQ4qJuQWx8Dk4IsibKrLixKLNpz4&#10;mY7b1CkZ4Viggz6lqdA6Nj15jKswEUv2EWaPSezc6XbGk4z7UVtj1trjwPLQ40T3PTWf24N3EOs3&#10;2tffi2Zh3m+6QHb/8PSIzl1fZeYOVKJz+ivDL76gQyVMu3DgNqrRwTKzVqoO1qAktjYXsXNwa3LQ&#10;Van/81c/UEsDBBQAAAAIAIdO4kCDcD9v/QEAAOsDAAAOAAAAZHJzL2Uyb0RvYy54bWytU82O0zAQ&#10;viPxDpbvNG1E6W7UdA9blguCSsADTB0nseQ/edymfQleAIkbnDhy5212eQzGTtmF5dIDOThjz/ib&#10;+T7PLK8ORrO9DKicrflsMuVMWuEaZbuaf3h/8+yCM4xgG9DOypofJfKr1dMny8FXsnS9040MjEAs&#10;VoOveR+jr4oCRS8N4MR5acnZumAg0jZ0RRNgIHSji3I6fVEMLjQ+OCER6XQ9OvkJMZwD6NpWCbl2&#10;YmekjSNqkBoiUcJeeeSrXG3bShHfti3KyHTNiWnMKyUhe5vWYrWEqgvgeyVOJcA5JTziZEBZSnoP&#10;tYYIbBfUP1BGieDQtXEinClGIlkRYjGbPtLmXQ9eZi4kNfp70fH/wYo3+01gqql5+ZwzC4Ze/O7T&#10;99uPX37++Ezr3bevjDwk0+CxouhruwmnHfpNSJwPbTDpT2zYIUt7vJdWHiITdDibl5fTC1JdkG++&#10;KBeLrH3xcNsHjK+kMywZNdfKJupQwf41RspIob9D0rG2bKj55bycEyZQH7b0/mQaT1zQdvkuOq2a&#10;G6V1uoGh217rwPaQeiF/iRfh/hWWkqwB+zEuu8Yu6SU0L23D4tGTSJaGg6cSjGw405JmKVkECFUE&#10;pc+JpNTaUgVJ2lHMZG1dc6Q32fmgup6UmOUqk4d6INd76tfUZH/uM9LDjK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s+vUAAAABwEAAA8AAAAAAAAAAQAgAAAAIgAAAGRycy9kb3ducmV2Lnht&#10;bFBLAQIUABQAAAAIAIdO4kCDcD9v/QEAAOsDAAAOAAAAAAAAAAEAIAAAACMBAABkcnMvZTJvRG9j&#10;LnhtbFBLBQYAAAAABgAGAFkBAACSBQ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2-5</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49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13"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17.8</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17.6</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17.4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2.71</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2.67</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2.63</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19.4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19.1</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18.9</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1.69</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1.67</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1.65</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7.7</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7.8</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7.7</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7.8</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30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4.01</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4.01</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0.007</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70</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1.18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1.34</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6"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1.32</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5.9</w:t>
                  </w:r>
                </w:p>
              </w:tc>
              <w:tc>
                <w:tcPr>
                  <w:tcW w:w="513"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bl>
          <w:p>
            <w:pPr>
              <w:pStyle w:val="2"/>
              <w:jc w:val="both"/>
              <w:rPr>
                <w:vertAlign w:val="baseline"/>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84"/>
              <w:gridCol w:w="1782"/>
              <w:gridCol w:w="1715"/>
              <w:gridCol w:w="1782"/>
              <w:gridCol w:w="94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3" w:type="pct"/>
                  <w:gridSpan w:val="2"/>
                  <w:noWrap w:val="0"/>
                  <w:vAlign w:val="center"/>
                </w:tcPr>
                <w:p>
                  <w:pPr>
                    <w:tabs>
                      <w:tab w:val="left" w:pos="735"/>
                    </w:tabs>
                    <w:snapToGrid w:val="0"/>
                    <w:spacing w:line="240" w:lineRule="auto"/>
                    <w:jc w:val="center"/>
                    <w:rPr>
                      <w:rFonts w:hint="default" w:ascii="Times New Roman" w:hAnsi="Times New Roman" w:cs="Times New Roman"/>
                      <w:bCs/>
                      <w:kern w:val="2"/>
                      <w:sz w:val="21"/>
                      <w:szCs w:val="21"/>
                      <w:lang w:val="en-US" w:eastAsia="zh-CN" w:bidi="ar-SA"/>
                    </w:rPr>
                  </w:pPr>
                  <w:r>
                    <w:rPr>
                      <w:rFonts w:hint="eastAsia" w:ascii="Times New Roman" w:hAnsi="Times New Roman" w:eastAsia="宋体" w:cs="Times New Roman"/>
                      <w:b w:val="0"/>
                      <w:bCs/>
                      <w:sz w:val="21"/>
                      <w:szCs w:val="21"/>
                      <w:lang w:val="en-US" w:eastAsia="zh-CN"/>
                    </w:rPr>
                    <w:t>标准依据</w:t>
                  </w:r>
                </w:p>
              </w:tc>
              <w:tc>
                <w:tcPr>
                  <w:tcW w:w="3786" w:type="pct"/>
                  <w:gridSpan w:val="5"/>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color w:val="auto"/>
                      <w:sz w:val="21"/>
                      <w:szCs w:val="21"/>
                      <w:lang w:val="en-US" w:eastAsia="zh-CN"/>
                    </w:rPr>
                    <w:t>二甲苯执行</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val="en-US" w:eastAsia="zh-CN"/>
                    </w:rPr>
                    <w:t>大气污染物综合排放标准</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val="en-US" w:eastAsia="zh-CN"/>
                    </w:rPr>
                    <w:t>DB50/418-2016表1；其它执行</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eastAsia="zh-CN"/>
                    </w:rPr>
                    <w:t>合成树脂工业污染物排放标准</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eastAsia="zh-CN"/>
                    </w:rPr>
                    <w:t>GB 31572-2015</w:t>
                  </w:r>
                  <w:r>
                    <w:rPr>
                      <w:rFonts w:hint="eastAsia" w:ascii="Times New Roman" w:hAnsi="Times New Roman" w:cs="Times New Roman"/>
                      <w:bCs/>
                      <w:color w:val="auto"/>
                      <w:sz w:val="21"/>
                      <w:szCs w:val="21"/>
                      <w:lang w:val="en-US" w:eastAsia="zh-CN"/>
                    </w:rPr>
                    <w:t xml:space="preserve">表4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3" w:type="pct"/>
                  <w:gridSpan w:val="2"/>
                  <w:noWrap w:val="0"/>
                  <w:vAlign w:val="center"/>
                </w:tcPr>
                <w:p>
                  <w:pPr>
                    <w:tabs>
                      <w:tab w:val="left" w:pos="735"/>
                    </w:tabs>
                    <w:snapToGrid w:val="0"/>
                    <w:spacing w:line="240" w:lineRule="auto"/>
                    <w:jc w:val="center"/>
                    <w:rPr>
                      <w:rFonts w:hint="default" w:ascii="Times New Roman" w:hAnsi="Times New Roman" w:cs="Times New Roman"/>
                      <w:bCs/>
                      <w:kern w:val="2"/>
                      <w:sz w:val="21"/>
                      <w:szCs w:val="21"/>
                      <w:lang w:val="en-US" w:eastAsia="zh-CN" w:bidi="ar-SA"/>
                    </w:rPr>
                  </w:pPr>
                  <w:r>
                    <w:rPr>
                      <w:rFonts w:hint="default" w:ascii="Times New Roman" w:hAnsi="Times New Roman" w:eastAsia="宋体" w:cs="Times New Roman"/>
                      <w:b w:val="0"/>
                      <w:bCs/>
                      <w:sz w:val="21"/>
                      <w:szCs w:val="21"/>
                      <w:lang w:val="en-US" w:eastAsia="zh-CN"/>
                    </w:rPr>
                    <w:t>备注</w:t>
                  </w:r>
                </w:p>
              </w:tc>
              <w:tc>
                <w:tcPr>
                  <w:tcW w:w="3786" w:type="pct"/>
                  <w:gridSpan w:val="5"/>
                  <w:noWrap w:val="0"/>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排气筒高度：</w:t>
                  </w:r>
                  <w:r>
                    <w:rPr>
                      <w:rFonts w:hint="eastAsia" w:ascii="Times New Roman" w:hAnsi="Times New Roman" w:cs="Times New Roman"/>
                      <w:bCs/>
                      <w:sz w:val="21"/>
                      <w:szCs w:val="21"/>
                      <w:lang w:val="en-US" w:eastAsia="zh-CN"/>
                    </w:rPr>
                    <w:t>30</w:t>
                  </w:r>
                  <w:r>
                    <w:rPr>
                      <w:rFonts w:hint="default" w:ascii="Times New Roman" w:hAnsi="Times New Roman" w:cs="Times New Roman"/>
                      <w:bCs/>
                      <w:sz w:val="21"/>
                      <w:szCs w:val="21"/>
                    </w:rPr>
                    <w:t>m；排气筒尺寸：</w:t>
                  </w:r>
                  <w:r>
                    <w:rPr>
                      <w:rFonts w:hint="eastAsia" w:ascii="Times New Roman" w:hAnsi="Times New Roman" w:eastAsia="宋体" w:cs="Times New Roman"/>
                      <w:b w:val="0"/>
                      <w:bCs/>
                      <w:sz w:val="21"/>
                      <w:szCs w:val="21"/>
                      <w:lang w:val="en-US" w:eastAsia="zh-CN"/>
                    </w:rPr>
                    <w:t>0.50</w:t>
                  </w:r>
                  <w:r>
                    <w:rPr>
                      <w:rFonts w:hint="eastAsia" w:ascii="Times New Roman" w:hAnsi="Times New Roman" w:eastAsia="宋体" w:cs="Times New Roman"/>
                      <w:b w:val="0"/>
                      <w:bCs/>
                      <w:color w:val="auto"/>
                      <w:sz w:val="21"/>
                      <w:szCs w:val="21"/>
                      <w:lang w:val="en-US" w:eastAsia="zh-CN"/>
                    </w:rPr>
                    <w:t>m</w:t>
                  </w:r>
                  <w:r>
                    <w:rPr>
                      <w:rFonts w:hint="default" w:ascii="Arial" w:hAnsi="Arial" w:eastAsia="宋体" w:cs="Arial"/>
                      <w:bCs/>
                      <w:sz w:val="21"/>
                      <w:szCs w:val="21"/>
                      <w:lang w:val="en-US" w:eastAsia="zh-CN"/>
                    </w:rPr>
                    <w:t>×</w:t>
                  </w:r>
                  <w:r>
                    <w:rPr>
                      <w:rFonts w:hint="eastAsia" w:ascii="Times New Roman" w:hAnsi="Times New Roman" w:eastAsia="宋体" w:cs="Times New Roman"/>
                      <w:b w:val="0"/>
                      <w:bCs/>
                      <w:sz w:val="21"/>
                      <w:szCs w:val="21"/>
                      <w:lang w:val="en-US" w:eastAsia="zh-CN"/>
                    </w:rPr>
                    <w:t>0.55</w:t>
                  </w:r>
                  <w:r>
                    <w:rPr>
                      <w:rFonts w:hint="eastAsia" w:ascii="Times New Roman" w:hAnsi="Times New Roman" w:eastAsia="宋体" w:cs="Times New Roman"/>
                      <w:b w:val="0"/>
                      <w:bCs/>
                      <w:color w:val="auto"/>
                      <w:sz w:val="21"/>
                      <w:szCs w:val="21"/>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6"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2022年3月24日</w:t>
                  </w:r>
                  <w:r>
                    <w:rPr>
                      <w:rFonts w:hint="eastAsia" w:ascii="Times New Roman" w:hAnsi="Times New Roman" w:cs="Times New Roman"/>
                      <w:bCs/>
                      <w:sz w:val="21"/>
                      <w:szCs w:val="21"/>
                      <w:lang w:eastAsia="zh-CN"/>
                    </w:rPr>
                    <w:t>（喷漆房出口</w:t>
                  </w:r>
                  <w:r>
                    <w:rPr>
                      <w:rFonts w:hint="eastAsia" w:ascii="Times New Roman" w:hAnsi="Times New Roman" w:cs="Times New Roman"/>
                      <w:bCs/>
                      <w:sz w:val="21"/>
                      <w:szCs w:val="21"/>
                      <w:lang w:val="en-US" w:eastAsia="zh-CN"/>
                    </w:rPr>
                    <w:t>G4</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70528" behindDoc="0" locked="0" layoutInCell="1" allowOverlap="1">
                            <wp:simplePos x="0" y="0"/>
                            <wp:positionH relativeFrom="column">
                              <wp:posOffset>-77470</wp:posOffset>
                            </wp:positionH>
                            <wp:positionV relativeFrom="paragraph">
                              <wp:posOffset>3810</wp:posOffset>
                            </wp:positionV>
                            <wp:extent cx="1537970" cy="614045"/>
                            <wp:effectExtent l="1905" t="4445" r="3175" b="10160"/>
                            <wp:wrapNone/>
                            <wp:docPr id="30" name="直接连接符 30"/>
                            <wp:cNvGraphicFramePr/>
                            <a:graphic xmlns:a="http://schemas.openxmlformats.org/drawingml/2006/main">
                              <a:graphicData uri="http://schemas.microsoft.com/office/word/2010/wordprocessingShape">
                                <wps:wsp>
                                  <wps:cNvCnPr/>
                                  <wps:spPr>
                                    <a:xfrm>
                                      <a:off x="0" y="0"/>
                                      <a:ext cx="1537970" cy="6140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8.35pt;width:121.1pt;z-index:251670528;mso-width-relative:page;mso-height-relative:page;" filled="f" stroked="t" coordsize="21600,21600" o:gfxdata="UEsDBAoAAAAAAIdO4kAAAAAAAAAAAAAAAAAEAAAAZHJzL1BLAwQUAAAACACHTuJAm5LxctYAAAAH&#10;AQAADwAAAGRycy9kb3ducmV2LnhtbE2PzU7DMBCE70i8g7VIXKrWjiOVNsTpAciNCy2IqxsvSUS8&#10;TmP3B56e5QTH0Yxmvik3Fz+IE06xD2QgWygQSE1wPbUGXnf1fAUiJkvODoHQwBdG2FTXV6UtXDjT&#10;C562qRVcQrGwBrqUxkLK2HTobVyEEYm9jzB5m1hOrXSTPXO5H6RWaim97YkXOjviQ4fN5/boDcT6&#10;DQ/196yZqfe8DagPj89P1pjbm0zdg0h4SX9h+MVndKiYaR+O5KIYDMwzrTlqYAmCbZ0rvrY3sL7L&#10;QVal/M9f/QBQSwMEFAAAAAgAh07iQDfz2jf7AQAA6wMAAA4AAABkcnMvZTJvRG9jLnhtbK1TzW4T&#10;MRC+I/EOlu9kk7Rp6SqbHhrKBUEk6ANMvN5dS/6Tx8kmL8ELIHGDE0fuvA3lMTr2hhTKJQf24B17&#10;Pn+e7/N4fr0zmm1lQOVsxSejMWfSClcr21b87sPti5ecYQRbg3ZWVnwvkV8vnj+b976UU9c5XcvA&#10;iMRi2fuKdzH6sihQdNIAjpyXlpKNCwYiTUNb1AF6Yje6mI7HF0XvQu2DExKRVpdDkh8YwymErmmU&#10;kEsnNkbaOLAGqSGSJOyUR77I1TaNFPFd06CMTFeclMY80iEUr9NYLOZQtgF8p8ShBDilhCeaDChL&#10;hx6plhCBbYL6h8ooERy6Jo6EM8UgJDtCKibjJ96878DLrIWsRn80Hf8frXi7XQWm6oqfkSUWDN34&#10;/afvPz9++fXjM433374yypBNvceS0Dd2FQ4z9KuQNO+aYNKf1LBdtnZ/tFbuIhO0OJmdXV5d0hGC&#10;cheT8/H5LJEWj7t9wPhaOsNSUHGtbJIOJWzfYBygvyFpWVvWV/xqNp0RJ1AfNnT/FBpPWtC2eS86&#10;repbpXXagaFd3+jAtpB6IX+HEv6CpUOWgN2Ay6kEg7KTUL+yNYt7TyZZehw8lWBkzZmW9JZSlJER&#10;lD4FSeq1JROStYOZKVq7ek93svFBtR05MclVpgz1QLbs0K+pyf6cZ6bHN7p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uS8XLWAAAABwEAAA8AAAAAAAAAAQAgAAAAIgAAAGRycy9kb3ducmV2Lnht&#10;bFBLAQIUABQAAAAIAIdO4kA389o3+wEAAOsDAAAOAAAAAAAAAAEAIAAAACUBAABkcnMvZTJvRG9j&#10;LnhtbFBLBQYAAAAABgAGAFkBAACSBQ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4-2</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3</w:t>
                  </w:r>
                </w:p>
              </w:tc>
              <w:tc>
                <w:tcPr>
                  <w:tcW w:w="494"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2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16.5</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16.3</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16.2</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2.75</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2.78</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2.81</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13.2</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13.7</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13.9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2.36</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2.45</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2.49</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7.4</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7.6</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7.1</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7.4</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7.6</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0.17</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0.18</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4.55</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3.88</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4.06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4.55</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3.88</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0.10</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0.11</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0.10</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0.008</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1.89</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2.20</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2.24</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5.9</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786"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2022年3月25日</w:t>
                  </w:r>
                  <w:r>
                    <w:rPr>
                      <w:rFonts w:hint="eastAsia" w:ascii="Times New Roman" w:hAnsi="Times New Roman" w:cs="Times New Roman"/>
                      <w:bCs/>
                      <w:sz w:val="21"/>
                      <w:szCs w:val="21"/>
                      <w:lang w:eastAsia="zh-CN"/>
                    </w:rPr>
                    <w:t>（喷漆房出口</w:t>
                  </w:r>
                  <w:r>
                    <w:rPr>
                      <w:rFonts w:hint="eastAsia" w:ascii="Times New Roman" w:hAnsi="Times New Roman" w:cs="Times New Roman"/>
                      <w:bCs/>
                      <w:sz w:val="21"/>
                      <w:szCs w:val="21"/>
                      <w:lang w:val="en-US" w:eastAsia="zh-CN"/>
                    </w:rPr>
                    <w:t>G4</w:t>
                  </w:r>
                  <w:r>
                    <w:rPr>
                      <w:rFonts w:hint="eastAsia"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color w:val="000000"/>
                      <w:sz w:val="21"/>
                      <w:szCs w:val="21"/>
                    </w:rPr>
                    <mc:AlternateContent>
                      <mc:Choice Requires="wps">
                        <w:drawing>
                          <wp:anchor distT="0" distB="0" distL="114300" distR="114300" simplePos="0" relativeHeight="251671552" behindDoc="0" locked="0" layoutInCell="1" allowOverlap="1">
                            <wp:simplePos x="0" y="0"/>
                            <wp:positionH relativeFrom="column">
                              <wp:posOffset>-77470</wp:posOffset>
                            </wp:positionH>
                            <wp:positionV relativeFrom="paragraph">
                              <wp:posOffset>3810</wp:posOffset>
                            </wp:positionV>
                            <wp:extent cx="1529080" cy="572770"/>
                            <wp:effectExtent l="1905" t="4445" r="12065" b="13335"/>
                            <wp:wrapNone/>
                            <wp:docPr id="31" name="直接连接符 31"/>
                            <wp:cNvGraphicFramePr/>
                            <a:graphic xmlns:a="http://schemas.openxmlformats.org/drawingml/2006/main">
                              <a:graphicData uri="http://schemas.microsoft.com/office/word/2010/wordprocessingShape">
                                <wps:wsp>
                                  <wps:cNvCnPr/>
                                  <wps:spPr>
                                    <a:xfrm>
                                      <a:off x="0" y="0"/>
                                      <a:ext cx="1529080" cy="5727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0.3pt;height:45.1pt;width:120.4pt;z-index:251671552;mso-width-relative:page;mso-height-relative:page;" filled="f" stroked="t" coordsize="21600,21600" o:gfxdata="UEsDBAoAAAAAAIdO4kAAAAAAAAAAAAAAAAAEAAAAZHJzL1BLAwQUAAAACACHTuJAL8Oz69QAAAAH&#10;AQAADwAAAGRycy9kb3ducmV2LnhtbE2OzU7DMBCE70i8g7VIXKrWjpGqEOL0AOTGhQLiuk2WJCJe&#10;p7H7A0/PcoLbjGY085Wbsx/VkeY4BHaQrQwo4ia0A3cOXl/qZQ4qJuQWx8Dk4IsibKrLixKLNpz4&#10;mY7b1CkZ4Viggz6lqdA6Nj15jKswEUv2EWaPSezc6XbGk4z7UVtj1trjwPLQ40T3PTWf24N3EOs3&#10;2tffi2Zh3m+6QHb/8PSIzl1fZeYOVKJz+ivDL76gQyVMu3DgNqrRwTKzVqoO1qAktjYXsXNwa3LQ&#10;Van/81c/UEsDBBQAAAAIAIdO4kCKLAGq/AEAAOsDAAAOAAAAZHJzL2Uyb0RvYy54bWytU82O0zAQ&#10;viPxDpbvNG1R6W7UdA9blguCSrAPMHWcxJL/5HGb9iV4ASRucOLInbfZ5TF27JQuLJceyMEZe8bf&#10;zPd5ZnG1N5rtZEDlbMUnozFn0gpXK9tW/PbjzYsLzjCCrUE7Kyt+kMivls+fLXpfyqnrnK5lYARi&#10;sex9xbsYfVkUKDppAEfOS0vOxgUDkbahLeoAPaEbXUzH41dF70LtgxMSkU5Xg5MfEcM5gK5plJAr&#10;J7ZG2jigBqkhEiXslEe+zNU2jRTxfdOgjExXnJjGvFISsjdpLZYLKNsAvlPiWAKcU8ITTgaUpaQn&#10;qBVEYNug/oEySgSHrokj4UwxEMmKEIvJ+Ik2HzrwMnMhqdGfRMf/Byve7daBqbriLyecWTD04vef&#10;f9x9+vrr5xda779/Y+QhmXqPJUVf23U47tCvQ+K8b4JJf2LD9lnaw0lauY9M0OFkNr0cX5Dqgnyz&#10;+XQ+z9oXj7d9wPhGOsOSUXGtbKIOJezeYqSMFPo7JB1ry/qKX86mM8IE6sOG3p9M44kL2jbfRadV&#10;faO0TjcwtJtrHdgOUi/kL/Ei3L/CUpIVYDfEZdfQJZ2E+rWtWTx4EsnScPBUgpE1Z1rSLCWLAKGM&#10;oPQ5kZRaW6ogSTuImayNqw/0JlsfVNuREln9HEM9kOs99mtqsj/3GelxR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8Oz69QAAAAHAQAADwAAAAAAAAABACAAAAAiAAAAZHJzL2Rvd25yZXYueG1s&#10;UEsBAhQAFAAAAAgAh07iQIosAar8AQAA6wMAAA4AAAAAAAAAAQAgAAAAIw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cs="Times New Roman"/>
                      <w:bCs/>
                      <w:sz w:val="21"/>
                      <w:szCs w:val="21"/>
                      <w:lang w:val="en-US" w:eastAsia="zh-CN"/>
                    </w:rPr>
                    <w:t xml:space="preserve">       </w:t>
                  </w:r>
                  <w:r>
                    <w:rPr>
                      <w:rFonts w:hint="eastAsia"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监测项目</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4-5</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val="en-US" w:eastAsia="zh-CN"/>
                    </w:rPr>
                    <w:t>2203031</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4</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494"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2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排气温度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15.9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15.8</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15.7</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2.78</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2.73</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2.67</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13.5</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13.3</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12.6</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2.43</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2.38</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2.26</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颗粒物</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7.7</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7.2</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7.7</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7.2</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30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0.18</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0.16</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非甲烷总烃</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5.36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5.07</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4.39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5.36</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5.07</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4.39</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0.13</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0.12</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0.10</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0.010</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0.009</w:t>
                  </w:r>
                </w:p>
              </w:tc>
              <w:tc>
                <w:tcPr>
                  <w:tcW w:w="935"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0.010</w:t>
                  </w:r>
                </w:p>
              </w:tc>
              <w:tc>
                <w:tcPr>
                  <w:tcW w:w="49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70</w:t>
                  </w:r>
                </w:p>
              </w:tc>
              <w:tc>
                <w:tcPr>
                  <w:tcW w:w="52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bl>
          <w:p>
            <w:pPr>
              <w:pStyle w:val="2"/>
              <w:jc w:val="both"/>
              <w:rPr>
                <w:rFonts w:hint="default" w:eastAsia="宋体"/>
                <w:vertAlign w:val="baseline"/>
                <w:lang w:val="en-US" w:eastAsia="zh-CN"/>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182"/>
              <w:gridCol w:w="1789"/>
              <w:gridCol w:w="1716"/>
              <w:gridCol w:w="1789"/>
              <w:gridCol w:w="94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619"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3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2.19</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2.14</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3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2.26</w:t>
                  </w:r>
                  <w:r>
                    <w:rPr>
                      <w:rFonts w:hint="default" w:ascii="Arial" w:hAnsi="Arial" w:eastAsia="宋体" w:cs="Arial"/>
                      <w:bCs/>
                      <w:sz w:val="21"/>
                      <w:szCs w:val="21"/>
                      <w:lang w:val="en-US" w:eastAsia="zh-CN"/>
                    </w:rPr>
                    <w:t>×</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497"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5.9</w:t>
                  </w:r>
                </w:p>
              </w:tc>
              <w:tc>
                <w:tcPr>
                  <w:tcW w:w="511"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eastAsia="zh-CN"/>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14" w:type="pct"/>
                  <w:gridSpan w:val="2"/>
                  <w:noWrap w:val="0"/>
                  <w:vAlign w:val="center"/>
                </w:tcPr>
                <w:p>
                  <w:pPr>
                    <w:tabs>
                      <w:tab w:val="left" w:pos="735"/>
                    </w:tabs>
                    <w:snapToGrid w:val="0"/>
                    <w:spacing w:line="240" w:lineRule="auto"/>
                    <w:jc w:val="center"/>
                    <w:rPr>
                      <w:rFonts w:hint="default" w:ascii="Times New Roman" w:hAnsi="Times New Roman" w:cs="Times New Roman"/>
                      <w:bCs/>
                      <w:kern w:val="2"/>
                      <w:sz w:val="21"/>
                      <w:szCs w:val="21"/>
                      <w:lang w:val="en-US" w:eastAsia="zh-CN" w:bidi="ar-SA"/>
                    </w:rPr>
                  </w:pPr>
                  <w:r>
                    <w:rPr>
                      <w:rFonts w:hint="eastAsia" w:ascii="Times New Roman" w:hAnsi="Times New Roman" w:eastAsia="宋体" w:cs="Times New Roman"/>
                      <w:b w:val="0"/>
                      <w:bCs/>
                      <w:sz w:val="21"/>
                      <w:szCs w:val="21"/>
                      <w:lang w:val="en-US" w:eastAsia="zh-CN"/>
                    </w:rPr>
                    <w:t>标准依据</w:t>
                  </w:r>
                </w:p>
              </w:tc>
              <w:tc>
                <w:tcPr>
                  <w:tcW w:w="3785" w:type="pct"/>
                  <w:gridSpan w:val="5"/>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color w:val="auto"/>
                      <w:sz w:val="21"/>
                      <w:szCs w:val="21"/>
                      <w:lang w:val="en-US" w:eastAsia="zh-CN"/>
                    </w:rPr>
                    <w:t>二甲苯执行</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val="en-US" w:eastAsia="zh-CN"/>
                    </w:rPr>
                    <w:t>大气污染物综合排放标准</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val="en-US" w:eastAsia="zh-CN"/>
                    </w:rPr>
                    <w:t>DB50/418-2016表1；其它执行</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eastAsia="zh-CN"/>
                    </w:rPr>
                    <w:t>合成树脂工业污染物排放标准</w:t>
                  </w:r>
                  <w:r>
                    <w:rPr>
                      <w:rFonts w:hint="default"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eastAsia="zh-CN"/>
                    </w:rPr>
                    <w:t>GB 31572-2015</w:t>
                  </w:r>
                  <w:r>
                    <w:rPr>
                      <w:rFonts w:hint="eastAsia" w:ascii="Times New Roman" w:hAnsi="Times New Roman" w:cs="Times New Roman"/>
                      <w:bCs/>
                      <w:color w:val="auto"/>
                      <w:sz w:val="21"/>
                      <w:szCs w:val="21"/>
                      <w:lang w:val="en-US" w:eastAsia="zh-CN"/>
                    </w:rPr>
                    <w:t xml:space="preserve">表4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gridSpan w:val="2"/>
                  <w:noWrap w:val="0"/>
                  <w:vAlign w:val="center"/>
                </w:tcPr>
                <w:p>
                  <w:pPr>
                    <w:tabs>
                      <w:tab w:val="left" w:pos="735"/>
                    </w:tabs>
                    <w:snapToGrid w:val="0"/>
                    <w:spacing w:line="240" w:lineRule="auto"/>
                    <w:jc w:val="center"/>
                    <w:rPr>
                      <w:rFonts w:hint="default" w:ascii="Times New Roman" w:hAnsi="Times New Roman" w:cs="Times New Roman"/>
                      <w:bCs/>
                      <w:kern w:val="2"/>
                      <w:sz w:val="21"/>
                      <w:szCs w:val="21"/>
                      <w:lang w:val="en-US" w:eastAsia="zh-CN" w:bidi="ar-SA"/>
                    </w:rPr>
                  </w:pPr>
                  <w:r>
                    <w:rPr>
                      <w:rFonts w:hint="default" w:ascii="Times New Roman" w:hAnsi="Times New Roman" w:eastAsia="宋体" w:cs="Times New Roman"/>
                      <w:b w:val="0"/>
                      <w:bCs/>
                      <w:sz w:val="21"/>
                      <w:szCs w:val="21"/>
                      <w:lang w:val="en-US" w:eastAsia="zh-CN"/>
                    </w:rPr>
                    <w:t>备注</w:t>
                  </w:r>
                </w:p>
              </w:tc>
              <w:tc>
                <w:tcPr>
                  <w:tcW w:w="3785" w:type="pct"/>
                  <w:gridSpan w:val="5"/>
                  <w:noWrap w:val="0"/>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排气筒高度：</w:t>
                  </w:r>
                  <w:r>
                    <w:rPr>
                      <w:rFonts w:hint="eastAsia" w:ascii="Times New Roman" w:hAnsi="Times New Roman" w:cs="Times New Roman"/>
                      <w:bCs/>
                      <w:sz w:val="21"/>
                      <w:szCs w:val="21"/>
                      <w:lang w:val="en-US" w:eastAsia="zh-CN"/>
                    </w:rPr>
                    <w:t>30</w:t>
                  </w:r>
                  <w:r>
                    <w:rPr>
                      <w:rFonts w:hint="default" w:ascii="Times New Roman" w:hAnsi="Times New Roman" w:cs="Times New Roman"/>
                      <w:bCs/>
                      <w:sz w:val="21"/>
                      <w:szCs w:val="21"/>
                    </w:rPr>
                    <w:t>m；排气筒尺寸：</w:t>
                  </w:r>
                  <w:r>
                    <w:rPr>
                      <w:rFonts w:hint="eastAsia" w:ascii="Times New Roman" w:hAnsi="Times New Roman" w:eastAsia="宋体" w:cs="Times New Roman"/>
                      <w:b w:val="0"/>
                      <w:bCs/>
                      <w:sz w:val="21"/>
                      <w:szCs w:val="21"/>
                      <w:lang w:val="en-US" w:eastAsia="zh-CN"/>
                    </w:rPr>
                    <w:t>0.80</w:t>
                  </w:r>
                  <w:r>
                    <w:rPr>
                      <w:rFonts w:hint="eastAsia" w:ascii="Times New Roman" w:hAnsi="Times New Roman" w:eastAsia="宋体" w:cs="Times New Roman"/>
                      <w:b w:val="0"/>
                      <w:bCs/>
                      <w:color w:val="auto"/>
                      <w:sz w:val="21"/>
                      <w:szCs w:val="21"/>
                      <w:lang w:val="en-US" w:eastAsia="zh-CN"/>
                    </w:rPr>
                    <w:t>m</w:t>
                  </w:r>
                  <w:r>
                    <w:rPr>
                      <w:rFonts w:hint="default" w:ascii="Arial" w:hAnsi="Arial" w:eastAsia="宋体" w:cs="Arial"/>
                      <w:bCs/>
                      <w:sz w:val="21"/>
                      <w:szCs w:val="21"/>
                      <w:lang w:val="en-US" w:eastAsia="zh-CN"/>
                    </w:rPr>
                    <w:t>×</w:t>
                  </w:r>
                  <w:r>
                    <w:rPr>
                      <w:rFonts w:hint="eastAsia" w:ascii="Times New Roman" w:hAnsi="Times New Roman" w:eastAsia="宋体" w:cs="Times New Roman"/>
                      <w:b w:val="0"/>
                      <w:bCs/>
                      <w:sz w:val="21"/>
                      <w:szCs w:val="21"/>
                      <w:lang w:val="en-US" w:eastAsia="zh-CN"/>
                    </w:rPr>
                    <w:t>0.70</w:t>
                  </w:r>
                  <w:r>
                    <w:rPr>
                      <w:rFonts w:hint="eastAsia" w:ascii="Times New Roman" w:hAnsi="Times New Roman" w:eastAsia="宋体" w:cs="Times New Roman"/>
                      <w:b w:val="0"/>
                      <w:bCs/>
                      <w:color w:val="auto"/>
                      <w:sz w:val="21"/>
                      <w:szCs w:val="21"/>
                      <w:lang w:val="en-US" w:eastAsia="zh-CN"/>
                    </w:rPr>
                    <w:t>m。</w:t>
                  </w:r>
                </w:p>
              </w:tc>
            </w:tr>
          </w:tbl>
          <w:p>
            <w:pPr>
              <w:pStyle w:val="17"/>
              <w:numPr>
                <w:ilvl w:val="2"/>
                <w:numId w:val="7"/>
              </w:numPr>
              <w:tabs>
                <w:tab w:val="left" w:pos="947"/>
              </w:tabs>
              <w:spacing w:before="186" w:after="0" w:line="240" w:lineRule="auto"/>
              <w:ind w:left="946" w:right="0" w:hanging="362"/>
              <w:jc w:val="left"/>
              <w:rPr>
                <w:sz w:val="24"/>
              </w:rPr>
            </w:pPr>
            <w:r>
              <w:rPr>
                <w:rFonts w:hint="eastAsia"/>
                <w:sz w:val="24"/>
                <w:lang w:eastAsia="zh-CN"/>
              </w:rPr>
              <w:t>无</w:t>
            </w:r>
            <w:r>
              <w:rPr>
                <w:sz w:val="24"/>
              </w:rPr>
              <w:t>组织废气</w:t>
            </w:r>
          </w:p>
          <w:p>
            <w:pPr>
              <w:pStyle w:val="17"/>
              <w:spacing w:before="159" w:line="367" w:lineRule="auto"/>
              <w:ind w:left="105" w:right="96" w:firstLine="480"/>
              <w:rPr>
                <w:rFonts w:hint="default" w:eastAsia="宋体"/>
                <w:vertAlign w:val="baseline"/>
                <w:lang w:val="en-US" w:eastAsia="zh-CN"/>
              </w:rPr>
            </w:pPr>
            <w:r>
              <w:rPr>
                <w:rFonts w:ascii="Times New Roman" w:eastAsia="Times New Roman"/>
                <w:sz w:val="24"/>
              </w:rPr>
              <w:t>202</w:t>
            </w:r>
            <w:r>
              <w:rPr>
                <w:rFonts w:hint="eastAsia" w:ascii="Times New Roman" w:eastAsia="宋体"/>
                <w:sz w:val="24"/>
                <w:lang w:val="en-US" w:eastAsia="zh-CN"/>
              </w:rPr>
              <w:t>2</w:t>
            </w:r>
            <w:r>
              <w:rPr>
                <w:rFonts w:ascii="Times New Roman" w:eastAsia="Times New Roman"/>
                <w:sz w:val="24"/>
              </w:rPr>
              <w:t xml:space="preserve"> </w:t>
            </w:r>
            <w:r>
              <w:rPr>
                <w:spacing w:val="-32"/>
                <w:sz w:val="24"/>
              </w:rPr>
              <w:t xml:space="preserve">年 </w:t>
            </w:r>
            <w:r>
              <w:rPr>
                <w:rFonts w:ascii="Times New Roman" w:eastAsia="Times New Roman"/>
                <w:sz w:val="24"/>
              </w:rPr>
              <w:t>0</w:t>
            </w:r>
            <w:r>
              <w:rPr>
                <w:rFonts w:hint="eastAsia" w:ascii="Times New Roman" w:eastAsia="宋体"/>
                <w:sz w:val="24"/>
                <w:lang w:val="en-US" w:eastAsia="zh-CN"/>
              </w:rPr>
              <w:t>3</w:t>
            </w:r>
            <w:r>
              <w:rPr>
                <w:rFonts w:ascii="Times New Roman" w:eastAsia="Times New Roman"/>
                <w:sz w:val="24"/>
              </w:rPr>
              <w:t xml:space="preserve"> </w:t>
            </w:r>
            <w:r>
              <w:rPr>
                <w:spacing w:val="-32"/>
                <w:sz w:val="24"/>
              </w:rPr>
              <w:t xml:space="preserve">月 </w:t>
            </w:r>
            <w:r>
              <w:rPr>
                <w:rFonts w:hint="eastAsia" w:ascii="Times New Roman" w:eastAsia="宋体"/>
                <w:sz w:val="24"/>
                <w:lang w:val="en-US" w:eastAsia="zh-CN"/>
              </w:rPr>
              <w:t>2</w:t>
            </w:r>
            <w:r>
              <w:rPr>
                <w:rFonts w:hint="eastAsia" w:ascii="Times New Roman"/>
                <w:sz w:val="24"/>
                <w:lang w:val="en-US" w:eastAsia="zh-CN"/>
              </w:rPr>
              <w:t>4</w:t>
            </w:r>
            <w:r>
              <w:rPr>
                <w:rFonts w:ascii="Times New Roman" w:eastAsia="Times New Roman"/>
                <w:sz w:val="24"/>
              </w:rPr>
              <w:t xml:space="preserve"> </w:t>
            </w:r>
            <w:r>
              <w:rPr>
                <w:sz w:val="24"/>
              </w:rPr>
              <w:t>日</w:t>
            </w:r>
            <w:r>
              <w:rPr>
                <w:rFonts w:ascii="Times New Roman" w:eastAsia="Times New Roman"/>
                <w:sz w:val="24"/>
              </w:rPr>
              <w:t>~202</w:t>
            </w:r>
            <w:r>
              <w:rPr>
                <w:rFonts w:hint="eastAsia" w:ascii="Times New Roman" w:eastAsia="宋体"/>
                <w:sz w:val="24"/>
                <w:lang w:val="en-US" w:eastAsia="zh-CN"/>
              </w:rPr>
              <w:t>2</w:t>
            </w:r>
            <w:r>
              <w:rPr>
                <w:rFonts w:ascii="Times New Roman" w:eastAsia="Times New Roman"/>
                <w:sz w:val="24"/>
              </w:rPr>
              <w:t xml:space="preserve"> </w:t>
            </w:r>
            <w:r>
              <w:rPr>
                <w:spacing w:val="-29"/>
                <w:sz w:val="24"/>
              </w:rPr>
              <w:t xml:space="preserve">年 </w:t>
            </w:r>
            <w:r>
              <w:rPr>
                <w:rFonts w:ascii="Times New Roman" w:eastAsia="Times New Roman"/>
                <w:sz w:val="24"/>
              </w:rPr>
              <w:t>0</w:t>
            </w:r>
            <w:r>
              <w:rPr>
                <w:rFonts w:hint="eastAsia" w:ascii="Times New Roman" w:eastAsia="宋体"/>
                <w:sz w:val="24"/>
                <w:lang w:val="en-US" w:eastAsia="zh-CN"/>
              </w:rPr>
              <w:t>3</w:t>
            </w:r>
            <w:r>
              <w:rPr>
                <w:rFonts w:ascii="Times New Roman" w:eastAsia="Times New Roman"/>
                <w:sz w:val="24"/>
              </w:rPr>
              <w:t xml:space="preserve"> </w:t>
            </w:r>
            <w:r>
              <w:rPr>
                <w:spacing w:val="-29"/>
                <w:sz w:val="24"/>
              </w:rPr>
              <w:t xml:space="preserve">月 </w:t>
            </w:r>
            <w:r>
              <w:rPr>
                <w:rFonts w:hint="eastAsia" w:ascii="Times New Roman" w:eastAsia="宋体"/>
                <w:sz w:val="24"/>
                <w:lang w:val="en-US" w:eastAsia="zh-CN"/>
              </w:rPr>
              <w:t>2</w:t>
            </w:r>
            <w:r>
              <w:rPr>
                <w:rFonts w:hint="eastAsia" w:ascii="Times New Roman"/>
                <w:sz w:val="24"/>
                <w:lang w:val="en-US" w:eastAsia="zh-CN"/>
              </w:rPr>
              <w:t>5</w:t>
            </w:r>
            <w:r>
              <w:rPr>
                <w:rFonts w:ascii="Times New Roman" w:eastAsia="Times New Roman"/>
                <w:sz w:val="24"/>
              </w:rPr>
              <w:t xml:space="preserve"> </w:t>
            </w:r>
            <w:r>
              <w:rPr>
                <w:spacing w:val="-10"/>
                <w:sz w:val="24"/>
              </w:rPr>
              <w:t>日，对</w:t>
            </w:r>
            <w:r>
              <w:rPr>
                <w:rFonts w:hint="eastAsia"/>
                <w:spacing w:val="-10"/>
                <w:sz w:val="24"/>
                <w:lang w:eastAsia="zh-CN"/>
              </w:rPr>
              <w:t>无</w:t>
            </w:r>
            <w:r>
              <w:rPr>
                <w:spacing w:val="-10"/>
                <w:sz w:val="24"/>
              </w:rPr>
              <w:t xml:space="preserve">组织废气进行连续 </w:t>
            </w:r>
            <w:r>
              <w:rPr>
                <w:rFonts w:ascii="Times New Roman" w:eastAsia="Times New Roman"/>
                <w:sz w:val="24"/>
              </w:rPr>
              <w:t xml:space="preserve">2 </w:t>
            </w:r>
            <w:r>
              <w:rPr>
                <w:spacing w:val="-6"/>
                <w:sz w:val="24"/>
              </w:rPr>
              <w:t>天监测，每天监</w:t>
            </w:r>
            <w:r>
              <w:rPr>
                <w:spacing w:val="-33"/>
                <w:sz w:val="24"/>
              </w:rPr>
              <w:t xml:space="preserve">测 </w:t>
            </w:r>
            <w:r>
              <w:rPr>
                <w:rFonts w:ascii="Times New Roman" w:eastAsia="Times New Roman"/>
                <w:sz w:val="24"/>
              </w:rPr>
              <w:t xml:space="preserve">3 </w:t>
            </w:r>
            <w:r>
              <w:rPr>
                <w:spacing w:val="-7"/>
                <w:sz w:val="24"/>
              </w:rPr>
              <w:t xml:space="preserve">次，监测结果见表 </w:t>
            </w:r>
            <w:r>
              <w:rPr>
                <w:rFonts w:ascii="Times New Roman" w:eastAsia="Times New Roman"/>
                <w:sz w:val="24"/>
              </w:rPr>
              <w:t>6.2-</w:t>
            </w:r>
            <w:r>
              <w:rPr>
                <w:rFonts w:hint="eastAsia" w:ascii="Times New Roman"/>
                <w:sz w:val="24"/>
                <w:lang w:val="en-US" w:eastAsia="zh-CN"/>
              </w:rPr>
              <w:t>3</w:t>
            </w:r>
            <w:r>
              <w:rPr>
                <w:sz w:val="24"/>
              </w:rPr>
              <w:t>。</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240" w:lineRule="auto"/>
              <w:ind w:leftChars="267" w:right="0" w:rightChars="0"/>
              <w:jc w:val="center"/>
              <w:textAlignment w:val="auto"/>
              <w:outlineLvl w:val="9"/>
              <w:rPr>
                <w:rFonts w:hint="default" w:ascii="Times New Roman" w:hAnsi="Times New Roman" w:cs="Times New Roman"/>
                <w:bCs/>
                <w:sz w:val="24"/>
                <w:szCs w:val="24"/>
                <w:lang w:val="en-US" w:eastAsia="zh-CN"/>
              </w:rPr>
            </w:pPr>
            <w:r>
              <w:rPr>
                <w:rFonts w:hint="default" w:ascii="Times New Roman" w:hAnsi="Times New Roman" w:eastAsia="宋体" w:cs="Times New Roman"/>
                <w:b/>
                <w:sz w:val="21"/>
              </w:rPr>
              <w:t>表 6.2-</w:t>
            </w:r>
            <w:r>
              <w:rPr>
                <w:rFonts w:hint="eastAsia" w:ascii="Times New Roman" w:hAnsi="Times New Roman" w:cs="Times New Roman"/>
                <w:b/>
                <w:sz w:val="21"/>
                <w:lang w:val="en-US" w:eastAsia="zh-CN"/>
              </w:rPr>
              <w:t>3</w:t>
            </w:r>
            <w:r>
              <w:rPr>
                <w:rFonts w:hint="eastAsia" w:ascii="Times New Roman" w:hAnsi="Times New Roman" w:eastAsia="宋体" w:cs="Times New Roman"/>
                <w:b/>
                <w:sz w:val="21"/>
                <w:lang w:eastAsia="zh-CN"/>
              </w:rPr>
              <w:t>无</w:t>
            </w:r>
            <w:r>
              <w:rPr>
                <w:rFonts w:hint="default" w:ascii="Times New Roman" w:hAnsi="Times New Roman" w:eastAsia="宋体" w:cs="Times New Roman"/>
                <w:b/>
                <w:sz w:val="21"/>
              </w:rPr>
              <w:t>组织废气监测结果</w:t>
            </w:r>
            <w:r>
              <w:rPr>
                <w:rFonts w:hint="default" w:ascii="Times New Roman" w:hAnsi="Times New Roman" w:cs="Times New Roman"/>
                <w:b/>
                <w:sz w:val="21"/>
              </w:rPr>
              <w:t>一览表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736"/>
              <w:gridCol w:w="1789"/>
              <w:gridCol w:w="1742"/>
              <w:gridCol w:w="990"/>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tabs>
                      <w:tab w:val="left" w:pos="735"/>
                    </w:tabs>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lang w:val="en-US" w:eastAsia="zh-CN"/>
                    </w:rPr>
                    <w:t>监测时间及点位</w:t>
                  </w:r>
                </w:p>
              </w:tc>
              <w:tc>
                <w:tcPr>
                  <w:tcW w:w="3808" w:type="pct"/>
                  <w:gridSpan w:val="5"/>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2022年3月24日（G5）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91"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val="en-US" w:eastAsia="zh-CN"/>
                    </w:rPr>
                    <w:t>监</w:t>
                  </w:r>
                  <w:r>
                    <w:rPr>
                      <w:rFonts w:hint="default" w:ascii="Times New Roman" w:hAnsi="Times New Roman" w:eastAsia="宋体" w:cs="Times New Roman"/>
                      <w:bCs/>
                      <w:sz w:val="21"/>
                      <w:szCs w:val="21"/>
                    </w:rPr>
                    <w:t>测项</w:t>
                  </w:r>
                  <w:r>
                    <w:rPr>
                      <w:rFonts w:hint="default" w:ascii="Times New Roman" w:hAnsi="Times New Roman" w:eastAsia="宋体" w:cs="Times New Roman"/>
                      <w:bCs/>
                      <w:sz w:val="21"/>
                      <w:szCs w:val="21"/>
                      <w:lang w:val="en-US" w:eastAsia="zh-CN"/>
                    </w:rPr>
                    <w:t>目</w:t>
                  </w:r>
                </w:p>
                <w:p>
                  <w:pPr>
                    <w:tabs>
                      <w:tab w:val="left" w:pos="735"/>
                    </w:tabs>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val="0"/>
                      <w:bCs/>
                      <w:sz w:val="21"/>
                      <w:szCs w:val="21"/>
                      <w:lang w:val="en-US" w:eastAsia="zh-CN"/>
                    </w:rPr>
                  </w:pPr>
                </w:p>
                <w:p>
                  <w:pPr>
                    <w:tabs>
                      <w:tab w:val="left" w:pos="735"/>
                    </w:tabs>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  样品编号</w:t>
                  </w:r>
                </w:p>
              </w:tc>
              <w:tc>
                <w:tcPr>
                  <w:tcW w:w="910" w:type="pct"/>
                  <w:noWrap w:val="0"/>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sz w:val="21"/>
                      <w:szCs w:val="21"/>
                      <w:lang w:val="en-US" w:eastAsia="zh-CN"/>
                    </w:rPr>
                    <w:t>2203031-G5-1</w:t>
                  </w:r>
                </w:p>
              </w:tc>
              <w:tc>
                <w:tcPr>
                  <w:tcW w:w="938" w:type="pct"/>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val="en-US" w:eastAsia="zh-CN"/>
                    </w:rPr>
                    <w:t>2203031-G5-2</w:t>
                  </w:r>
                </w:p>
              </w:tc>
              <w:tc>
                <w:tcPr>
                  <w:tcW w:w="913"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2203031-G5-3</w:t>
                  </w:r>
                </w:p>
              </w:tc>
              <w:tc>
                <w:tcPr>
                  <w:tcW w:w="519" w:type="pct"/>
                  <w:noWrap w:val="0"/>
                  <w:vAlign w:val="center"/>
                </w:tcPr>
                <w:p>
                  <w:pPr>
                    <w:tabs>
                      <w:tab w:val="left" w:pos="735"/>
                    </w:tabs>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val="en-US" w:eastAsia="zh-CN"/>
                    </w:rPr>
                    <w:t>标准值</w:t>
                  </w:r>
                </w:p>
              </w:tc>
              <w:tc>
                <w:tcPr>
                  <w:tcW w:w="526" w:type="pct"/>
                  <w:noWrap w:val="0"/>
                  <w:vAlign w:val="center"/>
                </w:tcPr>
                <w:p>
                  <w:pPr>
                    <w:tabs>
                      <w:tab w:val="left" w:pos="735"/>
                    </w:tabs>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颗粒物</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0.414</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0.432</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0.396</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eastAsia="zh-CN"/>
                    </w:rPr>
                    <w:t>非甲烷总烃</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2.36</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2.09</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2.17</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二甲苯</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1.2</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sz w:val="21"/>
                      <w:szCs w:val="21"/>
                      <w:lang w:val="en-US" w:eastAsia="zh-CN"/>
                    </w:rPr>
                    <w:t>监测时间及点位</w:t>
                  </w:r>
                </w:p>
              </w:tc>
              <w:tc>
                <w:tcPr>
                  <w:tcW w:w="3808" w:type="pct"/>
                  <w:gridSpan w:val="5"/>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Cs/>
                      <w:color w:val="auto"/>
                      <w:sz w:val="21"/>
                      <w:szCs w:val="21"/>
                      <w:lang w:val="en-US" w:eastAsia="zh-CN"/>
                    </w:rPr>
                    <w:t>2022年3月25日（G5）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91"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val="en-US" w:eastAsia="zh-CN"/>
                    </w:rPr>
                    <w:t>监</w:t>
                  </w:r>
                  <w:r>
                    <w:rPr>
                      <w:rFonts w:hint="default" w:ascii="Times New Roman" w:hAnsi="Times New Roman" w:eastAsia="宋体" w:cs="Times New Roman"/>
                      <w:bCs/>
                      <w:sz w:val="21"/>
                      <w:szCs w:val="21"/>
                    </w:rPr>
                    <w:t>测项</w:t>
                  </w:r>
                  <w:r>
                    <w:rPr>
                      <w:rFonts w:hint="default" w:ascii="Times New Roman" w:hAnsi="Times New Roman" w:eastAsia="宋体" w:cs="Times New Roman"/>
                      <w:bCs/>
                      <w:sz w:val="21"/>
                      <w:szCs w:val="21"/>
                      <w:lang w:val="en-US" w:eastAsia="zh-CN"/>
                    </w:rPr>
                    <w:t>目</w:t>
                  </w:r>
                </w:p>
                <w:p>
                  <w:pPr>
                    <w:tabs>
                      <w:tab w:val="left" w:pos="735"/>
                    </w:tabs>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val="0"/>
                      <w:bCs/>
                      <w:sz w:val="21"/>
                      <w:szCs w:val="21"/>
                      <w:lang w:val="en-US" w:eastAsia="zh-CN"/>
                    </w:rPr>
                  </w:pPr>
                </w:p>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sz w:val="21"/>
                      <w:szCs w:val="21"/>
                      <w:lang w:val="en-US" w:eastAsia="zh-CN"/>
                    </w:rPr>
                    <w:t xml:space="preserve">   样品编号</w:t>
                  </w:r>
                </w:p>
              </w:tc>
              <w:tc>
                <w:tcPr>
                  <w:tcW w:w="910"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2203031-G5-4</w:t>
                  </w:r>
                </w:p>
              </w:tc>
              <w:tc>
                <w:tcPr>
                  <w:tcW w:w="938"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2203031-G5-5</w:t>
                  </w:r>
                </w:p>
              </w:tc>
              <w:tc>
                <w:tcPr>
                  <w:tcW w:w="913"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2203031-G5-6</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标准值</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颗粒物</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0.449</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0.467</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0.414</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非甲烷总烃</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2.13</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1.99</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2.05</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二甲苯</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1.2</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标准依据</w:t>
                  </w:r>
                </w:p>
              </w:tc>
              <w:tc>
                <w:tcPr>
                  <w:tcW w:w="3808" w:type="pct"/>
                  <w:gridSpan w:val="5"/>
                  <w:noWrap w:val="0"/>
                  <w:vAlign w:val="center"/>
                </w:tcPr>
                <w:p>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大气污染物综合排放标准</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DB50/418-2016表1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tabs>
                      <w:tab w:val="left" w:pos="735"/>
                    </w:tabs>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lang w:val="en-US" w:eastAsia="zh-CN"/>
                    </w:rPr>
                    <w:t>监测时间及点位</w:t>
                  </w:r>
                </w:p>
              </w:tc>
              <w:tc>
                <w:tcPr>
                  <w:tcW w:w="3808" w:type="pct"/>
                  <w:gridSpan w:val="5"/>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2022年3月24日（G6）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91"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val="en-US" w:eastAsia="zh-CN"/>
                    </w:rPr>
                    <w:t>监</w:t>
                  </w:r>
                  <w:r>
                    <w:rPr>
                      <w:rFonts w:hint="default" w:ascii="Times New Roman" w:hAnsi="Times New Roman" w:eastAsia="宋体" w:cs="Times New Roman"/>
                      <w:bCs/>
                      <w:sz w:val="21"/>
                      <w:szCs w:val="21"/>
                    </w:rPr>
                    <w:t>测项</w:t>
                  </w:r>
                  <w:r>
                    <w:rPr>
                      <w:rFonts w:hint="default" w:ascii="Times New Roman" w:hAnsi="Times New Roman" w:eastAsia="宋体" w:cs="Times New Roman"/>
                      <w:bCs/>
                      <w:sz w:val="21"/>
                      <w:szCs w:val="21"/>
                      <w:lang w:val="en-US" w:eastAsia="zh-CN"/>
                    </w:rPr>
                    <w:t>目</w:t>
                  </w:r>
                </w:p>
                <w:p>
                  <w:pPr>
                    <w:tabs>
                      <w:tab w:val="left" w:pos="735"/>
                    </w:tabs>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val="0"/>
                      <w:bCs/>
                      <w:sz w:val="21"/>
                      <w:szCs w:val="21"/>
                      <w:lang w:val="en-US" w:eastAsia="zh-CN"/>
                    </w:rPr>
                  </w:pPr>
                </w:p>
                <w:p>
                  <w:pPr>
                    <w:tabs>
                      <w:tab w:val="left" w:pos="735"/>
                    </w:tabs>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  样品编号</w:t>
                  </w:r>
                </w:p>
              </w:tc>
              <w:tc>
                <w:tcPr>
                  <w:tcW w:w="910" w:type="pct"/>
                  <w:noWrap w:val="0"/>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sz w:val="21"/>
                      <w:szCs w:val="21"/>
                      <w:lang w:val="en-US" w:eastAsia="zh-CN"/>
                    </w:rPr>
                    <w:t>2203031-G6-1</w:t>
                  </w:r>
                </w:p>
              </w:tc>
              <w:tc>
                <w:tcPr>
                  <w:tcW w:w="938" w:type="pct"/>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val="en-US" w:eastAsia="zh-CN"/>
                    </w:rPr>
                    <w:t>2203031-G6-2</w:t>
                  </w:r>
                </w:p>
              </w:tc>
              <w:tc>
                <w:tcPr>
                  <w:tcW w:w="913"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2203031-G6-3</w:t>
                  </w:r>
                </w:p>
              </w:tc>
              <w:tc>
                <w:tcPr>
                  <w:tcW w:w="519" w:type="pct"/>
                  <w:noWrap w:val="0"/>
                  <w:vAlign w:val="center"/>
                </w:tcPr>
                <w:p>
                  <w:pPr>
                    <w:tabs>
                      <w:tab w:val="left" w:pos="735"/>
                    </w:tabs>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val="en-US" w:eastAsia="zh-CN"/>
                    </w:rPr>
                    <w:t>标准值</w:t>
                  </w:r>
                </w:p>
              </w:tc>
              <w:tc>
                <w:tcPr>
                  <w:tcW w:w="526" w:type="pct"/>
                  <w:noWrap w:val="0"/>
                  <w:vAlign w:val="center"/>
                </w:tcPr>
                <w:p>
                  <w:pPr>
                    <w:tabs>
                      <w:tab w:val="left" w:pos="735"/>
                    </w:tabs>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颗粒物</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0.664</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0.630</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0.648</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eastAsia="zh-CN"/>
                    </w:rPr>
                    <w:t>非甲烷总烃</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2.48</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2.29</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2.48</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二甲苯</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1.2</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sz w:val="21"/>
                      <w:szCs w:val="21"/>
                      <w:lang w:val="en-US" w:eastAsia="zh-CN"/>
                    </w:rPr>
                    <w:t>监测时间及点位</w:t>
                  </w:r>
                </w:p>
              </w:tc>
              <w:tc>
                <w:tcPr>
                  <w:tcW w:w="3808" w:type="pct"/>
                  <w:gridSpan w:val="5"/>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Cs/>
                      <w:color w:val="auto"/>
                      <w:sz w:val="21"/>
                      <w:szCs w:val="21"/>
                      <w:lang w:val="en-US" w:eastAsia="zh-CN"/>
                    </w:rPr>
                    <w:t>2022年3月25日（G6）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91"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center"/>
                    <w:rPr>
                      <w:rFonts w:hint="default" w:ascii="Times New Roman" w:hAnsi="Times New Roman" w:eastAsia="宋体" w:cs="Times New Roman"/>
                      <w:bCs/>
                      <w:sz w:val="21"/>
                      <w:szCs w:val="21"/>
                      <w:lang w:val="en-US" w:eastAsia="zh-CN"/>
                    </w:rPr>
                  </w:pPr>
                </w:p>
                <w:p>
                  <w:pPr>
                    <w:tabs>
                      <w:tab w:val="left" w:pos="735"/>
                    </w:tabs>
                    <w:snapToGrid w:val="0"/>
                    <w:spacing w:line="240" w:lineRule="auto"/>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Cs/>
                      <w:sz w:val="21"/>
                      <w:szCs w:val="21"/>
                      <w:lang w:val="en-US" w:eastAsia="zh-CN"/>
                    </w:rPr>
                    <w:t>监</w:t>
                  </w:r>
                  <w:r>
                    <w:rPr>
                      <w:rFonts w:hint="default" w:ascii="Times New Roman" w:hAnsi="Times New Roman" w:eastAsia="宋体" w:cs="Times New Roman"/>
                      <w:bCs/>
                      <w:sz w:val="21"/>
                      <w:szCs w:val="21"/>
                    </w:rPr>
                    <w:t>测项</w:t>
                  </w:r>
                  <w:r>
                    <w:rPr>
                      <w:rFonts w:hint="default" w:ascii="Times New Roman" w:hAnsi="Times New Roman" w:eastAsia="宋体" w:cs="Times New Roman"/>
                      <w:bCs/>
                      <w:sz w:val="21"/>
                      <w:szCs w:val="21"/>
                      <w:lang w:val="en-US" w:eastAsia="zh-CN"/>
                    </w:rPr>
                    <w:t>目</w:t>
                  </w:r>
                </w:p>
                <w:p>
                  <w:pPr>
                    <w:tabs>
                      <w:tab w:val="left" w:pos="735"/>
                    </w:tabs>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val="0"/>
                      <w:bCs/>
                      <w:sz w:val="21"/>
                      <w:szCs w:val="21"/>
                      <w:lang w:val="en-US" w:eastAsia="zh-CN"/>
                    </w:rPr>
                  </w:pPr>
                </w:p>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sz w:val="21"/>
                      <w:szCs w:val="21"/>
                      <w:lang w:val="en-US" w:eastAsia="zh-CN"/>
                    </w:rPr>
                    <w:t xml:space="preserve">   样品编号</w:t>
                  </w:r>
                </w:p>
              </w:tc>
              <w:tc>
                <w:tcPr>
                  <w:tcW w:w="910"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2203031-G6-4</w:t>
                  </w:r>
                </w:p>
              </w:tc>
              <w:tc>
                <w:tcPr>
                  <w:tcW w:w="938"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2203031-G6-5</w:t>
                  </w:r>
                </w:p>
              </w:tc>
              <w:tc>
                <w:tcPr>
                  <w:tcW w:w="913"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2203031-G6-6</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标准值</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颗粒物</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0.663</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0.700</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0.576</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非甲烷总烃</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2.43</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2.39</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2.41</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4.0</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Cs/>
                      <w:sz w:val="21"/>
                      <w:szCs w:val="21"/>
                      <w:lang w:eastAsia="zh-CN"/>
                    </w:rPr>
                    <w:t>二甲苯</w:t>
                  </w:r>
                </w:p>
              </w:tc>
              <w:tc>
                <w:tcPr>
                  <w:tcW w:w="910"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38"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913"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z w:val="21"/>
                      <w:szCs w:val="21"/>
                      <w:lang w:val="en-US" w:eastAsia="zh-CN"/>
                    </w:rPr>
                    <w:t>1×10</w:t>
                  </w:r>
                  <w:r>
                    <w:rPr>
                      <w:rFonts w:hint="default" w:ascii="Times New Roman" w:hAnsi="Times New Roman" w:eastAsia="宋体" w:cs="Times New Roman"/>
                      <w:bCs/>
                      <w:sz w:val="21"/>
                      <w:szCs w:val="21"/>
                      <w:vertAlign w:val="superscript"/>
                      <w:lang w:val="en-US" w:eastAsia="zh-CN"/>
                    </w:rPr>
                    <w:t>-5</w:t>
                  </w:r>
                  <w:r>
                    <w:rPr>
                      <w:rFonts w:hint="default" w:ascii="Times New Roman" w:hAnsi="Times New Roman" w:eastAsia="宋体" w:cs="Times New Roman"/>
                      <w:bCs/>
                      <w:sz w:val="21"/>
                      <w:szCs w:val="21"/>
                      <w:vertAlign w:val="baseline"/>
                      <w:lang w:val="en-US" w:eastAsia="zh-CN"/>
                    </w:rPr>
                    <w:t>L</w:t>
                  </w:r>
                </w:p>
              </w:tc>
              <w:tc>
                <w:tcPr>
                  <w:tcW w:w="519" w:type="pct"/>
                  <w:noWrap w:val="0"/>
                  <w:vAlign w:val="center"/>
                </w:tcPr>
                <w:p>
                  <w:pPr>
                    <w:tabs>
                      <w:tab w:val="left" w:pos="735"/>
                    </w:tabs>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1.2</w:t>
                  </w:r>
                </w:p>
              </w:tc>
              <w:tc>
                <w:tcPr>
                  <w:tcW w:w="526" w:type="pct"/>
                  <w:noWrap w:val="0"/>
                  <w:vAlign w:val="center"/>
                </w:tcPr>
                <w:p>
                  <w:pPr>
                    <w:tabs>
                      <w:tab w:val="left" w:pos="735"/>
                    </w:tabs>
                    <w:spacing w:line="24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mg/m</w:t>
                  </w:r>
                  <w:r>
                    <w:rPr>
                      <w:rFonts w:hint="default" w:ascii="Times New Roman" w:hAnsi="Times New Roman" w:eastAsia="宋体" w:cs="Times New Roman"/>
                      <w:b w:val="0"/>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1" w:type="pct"/>
                  <w:noWrap w:val="0"/>
                  <w:vAlign w:val="center"/>
                </w:tcPr>
                <w:p>
                  <w:pPr>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标准依据</w:t>
                  </w:r>
                </w:p>
              </w:tc>
              <w:tc>
                <w:tcPr>
                  <w:tcW w:w="3808" w:type="pct"/>
                  <w:gridSpan w:val="5"/>
                  <w:noWrap w:val="0"/>
                  <w:vAlign w:val="center"/>
                </w:tcPr>
                <w:p>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大气污染物综合排放标准</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DB50/418-2016表1</w:t>
                  </w:r>
                </w:p>
              </w:tc>
            </w:tr>
          </w:tbl>
          <w:p>
            <w:pPr>
              <w:pStyle w:val="2"/>
              <w:jc w:val="center"/>
              <w:rPr>
                <w:rFonts w:hint="default" w:eastAsia="宋体"/>
                <w:vertAlign w:val="baseline"/>
                <w:lang w:val="en-US" w:eastAsia="zh-CN"/>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4" w:hRule="atLeast"/>
        </w:trPr>
        <w:tc>
          <w:tcPr>
            <w:tcW w:w="9764" w:type="dxa"/>
          </w:tcPr>
          <w:p>
            <w:pPr>
              <w:pStyle w:val="17"/>
              <w:spacing w:before="82"/>
              <w:ind w:left="105"/>
              <w:rPr>
                <w:rFonts w:ascii="Times New Roman" w:hAnsi="宋体" w:eastAsia="Times New Roman" w:cs="宋体"/>
                <w:b/>
                <w:sz w:val="24"/>
              </w:rPr>
            </w:pPr>
            <w:r>
              <w:rPr>
                <w:rFonts w:hint="eastAsia" w:ascii="Times New Roman" w:hAnsi="宋体" w:eastAsia="宋体" w:cs="宋体"/>
                <w:b/>
                <w:sz w:val="24"/>
                <w:lang w:val="en-US" w:eastAsia="zh-CN"/>
              </w:rPr>
              <w:t xml:space="preserve">6.3  </w:t>
            </w:r>
            <w:r>
              <w:rPr>
                <w:rFonts w:ascii="Times New Roman" w:hAnsi="宋体" w:eastAsia="Times New Roman" w:cs="宋体"/>
                <w:b/>
                <w:sz w:val="24"/>
              </w:rPr>
              <w:t>噪声</w:t>
            </w:r>
          </w:p>
          <w:p>
            <w:pPr>
              <w:pStyle w:val="17"/>
              <w:spacing w:before="215" w:line="367" w:lineRule="auto"/>
              <w:ind w:left="105" w:right="91" w:firstLine="480"/>
              <w:jc w:val="both"/>
              <w:rPr>
                <w:rFonts w:hint="default" w:ascii="Times New Roman" w:hAnsi="Times New Roman" w:eastAsia="宋体" w:cs="Times New Roman"/>
                <w:spacing w:val="-6"/>
                <w:sz w:val="24"/>
              </w:rPr>
            </w:pPr>
            <w:r>
              <w:rPr>
                <w:rFonts w:hint="default" w:ascii="Times New Roman" w:hAnsi="Times New Roman" w:eastAsia="宋体" w:cs="Times New Roman"/>
                <w:spacing w:val="-6"/>
                <w:sz w:val="24"/>
              </w:rPr>
              <w:t>202</w:t>
            </w:r>
            <w:r>
              <w:rPr>
                <w:rFonts w:hint="eastAsia" w:ascii="Times New Roman" w:hAnsi="Times New Roman" w:eastAsia="宋体" w:cs="Times New Roman"/>
                <w:spacing w:val="-6"/>
                <w:sz w:val="24"/>
                <w:lang w:val="en-US" w:eastAsia="zh-CN"/>
              </w:rPr>
              <w:t>2</w:t>
            </w:r>
            <w:r>
              <w:rPr>
                <w:rFonts w:hint="default" w:ascii="Times New Roman" w:hAnsi="Times New Roman" w:eastAsia="宋体" w:cs="Times New Roman"/>
                <w:spacing w:val="-6"/>
                <w:sz w:val="24"/>
              </w:rPr>
              <w:t xml:space="preserve"> 年 0</w:t>
            </w:r>
            <w:r>
              <w:rPr>
                <w:rFonts w:hint="eastAsia" w:ascii="Times New Roman" w:hAnsi="Times New Roman" w:eastAsia="宋体" w:cs="Times New Roman"/>
                <w:spacing w:val="-6"/>
                <w:sz w:val="24"/>
                <w:lang w:val="en-US" w:eastAsia="zh-CN"/>
              </w:rPr>
              <w:t>3</w:t>
            </w:r>
            <w:r>
              <w:rPr>
                <w:rFonts w:hint="default" w:ascii="Times New Roman" w:hAnsi="Times New Roman" w:eastAsia="宋体" w:cs="Times New Roman"/>
                <w:spacing w:val="-6"/>
                <w:sz w:val="24"/>
              </w:rPr>
              <w:t xml:space="preserve"> 月 </w:t>
            </w:r>
            <w:r>
              <w:rPr>
                <w:rFonts w:hint="eastAsia" w:ascii="Times New Roman" w:hAnsi="Times New Roman" w:cs="Times New Roman"/>
                <w:spacing w:val="-6"/>
                <w:sz w:val="24"/>
                <w:lang w:val="en-US" w:eastAsia="zh-CN"/>
              </w:rPr>
              <w:t>24</w:t>
            </w:r>
            <w:r>
              <w:rPr>
                <w:rFonts w:hint="default" w:ascii="Times New Roman" w:hAnsi="Times New Roman" w:eastAsia="宋体" w:cs="Times New Roman"/>
                <w:spacing w:val="-6"/>
                <w:sz w:val="24"/>
              </w:rPr>
              <w:t xml:space="preserve"> 日~202</w:t>
            </w:r>
            <w:r>
              <w:rPr>
                <w:rFonts w:hint="eastAsia" w:ascii="Times New Roman" w:hAnsi="Times New Roman" w:eastAsia="宋体" w:cs="Times New Roman"/>
                <w:spacing w:val="-6"/>
                <w:sz w:val="24"/>
                <w:lang w:val="en-US" w:eastAsia="zh-CN"/>
              </w:rPr>
              <w:t>2</w:t>
            </w:r>
            <w:r>
              <w:rPr>
                <w:rFonts w:hint="default" w:ascii="Times New Roman" w:hAnsi="Times New Roman" w:eastAsia="宋体" w:cs="Times New Roman"/>
                <w:spacing w:val="-6"/>
                <w:sz w:val="24"/>
              </w:rPr>
              <w:t xml:space="preserve"> 年 0</w:t>
            </w:r>
            <w:r>
              <w:rPr>
                <w:rFonts w:hint="eastAsia" w:ascii="Times New Roman" w:hAnsi="Times New Roman" w:eastAsia="宋体" w:cs="Times New Roman"/>
                <w:spacing w:val="-6"/>
                <w:sz w:val="24"/>
                <w:lang w:val="en-US" w:eastAsia="zh-CN"/>
              </w:rPr>
              <w:t>3</w:t>
            </w:r>
            <w:r>
              <w:rPr>
                <w:rFonts w:hint="default" w:ascii="Times New Roman" w:hAnsi="Times New Roman" w:eastAsia="宋体" w:cs="Times New Roman"/>
                <w:spacing w:val="-6"/>
                <w:sz w:val="24"/>
              </w:rPr>
              <w:t xml:space="preserve"> 月 </w:t>
            </w:r>
            <w:r>
              <w:rPr>
                <w:rFonts w:hint="eastAsia" w:ascii="Times New Roman" w:hAnsi="Times New Roman" w:cs="Times New Roman"/>
                <w:spacing w:val="-6"/>
                <w:sz w:val="24"/>
                <w:lang w:val="en-US" w:eastAsia="zh-CN"/>
              </w:rPr>
              <w:t>25</w:t>
            </w:r>
            <w:r>
              <w:rPr>
                <w:rFonts w:hint="default" w:ascii="Times New Roman" w:hAnsi="Times New Roman" w:eastAsia="宋体" w:cs="Times New Roman"/>
                <w:spacing w:val="-6"/>
                <w:sz w:val="24"/>
              </w:rPr>
              <w:t>日，对项目厂界噪声进行连续 2 天监测，每天昼间监测 1 次。监测结果见表 6.3-1。</w:t>
            </w:r>
          </w:p>
          <w:p>
            <w:pPr>
              <w:keepNext w:val="0"/>
              <w:keepLines w:val="0"/>
              <w:pageBreakBefore w:val="0"/>
              <w:widowControl w:val="0"/>
              <w:tabs>
                <w:tab w:val="left" w:pos="735"/>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b w:val="0"/>
                <w:bCs/>
                <w:sz w:val="24"/>
                <w:szCs w:val="24"/>
                <w:lang w:val="en-US" w:eastAsia="zh-CN"/>
              </w:rPr>
            </w:pPr>
            <w:r>
              <w:rPr>
                <w:rFonts w:hint="eastAsia" w:ascii="Times New Roman" w:hAnsi="Times New Roman" w:eastAsia="宋体" w:cs="Times New Roman"/>
                <w:b/>
                <w:sz w:val="21"/>
                <w:lang w:val="en-US" w:eastAsia="zh-CN"/>
              </w:rPr>
              <w:t xml:space="preserve">        </w:t>
            </w:r>
            <w:r>
              <w:rPr>
                <w:rFonts w:hint="default" w:ascii="Times New Roman" w:hAnsi="Times New Roman" w:eastAsia="宋体" w:cs="Times New Roman"/>
                <w:b/>
                <w:sz w:val="21"/>
              </w:rPr>
              <w:t>表 6.3-1</w:t>
            </w:r>
            <w:r>
              <w:rPr>
                <w:rFonts w:hint="eastAsia" w:ascii="Times New Roman" w:hAnsi="Times New Roman" w:eastAsia="宋体" w:cs="Times New Roman"/>
                <w:b/>
                <w:sz w:val="21"/>
                <w:lang w:val="en-US" w:eastAsia="zh-CN"/>
              </w:rPr>
              <w:t xml:space="preserve"> 厂界噪声</w:t>
            </w:r>
            <w:r>
              <w:rPr>
                <w:rFonts w:hint="default" w:ascii="Times New Roman" w:hAnsi="Times New Roman" w:eastAsia="宋体" w:cs="Times New Roman"/>
                <w:b/>
                <w:sz w:val="21"/>
              </w:rPr>
              <w:t>监测结果一览表</w:t>
            </w:r>
            <w:r>
              <w:rPr>
                <w:rFonts w:hint="eastAsia" w:ascii="Times New Roman" w:hAnsi="Times New Roman" w:cs="Times New Roman"/>
                <w:b/>
                <w:sz w:val="21"/>
                <w:lang w:val="en-US" w:eastAsia="zh-CN"/>
              </w:rPr>
              <w:t xml:space="preserve">       </w:t>
            </w:r>
          </w:p>
          <w:p>
            <w:pPr>
              <w:keepNext w:val="0"/>
              <w:keepLines w:val="0"/>
              <w:pageBreakBefore w:val="0"/>
              <w:widowControl w:val="0"/>
              <w:tabs>
                <w:tab w:val="left" w:pos="735"/>
              </w:tabs>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default" w:ascii="Times New Roman" w:hAnsi="Times New Roman" w:cs="Times New Roman"/>
                <w:b w:val="0"/>
                <w:bCs/>
                <w:sz w:val="21"/>
                <w:szCs w:val="21"/>
                <w:lang w:val="en-US" w:eastAsia="zh-CN"/>
              </w:rPr>
            </w:pPr>
            <w:r>
              <w:rPr>
                <w:rFonts w:hint="eastAsia" w:ascii="宋体" w:hAnsi="宋体"/>
                <w:b w:val="0"/>
                <w:bCs/>
                <w:sz w:val="21"/>
                <w:szCs w:val="21"/>
                <w:lang w:val="en-US" w:eastAsia="zh-CN"/>
              </w:rPr>
              <w:t>单位：</w:t>
            </w:r>
            <w:r>
              <w:rPr>
                <w:rFonts w:hint="default" w:ascii="Times New Roman" w:hAnsi="Times New Roman" w:cs="Times New Roman"/>
                <w:b w:val="0"/>
                <w:bCs/>
                <w:sz w:val="21"/>
                <w:szCs w:val="21"/>
                <w:lang w:val="en-US" w:eastAsia="zh-CN"/>
              </w:rPr>
              <w:t>dB（A）</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973"/>
              <w:gridCol w:w="1484"/>
              <w:gridCol w:w="1425"/>
              <w:gridCol w:w="1419"/>
              <w:gridCol w:w="1388"/>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68" w:type="pct"/>
                  <w:vMerge w:val="restar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日期</w:t>
                  </w:r>
                </w:p>
              </w:tc>
              <w:tc>
                <w:tcPr>
                  <w:tcW w:w="510" w:type="pct"/>
                  <w:vMerge w:val="restar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监测</w:t>
                  </w:r>
                </w:p>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点位</w:t>
                  </w:r>
                </w:p>
              </w:tc>
              <w:tc>
                <w:tcPr>
                  <w:tcW w:w="2997" w:type="pct"/>
                  <w:gridSpan w:val="4"/>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昼 间</w:t>
                  </w:r>
                </w:p>
              </w:tc>
              <w:tc>
                <w:tcPr>
                  <w:tcW w:w="823" w:type="pct"/>
                  <w:vMerge w:val="restar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主要声源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68" w:type="pct"/>
                  <w:vMerge w:val="continue"/>
                  <w:noWrap w:val="0"/>
                  <w:vAlign w:val="center"/>
                </w:tcPr>
                <w:p>
                  <w:pPr>
                    <w:spacing w:line="300" w:lineRule="exact"/>
                    <w:jc w:val="center"/>
                    <w:rPr>
                      <w:rFonts w:hint="default" w:ascii="Times New Roman" w:hAnsi="Times New Roman" w:cs="Times New Roman"/>
                      <w:bCs/>
                      <w:sz w:val="21"/>
                      <w:szCs w:val="21"/>
                    </w:rPr>
                  </w:pPr>
                </w:p>
              </w:tc>
              <w:tc>
                <w:tcPr>
                  <w:tcW w:w="510" w:type="pct"/>
                  <w:vMerge w:val="continue"/>
                  <w:noWrap w:val="0"/>
                  <w:vAlign w:val="center"/>
                </w:tcPr>
                <w:p>
                  <w:pPr>
                    <w:spacing w:line="300" w:lineRule="exact"/>
                    <w:jc w:val="center"/>
                    <w:rPr>
                      <w:rFonts w:hint="default" w:ascii="Times New Roman" w:hAnsi="Times New Roman" w:cs="Times New Roman"/>
                      <w:bCs/>
                      <w:sz w:val="21"/>
                      <w:szCs w:val="21"/>
                    </w:rPr>
                  </w:pPr>
                </w:p>
              </w:tc>
              <w:tc>
                <w:tcPr>
                  <w:tcW w:w="778" w:type="pc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测量值</w:t>
                  </w:r>
                </w:p>
              </w:tc>
              <w:tc>
                <w:tcPr>
                  <w:tcW w:w="747" w:type="pc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本底值</w:t>
                  </w:r>
                </w:p>
              </w:tc>
              <w:tc>
                <w:tcPr>
                  <w:tcW w:w="744" w:type="pc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修正值</w:t>
                  </w:r>
                </w:p>
              </w:tc>
              <w:tc>
                <w:tcPr>
                  <w:tcW w:w="727" w:type="pct"/>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结果</w:t>
                  </w:r>
                </w:p>
              </w:tc>
              <w:tc>
                <w:tcPr>
                  <w:tcW w:w="823" w:type="pct"/>
                  <w:vMerge w:val="continue"/>
                  <w:noWrap w:val="0"/>
                  <w:vAlign w:val="center"/>
                </w:tcPr>
                <w:p>
                  <w:pPr>
                    <w:spacing w:line="300" w:lineRule="exact"/>
                    <w:jc w:val="center"/>
                    <w:rPr>
                      <w:rFonts w:hint="default" w:ascii="Times New Roman" w:hAnsi="Times New Roman"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2022.3.24</w:t>
                  </w: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1</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62.8</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58.3</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61</w:t>
                  </w:r>
                </w:p>
              </w:tc>
              <w:tc>
                <w:tcPr>
                  <w:tcW w:w="823" w:type="pct"/>
                  <w:vMerge w:val="restart"/>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2</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61.4</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57.1</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59</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3</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61.8</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57.2</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60</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4</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62.5</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57.9</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60</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2022.3.25</w:t>
                  </w: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1</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62.3</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57.7</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60</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kern w:val="2"/>
                      <w:sz w:val="21"/>
                      <w:szCs w:val="21"/>
                      <w:lang w:val="en-US" w:eastAsia="zh-CN" w:bidi="ar-SA"/>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2</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61.8</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57.2</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60</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2022.3.25</w:t>
                  </w: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3</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62.6</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57.9</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61</w:t>
                  </w:r>
                </w:p>
              </w:tc>
              <w:tc>
                <w:tcPr>
                  <w:tcW w:w="823" w:type="pct"/>
                  <w:vMerge w:val="restart"/>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z w:val="21"/>
                      <w:szCs w:val="21"/>
                      <w:lang w:val="en-US" w:eastAsia="zh-CN"/>
                    </w:rPr>
                  </w:pPr>
                </w:p>
              </w:tc>
              <w:tc>
                <w:tcPr>
                  <w:tcW w:w="51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N</w:t>
                  </w:r>
                  <w:r>
                    <w:rPr>
                      <w:rFonts w:hint="eastAsia" w:ascii="Times New Roman" w:hAnsi="Times New Roman" w:cs="Times New Roman"/>
                      <w:b w:val="0"/>
                      <w:bCs/>
                      <w:sz w:val="21"/>
                      <w:szCs w:val="21"/>
                      <w:lang w:val="en-US" w:eastAsia="zh-CN"/>
                    </w:rPr>
                    <w:t>4</w:t>
                  </w:r>
                </w:p>
              </w:tc>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61.5</w:t>
                  </w:r>
                </w:p>
              </w:tc>
              <w:tc>
                <w:tcPr>
                  <w:tcW w:w="74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56.8</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2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60</w:t>
                  </w:r>
                </w:p>
              </w:tc>
              <w:tc>
                <w:tcPr>
                  <w:tcW w:w="823" w:type="pct"/>
                  <w:vMerge w:val="continue"/>
                  <w:noWrap w:val="0"/>
                  <w:vAlign w:val="center"/>
                </w:tcPr>
                <w:p>
                  <w:pPr>
                    <w:spacing w:line="300" w:lineRule="exact"/>
                    <w:jc w:val="center"/>
                    <w:rPr>
                      <w:rFonts w:hint="eastAsia" w:ascii="Times New Roman" w:hAnsi="Times New Roman" w:eastAsia="宋体" w:cs="Times New Roman"/>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78" w:type="pct"/>
                  <w:gridSpan w:val="2"/>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评价标准值</w:t>
                  </w:r>
                </w:p>
              </w:tc>
              <w:tc>
                <w:tcPr>
                  <w:tcW w:w="3821" w:type="pct"/>
                  <w:gridSpan w:val="5"/>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color w:val="000000"/>
                      <w:sz w:val="21"/>
                      <w:szCs w:val="21"/>
                    </w:rPr>
                    <w:t>昼间 ≤ 6</w:t>
                  </w:r>
                  <w:r>
                    <w:rPr>
                      <w:rFonts w:hint="eastAsia" w:ascii="Times New Roman" w:hAnsi="Times New Roman" w:cs="Times New Roman"/>
                      <w:bCs/>
                      <w:color w:val="000000"/>
                      <w:sz w:val="21"/>
                      <w:szCs w:val="21"/>
                      <w:lang w:val="en-US" w:eastAsia="zh-CN"/>
                    </w:rPr>
                    <w:t>5</w:t>
                  </w:r>
                  <w:r>
                    <w:rPr>
                      <w:rFonts w:hint="default" w:ascii="Times New Roman" w:hAnsi="Times New Roman" w:cs="Times New Roman"/>
                      <w:bCs/>
                      <w:color w:val="000000"/>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78" w:type="pct"/>
                  <w:gridSpan w:val="2"/>
                  <w:noWrap w:val="0"/>
                  <w:vAlign w:val="center"/>
                </w:tcPr>
                <w:p>
                  <w:pPr>
                    <w:spacing w:line="30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标准依据</w:t>
                  </w:r>
                </w:p>
              </w:tc>
              <w:tc>
                <w:tcPr>
                  <w:tcW w:w="3821" w:type="pct"/>
                  <w:gridSpan w:val="5"/>
                  <w:noWrap w:val="0"/>
                  <w:vAlign w:val="center"/>
                </w:tcPr>
                <w:p>
                  <w:pPr>
                    <w:spacing w:line="300" w:lineRule="exact"/>
                    <w:rPr>
                      <w:rFonts w:hint="default" w:ascii="Times New Roman" w:hAnsi="Times New Roman" w:cs="Times New Roman"/>
                      <w:bCs/>
                      <w:sz w:val="21"/>
                      <w:szCs w:val="21"/>
                    </w:rPr>
                  </w:pPr>
                  <w:r>
                    <w:rPr>
                      <w:rFonts w:hint="default" w:ascii="Times New Roman" w:hAnsi="Times New Roman" w:cs="Times New Roman"/>
                      <w:bCs/>
                      <w:color w:val="000000"/>
                      <w:sz w:val="21"/>
                      <w:szCs w:val="21"/>
                    </w:rPr>
                    <w:t xml:space="preserve">《工业企业厂界环境噪声排放标准》GB 12348-2008 表1 </w:t>
                  </w:r>
                  <w:r>
                    <w:rPr>
                      <w:rFonts w:hint="eastAsia" w:ascii="Times New Roman" w:hAnsi="Times New Roman" w:cs="Times New Roman"/>
                      <w:bCs/>
                      <w:color w:val="000000"/>
                      <w:sz w:val="21"/>
                      <w:szCs w:val="21"/>
                      <w:lang w:eastAsia="zh-CN"/>
                    </w:rPr>
                    <w:t>中</w:t>
                  </w:r>
                  <w:r>
                    <w:rPr>
                      <w:rFonts w:hint="eastAsia" w:ascii="Times New Roman" w:hAnsi="Times New Roman" w:cs="Times New Roman"/>
                      <w:bCs/>
                      <w:color w:val="000000"/>
                      <w:sz w:val="21"/>
                      <w:szCs w:val="21"/>
                      <w:lang w:val="en-US" w:eastAsia="zh-CN"/>
                    </w:rPr>
                    <w:t>3</w:t>
                  </w:r>
                  <w:r>
                    <w:rPr>
                      <w:rFonts w:hint="default" w:ascii="Times New Roman" w:hAnsi="Times New Roman" w:cs="Times New Roman"/>
                      <w:bCs/>
                      <w:color w:val="000000"/>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78" w:type="pct"/>
                  <w:gridSpan w:val="2"/>
                  <w:noWrap w:val="0"/>
                  <w:vAlign w:val="center"/>
                </w:tcPr>
                <w:p>
                  <w:pPr>
                    <w:spacing w:line="300" w:lineRule="exact"/>
                    <w:jc w:val="center"/>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eastAsia="zh-CN"/>
                    </w:rPr>
                    <w:t>备注</w:t>
                  </w:r>
                </w:p>
              </w:tc>
              <w:tc>
                <w:tcPr>
                  <w:tcW w:w="3821" w:type="pct"/>
                  <w:gridSpan w:val="5"/>
                  <w:noWrap w:val="0"/>
                  <w:vAlign w:val="center"/>
                </w:tcPr>
                <w:p>
                  <w:pPr>
                    <w:spacing w:line="300" w:lineRule="exact"/>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                夜间不生产，故未监测夜间噪声</w:t>
                  </w:r>
                </w:p>
              </w:tc>
            </w:tr>
          </w:tbl>
          <w:p>
            <w:pPr>
              <w:pStyle w:val="17"/>
              <w:spacing w:before="214" w:line="362" w:lineRule="auto"/>
              <w:ind w:right="96"/>
              <w:rPr>
                <w:sz w:val="24"/>
              </w:rPr>
            </w:pPr>
          </w:p>
          <w:p>
            <w:pPr>
              <w:pStyle w:val="2"/>
              <w:jc w:val="both"/>
              <w:rPr>
                <w:vertAlign w:val="baseline"/>
              </w:rPr>
            </w:pPr>
          </w:p>
        </w:tc>
      </w:tr>
    </w:tbl>
    <w:p>
      <w:pPr>
        <w:pStyle w:val="2"/>
      </w:pPr>
    </w:p>
    <w:p>
      <w:pPr>
        <w:spacing w:before="59"/>
        <w:ind w:right="0"/>
        <w:jc w:val="left"/>
        <w:rPr>
          <w:b/>
          <w:sz w:val="28"/>
        </w:rPr>
      </w:pPr>
      <w:r>
        <w:rPr>
          <w:b/>
          <w:sz w:val="28"/>
        </w:rPr>
        <w:t>表七</w:t>
      </w:r>
      <w:r>
        <w:rPr>
          <w:rFonts w:hint="eastAsia"/>
          <w:b/>
          <w:sz w:val="28"/>
          <w:lang w:val="en-US" w:eastAsia="zh-CN"/>
        </w:rPr>
        <w:t xml:space="preserve">  </w:t>
      </w:r>
      <w:r>
        <w:rPr>
          <w:b/>
          <w:sz w:val="28"/>
        </w:rPr>
        <w:t>环保检查结果</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18"/>
              <w:numPr>
                <w:ilvl w:val="1"/>
                <w:numId w:val="8"/>
              </w:numPr>
              <w:tabs>
                <w:tab w:val="left" w:pos="699"/>
              </w:tabs>
              <w:spacing w:before="0" w:after="0" w:line="240" w:lineRule="auto"/>
              <w:ind w:left="698" w:right="0" w:hanging="424"/>
              <w:jc w:val="left"/>
              <w:rPr>
                <w:b/>
                <w:sz w:val="24"/>
                <w:szCs w:val="24"/>
              </w:rPr>
            </w:pPr>
            <w:r>
              <w:rPr>
                <w:b/>
                <w:sz w:val="24"/>
                <w:szCs w:val="24"/>
              </w:rPr>
              <w:t>环境影响评价与环评批复中环保措施及设施的落实情况</w:t>
            </w:r>
          </w:p>
          <w:p>
            <w:pPr>
              <w:tabs>
                <w:tab w:val="left" w:pos="907"/>
              </w:tabs>
              <w:spacing w:before="230"/>
              <w:ind w:left="0" w:right="163" w:firstLine="0"/>
              <w:jc w:val="center"/>
              <w:rPr>
                <w:b/>
                <w:sz w:val="7"/>
              </w:rPr>
            </w:pPr>
            <w:r>
              <w:rPr>
                <w:b/>
                <w:sz w:val="21"/>
              </w:rPr>
              <w:t>表</w:t>
            </w:r>
            <w:r>
              <w:rPr>
                <w:b/>
                <w:spacing w:val="-58"/>
                <w:sz w:val="21"/>
              </w:rPr>
              <w:t xml:space="preserve"> </w:t>
            </w:r>
            <w:r>
              <w:rPr>
                <w:rFonts w:ascii="Times New Roman" w:eastAsia="Times New Roman"/>
                <w:b/>
                <w:sz w:val="21"/>
              </w:rPr>
              <w:t>7.1-1</w:t>
            </w:r>
            <w:r>
              <w:rPr>
                <w:rFonts w:ascii="Times New Roman" w:eastAsia="Times New Roman"/>
                <w:b/>
                <w:sz w:val="21"/>
              </w:rPr>
              <w:tab/>
            </w:r>
            <w:r>
              <w:rPr>
                <w:b/>
                <w:sz w:val="21"/>
              </w:rPr>
              <w:t>环保设施、措</w:t>
            </w:r>
            <w:r>
              <w:rPr>
                <w:b/>
                <w:spacing w:val="-5"/>
                <w:sz w:val="21"/>
              </w:rPr>
              <w:t>施</w:t>
            </w:r>
            <w:r>
              <w:rPr>
                <w:b/>
                <w:sz w:val="21"/>
              </w:rPr>
              <w:t>落实情况一览表</w:t>
            </w:r>
          </w:p>
          <w:tbl>
            <w:tblPr>
              <w:tblStyle w:val="14"/>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390"/>
              <w:gridCol w:w="960"/>
              <w:gridCol w:w="3360"/>
              <w:gridCol w:w="3478"/>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4" w:type="pct"/>
                  <w:vAlign w:val="center"/>
                </w:tcPr>
                <w:p>
                  <w:pPr>
                    <w:pStyle w:val="17"/>
                    <w:spacing w:line="268" w:lineRule="exact"/>
                    <w:ind w:left="146"/>
                    <w:rPr>
                      <w:sz w:val="21"/>
                    </w:rPr>
                  </w:pPr>
                  <w:r>
                    <w:rPr>
                      <w:w w:val="100"/>
                      <w:sz w:val="21"/>
                    </w:rPr>
                    <w:t>序</w:t>
                  </w:r>
                </w:p>
                <w:p>
                  <w:pPr>
                    <w:pStyle w:val="17"/>
                    <w:spacing w:before="4" w:line="252" w:lineRule="exact"/>
                    <w:ind w:left="146"/>
                    <w:rPr>
                      <w:sz w:val="21"/>
                    </w:rPr>
                  </w:pPr>
                  <w:r>
                    <w:rPr>
                      <w:w w:val="100"/>
                      <w:sz w:val="21"/>
                    </w:rPr>
                    <w:t>号</w:t>
                  </w:r>
                </w:p>
              </w:tc>
              <w:tc>
                <w:tcPr>
                  <w:tcW w:w="708" w:type="pct"/>
                  <w:gridSpan w:val="2"/>
                  <w:vAlign w:val="center"/>
                </w:tcPr>
                <w:p>
                  <w:pPr>
                    <w:pStyle w:val="17"/>
                    <w:spacing w:before="138"/>
                    <w:ind w:left="485" w:right="473"/>
                    <w:jc w:val="center"/>
                    <w:rPr>
                      <w:sz w:val="21"/>
                    </w:rPr>
                  </w:pPr>
                  <w:r>
                    <w:rPr>
                      <w:sz w:val="21"/>
                    </w:rPr>
                    <w:t>种类</w:t>
                  </w:r>
                </w:p>
              </w:tc>
              <w:tc>
                <w:tcPr>
                  <w:tcW w:w="1763" w:type="pct"/>
                  <w:vAlign w:val="center"/>
                </w:tcPr>
                <w:p>
                  <w:pPr>
                    <w:pStyle w:val="17"/>
                    <w:spacing w:before="138"/>
                    <w:ind w:left="101" w:right="95"/>
                    <w:jc w:val="center"/>
                    <w:rPr>
                      <w:sz w:val="21"/>
                    </w:rPr>
                  </w:pPr>
                  <w:r>
                    <w:rPr>
                      <w:sz w:val="21"/>
                    </w:rPr>
                    <w:t>环评及批复要求</w:t>
                  </w:r>
                </w:p>
              </w:tc>
              <w:tc>
                <w:tcPr>
                  <w:tcW w:w="1825" w:type="pct"/>
                  <w:vAlign w:val="center"/>
                </w:tcPr>
                <w:p>
                  <w:pPr>
                    <w:pStyle w:val="17"/>
                    <w:spacing w:before="138"/>
                    <w:ind w:left="896"/>
                    <w:rPr>
                      <w:sz w:val="21"/>
                    </w:rPr>
                  </w:pPr>
                  <w:r>
                    <w:rPr>
                      <w:sz w:val="21"/>
                    </w:rPr>
                    <w:t>实际建设情况</w:t>
                  </w:r>
                </w:p>
              </w:tc>
              <w:tc>
                <w:tcPr>
                  <w:tcW w:w="479" w:type="pct"/>
                  <w:vAlign w:val="center"/>
                </w:tcPr>
                <w:p>
                  <w:pPr>
                    <w:pStyle w:val="17"/>
                    <w:spacing w:before="138"/>
                    <w:ind w:left="131" w:right="127"/>
                    <w:jc w:val="center"/>
                    <w:rPr>
                      <w:sz w:val="21"/>
                    </w:rPr>
                  </w:pPr>
                  <w:r>
                    <w:rPr>
                      <w:sz w:val="21"/>
                    </w:rPr>
                    <w:t>落实</w:t>
                  </w:r>
                </w:p>
                <w:p>
                  <w:pPr>
                    <w:pStyle w:val="17"/>
                    <w:spacing w:before="138"/>
                    <w:ind w:left="131" w:right="127"/>
                    <w:jc w:val="center"/>
                    <w:rPr>
                      <w:sz w:val="21"/>
                    </w:rPr>
                  </w:pPr>
                  <w:r>
                    <w:rPr>
                      <w:sz w:val="21"/>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4" w:type="pct"/>
                  <w:vMerge w:val="restar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204" w:type="pct"/>
                  <w:vMerge w:val="restar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废水</w:t>
                  </w: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生活污水</w:t>
                  </w:r>
                </w:p>
              </w:tc>
              <w:tc>
                <w:tcPr>
                  <w:tcW w:w="1763" w:type="pct"/>
                  <w:vMerge w:val="restar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本项目建成后拟设置1套污水处理设备，处理能力</w:t>
                  </w:r>
                  <w:r>
                    <w:rPr>
                      <w:rFonts w:hint="default" w:ascii="Times New Roman" w:hAnsi="Times New Roman" w:cs="Times New Roman"/>
                      <w:sz w:val="21"/>
                      <w:szCs w:val="21"/>
                      <w:lang w:val="en-US" w:eastAsia="zh-CN"/>
                    </w:rPr>
                    <w:t>50</w:t>
                  </w:r>
                  <w:r>
                    <w:rPr>
                      <w:rFonts w:hint="default" w:ascii="Times New Roman" w:hAnsi="Times New Roman" w:eastAsia="宋体" w:cs="Times New Roman"/>
                      <w:sz w:val="21"/>
                      <w:szCs w:val="21"/>
                    </w:rPr>
                    <w:t>m³/d，采用“初沉池+pH调节+</w:t>
                  </w:r>
                  <w:r>
                    <w:rPr>
                      <w:rFonts w:hint="default" w:ascii="Times New Roman" w:hAnsi="Times New Roman" w:cs="Times New Roman"/>
                      <w:sz w:val="21"/>
                      <w:szCs w:val="21"/>
                      <w:lang w:val="en-US" w:eastAsia="zh-CN"/>
                    </w:rPr>
                    <w:t>生化池</w:t>
                  </w:r>
                  <w:r>
                    <w:rPr>
                      <w:rFonts w:hint="default" w:ascii="Times New Roman" w:hAnsi="Times New Roman" w:eastAsia="宋体" w:cs="Times New Roman"/>
                      <w:sz w:val="21"/>
                      <w:szCs w:val="21"/>
                    </w:rPr>
                    <w:t>+混凝沉淀+二级过滤”工艺，污水经处理达《污水综合排放标准》（GB8978-1996）三级标准后排入园区市政管网。之后进入</w:t>
                  </w:r>
                  <w:r>
                    <w:rPr>
                      <w:rFonts w:hint="default" w:ascii="Times New Roman" w:hAnsi="Times New Roman" w:cs="Times New Roman"/>
                      <w:sz w:val="21"/>
                      <w:szCs w:val="21"/>
                      <w:lang w:val="en-US" w:eastAsia="zh-CN"/>
                    </w:rPr>
                    <w:t>园区</w:t>
                  </w:r>
                  <w:r>
                    <w:rPr>
                      <w:rFonts w:hint="default" w:ascii="Times New Roman" w:hAnsi="Times New Roman" w:eastAsia="宋体" w:cs="Times New Roman"/>
                      <w:sz w:val="21"/>
                      <w:szCs w:val="21"/>
                    </w:rPr>
                    <w:t>污水处理厂进一步处理达《城镇污水处理厂污染物排放标准》（GB18918-2002）一级A标准后排入</w:t>
                  </w:r>
                  <w:r>
                    <w:rPr>
                      <w:rFonts w:hint="default" w:ascii="Times New Roman" w:hAnsi="Times New Roman" w:cs="Times New Roman"/>
                      <w:sz w:val="21"/>
                      <w:szCs w:val="21"/>
                      <w:lang w:val="en-US" w:eastAsia="zh-CN"/>
                    </w:rPr>
                    <w:t>石马河。</w:t>
                  </w:r>
                </w:p>
              </w:tc>
              <w:tc>
                <w:tcPr>
                  <w:tcW w:w="1825" w:type="pct"/>
                  <w:vMerge w:val="restar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废水经</w:t>
                  </w:r>
                  <w:r>
                    <w:rPr>
                      <w:rFonts w:hint="eastAsia" w:ascii="Times New Roman" w:hAnsi="Times New Roman" w:eastAsia="宋体" w:cs="Times New Roman"/>
                      <w:lang w:val="en-US" w:eastAsia="zh-CN"/>
                    </w:rPr>
                    <w:t>自建的沉淀池后，</w:t>
                  </w:r>
                  <w:r>
                    <w:rPr>
                      <w:rFonts w:hint="eastAsia" w:ascii="Times New Roman" w:hAnsi="Times New Roman" w:cs="Times New Roman"/>
                      <w:lang w:val="en-US" w:eastAsia="zh-CN"/>
                    </w:rPr>
                    <w:t>和生活废水</w:t>
                  </w:r>
                  <w:r>
                    <w:rPr>
                      <w:rFonts w:hint="default" w:ascii="Times New Roman" w:hAnsi="Times New Roman" w:eastAsia="宋体" w:cs="Times New Roman"/>
                      <w:lang w:val="en-US" w:eastAsia="zh-CN"/>
                    </w:rPr>
                    <w:t>排入</w:t>
                  </w:r>
                  <w:r>
                    <w:rPr>
                      <w:rFonts w:hint="eastAsia" w:ascii="Times New Roman" w:hAnsi="Times New Roman" w:cs="Times New Roman"/>
                      <w:lang w:val="en-US" w:eastAsia="zh-CN"/>
                    </w:rPr>
                    <w:t>园区</w:t>
                  </w:r>
                  <w:r>
                    <w:rPr>
                      <w:rFonts w:hint="default" w:ascii="Times New Roman" w:hAnsi="Times New Roman" w:eastAsia="宋体" w:cs="Times New Roman"/>
                      <w:lang w:val="en-US" w:eastAsia="zh-CN"/>
                    </w:rPr>
                    <w:t>生化池</w:t>
                  </w:r>
                  <w:r>
                    <w:rPr>
                      <w:rFonts w:hint="eastAsia" w:ascii="Times New Roman" w:hAnsi="Times New Roman" w:eastAsia="宋体" w:cs="Times New Roman"/>
                      <w:lang w:val="en-US" w:eastAsia="zh-CN"/>
                    </w:rPr>
                    <w:t>经处理达《污水综合排放标准》（GB8978-1996）三级标准后排入园区市政管网。</w:t>
                  </w:r>
                  <w:r>
                    <w:rPr>
                      <w:rFonts w:hint="default" w:ascii="Times New Roman" w:hAnsi="Times New Roman" w:eastAsia="宋体" w:cs="Times New Roman"/>
                      <w:sz w:val="21"/>
                      <w:szCs w:val="21"/>
                    </w:rPr>
                    <w:t>之后进入</w:t>
                  </w:r>
                  <w:r>
                    <w:rPr>
                      <w:rFonts w:hint="default" w:ascii="Times New Roman" w:hAnsi="Times New Roman" w:eastAsia="宋体" w:cs="Times New Roman"/>
                      <w:sz w:val="21"/>
                      <w:szCs w:val="21"/>
                      <w:lang w:val="en-US" w:eastAsia="zh-CN"/>
                    </w:rPr>
                    <w:t>园区</w:t>
                  </w:r>
                  <w:r>
                    <w:rPr>
                      <w:rFonts w:hint="default" w:ascii="Times New Roman" w:hAnsi="Times New Roman" w:eastAsia="宋体" w:cs="Times New Roman"/>
                      <w:sz w:val="21"/>
                      <w:szCs w:val="21"/>
                    </w:rPr>
                    <w:t>污水处理厂进一步处理达《城镇污水处理厂污染物排放标准》（GB18918-2002）一级A标准后排入</w:t>
                  </w:r>
                  <w:r>
                    <w:rPr>
                      <w:rFonts w:hint="default" w:ascii="Times New Roman" w:hAnsi="Times New Roman" w:eastAsia="宋体" w:cs="Times New Roman"/>
                      <w:sz w:val="21"/>
                      <w:szCs w:val="21"/>
                      <w:lang w:val="en-US" w:eastAsia="zh-CN"/>
                    </w:rPr>
                    <w:t>石马河。</w:t>
                  </w:r>
                  <w:r>
                    <w:rPr>
                      <w:rFonts w:hint="default" w:ascii="Times New Roman" w:hAnsi="Times New Roman" w:eastAsia="宋体" w:cs="Times New Roman"/>
                      <w:lang w:val="en-US" w:eastAsia="zh-CN"/>
                    </w:rPr>
                    <w:t>喷淋废水成分相对较复杂，且产生量较小</w:t>
                  </w:r>
                  <w:r>
                    <w:rPr>
                      <w:rFonts w:hint="eastAsia" w:ascii="Times New Roman" w:hAnsi="Times New Roman" w:eastAsia="宋体" w:cs="Times New Roman"/>
                      <w:lang w:val="en-US" w:eastAsia="zh-CN"/>
                    </w:rPr>
                    <w:t>。现将</w:t>
                  </w:r>
                  <w:r>
                    <w:rPr>
                      <w:rFonts w:hint="default" w:ascii="Times New Roman" w:hAnsi="Times New Roman" w:eastAsia="宋体" w:cs="Times New Roman"/>
                      <w:lang w:val="en-US" w:eastAsia="zh-CN"/>
                    </w:rPr>
                    <w:t>定期更换的喷淋废水计入危废处置</w:t>
                  </w:r>
                  <w:r>
                    <w:rPr>
                      <w:rFonts w:hint="eastAsia" w:ascii="Times New Roman" w:hAnsi="Times New Roman" w:cs="Times New Roman"/>
                      <w:lang w:val="en-US" w:eastAsia="zh-CN"/>
                    </w:rPr>
                    <w:t>。</w:t>
                  </w:r>
                </w:p>
              </w:tc>
              <w:tc>
                <w:tcPr>
                  <w:tcW w:w="479" w:type="pct"/>
                  <w:vMerge w:val="restart"/>
                  <w:vAlign w:val="center"/>
                </w:tcPr>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spacing w:before="3"/>
                    <w:rPr>
                      <w:rFonts w:hint="default" w:ascii="Times New Roman" w:hAnsi="Times New Roman" w:cs="Times New Roman"/>
                      <w:b/>
                      <w:sz w:val="21"/>
                      <w:szCs w:val="21"/>
                    </w:rPr>
                  </w:pPr>
                </w:p>
                <w:p>
                  <w:pPr>
                    <w:pStyle w:val="17"/>
                    <w:ind w:left="131"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超声波清洗废水</w:t>
                  </w:r>
                </w:p>
              </w:tc>
              <w:tc>
                <w:tcPr>
                  <w:tcW w:w="1763"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825"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479" w:type="pct"/>
                  <w:vMerge w:val="continue"/>
                  <w:vAlign w:val="center"/>
                </w:tcPr>
                <w:p>
                  <w:pPr>
                    <w:pStyle w:val="17"/>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震动研磨废水</w:t>
                  </w:r>
                </w:p>
              </w:tc>
              <w:tc>
                <w:tcPr>
                  <w:tcW w:w="1763"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825"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479" w:type="pct"/>
                  <w:vMerge w:val="continue"/>
                  <w:vAlign w:val="center"/>
                </w:tcPr>
                <w:p>
                  <w:pPr>
                    <w:pStyle w:val="17"/>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喷淋废水</w:t>
                  </w:r>
                </w:p>
              </w:tc>
              <w:tc>
                <w:tcPr>
                  <w:tcW w:w="1763"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825"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479" w:type="pct"/>
                  <w:vMerge w:val="continue"/>
                  <w:vAlign w:val="center"/>
                </w:tcPr>
                <w:p>
                  <w:pPr>
                    <w:pStyle w:val="17"/>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224" w:type="pct"/>
                  <w:tcBorders>
                    <w:bottom w:val="nil"/>
                  </w:tcBorders>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restar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废气</w:t>
                  </w:r>
                </w:p>
              </w:tc>
              <w:tc>
                <w:tcPr>
                  <w:tcW w:w="503" w:type="pct"/>
                  <w:vMerge w:val="restar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有机废气</w:t>
                  </w:r>
                </w:p>
              </w:tc>
              <w:tc>
                <w:tcPr>
                  <w:tcW w:w="176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注塑车间：拟在每个有机废气产生点侧向、上方设计吸风装置（设计风量10000m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/h），为了确保收集效率，收集罩在注塑口处设置环形集气罩，将注塑产生的有机废气收集。</w:t>
                  </w:r>
                </w:p>
              </w:tc>
              <w:tc>
                <w:tcPr>
                  <w:tcW w:w="1825"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注塑车间：在每个有机废气产生点侧向、上方设计吸风装置（风量10000m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/h），在注塑口处设置环形集气罩，将注塑产生的有机废气收集。</w:t>
                  </w:r>
                </w:p>
              </w:tc>
              <w:tc>
                <w:tcPr>
                  <w:tcW w:w="479" w:type="pct"/>
                  <w:vAlign w:val="center"/>
                </w:tcPr>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spacing w:before="4"/>
                    <w:rPr>
                      <w:rFonts w:hint="default" w:ascii="Times New Roman" w:hAnsi="Times New Roman" w:cs="Times New Roman"/>
                      <w:b/>
                      <w:sz w:val="21"/>
                      <w:szCs w:val="21"/>
                    </w:rPr>
                  </w:pPr>
                </w:p>
                <w:p>
                  <w:pPr>
                    <w:pStyle w:val="17"/>
                    <w:ind w:left="131"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224" w:type="pct"/>
                  <w:tcBorders>
                    <w:top w:val="nil"/>
                    <w:bottom w:val="nil"/>
                  </w:tcBorders>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204" w:type="pct"/>
                  <w:vMerge w:val="continue"/>
                  <w:tcBorders>
                    <w:top w:val="nil"/>
                  </w:tcBorders>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176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喷漆房：拟设置密闭喷漆房1间，配制2台自动喷漆设备，2台人工喷漆设备，共4个工位，喷漆房内设置1个烘干房，采用电烘干。喷漆房采取顶部送风，底部排风（设计风量30000m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/h）。喷漆房废气随着喷漆房排风排出，再进入末端设置处理。</w:t>
                  </w:r>
                </w:p>
              </w:tc>
              <w:tc>
                <w:tcPr>
                  <w:tcW w:w="1825"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喷漆房：设置密闭喷漆房1间，配制2台自动喷漆设备，2台人工喷漆设备，共4个工位，喷漆房内设置1个烘干房，采用电烘干。喷漆房采取顶部送风，底部排风（风量30000m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/h）。喷漆房废气随着喷漆房排风排出，再进入末端设置处理。</w:t>
                  </w:r>
                </w:p>
              </w:tc>
              <w:tc>
                <w:tcPr>
                  <w:tcW w:w="479" w:type="pct"/>
                  <w:vAlign w:val="center"/>
                </w:tcPr>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rPr>
                      <w:rFonts w:hint="default" w:ascii="Times New Roman" w:hAnsi="Times New Roman" w:cs="Times New Roman"/>
                      <w:b/>
                      <w:sz w:val="21"/>
                      <w:szCs w:val="21"/>
                    </w:rPr>
                  </w:pPr>
                </w:p>
                <w:p>
                  <w:pPr>
                    <w:pStyle w:val="17"/>
                    <w:spacing w:before="8"/>
                    <w:rPr>
                      <w:rFonts w:hint="default" w:ascii="Times New Roman" w:hAnsi="Times New Roman" w:cs="Times New Roman"/>
                      <w:b/>
                      <w:sz w:val="21"/>
                      <w:szCs w:val="21"/>
                    </w:rPr>
                  </w:pPr>
                </w:p>
                <w:p>
                  <w:pPr>
                    <w:pStyle w:val="17"/>
                    <w:ind w:left="131"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224" w:type="pct"/>
                  <w:tcBorders>
                    <w:top w:val="nil"/>
                    <w:bottom w:val="nil"/>
                  </w:tcBorders>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continue"/>
                  <w:tcBorders>
                    <w:top w:val="nil"/>
                  </w:tcBorders>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1763" w:type="pct"/>
                  <w:vAlign w:val="center"/>
                </w:tcPr>
                <w:p>
                  <w:pPr>
                    <w:spacing w:line="276" w:lineRule="auto"/>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b w:val="0"/>
                      <w:bCs w:val="0"/>
                      <w:color w:val="auto"/>
                      <w:sz w:val="21"/>
                      <w:szCs w:val="21"/>
                      <w:lang w:val="en-US"/>
                    </w:rPr>
                    <w:t>末端治理设施：有机废气汇至同一根管道进入活性炭吸附装置处理，经分解吸附后由15m排气筒排放。</w:t>
                  </w:r>
                </w:p>
              </w:tc>
              <w:tc>
                <w:tcPr>
                  <w:tcW w:w="1825" w:type="pct"/>
                  <w:vAlign w:val="center"/>
                </w:tcPr>
                <w:p>
                  <w:pPr>
                    <w:spacing w:line="276" w:lineRule="auto"/>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b w:val="0"/>
                      <w:bCs w:val="0"/>
                      <w:color w:val="auto"/>
                      <w:sz w:val="21"/>
                      <w:szCs w:val="21"/>
                      <w:lang w:val="en-US"/>
                    </w:rPr>
                    <w:t>末端治理设施：有机废气汇至同一根管道进入</w:t>
                  </w:r>
                  <w:r>
                    <w:rPr>
                      <w:rFonts w:hint="eastAsia" w:ascii="Times New Roman" w:hAnsi="Times New Roman" w:cs="Times New Roman"/>
                      <w:b w:val="0"/>
                      <w:bCs w:val="0"/>
                      <w:color w:val="auto"/>
                      <w:sz w:val="21"/>
                      <w:szCs w:val="21"/>
                      <w:lang w:val="en-US" w:eastAsia="zh-CN"/>
                    </w:rPr>
                    <w:t>喷淋塔+</w:t>
                  </w:r>
                  <w:r>
                    <w:rPr>
                      <w:rFonts w:hint="default" w:ascii="Times New Roman" w:hAnsi="Times New Roman" w:eastAsia="宋体" w:cs="Times New Roman"/>
                      <w:b w:val="0"/>
                      <w:bCs w:val="0"/>
                      <w:color w:val="auto"/>
                      <w:sz w:val="21"/>
                      <w:szCs w:val="21"/>
                      <w:lang w:val="en-US"/>
                    </w:rPr>
                    <w:t>活性炭吸附装置处理，经分解吸附后由15m排气筒排放。</w:t>
                  </w:r>
                </w:p>
              </w:tc>
              <w:tc>
                <w:tcPr>
                  <w:tcW w:w="479" w:type="pct"/>
                  <w:vAlign w:val="center"/>
                </w:tcPr>
                <w:p>
                  <w:pPr>
                    <w:pStyle w:val="17"/>
                    <w:rPr>
                      <w:rFonts w:hint="default" w:ascii="Times New Roman" w:hAnsi="Times New Roman" w:cs="Times New Roman"/>
                      <w:b/>
                      <w:sz w:val="21"/>
                      <w:szCs w:val="21"/>
                    </w:rPr>
                  </w:pPr>
                </w:p>
                <w:p>
                  <w:pPr>
                    <w:pStyle w:val="17"/>
                    <w:spacing w:before="162"/>
                    <w:ind w:left="131"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24"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204"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噪声</w:t>
                  </w: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车间产噪设备</w:t>
                  </w:r>
                </w:p>
              </w:tc>
              <w:tc>
                <w:tcPr>
                  <w:tcW w:w="1763" w:type="pct"/>
                  <w:vAlign w:val="center"/>
                </w:tcPr>
                <w:p>
                  <w:pPr>
                    <w:pStyle w:val="17"/>
                    <w:ind w:left="108" w:right="128"/>
                    <w:jc w:val="center"/>
                    <w:rPr>
                      <w:rFonts w:hint="default" w:ascii="Times New Roman" w:hAnsi="Times New Roman" w:cs="Times New Roman"/>
                      <w:sz w:val="21"/>
                      <w:szCs w:val="21"/>
                    </w:rPr>
                  </w:pPr>
                  <w:r>
                    <w:rPr>
                      <w:rFonts w:hint="default" w:ascii="Times New Roman" w:hAnsi="Times New Roman" w:cs="Times New Roman"/>
                      <w:sz w:val="21"/>
                      <w:szCs w:val="21"/>
                    </w:rPr>
                    <w:t>选用低噪的设备，合理布置、采用减震、建筑隔声</w:t>
                  </w:r>
                </w:p>
              </w:tc>
              <w:tc>
                <w:tcPr>
                  <w:tcW w:w="1825" w:type="pct"/>
                  <w:vAlign w:val="center"/>
                </w:tcPr>
                <w:p>
                  <w:pPr>
                    <w:pStyle w:val="17"/>
                    <w:ind w:left="108" w:right="1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已合理布局，加强管理，选用低噪声设备，采取隔声、基础减震等措施</w:t>
                  </w:r>
                </w:p>
              </w:tc>
              <w:tc>
                <w:tcPr>
                  <w:tcW w:w="479" w:type="pct"/>
                  <w:vAlign w:val="center"/>
                </w:tcPr>
                <w:p>
                  <w:pPr>
                    <w:pStyle w:val="17"/>
                    <w:ind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4" w:type="pct"/>
                  <w:vMerge w:val="restart"/>
                  <w:vAlign w:val="top"/>
                </w:tcPr>
                <w:p>
                  <w:pPr>
                    <w:spacing w:line="276" w:lineRule="auto"/>
                    <w:ind w:left="0" w:leftChars="0" w:right="0" w:rightChars="0"/>
                    <w:jc w:val="center"/>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en-US" w:eastAsia="zh-CN"/>
                    </w:rPr>
                    <w:t>4</w:t>
                  </w:r>
                </w:p>
              </w:tc>
              <w:tc>
                <w:tcPr>
                  <w:tcW w:w="204" w:type="pct"/>
                  <w:vMerge w:val="restart"/>
                  <w:vAlign w:val="top"/>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en-US" w:eastAsia="zh-CN"/>
                    </w:rPr>
                    <w:t>固废</w:t>
                  </w: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一般固废</w:t>
                  </w:r>
                </w:p>
              </w:tc>
              <w:tc>
                <w:tcPr>
                  <w:tcW w:w="1763" w:type="pct"/>
                  <w:vAlign w:val="center"/>
                </w:tcPr>
                <w:p>
                  <w:pPr>
                    <w:pStyle w:val="17"/>
                    <w:ind w:left="108" w:right="128"/>
                    <w:rPr>
                      <w:rFonts w:hint="default" w:ascii="Times New Roman" w:hAnsi="Times New Roman" w:cs="Times New Roman"/>
                      <w:sz w:val="21"/>
                      <w:szCs w:val="21"/>
                    </w:rPr>
                  </w:pPr>
                  <w:r>
                    <w:rPr>
                      <w:rFonts w:hint="eastAsia"/>
                      <w:szCs w:val="21"/>
                      <w:lang w:val="en-US" w:eastAsia="zh-CN"/>
                    </w:rPr>
                    <w:t>废注塑边角料、残次品收集后回用于生产。废</w:t>
                  </w:r>
                  <w:r>
                    <w:rPr>
                      <w:rFonts w:hint="default"/>
                      <w:szCs w:val="21"/>
                    </w:rPr>
                    <w:t>包装材料</w:t>
                  </w:r>
                  <w:r>
                    <w:rPr>
                      <w:rFonts w:hint="eastAsia"/>
                      <w:szCs w:val="21"/>
                      <w:lang w:eastAsia="zh-CN"/>
                    </w:rPr>
                    <w:t>、</w:t>
                  </w:r>
                  <w:r>
                    <w:rPr>
                      <w:rFonts w:hint="eastAsia"/>
                      <w:szCs w:val="21"/>
                      <w:lang w:val="en-US" w:eastAsia="zh-CN"/>
                    </w:rPr>
                    <w:t>废磨料交由环卫部门清运</w:t>
                  </w:r>
                  <w:r>
                    <w:rPr>
                      <w:rFonts w:hint="eastAsia"/>
                      <w:szCs w:val="21"/>
                      <w:lang w:eastAsia="zh-CN"/>
                    </w:rPr>
                    <w:t>。</w:t>
                  </w:r>
                </w:p>
              </w:tc>
              <w:tc>
                <w:tcPr>
                  <w:tcW w:w="1825" w:type="pct"/>
                  <w:vAlign w:val="center"/>
                </w:tcPr>
                <w:p>
                  <w:pPr>
                    <w:pStyle w:val="17"/>
                    <w:ind w:left="108" w:right="128"/>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废注塑边角料、残次品收集后回用于生产。废</w:t>
                  </w:r>
                  <w:r>
                    <w:rPr>
                      <w:rFonts w:hint="default" w:ascii="Times New Roman" w:hAnsi="Times New Roman" w:eastAsia="宋体" w:cs="Times New Roman"/>
                      <w:sz w:val="21"/>
                      <w:szCs w:val="21"/>
                    </w:rPr>
                    <w:t>包装材料</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废磨料交由环卫部门清运</w:t>
                  </w:r>
                  <w:r>
                    <w:rPr>
                      <w:rFonts w:hint="eastAsia" w:ascii="Times New Roman" w:hAnsi="Times New Roman" w:eastAsia="宋体" w:cs="Times New Roman"/>
                      <w:sz w:val="21"/>
                      <w:szCs w:val="21"/>
                      <w:lang w:eastAsia="zh-CN"/>
                    </w:rPr>
                    <w:t>。</w:t>
                  </w:r>
                </w:p>
              </w:tc>
              <w:tc>
                <w:tcPr>
                  <w:tcW w:w="479" w:type="pct"/>
                  <w:vAlign w:val="center"/>
                </w:tcPr>
                <w:p>
                  <w:pPr>
                    <w:pStyle w:val="17"/>
                    <w:spacing w:before="8"/>
                    <w:rPr>
                      <w:rFonts w:hint="default" w:ascii="Times New Roman" w:hAnsi="Times New Roman" w:cs="Times New Roman"/>
                      <w:b/>
                      <w:sz w:val="21"/>
                      <w:szCs w:val="21"/>
                    </w:rPr>
                  </w:pPr>
                </w:p>
                <w:p>
                  <w:pPr>
                    <w:pStyle w:val="17"/>
                    <w:ind w:left="131" w:leftChars="0" w:right="127" w:rightChars="0"/>
                    <w:jc w:val="center"/>
                    <w:rPr>
                      <w:rFonts w:hint="default" w:ascii="Times New Roman" w:hAnsi="Times New Roman" w:eastAsia="宋体" w:cs="Times New Roman"/>
                      <w:sz w:val="21"/>
                      <w:szCs w:val="21"/>
                      <w:lang w:val="zh-CN" w:eastAsia="zh-CN" w:bidi="zh-CN"/>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204" w:type="pct"/>
                  <w:vMerge w:val="continue"/>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tc>
              <w:tc>
                <w:tcPr>
                  <w:tcW w:w="503"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危险废物</w:t>
                  </w:r>
                </w:p>
              </w:tc>
              <w:tc>
                <w:tcPr>
                  <w:tcW w:w="1763" w:type="pct"/>
                  <w:vAlign w:val="center"/>
                </w:tcPr>
                <w:p>
                  <w:pPr>
                    <w:pStyle w:val="17"/>
                    <w:ind w:left="108" w:right="128"/>
                    <w:rPr>
                      <w:rFonts w:hint="default" w:ascii="Times New Roman" w:hAnsi="Times New Roman" w:cs="Times New Roman"/>
                      <w:sz w:val="21"/>
                      <w:szCs w:val="21"/>
                    </w:rPr>
                  </w:pPr>
                  <w:r>
                    <w:rPr>
                      <w:rFonts w:hint="default" w:ascii="Times New Roman" w:hAnsi="Times New Roman" w:eastAsia="宋体" w:cs="Times New Roman"/>
                      <w:bCs/>
                      <w:color w:val="auto"/>
                      <w:sz w:val="21"/>
                      <w:szCs w:val="21"/>
                    </w:rPr>
                    <w:t>废气治理设备废活性炭</w:t>
                  </w:r>
                  <w:r>
                    <w:rPr>
                      <w:rFonts w:hint="eastAsia" w:cs="Times New Roman"/>
                      <w:bCs/>
                      <w:color w:val="auto"/>
                      <w:sz w:val="21"/>
                      <w:szCs w:val="21"/>
                      <w:lang w:eastAsia="zh-CN"/>
                    </w:rPr>
                    <w:t>、沾染化学品的废包装材料、</w:t>
                  </w:r>
                  <w:r>
                    <w:rPr>
                      <w:rFonts w:hint="eastAsia" w:cs="Times New Roman"/>
                      <w:bCs/>
                      <w:color w:val="auto"/>
                      <w:sz w:val="21"/>
                      <w:szCs w:val="21"/>
                      <w:lang w:val="en-US" w:eastAsia="zh-CN"/>
                    </w:rPr>
                    <w:t>漆渣、</w:t>
                  </w:r>
                  <w:r>
                    <w:rPr>
                      <w:rFonts w:hint="default" w:ascii="Times New Roman" w:hAnsi="Times New Roman" w:eastAsia="宋体" w:cs="Times New Roman"/>
                      <w:bCs/>
                      <w:sz w:val="21"/>
                      <w:szCs w:val="21"/>
                    </w:rPr>
                    <w:t>设备维护废机油</w:t>
                  </w:r>
                  <w:r>
                    <w:rPr>
                      <w:rFonts w:hint="eastAsia"/>
                      <w:sz w:val="21"/>
                      <w:szCs w:val="21"/>
                    </w:rPr>
                    <w:t>厂内统一收集后，</w:t>
                  </w:r>
                  <w:r>
                    <w:rPr>
                      <w:rFonts w:hint="eastAsia"/>
                      <w:sz w:val="21"/>
                      <w:szCs w:val="21"/>
                      <w:lang w:val="en-US" w:eastAsia="zh-CN"/>
                    </w:rPr>
                    <w:t>暂存于危废暂存间，定期</w:t>
                  </w:r>
                  <w:r>
                    <w:rPr>
                      <w:rFonts w:hint="eastAsia"/>
                      <w:sz w:val="21"/>
                      <w:szCs w:val="21"/>
                    </w:rPr>
                    <w:t>交由有资质的单位处理。</w:t>
                  </w:r>
                  <w:r>
                    <w:rPr>
                      <w:rFonts w:hint="default" w:ascii="Times New Roman" w:hAnsi="Times New Roman" w:eastAsia="宋体" w:cs="Times New Roman"/>
                      <w:sz w:val="21"/>
                      <w:szCs w:val="21"/>
                    </w:rPr>
                    <w:t>含油抹布、手套</w:t>
                  </w:r>
                  <w:r>
                    <w:rPr>
                      <w:rFonts w:hint="eastAsia" w:cs="Times New Roman"/>
                      <w:sz w:val="21"/>
                      <w:szCs w:val="21"/>
                      <w:lang w:val="en-US" w:eastAsia="zh-CN"/>
                    </w:rPr>
                    <w:t>混入</w:t>
                  </w:r>
                  <w:r>
                    <w:rPr>
                      <w:rFonts w:hint="eastAsia" w:ascii="Times New Roman" w:hAnsi="Times New Roman" w:eastAsia="宋体" w:cs="Times New Roman"/>
                      <w:sz w:val="21"/>
                      <w:szCs w:val="21"/>
                      <w:lang w:val="en-US" w:eastAsia="zh-CN"/>
                    </w:rPr>
                    <w:t>生活垃</w:t>
                  </w:r>
                </w:p>
              </w:tc>
              <w:tc>
                <w:tcPr>
                  <w:tcW w:w="1825" w:type="pct"/>
                  <w:vAlign w:val="center"/>
                </w:tcPr>
                <w:p>
                  <w:pPr>
                    <w:pStyle w:val="17"/>
                    <w:ind w:left="108" w:right="1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废活性炭</w:t>
                  </w:r>
                  <w:r>
                    <w:rPr>
                      <w:rFonts w:hint="eastAsia" w:ascii="Times New Roman" w:hAnsi="Times New Roman" w:eastAsia="宋体" w:cs="Times New Roman"/>
                      <w:sz w:val="21"/>
                      <w:szCs w:val="21"/>
                      <w:lang w:eastAsia="zh-CN"/>
                    </w:rPr>
                    <w:t>、沾染化学品的废包装材料、</w:t>
                  </w:r>
                  <w:r>
                    <w:rPr>
                      <w:rFonts w:hint="eastAsia" w:ascii="Times New Roman" w:hAnsi="Times New Roman" w:eastAsia="宋体" w:cs="Times New Roman"/>
                      <w:sz w:val="21"/>
                      <w:szCs w:val="21"/>
                      <w:lang w:val="en-US" w:eastAsia="zh-CN"/>
                    </w:rPr>
                    <w:t>漆渣、</w:t>
                  </w:r>
                  <w:r>
                    <w:rPr>
                      <w:rFonts w:hint="default" w:ascii="Times New Roman" w:hAnsi="Times New Roman" w:eastAsia="宋体" w:cs="Times New Roman"/>
                      <w:sz w:val="21"/>
                      <w:szCs w:val="21"/>
                    </w:rPr>
                    <w:t>设备维护废机油</w:t>
                  </w:r>
                  <w:r>
                    <w:rPr>
                      <w:rFonts w:hint="eastAsia" w:ascii="Times New Roman" w:hAnsi="Times New Roman" w:eastAsia="宋体" w:cs="Times New Roman"/>
                      <w:sz w:val="21"/>
                      <w:szCs w:val="21"/>
                    </w:rPr>
                    <w:t>厂内统一收集后，</w:t>
                  </w:r>
                  <w:r>
                    <w:rPr>
                      <w:rFonts w:hint="eastAsia" w:ascii="Times New Roman" w:hAnsi="Times New Roman" w:eastAsia="宋体" w:cs="Times New Roman"/>
                      <w:sz w:val="21"/>
                      <w:szCs w:val="21"/>
                      <w:lang w:val="en-US" w:eastAsia="zh-CN"/>
                    </w:rPr>
                    <w:t>暂存于危废暂存间，定期</w:t>
                  </w:r>
                  <w:r>
                    <w:rPr>
                      <w:rFonts w:hint="eastAsia" w:ascii="Times New Roman" w:hAnsi="Times New Roman" w:eastAsia="宋体" w:cs="Times New Roman"/>
                      <w:sz w:val="21"/>
                      <w:szCs w:val="21"/>
                    </w:rPr>
                    <w:t>交由有</w:t>
                  </w:r>
                  <w:r>
                    <w:rPr>
                      <w:rFonts w:hint="eastAsia" w:ascii="Times New Roman" w:hAnsi="Times New Roman" w:cs="Times New Roman"/>
                      <w:sz w:val="21"/>
                      <w:szCs w:val="21"/>
                      <w:lang w:eastAsia="zh-CN"/>
                    </w:rPr>
                    <w:t>重庆巨光实业有限公司</w:t>
                  </w:r>
                  <w:r>
                    <w:rPr>
                      <w:rFonts w:hint="eastAsia"/>
                      <w:sz w:val="21"/>
                      <w:szCs w:val="21"/>
                    </w:rPr>
                    <w:t>。</w:t>
                  </w:r>
                  <w:r>
                    <w:rPr>
                      <w:rFonts w:hint="default" w:ascii="Times New Roman" w:hAnsi="Times New Roman" w:eastAsia="宋体" w:cs="Times New Roman"/>
                      <w:sz w:val="21"/>
                      <w:szCs w:val="21"/>
                    </w:rPr>
                    <w:t>含油抹布、手套</w:t>
                  </w:r>
                  <w:r>
                    <w:rPr>
                      <w:rFonts w:hint="eastAsia" w:ascii="Times New Roman" w:hAnsi="Times New Roman" w:eastAsia="宋体" w:cs="Times New Roman"/>
                      <w:sz w:val="21"/>
                      <w:szCs w:val="21"/>
                      <w:lang w:val="en-US" w:eastAsia="zh-CN"/>
                    </w:rPr>
                    <w:t>混入生</w:t>
                  </w:r>
                </w:p>
              </w:tc>
              <w:tc>
                <w:tcPr>
                  <w:tcW w:w="479" w:type="pct"/>
                  <w:vAlign w:val="center"/>
                </w:tcPr>
                <w:p>
                  <w:pPr>
                    <w:pStyle w:val="17"/>
                    <w:rPr>
                      <w:rFonts w:hint="default" w:ascii="Times New Roman" w:hAnsi="Times New Roman" w:cs="Times New Roman"/>
                      <w:b/>
                      <w:sz w:val="21"/>
                      <w:szCs w:val="21"/>
                    </w:rPr>
                  </w:pPr>
                </w:p>
                <w:p>
                  <w:pPr>
                    <w:pStyle w:val="17"/>
                    <w:spacing w:before="162"/>
                    <w:ind w:left="131" w:leftChars="0" w:right="127" w:rightChars="0"/>
                    <w:jc w:val="center"/>
                    <w:rPr>
                      <w:rFonts w:hint="default" w:ascii="Times New Roman" w:hAnsi="Times New Roman" w:eastAsia="宋体" w:cs="Times New Roman"/>
                      <w:sz w:val="21"/>
                      <w:szCs w:val="21"/>
                      <w:lang w:val="zh-CN" w:eastAsia="zh-CN" w:bidi="zh-CN"/>
                    </w:rPr>
                  </w:pPr>
                  <w:r>
                    <w:rPr>
                      <w:rFonts w:hint="default" w:ascii="Times New Roman" w:hAnsi="Times New Roman" w:cs="Times New Roman"/>
                      <w:sz w:val="21"/>
                      <w:szCs w:val="21"/>
                    </w:rPr>
                    <w:t>已落实</w:t>
                  </w:r>
                </w:p>
              </w:tc>
            </w:tr>
          </w:tbl>
          <w:p>
            <w:pPr>
              <w:pStyle w:val="2"/>
              <w:jc w:val="both"/>
              <w:rPr>
                <w:vertAlign w:val="baseline"/>
              </w:rPr>
            </w:pP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494"/>
              <w:gridCol w:w="1182"/>
              <w:gridCol w:w="3439"/>
              <w:gridCol w:w="290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vMerge w:val="restart"/>
                  <w:vAlign w:val="top"/>
                </w:tcPr>
                <w:p>
                  <w:pPr>
                    <w:pStyle w:val="17"/>
                    <w:spacing w:before="150"/>
                    <w:ind w:left="7" w:leftChars="0" w:right="0" w:rightChars="0"/>
                    <w:jc w:val="center"/>
                    <w:rPr>
                      <w:rFonts w:ascii="Times New Roman" w:hAnsi="宋体" w:eastAsia="宋体" w:cs="宋体"/>
                      <w:sz w:val="21"/>
                      <w:szCs w:val="22"/>
                      <w:lang w:val="zh-CN" w:eastAsia="zh-CN" w:bidi="zh-CN"/>
                    </w:rPr>
                  </w:pPr>
                </w:p>
              </w:tc>
              <w:tc>
                <w:tcPr>
                  <w:tcW w:w="259" w:type="pct"/>
                  <w:vMerge w:val="restart"/>
                  <w:vAlign w:val="top"/>
                </w:tcPr>
                <w:p>
                  <w:pPr>
                    <w:pStyle w:val="17"/>
                    <w:spacing w:line="244" w:lineRule="auto"/>
                    <w:ind w:right="186" w:rightChars="0"/>
                    <w:rPr>
                      <w:rFonts w:ascii="宋体" w:hAnsi="宋体" w:eastAsia="宋体" w:cs="宋体"/>
                      <w:sz w:val="21"/>
                      <w:szCs w:val="22"/>
                      <w:lang w:val="zh-CN" w:eastAsia="zh-CN" w:bidi="zh-CN"/>
                    </w:rPr>
                  </w:pPr>
                </w:p>
              </w:tc>
              <w:tc>
                <w:tcPr>
                  <w:tcW w:w="620" w:type="pct"/>
                  <w:vAlign w:val="top"/>
                </w:tcPr>
                <w:p>
                  <w:pPr>
                    <w:spacing w:line="276" w:lineRule="auto"/>
                    <w:ind w:left="0" w:leftChars="0" w:right="0" w:rightChars="0"/>
                    <w:jc w:val="center"/>
                    <w:rPr>
                      <w:rFonts w:hint="default" w:ascii="Times New Roman" w:hAnsi="Times New Roman" w:eastAsia="宋体" w:cs="Times New Roman"/>
                      <w:color w:val="000000"/>
                      <w:sz w:val="21"/>
                      <w:szCs w:val="21"/>
                      <w:lang w:val="zh-CN" w:eastAsia="zh-CN"/>
                    </w:rPr>
                  </w:pPr>
                </w:p>
              </w:tc>
              <w:tc>
                <w:tcPr>
                  <w:tcW w:w="1804" w:type="pct"/>
                  <w:vAlign w:val="top"/>
                </w:tcPr>
                <w:p>
                  <w:pPr>
                    <w:pStyle w:val="17"/>
                    <w:ind w:left="108" w:right="12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圾一起交由环卫部门清运。</w:t>
                  </w:r>
                </w:p>
              </w:tc>
              <w:tc>
                <w:tcPr>
                  <w:tcW w:w="1526" w:type="pct"/>
                  <w:vAlign w:val="top"/>
                </w:tcPr>
                <w:p>
                  <w:pPr>
                    <w:pStyle w:val="17"/>
                    <w:ind w:left="108" w:right="12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活垃圾一起交由环卫部门清运。</w:t>
                  </w:r>
                </w:p>
              </w:tc>
              <w:tc>
                <w:tcPr>
                  <w:tcW w:w="564" w:type="pct"/>
                  <w:vAlign w:val="top"/>
                </w:tcPr>
                <w:p>
                  <w:pPr>
                    <w:pStyle w:val="17"/>
                    <w:ind w:right="128"/>
                    <w:jc w:val="both"/>
                    <w:rPr>
                      <w:rFonts w:hint="default" w:ascii="Times New Roman" w:hAnsi="Times New Roman" w:eastAsia="宋体" w:cs="Times New Roman"/>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vMerge w:val="continue"/>
                  <w:vAlign w:val="top"/>
                </w:tcPr>
                <w:p>
                  <w:pPr>
                    <w:pStyle w:val="17"/>
                    <w:spacing w:before="150"/>
                    <w:ind w:left="7" w:leftChars="0" w:right="0" w:rightChars="0"/>
                    <w:jc w:val="center"/>
                    <w:rPr>
                      <w:rFonts w:ascii="Times New Roman"/>
                      <w:w w:val="100"/>
                      <w:sz w:val="21"/>
                    </w:rPr>
                  </w:pPr>
                </w:p>
              </w:tc>
              <w:tc>
                <w:tcPr>
                  <w:tcW w:w="259" w:type="pct"/>
                  <w:vMerge w:val="continue"/>
                  <w:vAlign w:val="top"/>
                </w:tcPr>
                <w:p>
                  <w:pPr>
                    <w:pStyle w:val="17"/>
                    <w:spacing w:line="244" w:lineRule="auto"/>
                    <w:ind w:left="197" w:leftChars="0" w:right="186" w:rightChars="0"/>
                    <w:rPr>
                      <w:sz w:val="21"/>
                    </w:rPr>
                  </w:pPr>
                </w:p>
              </w:tc>
              <w:tc>
                <w:tcPr>
                  <w:tcW w:w="620"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zh-CN" w:eastAsia="zh-CN"/>
                    </w:rPr>
                  </w:pPr>
                  <w:r>
                    <w:rPr>
                      <w:rFonts w:hint="eastAsia" w:ascii="Times New Roman" w:hAnsi="Times New Roman" w:eastAsia="宋体" w:cs="Times New Roman"/>
                      <w:color w:val="000000"/>
                      <w:sz w:val="21"/>
                      <w:szCs w:val="21"/>
                      <w:lang w:val="en-US" w:eastAsia="zh-CN"/>
                    </w:rPr>
                    <w:t>生活垃圾</w:t>
                  </w:r>
                </w:p>
              </w:tc>
              <w:tc>
                <w:tcPr>
                  <w:tcW w:w="1804" w:type="pct"/>
                  <w:vAlign w:val="center"/>
                </w:tcPr>
                <w:p>
                  <w:pPr>
                    <w:pStyle w:val="17"/>
                    <w:ind w:left="108" w:right="128"/>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生活垃圾</w:t>
                  </w:r>
                  <w:r>
                    <w:rPr>
                      <w:rFonts w:hint="default" w:ascii="Times New Roman" w:hAnsi="Times New Roman" w:eastAsia="宋体" w:cs="Times New Roman"/>
                      <w:sz w:val="21"/>
                      <w:szCs w:val="21"/>
                    </w:rPr>
                    <w:t>用</w:t>
                  </w:r>
                  <w:r>
                    <w:rPr>
                      <w:rFonts w:hint="eastAsia" w:ascii="Times New Roman" w:hAnsi="Times New Roman" w:eastAsia="宋体" w:cs="Times New Roman"/>
                      <w:sz w:val="21"/>
                      <w:szCs w:val="21"/>
                      <w:lang w:val="en-US" w:eastAsia="zh-CN"/>
                    </w:rPr>
                    <w:t>垃圾桶</w:t>
                  </w:r>
                  <w:r>
                    <w:rPr>
                      <w:rFonts w:hint="default" w:ascii="Times New Roman" w:hAnsi="Times New Roman" w:eastAsia="宋体" w:cs="Times New Roman"/>
                      <w:sz w:val="21"/>
                      <w:szCs w:val="21"/>
                    </w:rPr>
                    <w:t>收集后，交由环卫部门清运。</w:t>
                  </w:r>
                </w:p>
              </w:tc>
              <w:tc>
                <w:tcPr>
                  <w:tcW w:w="1526" w:type="pct"/>
                  <w:vAlign w:val="center"/>
                </w:tcPr>
                <w:p>
                  <w:pPr>
                    <w:pStyle w:val="17"/>
                    <w:ind w:left="108" w:right="128"/>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生活垃圾</w:t>
                  </w:r>
                  <w:r>
                    <w:rPr>
                      <w:rFonts w:hint="default" w:ascii="Times New Roman" w:hAnsi="Times New Roman" w:eastAsia="宋体" w:cs="Times New Roman"/>
                      <w:sz w:val="21"/>
                      <w:szCs w:val="21"/>
                    </w:rPr>
                    <w:t>用</w:t>
                  </w:r>
                  <w:r>
                    <w:rPr>
                      <w:rFonts w:hint="eastAsia" w:ascii="Times New Roman" w:hAnsi="Times New Roman" w:eastAsia="宋体" w:cs="Times New Roman"/>
                      <w:sz w:val="21"/>
                      <w:szCs w:val="21"/>
                      <w:lang w:val="en-US" w:eastAsia="zh-CN"/>
                    </w:rPr>
                    <w:t>垃圾桶</w:t>
                  </w:r>
                  <w:r>
                    <w:rPr>
                      <w:rFonts w:hint="default" w:ascii="Times New Roman" w:hAnsi="Times New Roman" w:eastAsia="宋体" w:cs="Times New Roman"/>
                      <w:sz w:val="21"/>
                      <w:szCs w:val="21"/>
                    </w:rPr>
                    <w:t>收集后，交由环卫部门清运。</w:t>
                  </w:r>
                </w:p>
              </w:tc>
              <w:tc>
                <w:tcPr>
                  <w:tcW w:w="564" w:type="pct"/>
                  <w:vAlign w:val="top"/>
                </w:tcPr>
                <w:p>
                  <w:pPr>
                    <w:pStyle w:val="17"/>
                    <w:ind w:right="128"/>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已落实</w:t>
                  </w:r>
                </w:p>
              </w:tc>
            </w:tr>
          </w:tbl>
          <w:p>
            <w:pPr>
              <w:pStyle w:val="3"/>
              <w:numPr>
                <w:ilvl w:val="1"/>
                <w:numId w:val="8"/>
              </w:numPr>
              <w:tabs>
                <w:tab w:val="left" w:pos="699"/>
              </w:tabs>
              <w:spacing w:before="228" w:after="0" w:line="240" w:lineRule="auto"/>
              <w:ind w:left="698" w:right="0" w:hanging="424"/>
              <w:jc w:val="both"/>
              <w:rPr>
                <w:sz w:val="24"/>
                <w:szCs w:val="24"/>
              </w:rPr>
            </w:pPr>
            <w:r>
              <w:rPr>
                <w:sz w:val="24"/>
                <w:szCs w:val="24"/>
              </w:rPr>
              <w:t>环保设施实际建成及运行情况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项目生产废气处理设施于 2022 年 0</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月建成，共计有机废气处理设施</w:t>
            </w:r>
            <w:r>
              <w:rPr>
                <w:rFonts w:hint="eastAsia" w:ascii="Times New Roman" w:hAnsi="Times New Roman" w:cs="Times New Roman"/>
                <w:color w:val="000000"/>
                <w:sz w:val="24"/>
                <w:szCs w:val="24"/>
                <w:lang w:val="en-US" w:eastAsia="zh-CN" w:bidi="ar-SA"/>
              </w:rPr>
              <w:t xml:space="preserve"> 2 </w:t>
            </w:r>
            <w:r>
              <w:rPr>
                <w:rFonts w:hint="eastAsia" w:ascii="Times New Roman" w:hAnsi="Times New Roman" w:eastAsia="宋体" w:cs="Times New Roman"/>
                <w:color w:val="000000"/>
                <w:sz w:val="24"/>
                <w:szCs w:val="24"/>
                <w:lang w:val="en-US" w:eastAsia="zh-CN" w:bidi="ar-SA"/>
              </w:rPr>
              <w:t>套运行正常。排污口按照相关要求设置，现场标识标牌齐全。</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w:t>
            </w:r>
            <w:r>
              <w:rPr>
                <w:rFonts w:hint="eastAsia" w:ascii="Times New Roman" w:hAnsi="Times New Roman" w:cs="Times New Roman"/>
                <w:color w:val="000000"/>
                <w:sz w:val="24"/>
                <w:szCs w:val="24"/>
                <w:lang w:val="en-US" w:eastAsia="zh-CN" w:bidi="ar-SA"/>
              </w:rPr>
              <w:t>有机</w:t>
            </w:r>
            <w:r>
              <w:rPr>
                <w:rFonts w:hint="eastAsia" w:ascii="Times New Roman" w:hAnsi="Times New Roman" w:eastAsia="宋体" w:cs="Times New Roman"/>
                <w:color w:val="000000"/>
                <w:sz w:val="24"/>
                <w:szCs w:val="24"/>
                <w:lang w:val="en-US" w:eastAsia="zh-CN" w:bidi="ar-SA"/>
              </w:rPr>
              <w:t>废气经集气罩+</w:t>
            </w:r>
            <w:r>
              <w:rPr>
                <w:rFonts w:hint="eastAsia" w:ascii="Times New Roman" w:hAnsi="Times New Roman" w:cs="Times New Roman"/>
                <w:color w:val="000000"/>
                <w:sz w:val="24"/>
                <w:szCs w:val="24"/>
                <w:lang w:val="en-US" w:eastAsia="zh-CN" w:bidi="ar-SA"/>
              </w:rPr>
              <w:t>喷淋塔</w:t>
            </w:r>
            <w:r>
              <w:rPr>
                <w:rFonts w:hint="eastAsia" w:ascii="Times New Roman" w:hAnsi="Times New Roman" w:eastAsia="宋体" w:cs="Times New Roman"/>
                <w:color w:val="000000"/>
                <w:sz w:val="24"/>
                <w:szCs w:val="24"/>
                <w:lang w:val="en-US" w:eastAsia="zh-CN" w:bidi="ar-SA"/>
              </w:rPr>
              <w:t>+活性炭箱处理后通过 15m 排气筒排放；废气设施排放口按照规范要求设置监测采样孔，现场标识标牌齐全。</w:t>
            </w:r>
          </w:p>
          <w:p>
            <w:pPr>
              <w:pStyle w:val="3"/>
              <w:numPr>
                <w:ilvl w:val="1"/>
                <w:numId w:val="8"/>
              </w:numPr>
              <w:tabs>
                <w:tab w:val="left" w:pos="699"/>
              </w:tabs>
              <w:spacing w:before="46" w:after="0" w:line="240" w:lineRule="auto"/>
              <w:ind w:left="698" w:right="0" w:hanging="424"/>
              <w:jc w:val="both"/>
              <w:rPr>
                <w:sz w:val="24"/>
                <w:szCs w:val="24"/>
              </w:rPr>
            </w:pPr>
            <w:r>
              <w:rPr>
                <w:sz w:val="24"/>
                <w:szCs w:val="24"/>
              </w:rPr>
              <w:t>突发性环境污染事故的应急制度，以及环境风险防范措施情况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编制了危险化学品事故应急救援预案，建立了环境风险防范制度。应急物资储备齐全，并定期对企业相关工作人员进行培训。</w:t>
            </w:r>
          </w:p>
          <w:p>
            <w:pPr>
              <w:pStyle w:val="3"/>
              <w:numPr>
                <w:ilvl w:val="1"/>
                <w:numId w:val="8"/>
              </w:numPr>
              <w:tabs>
                <w:tab w:val="left" w:pos="699"/>
              </w:tabs>
              <w:spacing w:before="46" w:after="0" w:line="240" w:lineRule="auto"/>
              <w:ind w:left="698" w:right="0" w:hanging="424"/>
              <w:jc w:val="both"/>
              <w:rPr>
                <w:sz w:val="24"/>
                <w:szCs w:val="24"/>
              </w:rPr>
            </w:pPr>
            <w:r>
              <w:rPr>
                <w:sz w:val="24"/>
                <w:szCs w:val="24"/>
              </w:rPr>
              <w:t>环境保护档案管理情况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cs="Times New Roman"/>
                <w:color w:val="000000"/>
                <w:sz w:val="24"/>
                <w:szCs w:val="24"/>
                <w:lang w:val="en-US" w:eastAsia="zh-CN" w:bidi="ar-SA"/>
              </w:rPr>
              <w:t>重庆万瑞眼镜有限公司</w:t>
            </w:r>
            <w:r>
              <w:rPr>
                <w:rFonts w:hint="eastAsia" w:ascii="Times New Roman" w:hAnsi="Times New Roman" w:eastAsia="宋体" w:cs="Times New Roman"/>
                <w:color w:val="000000"/>
                <w:sz w:val="24"/>
                <w:szCs w:val="24"/>
                <w:lang w:val="en-US" w:eastAsia="zh-CN" w:bidi="ar-SA"/>
              </w:rPr>
              <w:t>环保档案有专人负责，项目完善了环境影响评价手续，编制了环境影响评价报告并取得了重庆市奉节县生态环境局的环评批复，环保审批文件及环境保护档案资料均已归类存档。企业环保档案较齐全，环保档案管理基本满足要求。</w:t>
            </w:r>
          </w:p>
          <w:p>
            <w:pPr>
              <w:pStyle w:val="3"/>
              <w:numPr>
                <w:ilvl w:val="1"/>
                <w:numId w:val="8"/>
              </w:numPr>
              <w:tabs>
                <w:tab w:val="left" w:pos="699"/>
              </w:tabs>
              <w:spacing w:before="54" w:after="0" w:line="240" w:lineRule="auto"/>
              <w:ind w:left="698" w:right="0" w:hanging="424"/>
              <w:jc w:val="both"/>
              <w:rPr>
                <w:sz w:val="24"/>
                <w:szCs w:val="24"/>
              </w:rPr>
            </w:pPr>
            <w:r>
              <w:rPr>
                <w:sz w:val="24"/>
                <w:szCs w:val="24"/>
              </w:rPr>
              <w:t>公司现有环保管理制度及人员责任分工</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企业对环境保护工作比较重视，设立了环保管理机构，制定了《环境保护管理制度》，确定了各部门及岗位的环境保护目标和环保工作指标。公司总经理担任第一负责人，具体分管环境保护工作，并指定各部室领导为环保管理机构成员，落实本公司的环境保护工作，并协调公司与政府环保部门的工作。定期组织召开公司环保情况报告会和专题会议，实时掌控公司环保工作状况，改善公司环境状况，减少公司对周围环境的污染。公司制订了环境管理制度和环保设施维护和操作制度，各环保设施有专人负责保养、维护，并制定有针对性的岗位职责及考核目标。</w:t>
            </w:r>
          </w:p>
          <w:p>
            <w:pPr>
              <w:pStyle w:val="3"/>
              <w:keepNext w:val="0"/>
              <w:keepLines w:val="0"/>
              <w:pageBreakBefore w:val="0"/>
              <w:widowControl w:val="0"/>
              <w:numPr>
                <w:ilvl w:val="1"/>
                <w:numId w:val="8"/>
              </w:numPr>
              <w:tabs>
                <w:tab w:val="left" w:pos="699"/>
              </w:tabs>
              <w:kinsoku/>
              <w:wordWrap/>
              <w:overflowPunct/>
              <w:topLinePunct w:val="0"/>
              <w:autoSpaceDE w:val="0"/>
              <w:autoSpaceDN w:val="0"/>
              <w:bidi w:val="0"/>
              <w:adjustRightInd/>
              <w:snapToGrid/>
              <w:spacing w:before="80" w:after="0" w:line="240" w:lineRule="auto"/>
              <w:ind w:left="697" w:right="0" w:hanging="425"/>
              <w:jc w:val="both"/>
              <w:textAlignment w:val="auto"/>
              <w:rPr>
                <w:rFonts w:ascii="宋体" w:hAnsi="宋体" w:eastAsia="宋体" w:cs="宋体"/>
                <w:spacing w:val="1"/>
                <w:sz w:val="24"/>
                <w:szCs w:val="24"/>
              </w:rPr>
            </w:pPr>
            <w:r>
              <w:rPr>
                <w:rFonts w:ascii="宋体" w:hAnsi="宋体" w:eastAsia="宋体" w:cs="宋体"/>
                <w:spacing w:val="1"/>
                <w:sz w:val="24"/>
                <w:szCs w:val="24"/>
              </w:rPr>
              <w:t>排污口的规范化设置</w:t>
            </w:r>
          </w:p>
          <w:p>
            <w:pPr>
              <w:adjustRightInd w:val="0"/>
              <w:snapToGrid w:val="0"/>
              <w:spacing w:line="24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项目废气排放口已进行规范化。</w:t>
            </w:r>
          </w:p>
          <w:p>
            <w:pPr>
              <w:pStyle w:val="3"/>
              <w:keepNext w:val="0"/>
              <w:keepLines w:val="0"/>
              <w:pageBreakBefore w:val="0"/>
              <w:widowControl w:val="0"/>
              <w:numPr>
                <w:ilvl w:val="1"/>
                <w:numId w:val="8"/>
              </w:numPr>
              <w:tabs>
                <w:tab w:val="left" w:pos="699"/>
              </w:tabs>
              <w:kinsoku/>
              <w:wordWrap/>
              <w:overflowPunct/>
              <w:topLinePunct w:val="0"/>
              <w:autoSpaceDE w:val="0"/>
              <w:autoSpaceDN w:val="0"/>
              <w:bidi w:val="0"/>
              <w:adjustRightInd/>
              <w:snapToGrid/>
              <w:spacing w:before="60" w:after="0" w:line="240" w:lineRule="auto"/>
              <w:ind w:left="697" w:right="0" w:hanging="425"/>
              <w:jc w:val="both"/>
              <w:textAlignment w:val="auto"/>
              <w:rPr>
                <w:rFonts w:ascii="宋体" w:hAnsi="宋体" w:eastAsia="宋体" w:cs="宋体"/>
                <w:sz w:val="24"/>
                <w:szCs w:val="24"/>
              </w:rPr>
            </w:pPr>
            <w:r>
              <w:rPr>
                <w:rFonts w:ascii="宋体" w:hAnsi="宋体" w:eastAsia="宋体" w:cs="宋体"/>
                <w:sz w:val="24"/>
                <w:szCs w:val="24"/>
              </w:rPr>
              <w:t>环境保护监测机构、人员和仪器设备的配置情况</w:t>
            </w:r>
          </w:p>
          <w:p>
            <w:pPr>
              <w:adjustRightInd w:val="0"/>
              <w:snapToGrid w:val="0"/>
              <w:spacing w:line="360" w:lineRule="auto"/>
              <w:ind w:firstLine="480" w:firstLineChars="200"/>
              <w:jc w:val="both"/>
              <w:rPr>
                <w:rFonts w:hint="default" w:eastAsia="宋体"/>
                <w:vertAlign w:val="baseline"/>
                <w:lang w:val="en-US" w:eastAsia="zh-CN"/>
              </w:rPr>
            </w:pPr>
            <w:r>
              <w:rPr>
                <w:rFonts w:hint="eastAsia" w:ascii="Times New Roman" w:hAnsi="Times New Roman" w:eastAsia="宋体" w:cs="Times New Roman"/>
                <w:color w:val="000000"/>
                <w:sz w:val="24"/>
                <w:szCs w:val="24"/>
                <w:lang w:val="en-US" w:eastAsia="zh-CN" w:bidi="ar-SA"/>
              </w:rPr>
              <w:t>该项目委托具有资质的</w:t>
            </w:r>
            <w:r>
              <w:rPr>
                <w:rFonts w:hint="default" w:ascii="Times New Roman" w:hAnsi="Times New Roman" w:eastAsia="宋体" w:cs="Times New Roman"/>
                <w:color w:val="000000"/>
                <w:sz w:val="24"/>
                <w:szCs w:val="24"/>
                <w:lang w:val="en-US" w:eastAsia="zh-CN" w:bidi="ar-SA"/>
              </w:rPr>
              <w:t>重庆恒鼎环境检测有限公司</w:t>
            </w:r>
            <w:r>
              <w:rPr>
                <w:rFonts w:hint="eastAsia" w:ascii="Times New Roman" w:hAnsi="Times New Roman" w:eastAsia="宋体" w:cs="Times New Roman"/>
                <w:color w:val="000000"/>
                <w:sz w:val="24"/>
                <w:szCs w:val="24"/>
                <w:lang w:val="en-US" w:eastAsia="zh-CN" w:bidi="ar-SA"/>
              </w:rPr>
              <w:t>对该项目进行监测。</w:t>
            </w:r>
          </w:p>
        </w:tc>
      </w:tr>
    </w:tbl>
    <w:p>
      <w:pPr>
        <w:pStyle w:val="2"/>
      </w:pP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0" w:hRule="atLeast"/>
        </w:trPr>
        <w:tc>
          <w:tcPr>
            <w:tcW w:w="9764" w:type="dxa"/>
          </w:tcPr>
          <w:p>
            <w:pPr>
              <w:pStyle w:val="3"/>
              <w:numPr>
                <w:ilvl w:val="1"/>
                <w:numId w:val="8"/>
              </w:numPr>
              <w:tabs>
                <w:tab w:val="left" w:pos="699"/>
              </w:tabs>
              <w:spacing w:before="214" w:after="0" w:line="240" w:lineRule="auto"/>
              <w:ind w:left="698" w:right="0" w:hanging="424"/>
              <w:jc w:val="both"/>
              <w:rPr>
                <w:sz w:val="24"/>
                <w:szCs w:val="24"/>
              </w:rPr>
            </w:pPr>
            <w:r>
              <w:rPr>
                <w:spacing w:val="1"/>
                <w:sz w:val="24"/>
                <w:szCs w:val="24"/>
              </w:rPr>
              <w:t>存在的问题</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1、完善危废台账记录；</w:t>
            </w:r>
          </w:p>
          <w:p>
            <w:pPr>
              <w:adjustRightInd w:val="0"/>
              <w:snapToGrid w:val="0"/>
              <w:spacing w:line="24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2、加强对危废间及危险品存放间管理。</w:t>
            </w:r>
          </w:p>
          <w:p>
            <w:pPr>
              <w:pStyle w:val="3"/>
              <w:numPr>
                <w:ilvl w:val="1"/>
                <w:numId w:val="8"/>
              </w:numPr>
              <w:tabs>
                <w:tab w:val="left" w:pos="766"/>
              </w:tabs>
              <w:spacing w:before="156" w:after="0" w:line="240" w:lineRule="auto"/>
              <w:ind w:left="765" w:right="0" w:hanging="491"/>
              <w:jc w:val="left"/>
              <w:rPr>
                <w:sz w:val="24"/>
                <w:szCs w:val="24"/>
              </w:rPr>
            </w:pPr>
            <w:r>
              <w:rPr>
                <w:spacing w:val="2"/>
                <w:sz w:val="24"/>
                <w:szCs w:val="24"/>
              </w:rPr>
              <w:t>其它</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该项目主要从事</w:t>
            </w:r>
            <w:r>
              <w:rPr>
                <w:rFonts w:hint="eastAsia" w:cs="Times New Roman"/>
                <w:bCs/>
                <w:color w:val="auto"/>
                <w:sz w:val="24"/>
                <w:lang w:val="en-US" w:eastAsia="zh-CN"/>
              </w:rPr>
              <w:t>太阳镜、老花镜、防雾镜</w:t>
            </w:r>
            <w:r>
              <w:rPr>
                <w:rFonts w:hint="eastAsia" w:ascii="Times New Roman" w:hAnsi="Times New Roman" w:eastAsia="宋体" w:cs="Times New Roman"/>
                <w:color w:val="000000"/>
                <w:sz w:val="24"/>
                <w:szCs w:val="24"/>
                <w:lang w:val="en-US" w:eastAsia="zh-CN" w:bidi="ar-SA"/>
              </w:rPr>
              <w:t>生产，行业划分属于眼镜制造类，年生产成品眼镜</w:t>
            </w:r>
            <w:r>
              <w:rPr>
                <w:rFonts w:hint="eastAsia" w:ascii="Times New Roman" w:hAnsi="Times New Roman" w:cs="Times New Roman"/>
                <w:color w:val="000000"/>
                <w:sz w:val="24"/>
                <w:szCs w:val="24"/>
                <w:lang w:val="en-US" w:eastAsia="zh-CN" w:bidi="ar-SA"/>
              </w:rPr>
              <w:t>1</w:t>
            </w:r>
            <w:r>
              <w:rPr>
                <w:rFonts w:hint="eastAsia" w:ascii="Times New Roman" w:hAnsi="Times New Roman" w:eastAsia="宋体" w:cs="Times New Roman"/>
                <w:color w:val="000000"/>
                <w:sz w:val="24"/>
                <w:szCs w:val="24"/>
                <w:lang w:val="en-US" w:eastAsia="zh-CN" w:bidi="ar-SA"/>
              </w:rPr>
              <w:t xml:space="preserve">000万副，根据固定污染源排污许可证分类管理名录（2019 年版）的相关要求，属于登记管理，不需要办理排污许可证，仅需要在全国排污许可证信息管理平台上填报排污登记表，企业于 2021 年 </w:t>
            </w:r>
            <w:r>
              <w:rPr>
                <w:rFonts w:hint="eastAsia" w:ascii="Times New Roman" w:hAnsi="Times New Roman" w:cs="Times New Roman"/>
                <w:color w:val="000000"/>
                <w:sz w:val="24"/>
                <w:szCs w:val="24"/>
                <w:lang w:val="en-US" w:eastAsia="zh-CN" w:bidi="ar-SA"/>
              </w:rPr>
              <w:t>12</w:t>
            </w:r>
            <w:r>
              <w:rPr>
                <w:rFonts w:hint="eastAsia" w:ascii="Times New Roman" w:hAnsi="Times New Roman" w:eastAsia="宋体" w:cs="Times New Roman"/>
                <w:color w:val="000000"/>
                <w:sz w:val="24"/>
                <w:szCs w:val="24"/>
                <w:lang w:val="en-US" w:eastAsia="zh-CN" w:bidi="ar-SA"/>
              </w:rPr>
              <w:t xml:space="preserve"> 月完成固定污染源排污登记，登记编号：91500236MAABWNFE2K</w:t>
            </w:r>
            <w:r>
              <w:rPr>
                <w:rFonts w:hint="eastAsia" w:ascii="Times New Roman" w:hAnsi="Times New Roman" w:cs="Times New Roman"/>
                <w:color w:val="000000"/>
                <w:sz w:val="24"/>
                <w:szCs w:val="24"/>
                <w:lang w:val="en-US" w:eastAsia="zh-CN" w:bidi="ar-SA"/>
              </w:rPr>
              <w:t>，</w:t>
            </w:r>
            <w:r>
              <w:rPr>
                <w:rFonts w:hint="eastAsia" w:ascii="Times New Roman" w:hAnsi="Times New Roman" w:eastAsia="宋体" w:cs="Times New Roman"/>
                <w:color w:val="000000"/>
                <w:sz w:val="24"/>
                <w:szCs w:val="24"/>
                <w:lang w:val="en-US" w:eastAsia="zh-CN" w:bidi="ar-SA"/>
              </w:rPr>
              <w:t>项目在建设及试生产期间没有居民投诉。</w:t>
            </w:r>
          </w:p>
          <w:p>
            <w:pPr>
              <w:pStyle w:val="2"/>
              <w:jc w:val="both"/>
              <w:rPr>
                <w:vertAlign w:val="baseline"/>
              </w:rPr>
            </w:pPr>
          </w:p>
        </w:tc>
      </w:tr>
    </w:tbl>
    <w:p>
      <w:pPr>
        <w:pStyle w:val="3"/>
        <w:tabs>
          <w:tab w:val="left" w:pos="1120"/>
        </w:tabs>
        <w:ind w:left="275" w:firstLine="0"/>
      </w:pPr>
      <w:r>
        <w:rPr>
          <w:spacing w:val="5"/>
        </w:rPr>
        <w:t>表</w:t>
      </w:r>
      <w:r>
        <w:t>八</w:t>
      </w:r>
      <w:r>
        <w:tab/>
      </w:r>
      <w:r>
        <w:rPr>
          <w:spacing w:val="5"/>
        </w:rPr>
        <w:t>验</w:t>
      </w:r>
      <w:r>
        <w:t>收</w:t>
      </w:r>
      <w:r>
        <w:rPr>
          <w:spacing w:val="5"/>
        </w:rPr>
        <w:t>结</w:t>
      </w:r>
      <w:r>
        <w:t>论</w:t>
      </w:r>
      <w:r>
        <w:rPr>
          <w:spacing w:val="5"/>
        </w:rPr>
        <w:t>及</w:t>
      </w:r>
      <w:r>
        <w:t>建议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18"/>
              <w:keepNext w:val="0"/>
              <w:keepLines w:val="0"/>
              <w:pageBreakBefore w:val="0"/>
              <w:widowControl w:val="0"/>
              <w:numPr>
                <w:ilvl w:val="1"/>
                <w:numId w:val="9"/>
              </w:numPr>
              <w:tabs>
                <w:tab w:val="left" w:pos="699"/>
              </w:tabs>
              <w:kinsoku/>
              <w:wordWrap/>
              <w:overflowPunct/>
              <w:topLinePunct w:val="0"/>
              <w:autoSpaceDE w:val="0"/>
              <w:autoSpaceDN w:val="0"/>
              <w:bidi w:val="0"/>
              <w:adjustRightInd/>
              <w:snapToGrid/>
              <w:spacing w:before="121" w:after="0" w:line="360" w:lineRule="auto"/>
              <w:ind w:left="697" w:right="0" w:hanging="425"/>
              <w:jc w:val="left"/>
              <w:textAlignment w:val="auto"/>
              <w:rPr>
                <w:rFonts w:ascii="Times New Roman" w:eastAsia="Times New Roman"/>
                <w:b/>
                <w:sz w:val="24"/>
                <w:szCs w:val="24"/>
              </w:rPr>
            </w:pPr>
            <w:r>
              <w:rPr>
                <w:b/>
                <w:spacing w:val="2"/>
                <w:sz w:val="24"/>
                <w:szCs w:val="24"/>
              </w:rPr>
              <w:t>项目概况</w:t>
            </w:r>
          </w:p>
          <w:p>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bidi="ar-SA"/>
              </w:rPr>
            </w:pPr>
            <w:r>
              <w:rPr>
                <w:rFonts w:hint="eastAsia" w:ascii="Times New Roman" w:hAnsi="Times New Roman" w:cs="Times New Roman"/>
                <w:color w:val="000000"/>
                <w:sz w:val="24"/>
                <w:szCs w:val="24"/>
                <w:lang w:val="en-US" w:eastAsia="zh-CN" w:bidi="ar-SA"/>
              </w:rPr>
              <w:t>重庆万瑞眼镜有限公司</w:t>
            </w:r>
            <w:r>
              <w:rPr>
                <w:rFonts w:hint="eastAsia" w:ascii="Times New Roman" w:hAnsi="Times New Roman" w:eastAsia="宋体" w:cs="Times New Roman"/>
                <w:color w:val="000000"/>
                <w:sz w:val="24"/>
                <w:szCs w:val="24"/>
                <w:lang w:val="en-US" w:eastAsia="zh-CN" w:bidi="ar-SA"/>
              </w:rPr>
              <w:t>位于</w:t>
            </w:r>
            <w:r>
              <w:rPr>
                <w:rFonts w:hint="default" w:ascii="Times New Roman" w:hAnsi="Times New Roman" w:cs="Times New Roman"/>
                <w:color w:val="auto"/>
                <w:sz w:val="24"/>
                <w:szCs w:val="24"/>
              </w:rPr>
              <w:t>重庆市奉节县生态工业园区兴园路1号</w:t>
            </w:r>
            <w:r>
              <w:rPr>
                <w:rFonts w:hint="default" w:ascii="Times New Roman" w:hAnsi="Times New Roman" w:cs="Times New Roman"/>
                <w:color w:val="auto"/>
                <w:sz w:val="24"/>
                <w:szCs w:val="24"/>
                <w:lang w:val="en-US" w:eastAsia="zh-CN"/>
              </w:rPr>
              <w:t>B7幢</w:t>
            </w:r>
            <w:r>
              <w:rPr>
                <w:rFonts w:hint="default" w:ascii="Times New Roman" w:hAnsi="Times New Roman" w:eastAsia="宋体" w:cs="Times New Roman"/>
                <w:color w:val="000000"/>
                <w:sz w:val="24"/>
                <w:szCs w:val="24"/>
                <w:lang w:val="en-US" w:eastAsia="zh-CN" w:bidi="ar-SA"/>
              </w:rPr>
              <w:t>。公司在该地块新建</w:t>
            </w:r>
            <w:r>
              <w:rPr>
                <w:rFonts w:hint="default" w:ascii="Times New Roman" w:hAnsi="Times New Roman" w:cs="Times New Roman"/>
                <w:color w:val="000000"/>
                <w:sz w:val="24"/>
                <w:szCs w:val="24"/>
                <w:lang w:val="en-US" w:eastAsia="zh-CN" w:bidi="ar-SA"/>
              </w:rPr>
              <w:t>“</w:t>
            </w:r>
            <w:r>
              <w:rPr>
                <w:rFonts w:hint="default" w:ascii="Times New Roman" w:hAnsi="Times New Roman" w:cs="Times New Roman"/>
                <w:color w:val="auto"/>
                <w:sz w:val="24"/>
                <w:szCs w:val="24"/>
              </w:rPr>
              <w:t>重庆万瑞眼镜有限公司眼镜镜架生产项目</w:t>
            </w:r>
            <w:r>
              <w:rPr>
                <w:rFonts w:hint="default" w:ascii="Times New Roman" w:hAnsi="Times New Roman" w:cs="Times New Roman"/>
                <w:color w:val="000000"/>
                <w:sz w:val="24"/>
                <w:szCs w:val="24"/>
                <w:lang w:val="en-US" w:eastAsia="zh-CN" w:bidi="ar-SA"/>
              </w:rPr>
              <w:t>”。</w:t>
            </w:r>
            <w:r>
              <w:rPr>
                <w:rFonts w:hint="default" w:ascii="Times New Roman" w:hAnsi="Times New Roman" w:cs="Times New Roman"/>
                <w:bCs/>
                <w:color w:val="auto"/>
                <w:sz w:val="24"/>
                <w:lang w:val="en-US" w:eastAsia="zh-CN"/>
              </w:rPr>
              <w:t>引进注塑眼镜设备及配套设备，建成太阳镜、老花镜、防雾镜生产线各1条</w:t>
            </w:r>
            <w:r>
              <w:rPr>
                <w:rFonts w:hint="default" w:ascii="Times New Roman" w:hAnsi="Times New Roman" w:eastAsia="宋体" w:cs="Times New Roman"/>
                <w:color w:val="000000"/>
                <w:sz w:val="24"/>
                <w:szCs w:val="24"/>
                <w:lang w:val="en-US" w:eastAsia="zh-CN" w:bidi="ar-SA"/>
              </w:rPr>
              <w:t>，年产成品眼镜1000万副。本项目于2021年9月10日取得重庆市奉节县发展和改革委员会下发的投资项目备案证，备案编码2109-500236-04-05-771384。</w:t>
            </w:r>
          </w:p>
          <w:p>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总投资3000万元，其中环保投资215万元，占总投资的7.2%。</w:t>
            </w:r>
          </w:p>
          <w:p>
            <w:pPr>
              <w:pStyle w:val="3"/>
              <w:keepNext w:val="0"/>
              <w:keepLines w:val="0"/>
              <w:pageBreakBefore w:val="0"/>
              <w:widowControl w:val="0"/>
              <w:numPr>
                <w:ilvl w:val="1"/>
                <w:numId w:val="9"/>
              </w:numPr>
              <w:tabs>
                <w:tab w:val="left" w:pos="699"/>
              </w:tabs>
              <w:kinsoku/>
              <w:wordWrap/>
              <w:overflowPunct/>
              <w:topLinePunct w:val="0"/>
              <w:autoSpaceDE w:val="0"/>
              <w:autoSpaceDN w:val="0"/>
              <w:bidi w:val="0"/>
              <w:adjustRightInd/>
              <w:snapToGrid/>
              <w:spacing w:before="89" w:after="0" w:line="360" w:lineRule="auto"/>
              <w:ind w:left="697" w:right="0" w:hanging="425"/>
              <w:jc w:val="left"/>
              <w:textAlignment w:val="auto"/>
              <w:rPr>
                <w:rFonts w:ascii="Times New Roman" w:eastAsia="Times New Roman"/>
                <w:sz w:val="24"/>
                <w:szCs w:val="24"/>
              </w:rPr>
            </w:pPr>
            <w:r>
              <w:rPr>
                <w:sz w:val="24"/>
                <w:szCs w:val="24"/>
              </w:rPr>
              <w:t>主要污染物的防治措施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（1）水环境影响及环境保护措施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本项目污水经</w:t>
            </w:r>
            <w:r>
              <w:rPr>
                <w:rFonts w:hint="eastAsia" w:ascii="Times New Roman" w:hAnsi="Times New Roman" w:cs="Times New Roman"/>
                <w:color w:val="000000"/>
                <w:sz w:val="24"/>
                <w:szCs w:val="24"/>
                <w:lang w:val="en-US" w:eastAsia="zh-CN" w:bidi="ar-SA"/>
              </w:rPr>
              <w:t>标准厂房生化池</w:t>
            </w:r>
            <w:r>
              <w:rPr>
                <w:rFonts w:hint="eastAsia" w:ascii="Times New Roman" w:hAnsi="Times New Roman" w:eastAsia="宋体" w:cs="Times New Roman"/>
                <w:color w:val="000000"/>
                <w:sz w:val="24"/>
                <w:szCs w:val="24"/>
                <w:lang w:val="en-US" w:eastAsia="zh-CN" w:bidi="ar-SA"/>
              </w:rPr>
              <w:t>处理达《污水综合排放标准》（GB8978-1996）三级排放标准后，排入厂区市政污水管网，然后进入</w:t>
            </w:r>
            <w:r>
              <w:rPr>
                <w:rFonts w:hint="default" w:ascii="Times New Roman" w:hAnsi="Times New Roman" w:eastAsia="宋体" w:cs="Times New Roman"/>
                <w:color w:val="000000"/>
                <w:sz w:val="24"/>
                <w:szCs w:val="24"/>
                <w:lang w:val="en-US" w:eastAsia="zh-CN" w:bidi="ar-SA"/>
              </w:rPr>
              <w:t>之后进入</w:t>
            </w:r>
            <w:r>
              <w:rPr>
                <w:rFonts w:hint="eastAsia" w:ascii="Times New Roman" w:hAnsi="Times New Roman" w:eastAsia="宋体" w:cs="Times New Roman"/>
                <w:color w:val="000000"/>
                <w:sz w:val="24"/>
                <w:szCs w:val="24"/>
                <w:lang w:val="en-US" w:eastAsia="zh-CN" w:bidi="ar-SA"/>
              </w:rPr>
              <w:t>园区</w:t>
            </w:r>
            <w:r>
              <w:rPr>
                <w:rFonts w:hint="default" w:ascii="Times New Roman" w:hAnsi="Times New Roman" w:eastAsia="宋体" w:cs="Times New Roman"/>
                <w:color w:val="000000"/>
                <w:sz w:val="24"/>
                <w:szCs w:val="24"/>
                <w:lang w:val="en-US" w:eastAsia="zh-CN" w:bidi="ar-SA"/>
              </w:rPr>
              <w:t>污水处理厂进一步处理达《城镇污水处理厂污染物排放标准》（GB18918-2002）一级A标准后排入</w:t>
            </w:r>
            <w:r>
              <w:rPr>
                <w:rFonts w:hint="eastAsia" w:ascii="Times New Roman" w:hAnsi="Times New Roman" w:eastAsia="宋体" w:cs="Times New Roman"/>
                <w:color w:val="000000"/>
                <w:sz w:val="24"/>
                <w:szCs w:val="24"/>
                <w:lang w:val="en-US" w:eastAsia="zh-CN" w:bidi="ar-SA"/>
              </w:rPr>
              <w:t>石马河。</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（2）大气环境影响及环境保护措施</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项目采用破碎机将注塑残次品和边角料的破碎，碎料机进料口设置有挡帘，粉尘外溢很少，基本都落到设备底部收料桶中，再加上碎料间为厂房内封闭式隔间采取无组织排放。震动研磨采用水磨，不产生粉尘。</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注塑车间：在每个有机废气产生点侧向、上方设计吸风装置（设计风量10000m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/h），为了确保收集效率，收集罩在注塑口处设置环形集气罩，将注塑产生的有机废气收集。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喷漆房：设置密闭喷漆房1间，配制2台自动喷漆设备，2台人工喷漆设备，共4个工位，喷漆房内设置1个烘干房，采用电烘干。喷漆房采取顶部送风，底部排风（设计风量30000m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/h）。喷漆房废气随着喷漆房排风排出，再进入末端设置处理。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末端治理设施：有机废气汇至同一根管道进入</w:t>
            </w:r>
            <w:r>
              <w:rPr>
                <w:rFonts w:hint="eastAsia" w:ascii="Times New Roman" w:hAnsi="Times New Roman" w:cs="Times New Roman"/>
                <w:sz w:val="24"/>
                <w:szCs w:val="24"/>
                <w:lang w:val="en-US" w:eastAsia="zh-CN"/>
              </w:rPr>
              <w:t>喷淋塔+</w:t>
            </w:r>
            <w:r>
              <w:rPr>
                <w:rFonts w:hint="default" w:ascii="Times New Roman" w:hAnsi="Times New Roman" w:cs="Times New Roman"/>
                <w:sz w:val="24"/>
                <w:szCs w:val="24"/>
                <w:lang w:val="en-US" w:eastAsia="zh-CN"/>
              </w:rPr>
              <w:t>活性炭吸附装置处理，经分解吸附后由15m排气筒排放。</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（3）声环境影响及环境保护措施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本项目的噪声源主要包括挤塑机、破碎机等设备，本项目采用建筑隔声、基础减震等措施进行治理对声环境的影响很小。经过以上措施治理后能保证厂界噪声达到GB12346-2008《工业企业厂界环境噪声排放标准》</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 xml:space="preserve"> 类标准的要求。</w:t>
            </w:r>
          </w:p>
          <w:p>
            <w:pPr>
              <w:numPr>
                <w:ilvl w:val="0"/>
                <w:numId w:val="10"/>
              </w:num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固体废物环境保护措施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本项目运营期产生的固体废物包括一般工业固废，危险废物、生活垃圾。</w:t>
            </w:r>
          </w:p>
          <w:p>
            <w:pPr>
              <w:adjustRightInd w:val="0"/>
              <w:snapToGrid w:val="0"/>
              <w:spacing w:line="360" w:lineRule="auto"/>
              <w:ind w:firstLine="480" w:firstLineChars="200"/>
              <w:jc w:val="both"/>
              <w:rPr>
                <w:vertAlign w:val="baseline"/>
              </w:rPr>
            </w:pPr>
            <w:r>
              <w:rPr>
                <w:rFonts w:hint="default" w:ascii="Times New Roman" w:hAnsi="Times New Roman" w:cs="Times New Roman"/>
                <w:sz w:val="24"/>
                <w:szCs w:val="24"/>
                <w:lang w:val="en-US" w:eastAsia="zh-CN"/>
              </w:rPr>
              <w:t>一般固废：项目生产过程中产生的一般工业固废主要为注塑边角料、残次品。残次品、</w:t>
            </w:r>
          </w:p>
        </w:tc>
      </w:tr>
    </w:tbl>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adjustRightInd w:val="0"/>
              <w:snapToGrid w:val="0"/>
              <w:spacing w:line="360" w:lineRule="auto"/>
              <w:jc w:val="both"/>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废边角料经破碎后回用与生产。原料、成品废包装材料、废磨料和生活垃圾一起交由环卫部门清运。</w:t>
            </w:r>
          </w:p>
          <w:p>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危险废物：废活性炭、沾染化学品的废包装材料、设备维护废机油、漆渣分类专用容器收集，危险废物暂存于暂存于危险废物暂存间，定期交由定期交由有危废处理资质单位处置。</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生活垃圾：生活垃圾员工生活垃圾分类袋装收集交由当地环卫部门处理。</w:t>
            </w:r>
            <w:r>
              <w:rPr>
                <w:rFonts w:hint="eastAsia" w:ascii="Times New Roman" w:hAnsi="Times New Roman" w:eastAsia="宋体" w:cs="Times New Roman"/>
                <w:color w:val="000000"/>
                <w:sz w:val="24"/>
                <w:szCs w:val="24"/>
                <w:lang w:val="en-US" w:eastAsia="zh-CN" w:bidi="ar-SA"/>
              </w:rPr>
              <w:t xml:space="preserve">             </w:t>
            </w:r>
          </w:p>
          <w:p>
            <w:pPr>
              <w:pStyle w:val="3"/>
              <w:numPr>
                <w:ilvl w:val="1"/>
                <w:numId w:val="9"/>
              </w:numPr>
              <w:tabs>
                <w:tab w:val="left" w:pos="699"/>
              </w:tabs>
              <w:spacing w:before="210" w:after="0" w:line="240" w:lineRule="auto"/>
              <w:ind w:left="698" w:right="0" w:hanging="424"/>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监测结果</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（1）废气</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验收监测期间，项目</w:t>
            </w:r>
            <w:r>
              <w:rPr>
                <w:rFonts w:hint="eastAsia" w:ascii="Times New Roman" w:hAnsi="Times New Roman" w:cs="Times New Roman"/>
                <w:color w:val="000000"/>
                <w:sz w:val="24"/>
                <w:szCs w:val="24"/>
                <w:lang w:val="en-US" w:eastAsia="zh-CN" w:bidi="ar-SA"/>
              </w:rPr>
              <w:t>有机废气</w:t>
            </w:r>
            <w:r>
              <w:rPr>
                <w:rFonts w:hint="eastAsia" w:ascii="Times New Roman" w:hAnsi="Times New Roman" w:eastAsia="宋体" w:cs="Times New Roman"/>
                <w:color w:val="000000"/>
                <w:sz w:val="24"/>
                <w:szCs w:val="24"/>
                <w:lang w:val="en-US" w:eastAsia="zh-CN" w:bidi="ar-SA"/>
              </w:rPr>
              <w:t>排放的颗粒物、非甲烷总烃、</w:t>
            </w:r>
            <w:r>
              <w:rPr>
                <w:rFonts w:hint="eastAsia" w:ascii="Times New Roman" w:hAnsi="Times New Roman" w:cs="Times New Roman"/>
                <w:color w:val="000000"/>
                <w:sz w:val="24"/>
                <w:szCs w:val="24"/>
                <w:lang w:val="en-US" w:eastAsia="zh-CN" w:bidi="ar-SA"/>
              </w:rPr>
              <w:t>二甲苯</w:t>
            </w:r>
            <w:r>
              <w:rPr>
                <w:rFonts w:hint="eastAsia" w:ascii="Times New Roman" w:hAnsi="Times New Roman" w:eastAsia="宋体" w:cs="Times New Roman"/>
                <w:color w:val="000000"/>
                <w:sz w:val="24"/>
                <w:szCs w:val="24"/>
                <w:lang w:val="en-US" w:eastAsia="zh-CN" w:bidi="ar-SA"/>
              </w:rPr>
              <w:t>均符合《合成树脂工业污染物排放标准》（GB31572-2015）中</w:t>
            </w:r>
            <w:r>
              <w:rPr>
                <w:rFonts w:hint="eastAsia" w:ascii="Times New Roman" w:hAnsi="Times New Roman" w:cs="Times New Roman"/>
                <w:color w:val="000000"/>
                <w:sz w:val="24"/>
                <w:szCs w:val="24"/>
                <w:lang w:val="en-US" w:eastAsia="zh-CN" w:bidi="ar-SA"/>
              </w:rPr>
              <w:t>有关</w:t>
            </w:r>
            <w:r>
              <w:rPr>
                <w:rFonts w:hint="eastAsia" w:ascii="Times New Roman" w:hAnsi="Times New Roman" w:eastAsia="宋体" w:cs="Times New Roman"/>
                <w:color w:val="000000"/>
                <w:sz w:val="24"/>
                <w:szCs w:val="24"/>
                <w:lang w:val="en-US" w:eastAsia="zh-CN" w:bidi="ar-SA"/>
              </w:rPr>
              <w:t>限值。无组织废气中颗粒物、</w:t>
            </w:r>
            <w:r>
              <w:rPr>
                <w:rFonts w:hint="eastAsia" w:ascii="Times New Roman" w:hAnsi="Times New Roman" w:cs="Times New Roman"/>
                <w:color w:val="000000"/>
                <w:sz w:val="24"/>
                <w:szCs w:val="24"/>
                <w:lang w:val="en-US" w:eastAsia="zh-CN" w:bidi="ar-SA"/>
              </w:rPr>
              <w:t>二甲苯</w:t>
            </w:r>
            <w:r>
              <w:rPr>
                <w:rFonts w:hint="eastAsia" w:ascii="Times New Roman" w:hAnsi="Times New Roman" w:eastAsia="宋体" w:cs="Times New Roman"/>
                <w:color w:val="000000"/>
                <w:sz w:val="24"/>
                <w:szCs w:val="24"/>
                <w:lang w:val="en-US" w:eastAsia="zh-CN" w:bidi="ar-SA"/>
              </w:rPr>
              <w:t>、非甲烷总烃均符合《合成树脂工业污染物排放标准》（GB31572-2015）中</w:t>
            </w:r>
            <w:r>
              <w:rPr>
                <w:rFonts w:hint="eastAsia" w:ascii="Times New Roman" w:hAnsi="Times New Roman" w:cs="Times New Roman"/>
                <w:color w:val="000000"/>
                <w:sz w:val="24"/>
                <w:szCs w:val="24"/>
                <w:lang w:val="en-US" w:eastAsia="zh-CN" w:bidi="ar-SA"/>
              </w:rPr>
              <w:t>有关</w:t>
            </w:r>
            <w:r>
              <w:rPr>
                <w:rFonts w:hint="eastAsia" w:ascii="Times New Roman" w:hAnsi="Times New Roman" w:eastAsia="宋体" w:cs="Times New Roman"/>
                <w:color w:val="000000"/>
                <w:sz w:val="24"/>
                <w:szCs w:val="24"/>
                <w:lang w:val="en-US" w:eastAsia="zh-CN" w:bidi="ar-SA"/>
              </w:rPr>
              <w:t>限值。</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（2）废水</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验收监测期间，废水排放中化学需氧量、五日生化需氧量、氨氮、悬浮物、石油类、LAS均满足《污水综合排放标准》（GB8978-1996）中最高允许排放浓度三级标准。</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（3）噪声</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验收监测期间，该项目厂界噪声（东、南</w:t>
            </w:r>
            <w:r>
              <w:rPr>
                <w:rFonts w:hint="eastAsia" w:ascii="Times New Roman" w:hAnsi="Times New Roman" w:cs="Times New Roman"/>
                <w:color w:val="000000"/>
                <w:sz w:val="24"/>
                <w:szCs w:val="24"/>
                <w:lang w:val="en-US" w:eastAsia="zh-CN" w:bidi="ar-SA"/>
              </w:rPr>
              <w:t>、西、北</w:t>
            </w:r>
            <w:r>
              <w:rPr>
                <w:rFonts w:hint="eastAsia" w:ascii="Times New Roman" w:hAnsi="Times New Roman" w:eastAsia="宋体" w:cs="Times New Roman"/>
                <w:color w:val="000000"/>
                <w:sz w:val="24"/>
                <w:szCs w:val="24"/>
                <w:lang w:val="en-US" w:eastAsia="zh-CN" w:bidi="ar-SA"/>
              </w:rPr>
              <w:t>）昼</w:t>
            </w:r>
            <w:r>
              <w:rPr>
                <w:rFonts w:hint="eastAsia" w:ascii="Times New Roman" w:hAnsi="Times New Roman" w:cs="Times New Roman"/>
                <w:color w:val="000000"/>
                <w:sz w:val="24"/>
                <w:szCs w:val="24"/>
                <w:lang w:val="en-US" w:eastAsia="zh-CN" w:bidi="ar-SA"/>
              </w:rPr>
              <w:t>夜</w:t>
            </w:r>
            <w:r>
              <w:rPr>
                <w:rFonts w:hint="eastAsia" w:ascii="Times New Roman" w:hAnsi="Times New Roman" w:eastAsia="宋体" w:cs="Times New Roman"/>
                <w:color w:val="000000"/>
                <w:sz w:val="24"/>
                <w:szCs w:val="24"/>
                <w:lang w:val="en-US" w:eastAsia="zh-CN" w:bidi="ar-SA"/>
              </w:rPr>
              <w:t xml:space="preserve">间噪声满足《工业企业厂界环境噪声排放标准》（GB12348-2008）中的 </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类标准限值要求。</w:t>
            </w:r>
          </w:p>
          <w:p>
            <w:pPr>
              <w:pStyle w:val="3"/>
              <w:numPr>
                <w:ilvl w:val="1"/>
                <w:numId w:val="9"/>
              </w:numPr>
              <w:tabs>
                <w:tab w:val="left" w:pos="699"/>
              </w:tabs>
              <w:spacing w:before="46" w:after="0" w:line="240" w:lineRule="auto"/>
              <w:ind w:left="698" w:right="0" w:hanging="424"/>
              <w:jc w:val="left"/>
              <w:rPr>
                <w:rFonts w:ascii="Times New Roman" w:eastAsia="Times New Roman"/>
                <w:sz w:val="24"/>
                <w:szCs w:val="24"/>
              </w:rPr>
            </w:pPr>
            <w:r>
              <w:rPr>
                <w:sz w:val="24"/>
                <w:szCs w:val="24"/>
              </w:rPr>
              <w:t>环境监测与管理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企业环保制度基本健全，环保审批手续及环保档案资料齐全；环保设施基本按环评及批复要求落实，各项环保设施运行正常，施工和试生产期间未发现企业环境违法行为和环境投诉和扰民事件，验收监测中各类污染物达标排放。</w:t>
            </w:r>
          </w:p>
          <w:p>
            <w:pPr>
              <w:spacing w:before="134"/>
              <w:ind w:left="101" w:right="0" w:firstLine="0"/>
              <w:jc w:val="left"/>
              <w:rPr>
                <w:b/>
                <w:sz w:val="24"/>
                <w:szCs w:val="24"/>
              </w:rPr>
            </w:pPr>
            <w:r>
              <w:rPr>
                <w:rFonts w:ascii="Times New Roman" w:eastAsia="Times New Roman"/>
                <w:b/>
                <w:sz w:val="24"/>
                <w:szCs w:val="24"/>
              </w:rPr>
              <w:t xml:space="preserve">8.6 </w:t>
            </w:r>
            <w:r>
              <w:rPr>
                <w:b/>
                <w:sz w:val="24"/>
                <w:szCs w:val="24"/>
              </w:rPr>
              <w:t>综合结论</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通过现场检查、资料查阅和监测，项目环保审批手续及环保档案资料齐全，公司设置了环保机构，配置了管理人员，建立了环境管理规章制度。项目环保设施及环境管理措施按环评及批复要求落实，各环保设施运行正常，验收监测期间各类污染物均达标排放，排放总量均满足项目环评及批复文件核定的总量指标要求，达到竣工环境保护验收条件。</w:t>
            </w:r>
          </w:p>
          <w:p>
            <w:pPr>
              <w:keepNext w:val="0"/>
              <w:keepLines w:val="0"/>
              <w:pageBreakBefore w:val="0"/>
              <w:widowControl w:val="0"/>
              <w:kinsoku/>
              <w:wordWrap/>
              <w:overflowPunct/>
              <w:topLinePunct w:val="0"/>
              <w:autoSpaceDE w:val="0"/>
              <w:autoSpaceDN w:val="0"/>
              <w:bidi w:val="0"/>
              <w:adjustRightInd w:val="0"/>
              <w:snapToGrid w:val="0"/>
              <w:spacing w:before="313" w:beforeLines="100" w:line="360" w:lineRule="auto"/>
              <w:ind w:firstLine="482" w:firstLineChars="200"/>
              <w:jc w:val="both"/>
              <w:textAlignment w:val="auto"/>
              <w:rPr>
                <w:vertAlign w:val="baseline"/>
              </w:rPr>
            </w:pPr>
            <w:r>
              <w:rPr>
                <w:rFonts w:hint="eastAsia" w:ascii="Times New Roman" w:hAnsi="Times New Roman" w:eastAsia="宋体" w:cs="Times New Roman"/>
                <w:b/>
                <w:bCs/>
                <w:color w:val="000000"/>
                <w:sz w:val="24"/>
                <w:szCs w:val="24"/>
                <w:lang w:val="en-US" w:eastAsia="zh-CN" w:bidi="ar-SA"/>
              </w:rPr>
              <w:t>建议：（1）加强环保设施的日常管理，保证其正常运作，实现污染物长期稳定的达标排放；</w:t>
            </w:r>
          </w:p>
        </w:tc>
      </w:tr>
    </w:tbl>
    <w:p>
      <w:pPr>
        <w:pStyle w:val="4"/>
        <w:spacing w:before="208"/>
        <w:ind w:left="275" w:firstLine="0"/>
      </w:pPr>
    </w:p>
    <w:p>
      <w:pPr>
        <w:pStyle w:val="4"/>
        <w:spacing w:before="208"/>
        <w:ind w:left="275" w:firstLine="0"/>
      </w:pPr>
      <w:r>
        <w:t>附图：</w:t>
      </w:r>
    </w:p>
    <w:p>
      <w:pPr>
        <w:pStyle w:val="6"/>
        <w:spacing w:before="96" w:line="367" w:lineRule="auto"/>
        <w:ind w:left="756" w:right="6219"/>
      </w:pPr>
      <w:r>
        <w:t xml:space="preserve">附图 </w:t>
      </w:r>
      <w:r>
        <w:rPr>
          <w:rFonts w:ascii="Times New Roman" w:eastAsia="Times New Roman"/>
        </w:rPr>
        <w:t>1</w:t>
      </w:r>
      <w:r>
        <w:t>：项目地理位置图</w:t>
      </w:r>
    </w:p>
    <w:p>
      <w:pPr>
        <w:pStyle w:val="6"/>
        <w:spacing w:before="96" w:line="367" w:lineRule="auto"/>
        <w:ind w:left="756" w:right="6219"/>
        <w:rPr>
          <w:rFonts w:hint="default" w:ascii="Times New Roman" w:hAnsi="Times New Roman" w:cs="Times New Roman"/>
          <w:lang w:val="en-US" w:eastAsia="zh-CN"/>
        </w:rPr>
      </w:pPr>
      <w:r>
        <w:rPr>
          <w:rFonts w:hint="default" w:ascii="Times New Roman" w:hAnsi="Times New Roman" w:cs="Times New Roman"/>
          <w:lang w:eastAsia="zh-CN"/>
        </w:rPr>
        <w:t>附图</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2：园区规划图</w:t>
      </w:r>
    </w:p>
    <w:p>
      <w:pPr>
        <w:pStyle w:val="6"/>
        <w:spacing w:before="96" w:line="367" w:lineRule="auto"/>
        <w:ind w:left="756" w:right="6219"/>
        <w:rPr>
          <w:rFonts w:hint="default" w:ascii="Times New Roman" w:hAnsi="Times New Roman" w:cs="Times New Roman"/>
        </w:rPr>
      </w:pPr>
      <w:r>
        <w:rPr>
          <w:rFonts w:hint="default" w:ascii="Times New Roman" w:hAnsi="Times New Roman" w:cs="Times New Roman"/>
        </w:rPr>
        <w:t xml:space="preserve">附图 </w:t>
      </w:r>
      <w:r>
        <w:rPr>
          <w:rFonts w:hint="default" w:ascii="Times New Roman" w:hAnsi="Times New Roman" w:eastAsia="宋体" w:cs="Times New Roman"/>
          <w:lang w:val="en-US" w:eastAsia="zh-CN"/>
        </w:rPr>
        <w:t>3</w:t>
      </w:r>
      <w:r>
        <w:rPr>
          <w:rFonts w:hint="default" w:ascii="Times New Roman" w:hAnsi="Times New Roman" w:cs="Times New Roman"/>
        </w:rPr>
        <w:t>：项目平面布置图</w:t>
      </w:r>
    </w:p>
    <w:p>
      <w:pPr>
        <w:pStyle w:val="6"/>
        <w:spacing w:before="6"/>
        <w:rPr>
          <w:sz w:val="37"/>
        </w:rPr>
      </w:pPr>
    </w:p>
    <w:p>
      <w:pPr>
        <w:pStyle w:val="4"/>
        <w:ind w:left="275" w:firstLine="0"/>
      </w:pPr>
      <w:r>
        <w:t>附件：</w:t>
      </w:r>
    </w:p>
    <w:p>
      <w:pPr>
        <w:pStyle w:val="6"/>
        <w:spacing w:before="19" w:line="360" w:lineRule="auto"/>
        <w:ind w:left="756"/>
        <w:rPr>
          <w:rFonts w:hint="default" w:ascii="Times New Roman" w:hAnsi="Times New Roman" w:cs="Times New Roman"/>
          <w:lang w:eastAsia="zh-CN"/>
        </w:rPr>
      </w:pPr>
      <w:r>
        <w:rPr>
          <w:rFonts w:hint="default" w:ascii="Times New Roman" w:hAnsi="Times New Roman" w:cs="Times New Roman"/>
        </w:rPr>
        <w:t>附件 1：项目环境影响评价文件批准书（</w:t>
      </w:r>
      <w:r>
        <w:rPr>
          <w:rFonts w:hint="default" w:ascii="Times New Roman" w:hAnsi="Times New Roman" w:cs="Times New Roman"/>
          <w:lang w:val="en-US" w:eastAsia="zh-CN"/>
        </w:rPr>
        <w:t>渝（奉）环准【2021】54 号</w:t>
      </w:r>
      <w:r>
        <w:rPr>
          <w:rFonts w:hint="default" w:ascii="Times New Roman" w:hAnsi="Times New Roman" w:cs="Times New Roman"/>
        </w:rPr>
        <w:t>）</w:t>
      </w:r>
      <w:r>
        <w:rPr>
          <w:rFonts w:hint="default" w:ascii="Times New Roman" w:hAnsi="Times New Roman" w:cs="Times New Roman"/>
          <w:lang w:eastAsia="zh-CN"/>
        </w:rPr>
        <w:t>；</w:t>
      </w:r>
    </w:p>
    <w:p>
      <w:pPr>
        <w:pStyle w:val="6"/>
        <w:spacing w:before="19" w:line="360" w:lineRule="auto"/>
        <w:ind w:left="756"/>
        <w:rPr>
          <w:rFonts w:hint="default" w:ascii="Times New Roman" w:hAnsi="Times New Roman" w:cs="Times New Roman"/>
        </w:rPr>
      </w:pPr>
      <w:r>
        <w:rPr>
          <w:rFonts w:hint="default" w:ascii="Times New Roman" w:hAnsi="Times New Roman" w:cs="Times New Roman"/>
        </w:rPr>
        <w:t>附件 2：项目危险废物处置协议；</w:t>
      </w:r>
    </w:p>
    <w:p>
      <w:pPr>
        <w:pStyle w:val="6"/>
        <w:spacing w:before="19" w:line="360" w:lineRule="auto"/>
        <w:ind w:left="756"/>
        <w:rPr>
          <w:rFonts w:hint="default" w:ascii="Times New Roman" w:hAnsi="Times New Roman" w:cs="Times New Roman"/>
          <w:lang w:eastAsia="zh-CN"/>
        </w:rPr>
      </w:pPr>
      <w:r>
        <w:rPr>
          <w:rFonts w:hint="default" w:ascii="Times New Roman" w:hAnsi="Times New Roman" w:cs="Times New Roman"/>
        </w:rPr>
        <w:t xml:space="preserve">附件 </w:t>
      </w:r>
      <w:r>
        <w:rPr>
          <w:rFonts w:hint="default" w:ascii="Times New Roman" w:hAnsi="Times New Roman" w:cs="Times New Roman"/>
          <w:lang w:val="en-US" w:eastAsia="zh-CN"/>
        </w:rPr>
        <w:t>3</w:t>
      </w:r>
      <w:r>
        <w:rPr>
          <w:rFonts w:hint="default" w:ascii="Times New Roman" w:hAnsi="Times New Roman" w:cs="Times New Roman"/>
        </w:rPr>
        <w:t>：验收监测报告：渝恒（检）字[2022]第03031-YS号</w:t>
      </w:r>
      <w:r>
        <w:rPr>
          <w:rFonts w:hint="default" w:ascii="Times New Roman" w:hAnsi="Times New Roman" w:cs="Times New Roman"/>
          <w:lang w:eastAsia="zh-CN"/>
        </w:rPr>
        <w:t>；</w:t>
      </w:r>
    </w:p>
    <w:p>
      <w:pPr>
        <w:pStyle w:val="6"/>
        <w:spacing w:before="19" w:line="360" w:lineRule="auto"/>
        <w:ind w:left="756"/>
        <w:rPr>
          <w:rFonts w:hint="default" w:ascii="Times New Roman" w:hAnsi="Times New Roman" w:cs="Times New Roman"/>
        </w:rPr>
      </w:pPr>
      <w:r>
        <w:rPr>
          <w:rFonts w:hint="default" w:ascii="Times New Roman" w:hAnsi="Times New Roman" w:cs="Times New Roman"/>
        </w:rPr>
        <w:t xml:space="preserve">附件 </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固定污染源排污登记。</w:t>
      </w:r>
    </w:p>
    <w:p>
      <w:pPr>
        <w:pStyle w:val="2"/>
      </w:pPr>
    </w:p>
    <w:sectPr>
      <w:headerReference r:id="rId5" w:type="default"/>
      <w:footerReference r:id="rId6" w:type="default"/>
      <w:pgSz w:w="11906" w:h="16838"/>
      <w:pgMar w:top="1100" w:right="1179" w:bottom="1157" w:left="1179" w:header="850" w:footer="39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3"/>
      <w:ind w:left="20" w:right="0" w:firstLine="0"/>
      <w:jc w:val="center"/>
    </w:pPr>
    <w:r>
      <w:rPr>
        <w:rFonts w:hint="eastAsia" w:ascii="Times New Roman"/>
        <w:w w:val="95"/>
        <w:position w:val="1"/>
        <w:sz w:val="18"/>
        <w:lang w:eastAsia="zh-CN"/>
      </w:rPr>
      <w:t>重庆万瑞眼镜有限公司眼镜镜架生产项目</w:t>
    </w:r>
    <w:r>
      <w:rPr>
        <w:w w:val="95"/>
        <w:position w:val="1"/>
        <w:sz w:val="18"/>
        <w:vertAlign w:val="baseline"/>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5"/>
      <w:numFmt w:val="decimal"/>
      <w:lvlText w:val="%1"/>
      <w:lvlJc w:val="left"/>
      <w:pPr>
        <w:ind w:left="465" w:hanging="360"/>
        <w:jc w:val="left"/>
      </w:pPr>
      <w:rPr>
        <w:rFonts w:hint="default"/>
        <w:lang w:val="zh-CN" w:eastAsia="zh-CN" w:bidi="zh-CN"/>
      </w:rPr>
    </w:lvl>
    <w:lvl w:ilvl="1" w:tentative="0">
      <w:start w:val="1"/>
      <w:numFmt w:val="decimal"/>
      <w:lvlText w:val="%1.%2"/>
      <w:lvlJc w:val="left"/>
      <w:pPr>
        <w:ind w:left="465" w:hanging="360"/>
        <w:jc w:val="left"/>
      </w:pPr>
      <w:rPr>
        <w:rFonts w:hint="default" w:ascii="Times New Roman" w:hAnsi="Times New Roman" w:eastAsia="Times New Roman" w:cs="Times New Roman"/>
        <w:b/>
        <w:bCs/>
        <w:w w:val="100"/>
        <w:sz w:val="24"/>
        <w:szCs w:val="24"/>
        <w:lang w:val="zh-CN" w:eastAsia="zh-CN" w:bidi="zh-CN"/>
      </w:rPr>
    </w:lvl>
    <w:lvl w:ilvl="2" w:tentative="0">
      <w:start w:val="0"/>
      <w:numFmt w:val="bullet"/>
      <w:lvlText w:val="•"/>
      <w:lvlJc w:val="left"/>
      <w:pPr>
        <w:ind w:left="2223" w:hanging="360"/>
      </w:pPr>
      <w:rPr>
        <w:rFonts w:hint="default"/>
        <w:lang w:val="zh-CN" w:eastAsia="zh-CN" w:bidi="zh-CN"/>
      </w:rPr>
    </w:lvl>
    <w:lvl w:ilvl="3" w:tentative="0">
      <w:start w:val="0"/>
      <w:numFmt w:val="bullet"/>
      <w:lvlText w:val="•"/>
      <w:lvlJc w:val="left"/>
      <w:pPr>
        <w:ind w:left="3104" w:hanging="360"/>
      </w:pPr>
      <w:rPr>
        <w:rFonts w:hint="default"/>
        <w:lang w:val="zh-CN" w:eastAsia="zh-CN" w:bidi="zh-CN"/>
      </w:rPr>
    </w:lvl>
    <w:lvl w:ilvl="4" w:tentative="0">
      <w:start w:val="0"/>
      <w:numFmt w:val="bullet"/>
      <w:lvlText w:val="•"/>
      <w:lvlJc w:val="left"/>
      <w:pPr>
        <w:ind w:left="3986" w:hanging="360"/>
      </w:pPr>
      <w:rPr>
        <w:rFonts w:hint="default"/>
        <w:lang w:val="zh-CN" w:eastAsia="zh-CN" w:bidi="zh-CN"/>
      </w:rPr>
    </w:lvl>
    <w:lvl w:ilvl="5" w:tentative="0">
      <w:start w:val="0"/>
      <w:numFmt w:val="bullet"/>
      <w:lvlText w:val="•"/>
      <w:lvlJc w:val="left"/>
      <w:pPr>
        <w:ind w:left="4868" w:hanging="360"/>
      </w:pPr>
      <w:rPr>
        <w:rFonts w:hint="default"/>
        <w:lang w:val="zh-CN" w:eastAsia="zh-CN" w:bidi="zh-CN"/>
      </w:rPr>
    </w:lvl>
    <w:lvl w:ilvl="6" w:tentative="0">
      <w:start w:val="0"/>
      <w:numFmt w:val="bullet"/>
      <w:lvlText w:val="•"/>
      <w:lvlJc w:val="left"/>
      <w:pPr>
        <w:ind w:left="5749" w:hanging="360"/>
      </w:pPr>
      <w:rPr>
        <w:rFonts w:hint="default"/>
        <w:lang w:val="zh-CN" w:eastAsia="zh-CN" w:bidi="zh-CN"/>
      </w:rPr>
    </w:lvl>
    <w:lvl w:ilvl="7" w:tentative="0">
      <w:start w:val="0"/>
      <w:numFmt w:val="bullet"/>
      <w:lvlText w:val="•"/>
      <w:lvlJc w:val="left"/>
      <w:pPr>
        <w:ind w:left="6631" w:hanging="360"/>
      </w:pPr>
      <w:rPr>
        <w:rFonts w:hint="default"/>
        <w:lang w:val="zh-CN" w:eastAsia="zh-CN" w:bidi="zh-CN"/>
      </w:rPr>
    </w:lvl>
    <w:lvl w:ilvl="8" w:tentative="0">
      <w:start w:val="0"/>
      <w:numFmt w:val="bullet"/>
      <w:lvlText w:val="•"/>
      <w:lvlJc w:val="left"/>
      <w:pPr>
        <w:ind w:left="7512" w:hanging="360"/>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818" w:hanging="543"/>
        <w:jc w:val="left"/>
      </w:pPr>
      <w:rPr>
        <w:rFonts w:hint="default"/>
        <w:lang w:val="zh-CN" w:eastAsia="zh-CN" w:bidi="zh-CN"/>
      </w:rPr>
    </w:lvl>
    <w:lvl w:ilvl="1" w:tentative="0">
      <w:start w:val="6"/>
      <w:numFmt w:val="decimal"/>
      <w:lvlText w:val="%1.%2"/>
      <w:lvlJc w:val="left"/>
      <w:pPr>
        <w:ind w:left="818" w:hanging="543"/>
        <w:jc w:val="left"/>
      </w:pPr>
      <w:rPr>
        <w:rFonts w:hint="default"/>
        <w:lang w:val="zh-CN" w:eastAsia="zh-CN" w:bidi="zh-CN"/>
      </w:rPr>
    </w:lvl>
    <w:lvl w:ilvl="2" w:tentative="0">
      <w:start w:val="1"/>
      <w:numFmt w:val="decimal"/>
      <w:lvlText w:val="%1.%2.%3"/>
      <w:lvlJc w:val="left"/>
      <w:pPr>
        <w:ind w:left="764" w:hanging="543"/>
        <w:jc w:val="left"/>
      </w:pPr>
      <w:rPr>
        <w:rFonts w:hint="default" w:ascii="Times New Roman" w:hAnsi="Times New Roman" w:eastAsia="Times New Roman" w:cs="Times New Roman"/>
        <w:b/>
        <w:bCs/>
        <w:spacing w:val="-3"/>
        <w:w w:val="100"/>
        <w:sz w:val="24"/>
        <w:szCs w:val="24"/>
        <w:lang w:val="zh-CN" w:eastAsia="zh-CN" w:bidi="zh-CN"/>
      </w:rPr>
    </w:lvl>
    <w:lvl w:ilvl="3" w:tentative="0">
      <w:start w:val="1"/>
      <w:numFmt w:val="decimal"/>
      <w:lvlText w:val="（%4）"/>
      <w:lvlJc w:val="left"/>
      <w:pPr>
        <w:ind w:left="1357" w:hanging="601"/>
        <w:jc w:val="left"/>
      </w:pPr>
      <w:rPr>
        <w:rFonts w:hint="default" w:ascii="宋体" w:hAnsi="宋体" w:eastAsia="宋体" w:cs="宋体"/>
        <w:spacing w:val="-1"/>
        <w:w w:val="100"/>
        <w:sz w:val="22"/>
        <w:szCs w:val="22"/>
        <w:lang w:val="zh-CN" w:eastAsia="zh-CN" w:bidi="zh-CN"/>
      </w:rPr>
    </w:lvl>
    <w:lvl w:ilvl="4" w:tentative="0">
      <w:start w:val="0"/>
      <w:numFmt w:val="bullet"/>
      <w:lvlText w:val="•"/>
      <w:lvlJc w:val="left"/>
      <w:pPr>
        <w:ind w:left="4115"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952" w:hanging="601"/>
      </w:pPr>
      <w:rPr>
        <w:rFonts w:hint="default"/>
        <w:lang w:val="zh-CN" w:eastAsia="zh-CN" w:bidi="zh-CN"/>
      </w:rPr>
    </w:lvl>
    <w:lvl w:ilvl="7" w:tentative="0">
      <w:start w:val="0"/>
      <w:numFmt w:val="bullet"/>
      <w:lvlText w:val="•"/>
      <w:lvlJc w:val="left"/>
      <w:pPr>
        <w:ind w:left="6870" w:hanging="601"/>
      </w:pPr>
      <w:rPr>
        <w:rFonts w:hint="default"/>
        <w:lang w:val="zh-CN" w:eastAsia="zh-CN" w:bidi="zh-CN"/>
      </w:rPr>
    </w:lvl>
    <w:lvl w:ilvl="8" w:tentative="0">
      <w:start w:val="0"/>
      <w:numFmt w:val="bullet"/>
      <w:lvlText w:val="•"/>
      <w:lvlJc w:val="left"/>
      <w:pPr>
        <w:ind w:left="7789" w:hanging="601"/>
      </w:pPr>
      <w:rPr>
        <w:rFonts w:hint="default"/>
        <w:lang w:val="zh-CN" w:eastAsia="zh-CN" w:bidi="zh-CN"/>
      </w:rPr>
    </w:lvl>
  </w:abstractNum>
  <w:abstractNum w:abstractNumId="2">
    <w:nsid w:val="C8879AEF"/>
    <w:multiLevelType w:val="multilevel"/>
    <w:tmpl w:val="C8879AEF"/>
    <w:lvl w:ilvl="0" w:tentative="0">
      <w:start w:val="8"/>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right"/>
      </w:pPr>
      <w:rPr>
        <w:rFonts w:hint="default"/>
        <w:b/>
        <w:bCs/>
        <w:w w:val="99"/>
        <w:lang w:val="zh-CN" w:eastAsia="zh-CN" w:bidi="zh-CN"/>
      </w:rPr>
    </w:lvl>
    <w:lvl w:ilvl="2" w:tentative="0">
      <w:start w:val="1"/>
      <w:numFmt w:val="decimal"/>
      <w:lvlText w:val="（%3）"/>
      <w:lvlJc w:val="left"/>
      <w:pPr>
        <w:ind w:left="1357"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196" w:hanging="601"/>
      </w:pPr>
      <w:rPr>
        <w:rFonts w:hint="default"/>
        <w:lang w:val="zh-CN" w:eastAsia="zh-CN" w:bidi="zh-CN"/>
      </w:rPr>
    </w:lvl>
    <w:lvl w:ilvl="4" w:tentative="0">
      <w:start w:val="0"/>
      <w:numFmt w:val="bullet"/>
      <w:lvlText w:val="•"/>
      <w:lvlJc w:val="left"/>
      <w:pPr>
        <w:ind w:left="4115"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952" w:hanging="601"/>
      </w:pPr>
      <w:rPr>
        <w:rFonts w:hint="default"/>
        <w:lang w:val="zh-CN" w:eastAsia="zh-CN" w:bidi="zh-CN"/>
      </w:rPr>
    </w:lvl>
    <w:lvl w:ilvl="7" w:tentative="0">
      <w:start w:val="0"/>
      <w:numFmt w:val="bullet"/>
      <w:lvlText w:val="•"/>
      <w:lvlJc w:val="left"/>
      <w:pPr>
        <w:ind w:left="6870" w:hanging="601"/>
      </w:pPr>
      <w:rPr>
        <w:rFonts w:hint="default"/>
        <w:lang w:val="zh-CN" w:eastAsia="zh-CN" w:bidi="zh-CN"/>
      </w:rPr>
    </w:lvl>
    <w:lvl w:ilvl="8" w:tentative="0">
      <w:start w:val="0"/>
      <w:numFmt w:val="bullet"/>
      <w:lvlText w:val="•"/>
      <w:lvlJc w:val="left"/>
      <w:pPr>
        <w:ind w:left="7789" w:hanging="601"/>
      </w:pPr>
      <w:rPr>
        <w:rFonts w:hint="default"/>
        <w:lang w:val="zh-CN" w:eastAsia="zh-CN" w:bidi="zh-CN"/>
      </w:rPr>
    </w:lvl>
  </w:abstractNum>
  <w:abstractNum w:abstractNumId="3">
    <w:nsid w:val="CF092B84"/>
    <w:multiLevelType w:val="multilevel"/>
    <w:tmpl w:val="CF092B84"/>
    <w:lvl w:ilvl="0" w:tentative="0">
      <w:start w:val="2"/>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636"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23" w:hanging="548"/>
        <w:jc w:val="left"/>
      </w:pPr>
      <w:rPr>
        <w:rFonts w:hint="default" w:ascii="Calibri" w:hAnsi="Calibri" w:eastAsia="Calibri" w:cs="Calibri"/>
        <w:spacing w:val="-2"/>
        <w:w w:val="100"/>
        <w:sz w:val="24"/>
        <w:szCs w:val="24"/>
        <w:lang w:val="zh-CN" w:eastAsia="zh-CN" w:bidi="zh-CN"/>
      </w:rPr>
    </w:lvl>
    <w:lvl w:ilvl="3" w:tentative="0">
      <w:start w:val="0"/>
      <w:numFmt w:val="bullet"/>
      <w:lvlText w:val="•"/>
      <w:lvlJc w:val="left"/>
      <w:pPr>
        <w:ind w:left="2776" w:hanging="548"/>
      </w:pPr>
      <w:rPr>
        <w:rFonts w:hint="default"/>
        <w:lang w:val="zh-CN" w:eastAsia="zh-CN" w:bidi="zh-CN"/>
      </w:rPr>
    </w:lvl>
    <w:lvl w:ilvl="4" w:tentative="0">
      <w:start w:val="0"/>
      <w:numFmt w:val="bullet"/>
      <w:lvlText w:val="•"/>
      <w:lvlJc w:val="left"/>
      <w:pPr>
        <w:ind w:left="3755" w:hanging="548"/>
      </w:pPr>
      <w:rPr>
        <w:rFonts w:hint="default"/>
        <w:lang w:val="zh-CN" w:eastAsia="zh-CN" w:bidi="zh-CN"/>
      </w:rPr>
    </w:lvl>
    <w:lvl w:ilvl="5" w:tentative="0">
      <w:start w:val="0"/>
      <w:numFmt w:val="bullet"/>
      <w:lvlText w:val="•"/>
      <w:lvlJc w:val="left"/>
      <w:pPr>
        <w:ind w:left="4733" w:hanging="548"/>
      </w:pPr>
      <w:rPr>
        <w:rFonts w:hint="default"/>
        <w:lang w:val="zh-CN" w:eastAsia="zh-CN" w:bidi="zh-CN"/>
      </w:rPr>
    </w:lvl>
    <w:lvl w:ilvl="6" w:tentative="0">
      <w:start w:val="0"/>
      <w:numFmt w:val="bullet"/>
      <w:lvlText w:val="•"/>
      <w:lvlJc w:val="left"/>
      <w:pPr>
        <w:ind w:left="5712" w:hanging="548"/>
      </w:pPr>
      <w:rPr>
        <w:rFonts w:hint="default"/>
        <w:lang w:val="zh-CN" w:eastAsia="zh-CN" w:bidi="zh-CN"/>
      </w:rPr>
    </w:lvl>
    <w:lvl w:ilvl="7" w:tentative="0">
      <w:start w:val="0"/>
      <w:numFmt w:val="bullet"/>
      <w:lvlText w:val="•"/>
      <w:lvlJc w:val="left"/>
      <w:pPr>
        <w:ind w:left="6690" w:hanging="548"/>
      </w:pPr>
      <w:rPr>
        <w:rFonts w:hint="default"/>
        <w:lang w:val="zh-CN" w:eastAsia="zh-CN" w:bidi="zh-CN"/>
      </w:rPr>
    </w:lvl>
    <w:lvl w:ilvl="8" w:tentative="0">
      <w:start w:val="0"/>
      <w:numFmt w:val="bullet"/>
      <w:lvlText w:val="•"/>
      <w:lvlJc w:val="left"/>
      <w:pPr>
        <w:ind w:left="7669" w:hanging="548"/>
      </w:pPr>
      <w:rPr>
        <w:rFonts w:hint="default"/>
        <w:lang w:val="zh-CN" w:eastAsia="zh-CN" w:bidi="zh-CN"/>
      </w:rPr>
    </w:lvl>
  </w:abstractNum>
  <w:abstractNum w:abstractNumId="4">
    <w:nsid w:val="03D62ECE"/>
    <w:multiLevelType w:val="multilevel"/>
    <w:tmpl w:val="03D62ECE"/>
    <w:lvl w:ilvl="0" w:tentative="0">
      <w:start w:val="3"/>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361"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18" w:hanging="543"/>
        <w:jc w:val="left"/>
      </w:pPr>
      <w:rPr>
        <w:rFonts w:hint="default" w:ascii="Times New Roman" w:hAnsi="Times New Roman" w:eastAsia="Times New Roman" w:cs="Times New Roman"/>
        <w:spacing w:val="-3"/>
        <w:w w:val="100"/>
        <w:sz w:val="24"/>
        <w:szCs w:val="24"/>
        <w:lang w:val="zh-CN" w:eastAsia="zh-CN" w:bidi="zh-CN"/>
      </w:rPr>
    </w:lvl>
    <w:lvl w:ilvl="3" w:tentative="0">
      <w:start w:val="1"/>
      <w:numFmt w:val="decimal"/>
      <w:lvlText w:val="（%4）"/>
      <w:lvlJc w:val="left"/>
      <w:pPr>
        <w:ind w:left="1237" w:hanging="601"/>
        <w:jc w:val="left"/>
      </w:pPr>
      <w:rPr>
        <w:rFonts w:hint="default" w:ascii="宋体" w:hAnsi="宋体" w:eastAsia="宋体" w:cs="宋体"/>
        <w:w w:val="100"/>
        <w:sz w:val="22"/>
        <w:szCs w:val="22"/>
        <w:lang w:val="zh-CN" w:eastAsia="zh-CN" w:bidi="zh-CN"/>
      </w:rPr>
    </w:lvl>
    <w:lvl w:ilvl="4" w:tentative="0">
      <w:start w:val="1"/>
      <w:numFmt w:val="decimal"/>
      <w:lvlText w:val="%5）"/>
      <w:lvlJc w:val="left"/>
      <w:pPr>
        <w:ind w:left="1117" w:hanging="361"/>
        <w:jc w:val="left"/>
      </w:pPr>
      <w:rPr>
        <w:rFonts w:hint="default" w:ascii="Times New Roman" w:hAnsi="Times New Roman" w:eastAsia="Times New Roman" w:cs="Times New Roman"/>
        <w:w w:val="100"/>
        <w:sz w:val="22"/>
        <w:szCs w:val="22"/>
        <w:lang w:val="zh-CN" w:eastAsia="zh-CN" w:bidi="zh-CN"/>
      </w:rPr>
    </w:lvl>
    <w:lvl w:ilvl="5" w:tentative="0">
      <w:start w:val="0"/>
      <w:numFmt w:val="bullet"/>
      <w:lvlText w:val="•"/>
      <w:lvlJc w:val="left"/>
      <w:pPr>
        <w:ind w:left="3636" w:hanging="361"/>
      </w:pPr>
      <w:rPr>
        <w:rFonts w:hint="default"/>
        <w:lang w:val="zh-CN" w:eastAsia="zh-CN" w:bidi="zh-CN"/>
      </w:rPr>
    </w:lvl>
    <w:lvl w:ilvl="6" w:tentative="0">
      <w:start w:val="0"/>
      <w:numFmt w:val="bullet"/>
      <w:lvlText w:val="•"/>
      <w:lvlJc w:val="left"/>
      <w:pPr>
        <w:ind w:left="4834" w:hanging="361"/>
      </w:pPr>
      <w:rPr>
        <w:rFonts w:hint="default"/>
        <w:lang w:val="zh-CN" w:eastAsia="zh-CN" w:bidi="zh-CN"/>
      </w:rPr>
    </w:lvl>
    <w:lvl w:ilvl="7" w:tentative="0">
      <w:start w:val="0"/>
      <w:numFmt w:val="bullet"/>
      <w:lvlText w:val="•"/>
      <w:lvlJc w:val="left"/>
      <w:pPr>
        <w:ind w:left="6032" w:hanging="361"/>
      </w:pPr>
      <w:rPr>
        <w:rFonts w:hint="default"/>
        <w:lang w:val="zh-CN" w:eastAsia="zh-CN" w:bidi="zh-CN"/>
      </w:rPr>
    </w:lvl>
    <w:lvl w:ilvl="8" w:tentative="0">
      <w:start w:val="0"/>
      <w:numFmt w:val="bullet"/>
      <w:lvlText w:val="•"/>
      <w:lvlJc w:val="left"/>
      <w:pPr>
        <w:ind w:left="7230" w:hanging="361"/>
      </w:pPr>
      <w:rPr>
        <w:rFonts w:hint="default"/>
        <w:lang w:val="zh-CN" w:eastAsia="zh-CN" w:bidi="zh-CN"/>
      </w:rPr>
    </w:lvl>
  </w:abstractNum>
  <w:abstractNum w:abstractNumId="5">
    <w:nsid w:val="2A8F537B"/>
    <w:multiLevelType w:val="multilevel"/>
    <w:tmpl w:val="2A8F537B"/>
    <w:lvl w:ilvl="0" w:tentative="0">
      <w:start w:val="6"/>
      <w:numFmt w:val="decimal"/>
      <w:lvlText w:val="%1"/>
      <w:lvlJc w:val="left"/>
      <w:pPr>
        <w:ind w:left="528" w:hanging="423"/>
        <w:jc w:val="left"/>
      </w:pPr>
      <w:rPr>
        <w:rFonts w:hint="default"/>
        <w:lang w:val="zh-CN" w:eastAsia="zh-CN" w:bidi="zh-CN"/>
      </w:rPr>
    </w:lvl>
    <w:lvl w:ilvl="1" w:tentative="0">
      <w:start w:val="2"/>
      <w:numFmt w:val="decimal"/>
      <w:lvlText w:val="%1.%2"/>
      <w:lvlJc w:val="left"/>
      <w:pPr>
        <w:ind w:left="528" w:hanging="423"/>
        <w:jc w:val="left"/>
      </w:pPr>
      <w:rPr>
        <w:rFonts w:hint="default" w:ascii="Times New Roman" w:hAnsi="Times New Roman" w:eastAsia="Times New Roman" w:cs="Times New Roman"/>
        <w:b/>
        <w:bCs/>
        <w:w w:val="99"/>
        <w:sz w:val="28"/>
        <w:szCs w:val="28"/>
        <w:lang w:val="zh-CN" w:eastAsia="zh-CN" w:bidi="zh-CN"/>
      </w:rPr>
    </w:lvl>
    <w:lvl w:ilvl="2" w:tentative="0">
      <w:start w:val="1"/>
      <w:numFmt w:val="decimal"/>
      <w:lvlText w:val="%3）"/>
      <w:lvlJc w:val="left"/>
      <w:pPr>
        <w:ind w:left="946" w:hanging="36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92" w:hanging="361"/>
      </w:pPr>
      <w:rPr>
        <w:rFonts w:hint="default"/>
        <w:lang w:val="zh-CN" w:eastAsia="zh-CN" w:bidi="zh-CN"/>
      </w:rPr>
    </w:lvl>
    <w:lvl w:ilvl="4" w:tentative="0">
      <w:start w:val="0"/>
      <w:numFmt w:val="bullet"/>
      <w:lvlText w:val="•"/>
      <w:lvlJc w:val="left"/>
      <w:pPr>
        <w:ind w:left="3718" w:hanging="361"/>
      </w:pPr>
      <w:rPr>
        <w:rFonts w:hint="default"/>
        <w:lang w:val="zh-CN" w:eastAsia="zh-CN" w:bidi="zh-CN"/>
      </w:rPr>
    </w:lvl>
    <w:lvl w:ilvl="5" w:tentative="0">
      <w:start w:val="0"/>
      <w:numFmt w:val="bullet"/>
      <w:lvlText w:val="•"/>
      <w:lvlJc w:val="left"/>
      <w:pPr>
        <w:ind w:left="4644" w:hanging="361"/>
      </w:pPr>
      <w:rPr>
        <w:rFonts w:hint="default"/>
        <w:lang w:val="zh-CN" w:eastAsia="zh-CN" w:bidi="zh-CN"/>
      </w:rPr>
    </w:lvl>
    <w:lvl w:ilvl="6" w:tentative="0">
      <w:start w:val="0"/>
      <w:numFmt w:val="bullet"/>
      <w:lvlText w:val="•"/>
      <w:lvlJc w:val="left"/>
      <w:pPr>
        <w:ind w:left="5571" w:hanging="361"/>
      </w:pPr>
      <w:rPr>
        <w:rFonts w:hint="default"/>
        <w:lang w:val="zh-CN" w:eastAsia="zh-CN" w:bidi="zh-CN"/>
      </w:rPr>
    </w:lvl>
    <w:lvl w:ilvl="7" w:tentative="0">
      <w:start w:val="0"/>
      <w:numFmt w:val="bullet"/>
      <w:lvlText w:val="•"/>
      <w:lvlJc w:val="left"/>
      <w:pPr>
        <w:ind w:left="6497" w:hanging="361"/>
      </w:pPr>
      <w:rPr>
        <w:rFonts w:hint="default"/>
        <w:lang w:val="zh-CN" w:eastAsia="zh-CN" w:bidi="zh-CN"/>
      </w:rPr>
    </w:lvl>
    <w:lvl w:ilvl="8" w:tentative="0">
      <w:start w:val="0"/>
      <w:numFmt w:val="bullet"/>
      <w:lvlText w:val="•"/>
      <w:lvlJc w:val="left"/>
      <w:pPr>
        <w:ind w:left="7423" w:hanging="361"/>
      </w:pPr>
      <w:rPr>
        <w:rFonts w:hint="default"/>
        <w:lang w:val="zh-CN" w:eastAsia="zh-CN" w:bidi="zh-CN"/>
      </w:rPr>
    </w:lvl>
  </w:abstractNum>
  <w:abstractNum w:abstractNumId="6">
    <w:nsid w:val="3E5FF541"/>
    <w:multiLevelType w:val="singleLevel"/>
    <w:tmpl w:val="3E5FF541"/>
    <w:lvl w:ilvl="0" w:tentative="0">
      <w:start w:val="4"/>
      <w:numFmt w:val="decimal"/>
      <w:suff w:val="nothing"/>
      <w:lvlText w:val="（%1）"/>
      <w:lvlJc w:val="left"/>
    </w:lvl>
  </w:abstractNum>
  <w:abstractNum w:abstractNumId="7">
    <w:nsid w:val="4C0C61B8"/>
    <w:multiLevelType w:val="singleLevel"/>
    <w:tmpl w:val="4C0C61B8"/>
    <w:lvl w:ilvl="0" w:tentative="0">
      <w:start w:val="1"/>
      <w:numFmt w:val="decimal"/>
      <w:suff w:val="nothing"/>
      <w:lvlText w:val="（%1）"/>
      <w:lvlJc w:val="left"/>
    </w:lvl>
  </w:abstractNum>
  <w:abstractNum w:abstractNumId="8">
    <w:nsid w:val="59ADCABA"/>
    <w:multiLevelType w:val="multilevel"/>
    <w:tmpl w:val="59ADCABA"/>
    <w:lvl w:ilvl="0" w:tentative="0">
      <w:start w:val="2"/>
      <w:numFmt w:val="decimal"/>
      <w:lvlText w:val="%1"/>
      <w:lvlJc w:val="left"/>
      <w:pPr>
        <w:ind w:left="636" w:hanging="360"/>
        <w:jc w:val="left"/>
      </w:pPr>
      <w:rPr>
        <w:rFonts w:hint="default"/>
        <w:lang w:val="zh-CN" w:eastAsia="zh-CN" w:bidi="zh-CN"/>
      </w:rPr>
    </w:lvl>
    <w:lvl w:ilvl="1" w:tentative="0">
      <w:start w:val="4"/>
      <w:numFmt w:val="decimal"/>
      <w:lvlText w:val="%1.%2"/>
      <w:lvlJc w:val="left"/>
      <w:pPr>
        <w:ind w:left="636"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3)"/>
      <w:lvlJc w:val="left"/>
      <w:pPr>
        <w:ind w:left="1159" w:hanging="399"/>
        <w:jc w:val="left"/>
      </w:pPr>
      <w:rPr>
        <w:rFonts w:hint="default" w:ascii="Times New Roman" w:hAnsi="Times New Roman" w:eastAsia="Times New Roman" w:cs="Times New Roman"/>
        <w:spacing w:val="-5"/>
        <w:w w:val="100"/>
        <w:sz w:val="24"/>
        <w:szCs w:val="24"/>
        <w:lang w:val="zh-CN" w:eastAsia="zh-CN" w:bidi="zh-CN"/>
      </w:rPr>
    </w:lvl>
    <w:lvl w:ilvl="3" w:tentative="0">
      <w:start w:val="0"/>
      <w:numFmt w:val="bullet"/>
      <w:lvlText w:val="•"/>
      <w:lvlJc w:val="left"/>
      <w:pPr>
        <w:ind w:left="3041" w:hanging="399"/>
      </w:pPr>
      <w:rPr>
        <w:rFonts w:hint="default"/>
        <w:lang w:val="zh-CN" w:eastAsia="zh-CN" w:bidi="zh-CN"/>
      </w:rPr>
    </w:lvl>
    <w:lvl w:ilvl="4" w:tentative="0">
      <w:start w:val="0"/>
      <w:numFmt w:val="bullet"/>
      <w:lvlText w:val="•"/>
      <w:lvlJc w:val="left"/>
      <w:pPr>
        <w:ind w:left="3982" w:hanging="399"/>
      </w:pPr>
      <w:rPr>
        <w:rFonts w:hint="default"/>
        <w:lang w:val="zh-CN" w:eastAsia="zh-CN" w:bidi="zh-CN"/>
      </w:rPr>
    </w:lvl>
    <w:lvl w:ilvl="5" w:tentative="0">
      <w:start w:val="0"/>
      <w:numFmt w:val="bullet"/>
      <w:lvlText w:val="•"/>
      <w:lvlJc w:val="left"/>
      <w:pPr>
        <w:ind w:left="4922" w:hanging="399"/>
      </w:pPr>
      <w:rPr>
        <w:rFonts w:hint="default"/>
        <w:lang w:val="zh-CN" w:eastAsia="zh-CN" w:bidi="zh-CN"/>
      </w:rPr>
    </w:lvl>
    <w:lvl w:ilvl="6" w:tentative="0">
      <w:start w:val="0"/>
      <w:numFmt w:val="bullet"/>
      <w:lvlText w:val="•"/>
      <w:lvlJc w:val="left"/>
      <w:pPr>
        <w:ind w:left="5863" w:hanging="399"/>
      </w:pPr>
      <w:rPr>
        <w:rFonts w:hint="default"/>
        <w:lang w:val="zh-CN" w:eastAsia="zh-CN" w:bidi="zh-CN"/>
      </w:rPr>
    </w:lvl>
    <w:lvl w:ilvl="7" w:tentative="0">
      <w:start w:val="0"/>
      <w:numFmt w:val="bullet"/>
      <w:lvlText w:val="•"/>
      <w:lvlJc w:val="left"/>
      <w:pPr>
        <w:ind w:left="6804" w:hanging="399"/>
      </w:pPr>
      <w:rPr>
        <w:rFonts w:hint="default"/>
        <w:lang w:val="zh-CN" w:eastAsia="zh-CN" w:bidi="zh-CN"/>
      </w:rPr>
    </w:lvl>
    <w:lvl w:ilvl="8" w:tentative="0">
      <w:start w:val="0"/>
      <w:numFmt w:val="bullet"/>
      <w:lvlText w:val="•"/>
      <w:lvlJc w:val="left"/>
      <w:pPr>
        <w:ind w:left="7744" w:hanging="399"/>
      </w:pPr>
      <w:rPr>
        <w:rFonts w:hint="default"/>
        <w:lang w:val="zh-CN" w:eastAsia="zh-CN" w:bidi="zh-CN"/>
      </w:rPr>
    </w:lvl>
  </w:abstractNum>
  <w:abstractNum w:abstractNumId="9">
    <w:nsid w:val="5A241D34"/>
    <w:multiLevelType w:val="multilevel"/>
    <w:tmpl w:val="5A241D34"/>
    <w:lvl w:ilvl="0" w:tentative="0">
      <w:start w:val="7"/>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left"/>
      </w:pPr>
      <w:rPr>
        <w:rFonts w:hint="default" w:ascii="Times New Roman" w:hAnsi="Times New Roman" w:eastAsia="Times New Roman" w:cs="Times New Roman"/>
        <w:b/>
        <w:bCs/>
        <w:w w:val="99"/>
        <w:sz w:val="28"/>
        <w:szCs w:val="28"/>
        <w:lang w:val="zh-CN" w:eastAsia="zh-CN" w:bidi="zh-CN"/>
      </w:rPr>
    </w:lvl>
    <w:lvl w:ilvl="2" w:tentative="0">
      <w:start w:val="0"/>
      <w:numFmt w:val="bullet"/>
      <w:lvlText w:val="•"/>
      <w:lvlJc w:val="left"/>
      <w:pPr>
        <w:ind w:left="2485" w:hanging="423"/>
      </w:pPr>
      <w:rPr>
        <w:rFonts w:hint="default"/>
        <w:lang w:val="zh-CN" w:eastAsia="zh-CN" w:bidi="zh-CN"/>
      </w:rPr>
    </w:lvl>
    <w:lvl w:ilvl="3" w:tentative="0">
      <w:start w:val="0"/>
      <w:numFmt w:val="bullet"/>
      <w:lvlText w:val="•"/>
      <w:lvlJc w:val="left"/>
      <w:pPr>
        <w:ind w:left="3377" w:hanging="423"/>
      </w:pPr>
      <w:rPr>
        <w:rFonts w:hint="default"/>
        <w:lang w:val="zh-CN" w:eastAsia="zh-CN" w:bidi="zh-CN"/>
      </w:rPr>
    </w:lvl>
    <w:lvl w:ilvl="4" w:tentative="0">
      <w:start w:val="0"/>
      <w:numFmt w:val="bullet"/>
      <w:lvlText w:val="•"/>
      <w:lvlJc w:val="left"/>
      <w:pPr>
        <w:ind w:left="4270" w:hanging="423"/>
      </w:pPr>
      <w:rPr>
        <w:rFonts w:hint="default"/>
        <w:lang w:val="zh-CN" w:eastAsia="zh-CN" w:bidi="zh-CN"/>
      </w:rPr>
    </w:lvl>
    <w:lvl w:ilvl="5" w:tentative="0">
      <w:start w:val="0"/>
      <w:numFmt w:val="bullet"/>
      <w:lvlText w:val="•"/>
      <w:lvlJc w:val="left"/>
      <w:pPr>
        <w:ind w:left="5163" w:hanging="423"/>
      </w:pPr>
      <w:rPr>
        <w:rFonts w:hint="default"/>
        <w:lang w:val="zh-CN" w:eastAsia="zh-CN" w:bidi="zh-CN"/>
      </w:rPr>
    </w:lvl>
    <w:lvl w:ilvl="6" w:tentative="0">
      <w:start w:val="0"/>
      <w:numFmt w:val="bullet"/>
      <w:lvlText w:val="•"/>
      <w:lvlJc w:val="left"/>
      <w:pPr>
        <w:ind w:left="6055" w:hanging="423"/>
      </w:pPr>
      <w:rPr>
        <w:rFonts w:hint="default"/>
        <w:lang w:val="zh-CN" w:eastAsia="zh-CN" w:bidi="zh-CN"/>
      </w:rPr>
    </w:lvl>
    <w:lvl w:ilvl="7" w:tentative="0">
      <w:start w:val="0"/>
      <w:numFmt w:val="bullet"/>
      <w:lvlText w:val="•"/>
      <w:lvlJc w:val="left"/>
      <w:pPr>
        <w:ind w:left="6948" w:hanging="423"/>
      </w:pPr>
      <w:rPr>
        <w:rFonts w:hint="default"/>
        <w:lang w:val="zh-CN" w:eastAsia="zh-CN" w:bidi="zh-CN"/>
      </w:rPr>
    </w:lvl>
    <w:lvl w:ilvl="8" w:tentative="0">
      <w:start w:val="0"/>
      <w:numFmt w:val="bullet"/>
      <w:lvlText w:val="•"/>
      <w:lvlJc w:val="left"/>
      <w:pPr>
        <w:ind w:left="7840" w:hanging="423"/>
      </w:pPr>
      <w:rPr>
        <w:rFonts w:hint="default"/>
        <w:lang w:val="zh-CN" w:eastAsia="zh-CN" w:bidi="zh-CN"/>
      </w:rPr>
    </w:lvl>
  </w:abstractNum>
  <w:num w:numId="1">
    <w:abstractNumId w:val="3"/>
  </w:num>
  <w:num w:numId="2">
    <w:abstractNumId w:val="8"/>
  </w:num>
  <w:num w:numId="3">
    <w:abstractNumId w:val="1"/>
  </w:num>
  <w:num w:numId="4">
    <w:abstractNumId w:val="4"/>
  </w:num>
  <w:num w:numId="5">
    <w:abstractNumId w:val="7"/>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jM5M2FmNTBlYmZkZTU2MTk1ZDlhZWM5OWE2YjgifQ=="/>
  </w:docVars>
  <w:rsids>
    <w:rsidRoot w:val="00000000"/>
    <w:rsid w:val="018856AF"/>
    <w:rsid w:val="031D79C4"/>
    <w:rsid w:val="060926A3"/>
    <w:rsid w:val="14A2323E"/>
    <w:rsid w:val="19FE760F"/>
    <w:rsid w:val="1B3C6BB6"/>
    <w:rsid w:val="1DFE3A75"/>
    <w:rsid w:val="1EE8248E"/>
    <w:rsid w:val="1FF8311F"/>
    <w:rsid w:val="262165CB"/>
    <w:rsid w:val="312B3AEA"/>
    <w:rsid w:val="41E734AA"/>
    <w:rsid w:val="51935A1F"/>
    <w:rsid w:val="52F63F3F"/>
    <w:rsid w:val="58FD0C8B"/>
    <w:rsid w:val="5CCE2507"/>
    <w:rsid w:val="64E24EA0"/>
    <w:rsid w:val="6D233F2E"/>
    <w:rsid w:val="78F3068D"/>
    <w:rsid w:val="790D2904"/>
    <w:rsid w:val="7C4856DA"/>
    <w:rsid w:val="7D7F24B4"/>
    <w:rsid w:val="7DCB1AAB"/>
    <w:rsid w:val="7E2B6038"/>
    <w:rsid w:val="7ED4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19"/>
      <w:ind w:left="698" w:hanging="424"/>
      <w:outlineLvl w:val="1"/>
    </w:pPr>
    <w:rPr>
      <w:rFonts w:ascii="宋体" w:hAnsi="宋体" w:eastAsia="宋体" w:cs="宋体"/>
      <w:b/>
      <w:bCs/>
      <w:sz w:val="28"/>
      <w:szCs w:val="28"/>
      <w:lang w:val="zh-CN" w:eastAsia="zh-CN" w:bidi="zh-CN"/>
    </w:rPr>
  </w:style>
  <w:style w:type="paragraph" w:styleId="4">
    <w:name w:val="heading 2"/>
    <w:basedOn w:val="1"/>
    <w:next w:val="1"/>
    <w:qFormat/>
    <w:uiPriority w:val="1"/>
    <w:pPr>
      <w:ind w:left="636" w:hanging="361"/>
      <w:outlineLvl w:val="2"/>
    </w:pPr>
    <w:rPr>
      <w:rFonts w:ascii="宋体" w:hAnsi="宋体" w:eastAsia="宋体" w:cs="宋体"/>
      <w:b/>
      <w:bCs/>
      <w:sz w:val="24"/>
      <w:szCs w:val="24"/>
      <w:lang w:val="zh-CN" w:eastAsia="zh-CN" w:bidi="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suppressAutoHyphens/>
      <w:autoSpaceDE w:val="0"/>
      <w:autoSpaceDN w:val="0"/>
      <w:textAlignment w:val="baseline"/>
    </w:pPr>
    <w:rPr>
      <w:rFonts w:ascii="宋体" w:hAnsi="宋体" w:eastAsia="宋体" w:cs="宋体"/>
      <w:color w:val="000000"/>
      <w:sz w:val="24"/>
      <w:szCs w:val="24"/>
      <w:lang w:val="en-US" w:eastAsia="zh-CN" w:bidi="ar-SA"/>
    </w:rPr>
  </w:style>
  <w:style w:type="paragraph" w:styleId="5">
    <w:name w:val="Normal Indent"/>
    <w:basedOn w:val="1"/>
    <w:next w:val="1"/>
    <w:qFormat/>
    <w:uiPriority w:val="0"/>
    <w:pPr>
      <w:tabs>
        <w:tab w:val="left" w:pos="540"/>
        <w:tab w:val="left" w:pos="1080"/>
        <w:tab w:val="left" w:pos="1800"/>
      </w:tabs>
      <w:adjustRightInd w:val="0"/>
      <w:snapToGrid w:val="0"/>
      <w:spacing w:line="360" w:lineRule="auto"/>
      <w:ind w:firstLine="480"/>
    </w:pPr>
    <w:rPr>
      <w:rFonts w:ascii="仿宋_GB2312" w:hAnsi="宋体"/>
      <w:sz w:val="24"/>
      <w:szCs w:val="21"/>
    </w:rPr>
  </w:style>
  <w:style w:type="paragraph" w:styleId="6">
    <w:name w:val="Body Text"/>
    <w:basedOn w:val="1"/>
    <w:next w:val="1"/>
    <w:qFormat/>
    <w:uiPriority w:val="1"/>
    <w:rPr>
      <w:rFonts w:ascii="宋体" w:hAnsi="宋体" w:eastAsia="宋体" w:cs="宋体"/>
      <w:sz w:val="24"/>
      <w:szCs w:val="24"/>
      <w:lang w:val="zh-CN" w:eastAsia="zh-CN" w:bidi="zh-CN"/>
    </w:rPr>
  </w:style>
  <w:style w:type="paragraph" w:styleId="7">
    <w:name w:val="Body Text Indent"/>
    <w:basedOn w:val="1"/>
    <w:qFormat/>
    <w:uiPriority w:val="0"/>
    <w:pPr>
      <w:spacing w:after="120"/>
      <w:ind w:left="420" w:leftChars="200"/>
    </w:pPr>
    <w:rPr>
      <w:kern w:val="0"/>
      <w:sz w:val="24"/>
      <w:szCs w:val="20"/>
    </w:rPr>
  </w:style>
  <w:style w:type="paragraph" w:styleId="8">
    <w:name w:val="Block Text"/>
    <w:basedOn w:val="1"/>
    <w:qFormat/>
    <w:uiPriority w:val="0"/>
    <w:pPr>
      <w:spacing w:line="432" w:lineRule="auto"/>
      <w:ind w:left="13" w:leftChars="6" w:right="-3" w:firstLine="360" w:firstLineChars="150"/>
    </w:pPr>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List"/>
    <w:basedOn w:val="1"/>
    <w:qFormat/>
    <w:uiPriority w:val="0"/>
    <w:pPr>
      <w:snapToGrid w:val="0"/>
      <w:jc w:val="center"/>
    </w:pPr>
    <w:rPr>
      <w:rFonts w:ascii="宋体"/>
    </w:rPr>
  </w:style>
  <w:style w:type="paragraph" w:styleId="13">
    <w:name w:val="Body Text First Indent"/>
    <w:basedOn w:val="6"/>
    <w:qFormat/>
    <w:uiPriority w:val="0"/>
    <w:pPr>
      <w:autoSpaceDE w:val="0"/>
      <w:autoSpaceDN w:val="0"/>
      <w:adjustRightInd w:val="0"/>
      <w:spacing w:line="360" w:lineRule="auto"/>
      <w:ind w:firstLine="420" w:firstLineChars="100"/>
      <w:textAlignment w:val="baseline"/>
    </w:pPr>
    <w:rPr>
      <w:rFonts w:ascii="Calibri" w:hAnsi="Calibri"/>
      <w:kern w:val="0"/>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Paragraph"/>
    <w:basedOn w:val="1"/>
    <w:qFormat/>
    <w:uiPriority w:val="1"/>
    <w:rPr>
      <w:rFonts w:ascii="宋体" w:hAnsi="宋体" w:eastAsia="宋体" w:cs="宋体"/>
      <w:lang w:val="zh-CN" w:eastAsia="zh-CN" w:bidi="zh-CN"/>
    </w:rPr>
  </w:style>
  <w:style w:type="paragraph" w:styleId="18">
    <w:name w:val="List Paragraph"/>
    <w:basedOn w:val="1"/>
    <w:qFormat/>
    <w:uiPriority w:val="1"/>
    <w:pPr>
      <w:ind w:left="1357" w:hanging="601"/>
    </w:pPr>
    <w:rPr>
      <w:rFonts w:ascii="宋体" w:hAnsi="宋体" w:eastAsia="宋体" w:cs="宋体"/>
      <w:lang w:val="zh-CN" w:eastAsia="zh-CN" w:bidi="zh-CN"/>
    </w:rPr>
  </w:style>
  <w:style w:type="paragraph" w:customStyle="1" w:styleId="19">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0">
    <w:name w:val="表头"/>
    <w:basedOn w:val="21"/>
    <w:next w:val="1"/>
    <w:qFormat/>
    <w:uiPriority w:val="0"/>
    <w:pPr>
      <w:adjustRightInd w:val="0"/>
      <w:snapToGrid w:val="0"/>
      <w:spacing w:line="480" w:lineRule="exact"/>
      <w:jc w:val="center"/>
    </w:pPr>
    <w:rPr>
      <w:b/>
      <w:sz w:val="24"/>
      <w:szCs w:val="20"/>
      <w:lang w:val="zh-CN"/>
    </w:rPr>
  </w:style>
  <w:style w:type="paragraph" w:customStyle="1" w:styleId="21">
    <w:name w:val="表文"/>
    <w:basedOn w:val="6"/>
    <w:next w:val="5"/>
    <w:qFormat/>
    <w:uiPriority w:val="0"/>
    <w:pPr>
      <w:spacing w:before="62" w:beforeLines="20" w:after="62" w:afterLines="20" w:line="280" w:lineRule="exact"/>
      <w:jc w:val="center"/>
    </w:pPr>
    <w:rPr>
      <w:rFonts w:ascii="黑体" w:hAnsi="宋体"/>
    </w:rPr>
  </w:style>
  <w:style w:type="paragraph" w:customStyle="1" w:styleId="22">
    <w:name w:val="表格格式"/>
    <w:basedOn w:val="1"/>
    <w:qFormat/>
    <w:uiPriority w:val="0"/>
    <w:pPr>
      <w:widowControl/>
      <w:adjustRightInd w:val="0"/>
      <w:snapToGrid w:val="0"/>
      <w:spacing w:after="200"/>
      <w:jc w:val="center"/>
    </w:pPr>
    <w:rPr>
      <w:rFonts w:ascii="Tahoma" w:hAnsi="Tahoma" w:eastAsia="微软雅黑"/>
      <w:kern w:val="0"/>
    </w:rPr>
  </w:style>
  <w:style w:type="paragraph" w:customStyle="1" w:styleId="23">
    <w:name w:val="表格样式"/>
    <w:basedOn w:val="1"/>
    <w:qFormat/>
    <w:uiPriority w:val="0"/>
    <w:pPr>
      <w:spacing w:line="320" w:lineRule="exact"/>
      <w:contextualSpacing/>
    </w:pPr>
    <w:rPr>
      <w:sz w:val="22"/>
      <w:szCs w:val="24"/>
    </w:rPr>
  </w:style>
  <w:style w:type="paragraph" w:customStyle="1" w:styleId="24">
    <w:name w:val="报告正文-连续目录"/>
    <w:basedOn w:val="1"/>
    <w:qFormat/>
    <w:uiPriority w:val="0"/>
    <w:pPr>
      <w:snapToGrid w:val="0"/>
      <w:spacing w:line="440" w:lineRule="exact"/>
      <w:ind w:firstLine="200" w:firstLineChars="200"/>
    </w:pPr>
    <w:rPr>
      <w:rFonts w:ascii="Arial" w:hAnsi="Arial" w:cs="Arial"/>
      <w:kern w:val="0"/>
      <w:sz w:val="24"/>
    </w:rPr>
  </w:style>
  <w:style w:type="paragraph" w:customStyle="1" w:styleId="25">
    <w:name w:val="表格式"/>
    <w:basedOn w:val="12"/>
    <w:qFormat/>
    <w:uiPriority w:val="0"/>
    <w:pPr>
      <w:spacing w:line="400" w:lineRule="exact"/>
    </w:pPr>
  </w:style>
  <w:style w:type="paragraph" w:customStyle="1" w:styleId="26">
    <w:name w:val="tb"/>
    <w:basedOn w:val="1"/>
    <w:qFormat/>
    <w:uiPriority w:val="0"/>
    <w:pPr>
      <w:spacing w:line="400" w:lineRule="atLeast"/>
    </w:pPr>
    <w:rPr>
      <w:rFonts w:ascii="宋体" w:hAnsi="Arial"/>
      <w:sz w:val="24"/>
      <w:szCs w:val="22"/>
    </w:rPr>
  </w:style>
  <w:style w:type="paragraph" w:customStyle="1" w:styleId="27">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22921</Words>
  <Characters>28505</Characters>
  <Lines>0</Lines>
  <Paragraphs>0</Paragraphs>
  <TotalTime>2</TotalTime>
  <ScaleCrop>false</ScaleCrop>
  <LinksUpToDate>false</LinksUpToDate>
  <CharactersWithSpaces>29116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2022-02-15T01:57:00Z</dcterms:created>
  <dc:creator>Administrator</dc:creator>
  <cp:lastModifiedBy>WPS_1476625482</cp:lastModifiedBy>
  <dcterms:modified xsi:type="dcterms:W3CDTF">2022-08-16T08:09:40Z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5C73504503F447C69E37234BCB970E5D</vt:lpwstr>
  </property>
  <property fmtid="{D5CDD505-2E9C-101B-9397-08002B2CF9AE}" pid="4" name="commondata">
    <vt:lpwstr>eyJoZGlkIjoiZTVjZjM5M2FmNTBlYmZkZTU2MTk1ZDlhZWM5OWE2YjgifQ==</vt:lpwstr>
  </property>
</Properties>
</file>