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bidi w:val="0"/>
        <w:rPr>
          <w:rFonts w:hint="eastAsia"/>
        </w:rPr>
      </w:pPr>
    </w:p>
    <w:p>
      <w:pPr>
        <w:spacing w:line="360" w:lineRule="auto"/>
        <w:jc w:val="center"/>
        <w:rPr>
          <w:rFonts w:ascii="Times New Roman" w:hAnsi="Times New Roman" w:eastAsia="仿宋_GB2312"/>
          <w:sz w:val="28"/>
        </w:rPr>
      </w:pPr>
    </w:p>
    <w:p>
      <w:pPr>
        <w:spacing w:line="360" w:lineRule="auto"/>
        <w:jc w:val="center"/>
        <w:rPr>
          <w:rFonts w:ascii="Times New Roman" w:hAnsi="Times New Roman" w:eastAsia="仿宋_GB2312"/>
          <w:sz w:val="28"/>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2"/>
          <w:szCs w:val="52"/>
          <w:lang w:eastAsia="zh-CN"/>
        </w:rPr>
      </w:pPr>
      <w:r>
        <w:rPr>
          <w:rFonts w:hint="eastAsia" w:ascii="黑体" w:hAnsi="黑体" w:eastAsia="黑体" w:cs="黑体"/>
          <w:b/>
          <w:bCs/>
          <w:color w:val="000000"/>
          <w:kern w:val="2"/>
          <w:sz w:val="52"/>
          <w:szCs w:val="52"/>
          <w:lang w:eastAsia="zh-CN"/>
        </w:rPr>
        <w:t>重庆格上新能源有限公司</w:t>
      </w:r>
    </w:p>
    <w:p>
      <w:pPr>
        <w:widowControl w:val="0"/>
        <w:kinsoku w:val="0"/>
        <w:overflowPunct w:val="0"/>
        <w:autoSpaceDE w:val="0"/>
        <w:autoSpaceDN w:val="0"/>
        <w:snapToGrid/>
        <w:spacing w:after="0" w:line="480" w:lineRule="auto"/>
        <w:ind w:firstLine="0" w:firstLineChars="0"/>
        <w:jc w:val="center"/>
        <w:rPr>
          <w:rFonts w:hint="eastAsia" w:ascii="Times New Roman" w:hAnsi="Times New Roman" w:eastAsia="华文新魏"/>
          <w:b/>
          <w:sz w:val="48"/>
          <w:szCs w:val="48"/>
          <w:lang w:eastAsia="zh-CN"/>
        </w:rPr>
      </w:pPr>
      <w:r>
        <w:rPr>
          <w:rFonts w:hint="eastAsia" w:ascii="黑体" w:hAnsi="黑体" w:eastAsia="黑体" w:cs="黑体"/>
          <w:b/>
          <w:bCs/>
          <w:color w:val="000000"/>
          <w:kern w:val="2"/>
          <w:sz w:val="52"/>
          <w:szCs w:val="52"/>
          <w:lang w:eastAsia="zh-CN"/>
        </w:rPr>
        <w:t>光伏逆变器和开关电源制造项目</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6"/>
          <w:szCs w:val="56"/>
        </w:rPr>
      </w:pPr>
      <w:r>
        <w:rPr>
          <w:rFonts w:hint="eastAsia" w:ascii="黑体" w:hAnsi="黑体" w:eastAsia="黑体" w:cs="黑体"/>
          <w:b/>
          <w:bCs/>
          <w:color w:val="000000"/>
          <w:kern w:val="2"/>
          <w:sz w:val="56"/>
          <w:szCs w:val="56"/>
        </w:rPr>
        <w:t>竣工环境保护验收监测报告表</w:t>
      </w:r>
    </w:p>
    <w:p>
      <w:pPr>
        <w:spacing w:line="360" w:lineRule="auto"/>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rPr>
          <w:rFonts w:ascii="Times New Roman" w:hAnsi="Times New Roman" w:eastAsia="仿宋_GB2312"/>
          <w:sz w:val="28"/>
        </w:rPr>
      </w:pPr>
    </w:p>
    <w:p>
      <w:pPr>
        <w:rPr>
          <w:rFonts w:ascii="Times New Roman" w:hAnsi="Times New Roman" w:eastAsia="仿宋_GB2312"/>
          <w:sz w:val="28"/>
        </w:rPr>
      </w:pPr>
    </w:p>
    <w:p>
      <w:pPr>
        <w:jc w:val="center"/>
        <w:rPr>
          <w:rFonts w:ascii="Times New Roman" w:hAnsi="Times New Roman" w:eastAsia="华文新魏"/>
          <w:sz w:val="28"/>
          <w:szCs w:val="28"/>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sectPr>
          <w:pgSz w:w="11906" w:h="16838"/>
          <w:pgMar w:top="1440" w:right="1800" w:bottom="1440" w:left="1800" w:header="1247" w:footer="708" w:gutter="0"/>
          <w:pgBorders>
            <w:top w:val="none" w:sz="0" w:space="0"/>
            <w:left w:val="none" w:sz="0" w:space="0"/>
            <w:bottom w:val="none" w:sz="0" w:space="0"/>
            <w:right w:val="none" w:sz="0" w:space="0"/>
          </w:pgBorders>
          <w:pgNumType w:fmt="decimal"/>
          <w:cols w:space="425" w:num="1"/>
          <w:docGrid w:linePitch="360" w:charSpace="0"/>
        </w:sectPr>
      </w:pPr>
    </w:p>
    <w:p>
      <w:pPr>
        <w:widowControl/>
        <w:kinsoku/>
        <w:overflowPunct/>
        <w:autoSpaceDE/>
        <w:autoSpaceDN/>
        <w:snapToGrid w:val="0"/>
        <w:spacing w:after="200" w:line="480" w:lineRule="auto"/>
        <w:ind w:left="0" w:leftChars="0" w:firstLine="1606" w:firstLineChars="500"/>
        <w:jc w:val="both"/>
        <w:rPr>
          <w:rFonts w:hint="eastAsia" w:ascii="Times New Roman" w:hAnsi="Times New Roman" w:eastAsia="华文新魏" w:cs="Times New Roman"/>
          <w:b/>
          <w:bCs/>
          <w:kern w:val="0"/>
          <w:sz w:val="32"/>
          <w:szCs w:val="32"/>
          <w:lang w:eastAsia="zh-CN"/>
        </w:rPr>
      </w:pPr>
      <w:r>
        <w:rPr>
          <w:rFonts w:ascii="Times New Roman" w:hAnsi="Times New Roman" w:eastAsia="华文新魏" w:cs="Times New Roman"/>
          <w:b/>
          <w:bCs/>
          <w:kern w:val="0"/>
          <w:sz w:val="32"/>
          <w:szCs w:val="32"/>
        </w:rPr>
        <w:t>建设单位:</w:t>
      </w:r>
      <w:r>
        <w:rPr>
          <w:rFonts w:hint="eastAsia" w:ascii="Times New Roman" w:hAnsi="Times New Roman" w:eastAsia="华文新魏" w:cs="Times New Roman"/>
          <w:b/>
          <w:bCs/>
          <w:kern w:val="0"/>
          <w:sz w:val="32"/>
          <w:szCs w:val="32"/>
          <w:lang w:val="en-US" w:eastAsia="zh-CN"/>
        </w:rPr>
        <w:t xml:space="preserve"> </w:t>
      </w:r>
      <w:r>
        <w:rPr>
          <w:rFonts w:hint="eastAsia" w:ascii="Times New Roman" w:hAnsi="Times New Roman" w:eastAsia="华文新魏" w:cs="Times New Roman"/>
          <w:b/>
          <w:bCs/>
          <w:kern w:val="0"/>
          <w:sz w:val="32"/>
          <w:szCs w:val="32"/>
          <w:lang w:eastAsia="zh-CN"/>
        </w:rPr>
        <w:t>重庆格上新能源有限公司</w:t>
      </w:r>
    </w:p>
    <w:p>
      <w:pPr>
        <w:widowControl/>
        <w:kinsoku/>
        <w:overflowPunct/>
        <w:autoSpaceDE/>
        <w:autoSpaceDN/>
        <w:snapToGrid w:val="0"/>
        <w:spacing w:after="200" w:line="480" w:lineRule="auto"/>
        <w:ind w:left="0" w:leftChars="0" w:firstLine="1606" w:firstLineChars="500"/>
        <w:jc w:val="both"/>
        <w:rPr>
          <w:rFonts w:ascii="Times New Roman" w:hAnsi="Times New Roman" w:eastAsia="华文新魏" w:cs="Times New Roman"/>
          <w:b/>
          <w:bCs/>
          <w:kern w:val="0"/>
          <w:sz w:val="32"/>
          <w:szCs w:val="32"/>
        </w:rPr>
      </w:pPr>
    </w:p>
    <w:p>
      <w:pPr>
        <w:widowControl/>
        <w:kinsoku/>
        <w:overflowPunct/>
        <w:autoSpaceDE/>
        <w:autoSpaceDN/>
        <w:snapToGrid w:val="0"/>
        <w:spacing w:after="200" w:line="480" w:lineRule="auto"/>
        <w:jc w:val="center"/>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二〇</w:t>
      </w:r>
      <w:r>
        <w:rPr>
          <w:rFonts w:hint="eastAsia" w:ascii="Times New Roman" w:hAnsi="Times New Roman" w:eastAsia="华文新魏" w:cs="Times New Roman"/>
          <w:b/>
          <w:bCs/>
          <w:kern w:val="0"/>
          <w:sz w:val="32"/>
          <w:szCs w:val="32"/>
          <w:lang w:eastAsia="zh-CN"/>
        </w:rPr>
        <w:t>二三</w:t>
      </w:r>
      <w:r>
        <w:rPr>
          <w:rFonts w:ascii="Times New Roman" w:hAnsi="Times New Roman" w:eastAsia="华文新魏" w:cs="Times New Roman"/>
          <w:b/>
          <w:bCs/>
          <w:kern w:val="0"/>
          <w:sz w:val="32"/>
          <w:szCs w:val="32"/>
        </w:rPr>
        <w:t>年</w:t>
      </w:r>
      <w:r>
        <w:rPr>
          <w:rFonts w:hint="eastAsia" w:ascii="Times New Roman" w:hAnsi="Times New Roman" w:eastAsia="华文新魏" w:cs="Times New Roman"/>
          <w:b/>
          <w:bCs/>
          <w:kern w:val="0"/>
          <w:sz w:val="32"/>
          <w:szCs w:val="32"/>
          <w:lang w:eastAsia="zh-CN"/>
        </w:rPr>
        <w:t>八月</w:t>
      </w:r>
    </w:p>
    <w:p>
      <w:pPr>
        <w:rPr>
          <w:rFonts w:ascii="Times New Roman" w:hAnsi="Times New Roman" w:eastAsia="华文新魏"/>
          <w:sz w:val="28"/>
          <w:szCs w:val="28"/>
        </w:rPr>
      </w:pPr>
    </w:p>
    <w:p>
      <w:pPr>
        <w:rPr>
          <w:rFonts w:ascii="Times New Roman" w:hAnsi="Times New Roman" w:eastAsia="仿宋_GB2312"/>
          <w:sz w:val="32"/>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rPr>
          <w:rFonts w:ascii="Times New Roman" w:hAnsi="Times New Roman" w:eastAsia="仿宋_GB2312"/>
          <w:b/>
          <w:sz w:val="28"/>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2"/>
          <w:docGrid w:linePitch="360" w:charSpace="0"/>
        </w:sectPr>
      </w:pPr>
    </w:p>
    <w:p>
      <w:pPr>
        <w:spacing w:line="360" w:lineRule="auto"/>
        <w:rPr>
          <w:rFonts w:ascii="Times New Roman" w:hAnsi="Times New Roman" w:eastAsia="仿宋_GB2312"/>
          <w:b/>
          <w:sz w:val="28"/>
        </w:rPr>
      </w:pPr>
    </w:p>
    <w:p>
      <w:pPr>
        <w:spacing w:line="360" w:lineRule="auto"/>
        <w:rPr>
          <w:rFonts w:ascii="Times New Roman" w:hAnsi="Times New Roman" w:eastAsia="仿宋_GB2312"/>
          <w:sz w:val="28"/>
        </w:rPr>
      </w:pPr>
      <w:r>
        <w:rPr>
          <w:rFonts w:ascii="Times New Roman" w:hAnsi="Times New Roman" w:eastAsia="仿宋_GB2312"/>
          <w:b/>
          <w:sz w:val="28"/>
        </w:rPr>
        <w:t>建设单位法人代表:</w:t>
      </w:r>
      <w:r>
        <w:rPr>
          <w:rFonts w:hint="eastAsia" w:ascii="Times New Roman" w:hAnsi="Times New Roman" w:eastAsia="宋体"/>
          <w:b/>
          <w:kern w:val="2"/>
          <w:sz w:val="24"/>
          <w:szCs w:val="24"/>
        </w:rPr>
        <w:t xml:space="preserve"> </w:t>
      </w:r>
      <w:r>
        <w:rPr>
          <w:rFonts w:hint="eastAsia" w:ascii="Times New Roman" w:hAnsi="Times New Roman" w:eastAsia="仿宋_GB2312"/>
          <w:b/>
          <w:sz w:val="28"/>
        </w:rPr>
        <w:t xml:space="preserve"> </w:t>
      </w:r>
      <w:r>
        <w:rPr>
          <w:rFonts w:ascii="Times New Roman" w:hAnsi="Times New Roman" w:eastAsia="仿宋_GB2312"/>
          <w:b/>
          <w:sz w:val="28"/>
        </w:rPr>
        <w:t xml:space="preserve"> </w:t>
      </w:r>
      <w:r>
        <w:rPr>
          <w:rFonts w:hint="eastAsia" w:ascii="Times New Roman" w:hAnsi="Times New Roman" w:eastAsia="仿宋_GB2312"/>
          <w:b/>
          <w:sz w:val="28"/>
          <w:lang w:eastAsia="zh-CN"/>
        </w:rPr>
        <w:t xml:space="preserve">     姚中荣      </w:t>
      </w:r>
      <w:r>
        <w:rPr>
          <w:rFonts w:ascii="Times New Roman" w:hAnsi="Times New Roman" w:eastAsia="仿宋_GB2312"/>
          <w:b/>
          <w:sz w:val="28"/>
        </w:rPr>
        <w:t xml:space="preserve">          </w:t>
      </w:r>
    </w:p>
    <w:p>
      <w:pPr>
        <w:spacing w:line="360" w:lineRule="auto"/>
        <w:rPr>
          <w:rFonts w:hint="eastAsia" w:ascii="Times New Roman" w:hAnsi="Times New Roman" w:eastAsia="仿宋_GB2312"/>
          <w:b/>
          <w:sz w:val="28"/>
          <w:lang w:eastAsia="zh-CN"/>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spacing w:line="360" w:lineRule="auto"/>
        <w:rPr>
          <w:rFonts w:hint="eastAsia" w:ascii="Times New Roman" w:hAnsi="Times New Roman" w:eastAsia="仿宋_GB2312"/>
          <w:b/>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pStyle w:val="2"/>
        <w:rPr>
          <w:rFonts w:ascii="Times New Roman" w:hAnsi="Times New Roman" w:eastAsia="仿宋_GB2312"/>
          <w:sz w:val="28"/>
        </w:rPr>
      </w:pPr>
    </w:p>
    <w:p>
      <w:pPr>
        <w:pStyle w:val="2"/>
        <w:rPr>
          <w:rFonts w:ascii="Times New Roman" w:hAnsi="Times New Roman" w:eastAsia="仿宋_GB2312"/>
          <w:sz w:val="28"/>
        </w:rPr>
      </w:pPr>
    </w:p>
    <w:p>
      <w:pPr>
        <w:pStyle w:val="2"/>
        <w:rPr>
          <w:rFonts w:ascii="Times New Roman" w:hAnsi="Times New Roman" w:eastAsia="仿宋_GB2312"/>
          <w:sz w:val="28"/>
        </w:rPr>
      </w:pPr>
    </w:p>
    <w:p>
      <w:pPr>
        <w:pStyle w:val="2"/>
        <w:rPr>
          <w:rFonts w:ascii="Times New Roman" w:hAnsi="Times New Roman" w:eastAsia="仿宋_GB2312"/>
          <w:sz w:val="28"/>
        </w:rPr>
      </w:pPr>
    </w:p>
    <w:p>
      <w:pPr>
        <w:pStyle w:val="2"/>
        <w:rPr>
          <w:rFonts w:ascii="Times New Roman" w:hAnsi="Times New Roman" w:eastAsia="仿宋_GB2312"/>
          <w:sz w:val="28"/>
        </w:rPr>
      </w:pPr>
    </w:p>
    <w:p>
      <w:pPr>
        <w:spacing w:line="360" w:lineRule="auto"/>
        <w:rPr>
          <w:rFonts w:ascii="Times New Roman" w:hAnsi="Times New Roman" w:eastAsia="仿宋_GB2312"/>
          <w:sz w:val="28"/>
        </w:rPr>
      </w:pPr>
    </w:p>
    <w:p>
      <w:pPr>
        <w:pStyle w:val="34"/>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hAnsi="Times New Roman" w:eastAsia="仿宋_GB2312"/>
          <w:sz w:val="28"/>
        </w:rPr>
      </w:pPr>
    </w:p>
    <w:p>
      <w:pPr>
        <w:keepNext w:val="0"/>
        <w:keepLines w:val="0"/>
        <w:pageBreakBefore w:val="0"/>
        <w:widowControl/>
        <w:kinsoku/>
        <w:wordWrap/>
        <w:overflowPunct/>
        <w:topLinePunct w:val="0"/>
        <w:autoSpaceDE/>
        <w:autoSpaceDN/>
        <w:bidi w:val="0"/>
        <w:adjustRightInd w:val="0"/>
        <w:snapToGrid w:val="0"/>
        <w:spacing w:line="360" w:lineRule="auto"/>
        <w:ind w:left="1400" w:hanging="1400" w:hangingChars="500"/>
        <w:textAlignment w:val="auto"/>
        <w:rPr>
          <w:rFonts w:ascii="Times New Roman" w:hAnsi="Times New Roman" w:eastAsia="仿宋_GB2312"/>
          <w:sz w:val="28"/>
        </w:rPr>
      </w:pPr>
    </w:p>
    <w:p>
      <w:pPr>
        <w:keepNext w:val="0"/>
        <w:keepLines w:val="0"/>
        <w:pageBreakBefore w:val="0"/>
        <w:widowControl/>
        <w:kinsoku/>
        <w:wordWrap/>
        <w:overflowPunct/>
        <w:topLinePunct w:val="0"/>
        <w:autoSpaceDE/>
        <w:autoSpaceDN/>
        <w:bidi w:val="0"/>
        <w:adjustRightInd w:val="0"/>
        <w:snapToGrid w:val="0"/>
        <w:spacing w:line="360" w:lineRule="auto"/>
        <w:ind w:left="1399" w:leftChars="127" w:hanging="1120" w:hangingChars="400"/>
        <w:textAlignment w:val="auto"/>
        <w:rPr>
          <w:rFonts w:ascii="Times New Roman" w:hAnsi="Times New Roman" w:eastAsia="仿宋_GB2312"/>
          <w:sz w:val="28"/>
        </w:rPr>
      </w:pPr>
      <w:r>
        <w:rPr>
          <w:rFonts w:ascii="Times New Roman" w:hAnsi="Times New Roman" w:eastAsia="仿宋_GB2312"/>
          <w:sz w:val="28"/>
        </w:rPr>
        <w:t>建设单位：</w:t>
      </w:r>
      <w:r>
        <w:rPr>
          <w:rFonts w:hint="eastAsia" w:ascii="Times New Roman" w:hAnsi="Times New Roman" w:eastAsia="仿宋_GB2312"/>
          <w:sz w:val="28"/>
          <w:u w:val="single"/>
          <w:lang w:eastAsia="zh-CN"/>
        </w:rPr>
        <w:t>重庆格上新能源有限公司</w:t>
      </w:r>
      <w:r>
        <w:rPr>
          <w:rFonts w:hint="eastAsia" w:ascii="Times New Roman" w:hAnsi="Times New Roman" w:eastAsia="仿宋_GB2312"/>
          <w:sz w:val="28"/>
        </w:rPr>
        <w:t>（盖章）</w:t>
      </w:r>
    </w:p>
    <w:p>
      <w:pPr>
        <w:spacing w:line="360" w:lineRule="auto"/>
        <w:ind w:firstLine="280" w:firstLineChars="100"/>
        <w:rPr>
          <w:rFonts w:hint="eastAsia" w:ascii="Times New Roman" w:hAnsi="Times New Roman" w:eastAsia="宋体"/>
          <w:sz w:val="28"/>
        </w:rPr>
      </w:pPr>
      <w:r>
        <w:rPr>
          <w:rFonts w:ascii="Times New Roman" w:hAnsi="Times New Roman" w:eastAsia="仿宋_GB2312"/>
          <w:sz w:val="28"/>
        </w:rPr>
        <w:t>电话</w:t>
      </w:r>
      <w:r>
        <w:rPr>
          <w:rFonts w:hint="eastAsia" w:ascii="Times New Roman" w:hAnsi="Times New Roman" w:eastAsia="仿宋_GB2312"/>
          <w:sz w:val="28"/>
          <w:lang w:eastAsia="zh-CN"/>
        </w:rPr>
        <w:t>：</w:t>
      </w:r>
      <w:r>
        <w:rPr>
          <w:rFonts w:hint="eastAsia" w:ascii="Times New Roman" w:hAnsi="Times New Roman" w:eastAsia="宋体"/>
          <w:sz w:val="28"/>
        </w:rPr>
        <w:t>15736422929</w:t>
      </w:r>
    </w:p>
    <w:p>
      <w:pPr>
        <w:spacing w:line="360" w:lineRule="auto"/>
        <w:ind w:firstLine="280" w:firstLineChars="100"/>
        <w:rPr>
          <w:rFonts w:hint="default" w:ascii="Times New Roman" w:hAnsi="Times New Roman" w:eastAsia="仿宋_GB2312"/>
          <w:sz w:val="28"/>
          <w:lang w:val="en-US" w:eastAsia="zh-CN"/>
        </w:rPr>
      </w:pPr>
      <w:r>
        <w:rPr>
          <w:rFonts w:ascii="Times New Roman" w:hAnsi="Times New Roman" w:eastAsia="仿宋_GB2312"/>
          <w:sz w:val="28"/>
        </w:rPr>
        <w:t>邮编</w:t>
      </w:r>
      <w:r>
        <w:rPr>
          <w:rFonts w:hint="eastAsia" w:ascii="Times New Roman" w:hAnsi="Times New Roman" w:eastAsia="仿宋_GB2312"/>
          <w:sz w:val="28"/>
          <w:lang w:eastAsia="zh-CN"/>
        </w:rPr>
        <w:t>：</w:t>
      </w:r>
      <w:r>
        <w:rPr>
          <w:rFonts w:ascii="Times New Roman" w:hAnsi="Times New Roman" w:eastAsia="仿宋_GB2312"/>
          <w:sz w:val="28"/>
        </w:rPr>
        <w:t xml:space="preserve">  40</w:t>
      </w:r>
      <w:r>
        <w:rPr>
          <w:rFonts w:hint="eastAsia" w:ascii="Times New Roman" w:hAnsi="Times New Roman" w:eastAsia="仿宋_GB2312"/>
          <w:sz w:val="28"/>
          <w:lang w:val="en-US" w:eastAsia="zh-CN"/>
        </w:rPr>
        <w:t>4000</w:t>
      </w:r>
    </w:p>
    <w:p>
      <w:pPr>
        <w:spacing w:line="360" w:lineRule="auto"/>
        <w:ind w:left="839" w:leftChars="127" w:hanging="560" w:hangingChars="200"/>
        <w:rPr>
          <w:rFonts w:hint="eastAsia" w:ascii="Times New Roman" w:hAnsi="Times New Roman" w:eastAsia="仿宋_GB2312"/>
          <w:sz w:val="28"/>
        </w:rPr>
      </w:pPr>
      <w:r>
        <w:rPr>
          <w:rFonts w:ascii="Times New Roman" w:hAnsi="Times New Roman" w:eastAsia="仿宋_GB2312"/>
          <w:sz w:val="28"/>
        </w:rPr>
        <w:t>地址</w:t>
      </w:r>
      <w:r>
        <w:rPr>
          <w:rFonts w:hint="eastAsia" w:ascii="Times New Roman" w:hAnsi="Times New Roman" w:eastAsia="仿宋_GB2312"/>
          <w:sz w:val="28"/>
          <w:lang w:eastAsia="zh-CN"/>
        </w:rPr>
        <w:t>：重庆市万州区联合路12号第4、5层（万州经开区）厂房</w:t>
      </w:r>
      <w:r>
        <w:rPr>
          <w:rFonts w:ascii="Times New Roman" w:hAnsi="Times New Roman" w:eastAsia="仿宋_GB2312"/>
          <w:sz w:val="28"/>
        </w:rPr>
        <w:t xml:space="preserve"> </w:t>
      </w: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表一</w:t>
      </w:r>
    </w:p>
    <w:tbl>
      <w:tblPr>
        <w:tblStyle w:val="20"/>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16"/>
        <w:gridCol w:w="2005"/>
        <w:gridCol w:w="219"/>
        <w:gridCol w:w="775"/>
        <w:gridCol w:w="850"/>
        <w:gridCol w:w="1495"/>
        <w:gridCol w:w="721"/>
        <w:gridCol w:w="746"/>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建设项目名称</w:t>
            </w:r>
          </w:p>
        </w:tc>
        <w:tc>
          <w:tcPr>
            <w:tcW w:w="4055" w:type="pct"/>
            <w:gridSpan w:val="8"/>
            <w:vAlign w:val="center"/>
          </w:tcPr>
          <w:p>
            <w:pPr>
              <w:pStyle w:val="74"/>
              <w:widowControl w:val="0"/>
              <w:autoSpaceDE w:val="0"/>
              <w:autoSpaceDN w:val="0"/>
              <w:adjustRightInd/>
              <w:snapToGrid/>
              <w:spacing w:before="170" w:after="0" w:line="240" w:lineRule="auto"/>
              <w:ind w:left="109" w:right="0"/>
              <w:jc w:val="center"/>
              <w:rPr>
                <w:rFonts w:hint="default" w:ascii="Times New Roman" w:hAnsi="宋体" w:eastAsia="宋体" w:cs="宋体"/>
                <w:sz w:val="24"/>
                <w:lang w:val="en-US" w:eastAsia="zh-CN"/>
              </w:rPr>
            </w:pPr>
            <w:bookmarkStart w:id="11" w:name="_GoBack"/>
            <w:r>
              <w:rPr>
                <w:rFonts w:hint="eastAsia" w:ascii="Times New Roman" w:hAnsi="宋体" w:eastAsia="宋体" w:cs="宋体"/>
                <w:sz w:val="24"/>
                <w:lang w:val="en-US" w:eastAsia="zh-CN"/>
              </w:rPr>
              <w:t>光伏逆变器和开关电源制造项目</w:t>
            </w:r>
            <w:r>
              <w:rPr>
                <w:rFonts w:hint="eastAsia" w:ascii="Times New Roman" w:cs="宋体"/>
                <w:sz w:val="24"/>
                <w:lang w:val="en-US" w:eastAsia="zh-CN"/>
              </w:rPr>
              <w:t>（二期）</w:t>
            </w:r>
            <w:bookmarkEnd w:id="1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业主单位名称</w:t>
            </w:r>
          </w:p>
        </w:tc>
        <w:tc>
          <w:tcPr>
            <w:tcW w:w="4055" w:type="pct"/>
            <w:gridSpan w:val="8"/>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重庆格上新能源有限公司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建设地点</w:t>
            </w:r>
          </w:p>
        </w:tc>
        <w:tc>
          <w:tcPr>
            <w:tcW w:w="2778" w:type="pct"/>
            <w:gridSpan w:val="5"/>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重庆市万州区联合路12号第4、5层（万州经开区）厂房</w:t>
            </w:r>
          </w:p>
        </w:tc>
        <w:tc>
          <w:tcPr>
            <w:tcW w:w="375" w:type="pct"/>
            <w:vAlign w:val="center"/>
          </w:tcPr>
          <w:p>
            <w:pPr>
              <w:pStyle w:val="74"/>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邮编</w:t>
            </w:r>
          </w:p>
        </w:tc>
        <w:tc>
          <w:tcPr>
            <w:tcW w:w="902" w:type="pct"/>
            <w:gridSpan w:val="2"/>
            <w:vAlign w:val="center"/>
          </w:tcPr>
          <w:p>
            <w:pPr>
              <w:pStyle w:val="74"/>
              <w:spacing w:before="170"/>
              <w:ind w:left="109"/>
              <w:jc w:val="center"/>
              <w:rPr>
                <w:rFonts w:hint="default" w:ascii="Times New Roman" w:hAnsi="宋体" w:eastAsia="宋体" w:cs="宋体"/>
                <w:sz w:val="24"/>
                <w:lang w:val="en-US" w:eastAsia="zh-CN"/>
              </w:rPr>
            </w:pPr>
            <w:r>
              <w:rPr>
                <w:rFonts w:hint="eastAsia" w:ascii="Times New Roman" w:hAnsi="宋体" w:eastAsia="宋体" w:cs="宋体"/>
                <w:sz w:val="24"/>
                <w:lang w:val="en-US" w:eastAsia="zh-CN"/>
              </w:rPr>
              <w:t>404</w:t>
            </w:r>
            <w:r>
              <w:rPr>
                <w:rFonts w:hint="eastAsia" w:ascii="Times New Roman" w:cs="宋体"/>
                <w:sz w:val="24"/>
                <w:lang w:val="en-US" w:eastAsia="zh-CN"/>
              </w:rPr>
              <w:t>0</w:t>
            </w:r>
            <w:r>
              <w:rPr>
                <w:rFonts w:hint="eastAsia" w:ascii="Times New Roman" w:hAnsi="宋体" w:eastAsia="宋体" w:cs="宋体"/>
                <w:sz w:val="24"/>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联系人</w:t>
            </w:r>
          </w:p>
        </w:tc>
        <w:tc>
          <w:tcPr>
            <w:tcW w:w="1156" w:type="pct"/>
            <w:gridSpan w:val="2"/>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p>
        </w:tc>
        <w:tc>
          <w:tcPr>
            <w:tcW w:w="1621" w:type="pct"/>
            <w:gridSpan w:val="3"/>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联系电话</w:t>
            </w:r>
          </w:p>
        </w:tc>
        <w:tc>
          <w:tcPr>
            <w:tcW w:w="1277" w:type="pct"/>
            <w:gridSpan w:val="3"/>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建设项目性质</w:t>
            </w:r>
          </w:p>
        </w:tc>
        <w:tc>
          <w:tcPr>
            <w:tcW w:w="4055" w:type="pct"/>
            <w:gridSpan w:val="8"/>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 xml:space="preserve">√新建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 xml:space="preserve">改扩建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技术改造</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项目设立部门</w:t>
            </w:r>
          </w:p>
        </w:tc>
        <w:tc>
          <w:tcPr>
            <w:tcW w:w="1156" w:type="pct"/>
            <w:gridSpan w:val="2"/>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万州经济技术开发区经济发展局</w:t>
            </w:r>
          </w:p>
        </w:tc>
        <w:tc>
          <w:tcPr>
            <w:tcW w:w="403"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2019-500101-39-03-063445</w:t>
            </w:r>
          </w:p>
        </w:tc>
        <w:tc>
          <w:tcPr>
            <w:tcW w:w="375" w:type="pct"/>
            <w:vAlign w:val="center"/>
          </w:tcPr>
          <w:p>
            <w:pPr>
              <w:pStyle w:val="74"/>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时间</w:t>
            </w:r>
          </w:p>
        </w:tc>
        <w:tc>
          <w:tcPr>
            <w:tcW w:w="902" w:type="pct"/>
            <w:gridSpan w:val="2"/>
            <w:vAlign w:val="center"/>
          </w:tcPr>
          <w:p>
            <w:pPr>
              <w:pStyle w:val="74"/>
              <w:spacing w:before="170"/>
              <w:jc w:val="both"/>
              <w:rPr>
                <w:rFonts w:hint="default" w:ascii="Times New Roman" w:hAnsi="宋体" w:eastAsia="宋体" w:cs="宋体"/>
                <w:sz w:val="24"/>
                <w:lang w:val="en-US" w:eastAsia="zh-CN"/>
              </w:rPr>
            </w:pPr>
            <w:r>
              <w:rPr>
                <w:rFonts w:hint="eastAsia" w:ascii="Times New Roman" w:cs="宋体"/>
                <w:sz w:val="24"/>
                <w:lang w:val="en-US" w:eastAsia="zh-CN"/>
              </w:rPr>
              <w:t>2019年3月4日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环评报告表审批部门</w:t>
            </w:r>
          </w:p>
        </w:tc>
        <w:tc>
          <w:tcPr>
            <w:tcW w:w="1156" w:type="pct"/>
            <w:gridSpan w:val="2"/>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重庆市万州区生态环境局</w:t>
            </w:r>
          </w:p>
        </w:tc>
        <w:tc>
          <w:tcPr>
            <w:tcW w:w="403" w:type="pct"/>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74"/>
              <w:widowControl w:val="0"/>
              <w:autoSpaceDE w:val="0"/>
              <w:autoSpaceDN w:val="0"/>
              <w:adjustRightInd/>
              <w:snapToGrid/>
              <w:spacing w:before="170" w:after="0" w:line="240" w:lineRule="auto"/>
              <w:ind w:right="0"/>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渝</w:t>
            </w:r>
            <w:r>
              <w:rPr>
                <w:rFonts w:hint="eastAsia" w:ascii="Times New Roman" w:cs="宋体"/>
                <w:sz w:val="24"/>
                <w:lang w:val="en-US" w:eastAsia="zh-CN"/>
              </w:rPr>
              <w:t>（</w:t>
            </w:r>
            <w:r>
              <w:rPr>
                <w:rFonts w:hint="eastAsia" w:ascii="Times New Roman" w:hAnsi="宋体" w:eastAsia="宋体" w:cs="宋体"/>
                <w:sz w:val="24"/>
                <w:lang w:val="en-US" w:eastAsia="zh-CN"/>
              </w:rPr>
              <w:t>万</w:t>
            </w:r>
            <w:r>
              <w:rPr>
                <w:rFonts w:hint="eastAsia" w:ascii="Times New Roman" w:cs="宋体"/>
                <w:sz w:val="24"/>
                <w:lang w:val="en-US" w:eastAsia="zh-CN"/>
              </w:rPr>
              <w:t>）</w:t>
            </w:r>
            <w:r>
              <w:rPr>
                <w:rFonts w:hint="eastAsia" w:ascii="Times New Roman" w:hAnsi="宋体" w:eastAsia="宋体" w:cs="宋体"/>
                <w:sz w:val="24"/>
                <w:lang w:val="en-US" w:eastAsia="zh-CN"/>
              </w:rPr>
              <w:t>环准[2021]58号</w:t>
            </w:r>
          </w:p>
        </w:tc>
        <w:tc>
          <w:tcPr>
            <w:tcW w:w="375" w:type="pct"/>
            <w:vAlign w:val="center"/>
          </w:tcPr>
          <w:p>
            <w:pPr>
              <w:pStyle w:val="74"/>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时间</w:t>
            </w:r>
          </w:p>
        </w:tc>
        <w:tc>
          <w:tcPr>
            <w:tcW w:w="902" w:type="pct"/>
            <w:gridSpan w:val="2"/>
            <w:vAlign w:val="center"/>
          </w:tcPr>
          <w:p>
            <w:pPr>
              <w:pStyle w:val="74"/>
              <w:spacing w:before="170"/>
              <w:ind w:left="109"/>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2021年4月12日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vAlign w:val="center"/>
          </w:tcPr>
          <w:p>
            <w:pPr>
              <w:pStyle w:val="74"/>
              <w:widowControl w:val="0"/>
              <w:autoSpaceDE w:val="0"/>
              <w:autoSpaceDN w:val="0"/>
              <w:adjustRightInd/>
              <w:snapToGrid/>
              <w:spacing w:before="170" w:after="0" w:line="240" w:lineRule="auto"/>
              <w:ind w:left="109" w:right="0"/>
              <w:jc w:val="center"/>
              <w:rPr>
                <w:rFonts w:hint="default" w:ascii="Times New Roman" w:hAnsi="宋体" w:eastAsia="宋体" w:cs="宋体"/>
                <w:sz w:val="24"/>
                <w:lang w:val="en-US" w:eastAsia="zh-CN"/>
              </w:rPr>
            </w:pPr>
            <w:r>
              <w:rPr>
                <w:rFonts w:hint="default" w:ascii="Times New Roman" w:hAnsi="宋体" w:eastAsia="宋体" w:cs="宋体"/>
                <w:sz w:val="24"/>
                <w:lang w:val="en-US" w:eastAsia="zh-CN"/>
              </w:rPr>
              <w:t>环评报告表编制单位</w:t>
            </w:r>
          </w:p>
        </w:tc>
        <w:tc>
          <w:tcPr>
            <w:tcW w:w="1559" w:type="pct"/>
            <w:gridSpan w:val="3"/>
            <w:vAlign w:val="center"/>
          </w:tcPr>
          <w:p>
            <w:pPr>
              <w:pStyle w:val="74"/>
              <w:widowControl w:val="0"/>
              <w:autoSpaceDE w:val="0"/>
              <w:autoSpaceDN w:val="0"/>
              <w:adjustRightInd/>
              <w:snapToGrid/>
              <w:spacing w:before="170" w:after="0" w:line="240" w:lineRule="auto"/>
              <w:ind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贵阳科保环境技术有限公司</w:t>
            </w:r>
          </w:p>
        </w:tc>
        <w:tc>
          <w:tcPr>
            <w:tcW w:w="1218" w:type="pct"/>
            <w:gridSpan w:val="2"/>
            <w:vAlign w:val="center"/>
          </w:tcPr>
          <w:p>
            <w:pPr>
              <w:pStyle w:val="74"/>
              <w:widowControl w:val="0"/>
              <w:autoSpaceDE w:val="0"/>
              <w:autoSpaceDN w:val="0"/>
              <w:adjustRightInd/>
              <w:snapToGrid/>
              <w:spacing w:before="170" w:after="0" w:line="240" w:lineRule="auto"/>
              <w:ind w:left="109" w:right="0"/>
              <w:jc w:val="center"/>
              <w:rPr>
                <w:rFonts w:hint="default" w:ascii="Times New Roman" w:hAnsi="宋体" w:eastAsia="宋体" w:cs="宋体"/>
                <w:sz w:val="24"/>
                <w:lang w:val="en-US" w:eastAsia="zh-CN"/>
              </w:rPr>
            </w:pPr>
            <w:r>
              <w:rPr>
                <w:rFonts w:hint="default" w:ascii="Times New Roman" w:hAnsi="宋体" w:eastAsia="宋体" w:cs="宋体"/>
                <w:sz w:val="24"/>
                <w:lang w:val="en-US" w:eastAsia="zh-CN"/>
              </w:rPr>
              <w:t>环境监理单位</w:t>
            </w:r>
          </w:p>
        </w:tc>
        <w:tc>
          <w:tcPr>
            <w:tcW w:w="1277" w:type="pct"/>
            <w:gridSpan w:val="3"/>
            <w:vAlign w:val="center"/>
          </w:tcPr>
          <w:p>
            <w:pPr>
              <w:pStyle w:val="74"/>
              <w:widowControl w:val="0"/>
              <w:autoSpaceDE w:val="0"/>
              <w:autoSpaceDN w:val="0"/>
              <w:adjustRightInd/>
              <w:snapToGrid/>
              <w:spacing w:before="170" w:after="0" w:line="240" w:lineRule="auto"/>
              <w:ind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bottom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default" w:ascii="Times New Roman" w:hAnsi="宋体" w:eastAsia="宋体" w:cs="宋体"/>
                <w:sz w:val="24"/>
                <w:lang w:val="en-US" w:eastAsia="zh-CN"/>
              </w:rPr>
            </w:pPr>
            <w:r>
              <w:rPr>
                <w:rFonts w:hint="default" w:ascii="Times New Roman" w:hAnsi="宋体" w:eastAsia="宋体" w:cs="宋体"/>
                <w:sz w:val="24"/>
                <w:lang w:val="en-US" w:eastAsia="zh-CN"/>
              </w:rPr>
              <w:t>开工建设时间</w:t>
            </w:r>
          </w:p>
        </w:tc>
        <w:tc>
          <w:tcPr>
            <w:tcW w:w="1559" w:type="pct"/>
            <w:gridSpan w:val="3"/>
            <w:tcBorders>
              <w:bottom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2</w:t>
            </w:r>
            <w:r>
              <w:rPr>
                <w:rFonts w:hint="eastAsia" w:ascii="Times New Roman" w:hAnsi="宋体" w:eastAsia="宋体" w:cs="宋体"/>
                <w:sz w:val="24"/>
                <w:lang w:val="en-US" w:eastAsia="zh-CN"/>
              </w:rPr>
              <w:t xml:space="preserve"> 年4月</w:t>
            </w:r>
          </w:p>
        </w:tc>
        <w:tc>
          <w:tcPr>
            <w:tcW w:w="1218" w:type="pct"/>
            <w:gridSpan w:val="2"/>
            <w:tcBorders>
              <w:bottom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验收现场监测时间</w:t>
            </w:r>
          </w:p>
        </w:tc>
        <w:tc>
          <w:tcPr>
            <w:tcW w:w="1277" w:type="pct"/>
            <w:gridSpan w:val="3"/>
            <w:tcBorders>
              <w:bottom w:val="single" w:color="000000" w:sz="6" w:space="0"/>
            </w:tcBorders>
            <w:vAlign w:val="center"/>
          </w:tcPr>
          <w:p>
            <w:pPr>
              <w:pStyle w:val="74"/>
              <w:widowControl w:val="0"/>
              <w:autoSpaceDE w:val="0"/>
              <w:autoSpaceDN w:val="0"/>
              <w:adjustRightInd/>
              <w:snapToGrid/>
              <w:spacing w:before="170" w:after="0" w:line="240" w:lineRule="auto"/>
              <w:ind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2023年7月 6日-8日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环保设施设计单位</w:t>
            </w:r>
          </w:p>
        </w:tc>
        <w:tc>
          <w:tcPr>
            <w:tcW w:w="1559" w:type="pct"/>
            <w:gridSpan w:val="3"/>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重庆格上新能源有限公司</w:t>
            </w:r>
          </w:p>
        </w:tc>
        <w:tc>
          <w:tcPr>
            <w:tcW w:w="1218" w:type="pct"/>
            <w:gridSpan w:val="2"/>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环保设施施工单位</w:t>
            </w:r>
          </w:p>
        </w:tc>
        <w:tc>
          <w:tcPr>
            <w:tcW w:w="1277" w:type="pct"/>
            <w:gridSpan w:val="3"/>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重庆格上新能源有限公司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环评核准生产能力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年产光伏逆变器10万台，开关电源10万台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实际建成生产能力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年产光伏逆变器10万台，开关电源10万台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项目变更情况（与环评核准情况比较）</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w:t>
            </w:r>
            <w:r>
              <w:rPr>
                <w:rFonts w:hint="eastAsia" w:ascii="Times New Roman" w:cs="宋体"/>
                <w:sz w:val="24"/>
                <w:lang w:val="en-US" w:eastAsia="zh-CN"/>
              </w:rPr>
              <w:t>2021年7月</w:t>
            </w:r>
            <w:r>
              <w:rPr>
                <w:rFonts w:hint="eastAsia" w:ascii="Times New Roman" w:hAnsi="宋体" w:eastAsia="宋体" w:cs="宋体"/>
                <w:sz w:val="24"/>
                <w:lang w:val="en-US" w:eastAsia="zh-CN"/>
              </w:rPr>
              <w:t>已验收一阶段贴片生产线1条，线路调试线1条，装配线1条。本次</w:t>
            </w:r>
            <w:r>
              <w:rPr>
                <w:rFonts w:hint="eastAsia" w:ascii="Times New Roman" w:cs="宋体"/>
                <w:sz w:val="24"/>
                <w:lang w:val="en-US" w:eastAsia="zh-CN"/>
              </w:rPr>
              <w:t>二期</w:t>
            </w:r>
            <w:r>
              <w:rPr>
                <w:rFonts w:hint="eastAsia" w:ascii="Times New Roman" w:hAnsi="宋体" w:eastAsia="宋体" w:cs="宋体"/>
                <w:sz w:val="24"/>
                <w:lang w:val="en-US" w:eastAsia="zh-CN"/>
              </w:rPr>
              <w:t>验收内容为线路调试线1条，装配线1条。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概算总投资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2000</w:t>
            </w:r>
            <w:r>
              <w:rPr>
                <w:rFonts w:hint="default"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default" w:ascii="Times New Roman" w:hAnsi="宋体" w:eastAsia="宋体" w:cs="宋体"/>
                <w:sz w:val="24"/>
                <w:lang w:val="en-US" w:eastAsia="zh-CN"/>
              </w:rPr>
              <w:t>环保投资总概算</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46</w:t>
            </w:r>
            <w:r>
              <w:rPr>
                <w:rFonts w:hint="default"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default"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2000</w:t>
            </w:r>
            <w:r>
              <w:rPr>
                <w:rFonts w:hint="default"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default" w:ascii="Times New Roman" w:hAnsi="宋体" w:eastAsia="宋体" w:cs="宋体"/>
                <w:sz w:val="24"/>
                <w:lang w:val="en-US" w:eastAsia="zh-CN"/>
              </w:rPr>
              <w:t>环保投资</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46</w:t>
            </w:r>
            <w:r>
              <w:rPr>
                <w:rFonts w:hint="default"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default"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74"/>
              <w:widowControl w:val="0"/>
              <w:autoSpaceDE w:val="0"/>
              <w:autoSpaceDN w:val="0"/>
              <w:adjustRightInd/>
              <w:snapToGrid/>
              <w:spacing w:before="170" w:after="0" w:line="240" w:lineRule="auto"/>
              <w:ind w:left="109" w:right="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spacing w:before="170"/>
              <w:ind w:left="109"/>
              <w:jc w:val="center"/>
              <w:rPr>
                <w:rFonts w:hint="eastAsia" w:ascii="Times New Roman" w:hAnsi="宋体" w:eastAsia="宋体" w:cs="宋体"/>
                <w:sz w:val="24"/>
                <w:lang w:val="en-US" w:eastAsia="zh-CN"/>
              </w:rPr>
            </w:pPr>
            <w:r>
              <w:rPr>
                <w:sz w:val="24"/>
              </w:rPr>
              <w:t>验收监测依据</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74"/>
              <w:spacing w:before="79"/>
              <w:ind w:left="108"/>
              <w:rPr>
                <w:b/>
                <w:sz w:val="24"/>
              </w:rPr>
            </w:pPr>
            <w:r>
              <w:rPr>
                <w:b/>
                <w:sz w:val="24"/>
              </w:rPr>
              <w:t>建设项目环境保护相关法律、法规、章程和规范</w:t>
            </w:r>
          </w:p>
          <w:p>
            <w:pPr>
              <w:pStyle w:val="74"/>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1、《中华人民共和国环境保护法》（2015 年 1 月）；</w:t>
            </w:r>
          </w:p>
          <w:p>
            <w:pPr>
              <w:pStyle w:val="74"/>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2、《建设项目环境保护管理条例》（国务院令第 682 号，2017）；</w:t>
            </w:r>
          </w:p>
          <w:p>
            <w:pPr>
              <w:pStyle w:val="74"/>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3、《中华人民共和国水污染防治法》（2018 年 1 月修改）；</w:t>
            </w:r>
          </w:p>
          <w:p>
            <w:pPr>
              <w:pStyle w:val="74"/>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4、《中华人民共和国环境大气污染防治法》（2016  年 1  月 1  日）；</w:t>
            </w:r>
          </w:p>
          <w:p>
            <w:pPr>
              <w:pStyle w:val="74"/>
              <w:numPr>
                <w:ilvl w:val="0"/>
                <w:numId w:val="1"/>
              </w:numPr>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《中华人民共和国环境噪声污染防治法》（20</w:t>
            </w:r>
            <w:r>
              <w:rPr>
                <w:rFonts w:hint="eastAsia" w:ascii="Times New Roman" w:cs="宋体"/>
                <w:sz w:val="24"/>
                <w:lang w:val="en-US" w:eastAsia="zh-CN"/>
              </w:rPr>
              <w:t>22</w:t>
            </w:r>
            <w:r>
              <w:rPr>
                <w:rFonts w:hint="eastAsia" w:ascii="Times New Roman" w:hAnsi="宋体" w:eastAsia="宋体" w:cs="宋体"/>
                <w:sz w:val="24"/>
                <w:lang w:val="en-US" w:eastAsia="zh-CN"/>
              </w:rPr>
              <w:t>年）；</w:t>
            </w:r>
          </w:p>
          <w:p>
            <w:pPr>
              <w:pStyle w:val="74"/>
              <w:numPr>
                <w:ilvl w:val="0"/>
                <w:numId w:val="1"/>
              </w:numPr>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《中华人民共和国固体废物污染环境防治法》（2020 年 9 月修正）；</w:t>
            </w:r>
          </w:p>
          <w:p>
            <w:pPr>
              <w:pStyle w:val="74"/>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7、《中华人民共和国环境影响评价法》（2018 年 7 月修改）；</w:t>
            </w:r>
          </w:p>
          <w:p>
            <w:pPr>
              <w:pStyle w:val="74"/>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8、《建设项目环境影响评价分类管理名录》（2021 年）；</w:t>
            </w:r>
          </w:p>
          <w:p>
            <w:pPr>
              <w:pStyle w:val="74"/>
              <w:spacing w:before="170"/>
              <w:ind w:left="109"/>
              <w:jc w:val="left"/>
              <w:rPr>
                <w:b/>
                <w:sz w:val="24"/>
              </w:rPr>
            </w:pPr>
            <w:r>
              <w:rPr>
                <w:b/>
                <w:sz w:val="24"/>
              </w:rPr>
              <w:t>建设项目竣工环境保护验收技术规范</w:t>
            </w:r>
          </w:p>
          <w:p>
            <w:pPr>
              <w:pStyle w:val="74"/>
              <w:spacing w:before="170" w:line="240" w:lineRule="auto"/>
              <w:ind w:left="348" w:leftChars="49" w:hanging="240" w:hangingChars="10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1、生态环境部 公告 2018 年第 9 号关于发布《建设项目竣工环境保护验收技术指南 污染影响类》的公告；</w:t>
            </w:r>
          </w:p>
          <w:p>
            <w:pPr>
              <w:pStyle w:val="74"/>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2、（国环规环评[2017]4 号）《建设项目竣工环境保护验收暂行办法》；</w:t>
            </w:r>
          </w:p>
          <w:p>
            <w:pPr>
              <w:pStyle w:val="74"/>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3、环办[2015]113 号《关于印发建设项目竣工环境保护验收现场检查及审查要点的通知》；</w:t>
            </w:r>
          </w:p>
          <w:p>
            <w:pPr>
              <w:pStyle w:val="74"/>
              <w:spacing w:before="170"/>
              <w:ind w:left="109"/>
              <w:jc w:val="left"/>
              <w:rPr>
                <w:b/>
                <w:sz w:val="24"/>
              </w:rPr>
            </w:pPr>
            <w:r>
              <w:rPr>
                <w:b/>
                <w:sz w:val="24"/>
              </w:rPr>
              <w:t>工程资料及批复文件</w:t>
            </w:r>
          </w:p>
          <w:p>
            <w:pPr>
              <w:pStyle w:val="74"/>
              <w:widowControl w:val="0"/>
              <w:autoSpaceDE w:val="0"/>
              <w:autoSpaceDN w:val="0"/>
              <w:adjustRightInd/>
              <w:snapToGrid/>
              <w:spacing w:before="170" w:after="0" w:line="240" w:lineRule="auto"/>
              <w:ind w:left="109" w:right="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（1）《重庆格上新能源有限公司光伏逆变器和开关电源制造项目环境影响报告表》（贵阳科保环境技术有限公司，2021年4月）；</w:t>
            </w:r>
          </w:p>
          <w:p>
            <w:pPr>
              <w:pStyle w:val="74"/>
              <w:widowControl w:val="0"/>
              <w:autoSpaceDE w:val="0"/>
              <w:autoSpaceDN w:val="0"/>
              <w:adjustRightInd/>
              <w:snapToGrid/>
              <w:spacing w:before="170" w:after="0" w:line="240" w:lineRule="auto"/>
              <w:ind w:left="109" w:right="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 xml:space="preserve">（2）《重庆市建设项目环境影响评价文件批准书》（渝（万）环准〔2021〕58号，2021年4月12号）。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74"/>
              <w:spacing w:before="170"/>
              <w:ind w:left="109"/>
              <w:jc w:val="center"/>
              <w:rPr>
                <w:sz w:val="24"/>
              </w:rPr>
            </w:pP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74"/>
              <w:spacing w:before="170"/>
              <w:ind w:left="109"/>
              <w:jc w:val="left"/>
              <w:rPr>
                <w:rFonts w:hint="eastAsia"/>
                <w:b/>
                <w:sz w:val="24"/>
                <w:lang w:val="en-US" w:eastAsia="zh-CN"/>
              </w:rPr>
            </w:pPr>
            <w:r>
              <w:rPr>
                <w:rFonts w:hint="eastAsia"/>
                <w:b/>
                <w:sz w:val="24"/>
                <w:lang w:val="en-US" w:eastAsia="zh-CN"/>
              </w:rPr>
              <w:t>大气污染物排放标准</w:t>
            </w:r>
          </w:p>
          <w:p>
            <w:pPr>
              <w:pStyle w:val="33"/>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项目营运期产生的有机废气（以非甲烷总烃计）、颗粒物、锡及其化合物，执行重庆市《大气污染物综合排放标准》（DB50/418-2016）中的最高允许排放限值；具体执行标准见表1-1。</w:t>
            </w:r>
          </w:p>
          <w:p>
            <w:pPr>
              <w:pStyle w:val="75"/>
              <w:widowControl w:val="0"/>
              <w:rPr>
                <w:rFonts w:hint="eastAsia" w:ascii="宋体" w:hAnsi="宋体" w:eastAsia="宋体" w:cs="宋体"/>
                <w:b/>
                <w:spacing w:val="0"/>
                <w:sz w:val="21"/>
                <w:szCs w:val="22"/>
                <w:lang w:val="en-US" w:eastAsia="zh-CN" w:bidi="zh-CN"/>
              </w:rPr>
            </w:pPr>
            <w:r>
              <w:rPr>
                <w:rFonts w:hint="eastAsia" w:ascii="宋体" w:hAnsi="宋体" w:eastAsia="宋体" w:cs="宋体"/>
                <w:b/>
                <w:spacing w:val="0"/>
                <w:sz w:val="21"/>
                <w:szCs w:val="22"/>
                <w:lang w:val="en-US" w:eastAsia="zh-CN" w:bidi="zh-CN"/>
              </w:rPr>
              <w:t>表1-1    大气污染物排放限值一览表</w:t>
            </w:r>
          </w:p>
          <w:tbl>
            <w:tblPr>
              <w:tblStyle w:val="20"/>
              <w:tblW w:w="76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2037"/>
              <w:gridCol w:w="2178"/>
              <w:gridCol w:w="1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8" w:type="dxa"/>
                  <w:gridSpan w:val="4"/>
                  <w:tcBorders>
                    <w:top w:val="single" w:color="auto" w:sz="8" w:space="0"/>
                    <w:right w:val="single" w:color="auto" w:sz="8" w:space="0"/>
                  </w:tcBorders>
                  <w:vAlign w:val="center"/>
                </w:tcPr>
                <w:p>
                  <w:pPr>
                    <w:spacing w:after="0"/>
                    <w:jc w:val="center"/>
                    <w:rPr>
                      <w:rFonts w:ascii="Times New Roman" w:hAnsi="Times New Roman" w:eastAsiaTheme="minorEastAsia"/>
                      <w:b/>
                      <w:color w:val="000000" w:themeColor="text1"/>
                      <w:sz w:val="21"/>
                      <w:szCs w:val="21"/>
                      <w14:textFill>
                        <w14:solidFill>
                          <w14:schemeClr w14:val="tx1"/>
                        </w14:solidFill>
                      </w14:textFill>
                    </w:rPr>
                  </w:pPr>
                  <w:r>
                    <w:rPr>
                      <w:rFonts w:hint="eastAsia" w:ascii="Times New Roman" w:hAnsi="Times New Roman" w:eastAsiaTheme="minorEastAsia"/>
                      <w:b/>
                      <w:color w:val="000000" w:themeColor="text1"/>
                      <w:sz w:val="21"/>
                      <w:szCs w:val="21"/>
                      <w14:textFill>
                        <w14:solidFill>
                          <w14:schemeClr w14:val="tx1"/>
                        </w14:solidFill>
                      </w14:textFill>
                    </w:rPr>
                    <w:t>《大气污染物综合排放标准》（DB50/418-2016）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Merge w:val="restart"/>
                  <w:tcBorders>
                    <w:left w:val="single" w:color="auto" w:sz="4" w:space="0"/>
                    <w:bottom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污染物项目</w:t>
                  </w:r>
                </w:p>
              </w:tc>
              <w:tc>
                <w:tcPr>
                  <w:tcW w:w="2037" w:type="dxa"/>
                  <w:vMerge w:val="restart"/>
                  <w:tcBorders>
                    <w:bottom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大气污染物最高允许排放浓度（mg/m</w:t>
                  </w:r>
                  <w:r>
                    <w:rPr>
                      <w:rFonts w:hint="eastAsia" w:ascii="Times New Roman" w:hAnsi="Times New Roman" w:eastAsia="宋体"/>
                      <w:bCs/>
                      <w:color w:val="000000" w:themeColor="text1"/>
                      <w:sz w:val="21"/>
                      <w:szCs w:val="21"/>
                      <w:vertAlign w:val="superscript"/>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w:t>
                  </w:r>
                </w:p>
              </w:tc>
              <w:tc>
                <w:tcPr>
                  <w:tcW w:w="2178" w:type="dxa"/>
                  <w:tcBorders>
                    <w:bottom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与排气筒高度对应的大气污染物最高允许排放速率（kg/h）</w:t>
                  </w:r>
                </w:p>
              </w:tc>
              <w:tc>
                <w:tcPr>
                  <w:tcW w:w="1896" w:type="dxa"/>
                  <w:vMerge w:val="restart"/>
                  <w:tcBorders>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无组织排放监控点浓度限值</w:t>
                  </w:r>
                </w:p>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（mg/m</w:t>
                  </w:r>
                  <w:r>
                    <w:rPr>
                      <w:rFonts w:hint="eastAsia" w:ascii="Times New Roman" w:hAnsi="Times New Roman" w:eastAsia="宋体"/>
                      <w:bCs/>
                      <w:color w:val="000000" w:themeColor="text1"/>
                      <w:sz w:val="21"/>
                      <w:szCs w:val="21"/>
                      <w:vertAlign w:val="superscript"/>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Merge w:val="continue"/>
                  <w:tcBorders>
                    <w:top w:val="single" w:color="auto" w:sz="8" w:space="0"/>
                    <w:left w:val="single" w:color="auto" w:sz="4"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037" w:type="dxa"/>
                  <w:vMerge w:val="continue"/>
                  <w:tcBorders>
                    <w:top w:val="single" w:color="auto" w:sz="8" w:space="0"/>
                  </w:tcBorders>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p>
              </w:tc>
              <w:tc>
                <w:tcPr>
                  <w:tcW w:w="2178" w:type="dxa"/>
                  <w:tcBorders>
                    <w:top w:val="single" w:color="auto" w:sz="8" w:space="0"/>
                  </w:tcBorders>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15m</w:t>
                  </w:r>
                </w:p>
              </w:tc>
              <w:tc>
                <w:tcPr>
                  <w:tcW w:w="1896" w:type="dxa"/>
                  <w:vMerge w:val="continue"/>
                  <w:tcBorders>
                    <w:top w:val="single" w:color="auto" w:sz="8" w:space="0"/>
                    <w:right w:val="single" w:color="auto" w:sz="8" w:space="0"/>
                  </w:tcBorders>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tcBorders>
                    <w:left w:val="single" w:color="auto" w:sz="4"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非甲烷总烃</w:t>
                  </w:r>
                </w:p>
              </w:tc>
              <w:tc>
                <w:tcPr>
                  <w:tcW w:w="2037" w:type="dxa"/>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120</w:t>
                  </w:r>
                </w:p>
              </w:tc>
              <w:tc>
                <w:tcPr>
                  <w:tcW w:w="2178" w:type="dxa"/>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c>
                <w:tcPr>
                  <w:tcW w:w="1896" w:type="dxa"/>
                  <w:tcBorders>
                    <w:right w:val="single" w:color="auto" w:sz="8" w:space="0"/>
                  </w:tcBorders>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7" w:type="dxa"/>
                  <w:tcBorders>
                    <w:left w:val="single" w:color="auto" w:sz="4"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颗粒物</w:t>
                  </w:r>
                </w:p>
              </w:tc>
              <w:tc>
                <w:tcPr>
                  <w:tcW w:w="2037"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120</w:t>
                  </w:r>
                </w:p>
              </w:tc>
              <w:tc>
                <w:tcPr>
                  <w:tcW w:w="2178"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3.5</w:t>
                  </w:r>
                </w:p>
              </w:tc>
              <w:tc>
                <w:tcPr>
                  <w:tcW w:w="1896" w:type="dxa"/>
                  <w:tcBorders>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7" w:type="dxa"/>
                  <w:tcBorders>
                    <w:left w:val="single" w:color="auto" w:sz="4"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锡及其化合物</w:t>
                  </w:r>
                </w:p>
              </w:tc>
              <w:tc>
                <w:tcPr>
                  <w:tcW w:w="2037"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8.5</w:t>
                  </w:r>
                </w:p>
              </w:tc>
              <w:tc>
                <w:tcPr>
                  <w:tcW w:w="2178"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0.31</w:t>
                  </w:r>
                </w:p>
              </w:tc>
              <w:tc>
                <w:tcPr>
                  <w:tcW w:w="1896" w:type="dxa"/>
                  <w:tcBorders>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658" w:type="dxa"/>
                  <w:gridSpan w:val="4"/>
                  <w:tcBorders>
                    <w:left w:val="single" w:color="auto" w:sz="4" w:space="0"/>
                    <w:bottom w:val="single" w:color="auto" w:sz="8" w:space="0"/>
                    <w:right w:val="single" w:color="auto" w:sz="8" w:space="0"/>
                  </w:tcBorders>
                  <w:vAlign w:val="center"/>
                </w:tcPr>
                <w:p>
                  <w:pPr>
                    <w:spacing w:after="0"/>
                    <w:jc w:val="left"/>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注：排气筒高度应高出200m半径范围内周边建筑物5m以上。不能达到该要求的排气筒，应按其高度对应的排放速率限值的50%执行。</w:t>
                  </w:r>
                </w:p>
              </w:tc>
            </w:tr>
          </w:tbl>
          <w:p>
            <w:pPr>
              <w:pStyle w:val="74"/>
              <w:widowControl w:val="0"/>
              <w:autoSpaceDE w:val="0"/>
              <w:autoSpaceDN w:val="0"/>
              <w:adjustRightInd/>
              <w:snapToGrid/>
              <w:spacing w:before="170" w:after="0" w:line="240" w:lineRule="auto"/>
              <w:ind w:left="109" w:right="0"/>
              <w:jc w:val="left"/>
              <w:rPr>
                <w:rFonts w:hint="eastAsia" w:ascii="Times New Roman" w:hAnsi="宋体" w:eastAsia="宋体" w:cs="宋体"/>
                <w:sz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43"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spacing w:after="0" w:line="440" w:lineRule="exact"/>
              <w:jc w:val="center"/>
              <w:rPr>
                <w:rFonts w:ascii="Times New Roman" w:hAnsi="Times New Roman" w:eastAsia="宋体" w:cs="Times New Roman"/>
                <w:sz w:val="24"/>
                <w:szCs w:val="24"/>
                <w:lang w:val="en-US" w:eastAsia="zh-CN" w:bidi="ar-SA"/>
              </w:rPr>
            </w:pPr>
            <w:r>
              <w:rPr>
                <w:rFonts w:ascii="Times New Roman" w:hAnsi="Times New Roman" w:eastAsia="宋体"/>
                <w:sz w:val="24"/>
                <w:szCs w:val="24"/>
              </w:rPr>
              <w:t>验收监测评价标准、标号、级别、限值</w:t>
            </w:r>
          </w:p>
        </w:tc>
        <w:tc>
          <w:tcPr>
            <w:tcW w:w="4055" w:type="pct"/>
            <w:gridSpan w:val="8"/>
            <w:tcBorders>
              <w:top w:val="single" w:color="000000" w:sz="6" w:space="0"/>
              <w:left w:val="single" w:color="000000" w:sz="6" w:space="0"/>
              <w:bottom w:val="single" w:color="000000" w:sz="6" w:space="0"/>
              <w:right w:val="single" w:color="000000" w:sz="6" w:space="0"/>
            </w:tcBorders>
            <w:vAlign w:val="top"/>
          </w:tcPr>
          <w:p>
            <w:pPr>
              <w:spacing w:after="0" w:line="500" w:lineRule="exact"/>
              <w:jc w:val="both"/>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废水</w:t>
            </w:r>
          </w:p>
          <w:p>
            <w:pPr>
              <w:pStyle w:val="33"/>
              <w:spacing w:line="360" w:lineRule="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运营期新增的生活污水排入现有生化池处理，达《污水综合排放标准》（GB8978-1996）三级标准后，经市政污水管网进入沱口污水处理厂处理，处理达《城镇污水处理厂污染物排放标准》（GB18918-2002）一级A标准排入长江。标准限值见表1-2。</w:t>
            </w:r>
          </w:p>
          <w:p>
            <w:pPr>
              <w:topLinePunct/>
              <w:spacing w:after="0" w:line="240" w:lineRule="auto"/>
              <w:jc w:val="center"/>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宋体" w:hAnsi="宋体" w:eastAsia="宋体" w:cs="宋体"/>
                <w:b/>
                <w:spacing w:val="0"/>
                <w:kern w:val="2"/>
                <w:sz w:val="21"/>
                <w:szCs w:val="22"/>
                <w:lang w:val="en-US" w:eastAsia="zh-CN" w:bidi="zh-CN"/>
              </w:rPr>
              <w:t xml:space="preserve">表1-2  污水综合排放标准 </w:t>
            </w:r>
            <w:r>
              <w:rPr>
                <w:rFonts w:hint="eastAsia" w:ascii="宋体" w:hAnsi="宋体" w:eastAsia="宋体" w:cs="宋体"/>
                <w:b/>
                <w:spacing w:val="0"/>
                <w:kern w:val="2"/>
                <w:sz w:val="21"/>
                <w:szCs w:val="22"/>
                <w:lang w:val="en-US" w:eastAsia="zh-CN" w:bidi="zh-CN"/>
              </w:rPr>
              <w:t xml:space="preserve">    </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val="0"/>
                <w:bCs/>
                <w:color w:val="000000" w:themeColor="text1"/>
                <w:sz w:val="21"/>
                <w:szCs w:val="21"/>
                <w14:textFill>
                  <w14:solidFill>
                    <w14:schemeClr w14:val="tx1"/>
                  </w14:solidFill>
                </w14:textFill>
              </w:rPr>
              <w:t>单位：mg/l</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3136"/>
              <w:gridCol w:w="3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污染物名称</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《污水综合排放标准》（GB8978-1996）中的三级标准</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《城镇污水处理厂污染物排放标准》（GB18918-2002）中一级A标准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pH</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6-9</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COD</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500</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BOD5</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300</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SS</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400</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NH3-N</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01" w:type="pct"/>
                  <w:tcBorders>
                    <w:top w:val="single" w:color="auto" w:sz="8" w:space="0"/>
                    <w:left w:val="single" w:color="auto" w:sz="4"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石油类</w:t>
                  </w:r>
                </w:p>
              </w:tc>
              <w:tc>
                <w:tcPr>
                  <w:tcW w:w="2022"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w:t>
                  </w:r>
                </w:p>
              </w:tc>
              <w:tc>
                <w:tcPr>
                  <w:tcW w:w="1975" w:type="pct"/>
                  <w:tcBorders>
                    <w:top w:val="single" w:color="auto" w:sz="8" w:space="0"/>
                    <w:left w:val="single" w:color="auto" w:sz="8" w:space="0"/>
                    <w:bottom w:val="single" w:color="auto" w:sz="8" w:space="0"/>
                    <w:right w:val="single" w:color="auto" w:sz="8" w:space="0"/>
                  </w:tcBorders>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p>
              </w:tc>
            </w:tr>
          </w:tbl>
          <w:p>
            <w:pPr>
              <w:adjustRightInd w:val="0"/>
              <w:ind w:firstLine="0" w:firstLineChars="0"/>
              <w:outlineLvl w:val="0"/>
              <w:rPr>
                <w:rFonts w:hint="eastAsia"/>
                <w:sz w:val="15"/>
                <w:szCs w:val="15"/>
              </w:rPr>
            </w:pPr>
            <w:r>
              <w:rPr>
                <w:rFonts w:hint="eastAsia"/>
                <w:sz w:val="15"/>
                <w:szCs w:val="15"/>
              </w:rPr>
              <w:t>注：*括号内数值为水温</w:t>
            </w:r>
            <w:r>
              <w:rPr>
                <w:rFonts w:hint="eastAsia" w:ascii="宋体" w:hAnsi="宋体"/>
                <w:sz w:val="15"/>
                <w:szCs w:val="15"/>
              </w:rPr>
              <w:t>≤</w:t>
            </w:r>
            <w:r>
              <w:rPr>
                <w:rFonts w:hint="eastAsia"/>
                <w:sz w:val="15"/>
                <w:szCs w:val="15"/>
              </w:rPr>
              <w:t>12</w:t>
            </w:r>
            <w:r>
              <w:rPr>
                <w:rFonts w:hint="eastAsia" w:ascii="宋体" w:hAnsi="宋体"/>
                <w:sz w:val="15"/>
                <w:szCs w:val="15"/>
              </w:rPr>
              <w:t>℃</w:t>
            </w:r>
            <w:r>
              <w:rPr>
                <w:rFonts w:hint="eastAsia"/>
                <w:sz w:val="15"/>
                <w:szCs w:val="15"/>
              </w:rPr>
              <w:t>时的控制指标，括号外数值为水温</w:t>
            </w:r>
            <w:r>
              <w:rPr>
                <w:rFonts w:hint="eastAsia" w:ascii="宋体" w:hAnsi="宋体"/>
                <w:sz w:val="15"/>
                <w:szCs w:val="15"/>
              </w:rPr>
              <w:t>＞</w:t>
            </w:r>
            <w:r>
              <w:rPr>
                <w:rFonts w:hint="eastAsia"/>
                <w:sz w:val="15"/>
                <w:szCs w:val="15"/>
              </w:rPr>
              <w:t>12℃时的控制指标。</w:t>
            </w:r>
          </w:p>
          <w:p>
            <w:pPr>
              <w:spacing w:after="0" w:line="500" w:lineRule="exact"/>
              <w:jc w:val="both"/>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噪声</w:t>
            </w:r>
          </w:p>
          <w:p>
            <w:pPr>
              <w:spacing w:after="0" w:line="360" w:lineRule="auto"/>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根据该项目的环评报告</w:t>
            </w:r>
            <w:r>
              <w:rPr>
                <w:rFonts w:hint="eastAsia" w:ascii="Times New Roman" w:hAnsi="Times New Roman" w:eastAsia="宋体"/>
                <w:color w:val="000000" w:themeColor="text1"/>
                <w:sz w:val="24"/>
                <w:szCs w:val="24"/>
                <w:lang w:eastAsia="zh-CN"/>
                <w14:textFill>
                  <w14:solidFill>
                    <w14:schemeClr w14:val="tx1"/>
                  </w14:solidFill>
                </w14:textFill>
              </w:rPr>
              <w:t>表</w:t>
            </w:r>
            <w:r>
              <w:rPr>
                <w:rFonts w:ascii="Times New Roman" w:hAnsi="Times New Roman" w:eastAsia="宋体"/>
                <w:color w:val="000000" w:themeColor="text1"/>
                <w:sz w:val="24"/>
                <w:szCs w:val="24"/>
                <w14:textFill>
                  <w14:solidFill>
                    <w14:schemeClr w14:val="tx1"/>
                  </w14:solidFill>
                </w14:textFill>
              </w:rPr>
              <w:t>和</w:t>
            </w:r>
            <w:r>
              <w:rPr>
                <w:rFonts w:ascii="Times New Roman" w:hAnsi="Times New Roman" w:eastAsia="宋体" w:cs="Times New Roman"/>
                <w:color w:val="000000" w:themeColor="text1"/>
                <w:sz w:val="24"/>
                <w:szCs w:val="24"/>
                <w14:textFill>
                  <w14:solidFill>
                    <w14:schemeClr w14:val="tx1"/>
                  </w14:solidFill>
                </w14:textFill>
              </w:rPr>
              <w:t>《重庆市建设项目环境影响评价文件批准书》（（渝（</w:t>
            </w:r>
            <w:r>
              <w:rPr>
                <w:rFonts w:hint="eastAsia" w:ascii="Times New Roman" w:hAnsi="Times New Roman" w:eastAsia="宋体" w:cs="Times New Roman"/>
                <w:color w:val="000000" w:themeColor="text1"/>
                <w:sz w:val="24"/>
                <w:szCs w:val="24"/>
                <w:lang w:eastAsia="zh-CN"/>
                <w14:textFill>
                  <w14:solidFill>
                    <w14:schemeClr w14:val="tx1"/>
                  </w14:solidFill>
                </w14:textFill>
              </w:rPr>
              <w:t>万</w:t>
            </w:r>
            <w:r>
              <w:rPr>
                <w:rFonts w:ascii="Times New Roman" w:hAnsi="Times New Roman" w:eastAsia="宋体" w:cs="Times New Roman"/>
                <w:color w:val="000000" w:themeColor="text1"/>
                <w:sz w:val="24"/>
                <w:szCs w:val="24"/>
                <w14:textFill>
                  <w14:solidFill>
                    <w14:schemeClr w14:val="tx1"/>
                  </w14:solidFill>
                </w14:textFill>
              </w:rPr>
              <w:t>）环准〔20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的要求和相关的监测技术规范、标准，该项目厂界噪声执行《工业企业厂界环境噪声排放标准》（GB12348-2008）</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类标准，标准限值见表1-</w:t>
            </w:r>
            <w:r>
              <w:rPr>
                <w:rFonts w:hint="eastAsia" w:ascii="Times New Roman" w:hAnsi="Times New Roman" w:eastAsia="宋体"/>
                <w:color w:val="000000" w:themeColor="text1"/>
                <w:sz w:val="24"/>
                <w:szCs w:val="24"/>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w:t>
            </w:r>
          </w:p>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表1-</w:t>
            </w:r>
            <w:r>
              <w:rPr>
                <w:rFonts w:hint="eastAsia" w:ascii="Times New Roman" w:hAnsi="Times New Roman" w:eastAsia="宋体"/>
                <w:b/>
                <w:bCs/>
                <w:color w:val="000000" w:themeColor="text1"/>
                <w:sz w:val="21"/>
                <w:szCs w:val="21"/>
                <w14:textFill>
                  <w14:solidFill>
                    <w14:schemeClr w14:val="tx1"/>
                  </w14:solidFill>
                </w14:textFill>
              </w:rPr>
              <w:t>3</w:t>
            </w:r>
            <w:r>
              <w:rPr>
                <w:rFonts w:ascii="Times New Roman" w:hAnsi="Times New Roman" w:eastAsia="宋体"/>
                <w:b/>
                <w:bCs/>
                <w:color w:val="000000" w:themeColor="text1"/>
                <w:sz w:val="21"/>
                <w:szCs w:val="21"/>
                <w14:textFill>
                  <w14:solidFill>
                    <w14:schemeClr w14:val="tx1"/>
                  </w14:solidFill>
                </w14:textFill>
              </w:rPr>
              <w:t xml:space="preserve">  噪声排放标准限值</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3"/>
              <w:gridCol w:w="1263"/>
              <w:gridCol w:w="887"/>
              <w:gridCol w:w="3412"/>
              <w:gridCol w:w="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821" w:type="pct"/>
                  <w:vMerge w:val="restart"/>
                  <w:tcBorders>
                    <w:top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项目</w:t>
                  </w:r>
                </w:p>
              </w:tc>
              <w:tc>
                <w:tcPr>
                  <w:tcW w:w="1386" w:type="pct"/>
                  <w:gridSpan w:val="2"/>
                  <w:tcBorders>
                    <w:top w:val="single" w:color="auto" w:sz="8"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评价标准限值dB(A)</w:t>
                  </w:r>
                </w:p>
              </w:tc>
              <w:tc>
                <w:tcPr>
                  <w:tcW w:w="2200" w:type="pct"/>
                  <w:vMerge w:val="restart"/>
                  <w:tcBorders>
                    <w:top w:val="single" w:color="auto" w:sz="8"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执行标准</w:t>
                  </w:r>
                </w:p>
              </w:tc>
              <w:tc>
                <w:tcPr>
                  <w:tcW w:w="591" w:type="pct"/>
                  <w:vMerge w:val="restart"/>
                  <w:tcBorders>
                    <w:top w:val="single" w:color="auto" w:sz="8"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昼间</w:t>
                  </w:r>
                </w:p>
              </w:tc>
              <w:tc>
                <w:tcPr>
                  <w:tcW w:w="571"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夜间</w:t>
                  </w:r>
                </w:p>
              </w:tc>
              <w:tc>
                <w:tcPr>
                  <w:tcW w:w="220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591" w:type="pct"/>
                  <w:vMerge w:val="continue"/>
                  <w:tcBorders>
                    <w:top w:val="single" w:color="auto" w:sz="4" w:space="0"/>
                    <w:left w:val="single" w:color="auto" w:sz="4" w:space="0"/>
                    <w:bottom w:val="single" w:color="auto" w:sz="4" w:space="0"/>
                    <w:right w:val="single" w:color="auto" w:sz="8" w:space="0"/>
                  </w:tcBorders>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1" w:type="pct"/>
                  <w:tcBorders>
                    <w:top w:val="single" w:color="auto" w:sz="4" w:space="0"/>
                    <w:left w:val="single" w:color="auto" w:sz="4" w:space="0"/>
                    <w:bottom w:val="single" w:color="auto" w:sz="8" w:space="0"/>
                    <w:right w:val="single" w:color="auto" w:sz="4" w:space="0"/>
                  </w:tcBorders>
                  <w:shd w:val="clear" w:color="auto" w:fill="auto"/>
                  <w:vAlign w:val="center"/>
                </w:tcPr>
                <w:p>
                  <w:pPr>
                    <w:spacing w:after="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厂界噪声</w:t>
                  </w:r>
                </w:p>
              </w:tc>
              <w:tc>
                <w:tcPr>
                  <w:tcW w:w="814" w:type="pct"/>
                  <w:tcBorders>
                    <w:top w:val="single" w:color="auto" w:sz="4" w:space="0"/>
                    <w:left w:val="single" w:color="auto" w:sz="4" w:space="0"/>
                    <w:bottom w:val="single" w:color="auto" w:sz="8" w:space="0"/>
                    <w:right w:val="single" w:color="auto" w:sz="4" w:space="0"/>
                  </w:tcBorders>
                  <w:shd w:val="clear" w:color="auto" w:fill="auto"/>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65</w:t>
                  </w:r>
                </w:p>
              </w:tc>
              <w:tc>
                <w:tcPr>
                  <w:tcW w:w="571" w:type="pct"/>
                  <w:tcBorders>
                    <w:top w:val="single" w:color="auto" w:sz="4" w:space="0"/>
                    <w:left w:val="single" w:color="auto" w:sz="4" w:space="0"/>
                    <w:bottom w:val="single" w:color="auto" w:sz="8" w:space="0"/>
                    <w:right w:val="single" w:color="auto" w:sz="4" w:space="0"/>
                  </w:tcBorders>
                  <w:shd w:val="clear" w:color="auto" w:fill="auto"/>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2200" w:type="pct"/>
                  <w:tcBorders>
                    <w:top w:val="single" w:color="auto" w:sz="4" w:space="0"/>
                    <w:left w:val="single" w:color="auto" w:sz="4" w:space="0"/>
                    <w:bottom w:val="single" w:color="auto" w:sz="8" w:space="0"/>
                    <w:right w:val="single" w:color="auto" w:sz="4" w:space="0"/>
                  </w:tcBorders>
                  <w:shd w:val="clear" w:color="auto" w:fill="auto"/>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《工业企业厂界环境噪声排放标准》（GB12348-2008）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rPr>
                    <w:t>类标准</w:t>
                  </w:r>
                </w:p>
              </w:tc>
              <w:tc>
                <w:tcPr>
                  <w:tcW w:w="591" w:type="pct"/>
                  <w:tcBorders>
                    <w:top w:val="single" w:color="auto" w:sz="4" w:space="0"/>
                    <w:left w:val="single" w:color="auto" w:sz="4" w:space="0"/>
                    <w:bottom w:val="single" w:color="auto" w:sz="8" w:space="0"/>
                    <w:right w:val="single" w:color="auto" w:sz="8" w:space="0"/>
                  </w:tcBorders>
                  <w:shd w:val="clear" w:color="auto" w:fill="auto"/>
                  <w:vAlign w:val="center"/>
                </w:tcPr>
                <w:p>
                  <w:pPr>
                    <w:spacing w:after="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w:t>
                  </w:r>
                </w:p>
              </w:tc>
            </w:tr>
          </w:tbl>
          <w:p>
            <w:pPr>
              <w:pStyle w:val="3"/>
              <w:bidi w:val="0"/>
              <w:ind w:left="0" w:leftChars="0" w:firstLine="0" w:firstLineChars="0"/>
              <w:rPr>
                <w:rFonts w:hint="eastAsia"/>
              </w:rPr>
            </w:pPr>
            <w:r>
              <w:rPr>
                <w:rFonts w:hint="eastAsia"/>
              </w:rPr>
              <w:t>固体废物</w:t>
            </w:r>
          </w:p>
          <w:p>
            <w:pPr>
              <w:spacing w:after="0" w:line="500" w:lineRule="exact"/>
              <w:ind w:firstLine="360" w:firstLineChars="150"/>
              <w:jc w:val="both"/>
              <w:rPr>
                <w:rFonts w:hint="eastAsia" w:ascii="Times New Roman" w:hAnsi="Times New Roman" w:cs="Times New Roman" w:eastAsiaTheme="minorEastAsia"/>
                <w:sz w:val="24"/>
                <w:szCs w:val="24"/>
                <w:lang w:val="en-US" w:eastAsia="zh-CN" w:bidi="ar-SA"/>
              </w:rPr>
            </w:pPr>
            <w:r>
              <w:rPr>
                <w:rFonts w:hint="eastAsia" w:ascii="Times New Roman" w:hAnsi="Times New Roman" w:eastAsia="宋体" w:cs="Times New Roman"/>
                <w:color w:val="auto"/>
                <w:sz w:val="24"/>
                <w:szCs w:val="24"/>
                <w:lang w:val="en-US" w:eastAsia="zh-CN" w:bidi="ar-SA"/>
              </w:rPr>
              <w:t>项目固体废物的处理、处置均应满足《中华人民共和国固体废物污染环境防治法》中的有关规定要求；一般工业固体废物执行《一般工业固体废物贮存和填埋污染控制标准》（GB18599-2020）；危险废物执行《国家危险废物名录》（2021版）、《危险废物储存污染控制标准》（GB18597-2023）。危险废物转移执行《危险废物转移联单管理办法》中相关要求。</w:t>
            </w:r>
          </w:p>
        </w:tc>
      </w:tr>
    </w:tbl>
    <w:p>
      <w:pPr>
        <w:spacing w:after="0" w:line="360" w:lineRule="auto"/>
        <w:rPr>
          <w:rFonts w:ascii="Times New Roman" w:hAnsi="Times New Roman" w:eastAsia="仿宋_GB2312"/>
          <w:b/>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t>表二</w:t>
      </w:r>
    </w:p>
    <w:tbl>
      <w:tblPr>
        <w:tblStyle w:val="21"/>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trPr>
        <w:tc>
          <w:tcPr>
            <w:tcW w:w="9849" w:type="dxa"/>
          </w:tcPr>
          <w:p>
            <w:pPr>
              <w:widowControl w:val="0"/>
              <w:spacing w:after="0" w:line="500" w:lineRule="exact"/>
              <w:jc w:val="both"/>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b/>
                <w:color w:val="000000" w:themeColor="text1"/>
                <w:kern w:val="2"/>
                <w:sz w:val="24"/>
                <w:szCs w:val="21"/>
                <w14:textFill>
                  <w14:solidFill>
                    <w14:schemeClr w14:val="tx1"/>
                  </w14:solidFill>
                </w14:textFill>
              </w:rPr>
              <w:t>工程建设内容：</w:t>
            </w:r>
            <w:r>
              <w:rPr>
                <w:rFonts w:ascii="Times New Roman" w:hAnsi="Times New Roman" w:eastAsia="宋体"/>
                <w:color w:val="000000" w:themeColor="text1"/>
                <w:sz w:val="24"/>
                <w:szCs w:val="21"/>
                <w14:textFill>
                  <w14:solidFill>
                    <w14:schemeClr w14:val="tx1"/>
                  </w14:solidFill>
                </w14:textFill>
              </w:rPr>
              <w:t xml:space="preserve"> </w:t>
            </w:r>
          </w:p>
          <w:p>
            <w:pPr>
              <w:widowControl w:val="0"/>
              <w:spacing w:after="0" w:line="50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项目租用两层标准厂房进行建设（万州区联合路12号第4、5层），其中，第4层建筑面积2000m</w:t>
            </w:r>
            <w:r>
              <w:rPr>
                <w:rFonts w:hint="eastAsia" w:ascii="Times New Roman" w:hAnsi="Times New Roman" w:eastAsia="宋体"/>
                <w:color w:val="000000" w:themeColor="text1"/>
                <w:sz w:val="24"/>
                <w:szCs w:val="24"/>
                <w:vertAlign w:val="superscript"/>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，布置生产车间，设置贴片生产线1条，线路调试线2条，装配线2条；第5层建筑面积2000m</w:t>
            </w:r>
            <w:r>
              <w:rPr>
                <w:rFonts w:hint="eastAsia" w:ascii="Times New Roman" w:hAnsi="Times New Roman" w:eastAsia="宋体"/>
                <w:color w:val="000000" w:themeColor="text1"/>
                <w:sz w:val="24"/>
                <w:szCs w:val="24"/>
                <w:vertAlign w:val="superscript"/>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，设置原料、产品仓库、办公区、含浸及喷漆区等。项目给排水、用地等由园区公用工程提供。</w:t>
            </w:r>
          </w:p>
          <w:p>
            <w:pPr>
              <w:widowControl w:val="0"/>
              <w:spacing w:after="0" w:line="50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项目包含主体工程、辅助工程、公用工程、环保工程等，</w:t>
            </w:r>
            <w:r>
              <w:rPr>
                <w:rFonts w:hint="default" w:ascii="Times New Roman" w:hAnsi="Times New Roman" w:eastAsia="宋体" w:cs="Times New Roman"/>
                <w:color w:val="000000" w:themeColor="text1"/>
                <w:sz w:val="24"/>
                <w:szCs w:val="24"/>
                <w14:textFill>
                  <w14:solidFill>
                    <w14:schemeClr w14:val="tx1"/>
                  </w14:solidFill>
                </w14:textFill>
              </w:rPr>
              <w:t>实际建设内容与环评阶段对比情况见表2-1。</w:t>
            </w:r>
          </w:p>
          <w:p>
            <w:pPr>
              <w:widowControl w:val="0"/>
              <w:spacing w:after="0" w:line="500" w:lineRule="exact"/>
              <w:ind w:firstLine="482"/>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表2-</w:t>
            </w:r>
            <w:r>
              <w:rPr>
                <w:rFonts w:hint="eastAsia" w:ascii="Times New Roman" w:hAnsi="Times New Roman" w:eastAsia="宋体"/>
                <w:b/>
                <w:color w:val="000000" w:themeColor="text1"/>
                <w:kern w:val="2"/>
                <w:sz w:val="21"/>
                <w:szCs w:val="21"/>
                <w14:textFill>
                  <w14:solidFill>
                    <w14:schemeClr w14:val="tx1"/>
                  </w14:solidFill>
                </w14:textFill>
              </w:rPr>
              <w:t>1</w:t>
            </w:r>
            <w:r>
              <w:rPr>
                <w:rFonts w:ascii="Times New Roman" w:hAnsi="Times New Roman" w:eastAsia="宋体"/>
                <w:b/>
                <w:color w:val="000000" w:themeColor="text1"/>
                <w:kern w:val="2"/>
                <w:sz w:val="21"/>
                <w:szCs w:val="21"/>
                <w14:textFill>
                  <w14:solidFill>
                    <w14:schemeClr w14:val="tx1"/>
                  </w14:solidFill>
                </w14:textFill>
              </w:rPr>
              <w:t xml:space="preserve">  项目建设内容一览表</w:t>
            </w:r>
          </w:p>
          <w:tbl>
            <w:tblPr>
              <w:tblStyle w:val="20"/>
              <w:tblW w:w="963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358"/>
              <w:gridCol w:w="518"/>
              <w:gridCol w:w="563"/>
              <w:gridCol w:w="2650"/>
              <w:gridCol w:w="39"/>
              <w:gridCol w:w="2758"/>
              <w:gridCol w:w="1405"/>
              <w:gridCol w:w="1301"/>
              <w:gridCol w:w="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399" w:hRule="atLeast"/>
                <w:jc w:val="center"/>
              </w:trPr>
              <w:tc>
                <w:tcPr>
                  <w:tcW w:w="747" w:type="pct"/>
                  <w:gridSpan w:val="3"/>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工程名称</w:t>
                  </w:r>
                </w:p>
              </w:tc>
              <w:tc>
                <w:tcPr>
                  <w:tcW w:w="1375" w:type="pct"/>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环评建设情况</w:t>
                  </w:r>
                </w:p>
              </w:tc>
              <w:tc>
                <w:tcPr>
                  <w:tcW w:w="1451"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14:textFill>
                        <w14:solidFill>
                          <w14:schemeClr w14:val="tx1"/>
                        </w14:solidFill>
                      </w14:textFill>
                    </w:rPr>
                    <w:t>已验收内容</w:t>
                  </w:r>
                </w:p>
              </w:tc>
              <w:tc>
                <w:tcPr>
                  <w:tcW w:w="729" w:type="pct"/>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eastAsia" w:ascii="Times New Roman" w:hAnsi="Times New Roman" w:eastAsia="宋体" w:cs="Times New Roman"/>
                      <w:b/>
                      <w:bCs/>
                      <w:color w:val="000000" w:themeColor="text1"/>
                      <w:kern w:val="2"/>
                      <w:sz w:val="21"/>
                      <w:szCs w:val="21"/>
                      <w:lang w:eastAsia="zh-CN"/>
                      <w14:textFill>
                        <w14:solidFill>
                          <w14:schemeClr w14:val="tx1"/>
                        </w14:solidFill>
                      </w14:textFill>
                    </w:rPr>
                    <w:t>本次验收</w:t>
                  </w:r>
                  <w:r>
                    <w:rPr>
                      <w:rFonts w:hint="default" w:ascii="Times New Roman" w:hAnsi="Times New Roman" w:eastAsia="宋体" w:cs="Times New Roman"/>
                      <w:b/>
                      <w:bCs/>
                      <w:color w:val="000000" w:themeColor="text1"/>
                      <w:kern w:val="2"/>
                      <w:sz w:val="21"/>
                      <w:szCs w:val="21"/>
                      <w14:textFill>
                        <w14:solidFill>
                          <w14:schemeClr w14:val="tx1"/>
                        </w14:solidFill>
                      </w14:textFill>
                    </w:rPr>
                    <w:t>建设内容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eastAsia="zh-CN"/>
                      <w14:textFill>
                        <w14:solidFill>
                          <w14:schemeClr w14:val="tx1"/>
                        </w14:solidFill>
                      </w14:textFill>
                    </w:rPr>
                    <w:t>与环评是否一致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主体工程</w:t>
                  </w: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生产车间</w:t>
                  </w:r>
                </w:p>
              </w:tc>
              <w:tc>
                <w:tcPr>
                  <w:tcW w:w="1375" w:type="pct"/>
                  <w:shd w:val="clear" w:color="auto" w:fill="FFFFFF"/>
                  <w:vAlign w:val="center"/>
                </w:tcPr>
                <w:p>
                  <w:pPr>
                    <w:widowControl w:val="0"/>
                    <w:adjustRightInd/>
                    <w:snapToGrid/>
                    <w:spacing w:after="0"/>
                    <w:jc w:val="both"/>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第4层建筑面积2000m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，布置生产车间，设置贴片生产线1条，线路调试线2条，装配线2条；</w:t>
                  </w:r>
                </w:p>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第5层建筑面积2000m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，设置原料、产品仓库、办公区、含浸加工区、喷漆区、线材加工区等。</w:t>
                  </w:r>
                </w:p>
              </w:tc>
              <w:tc>
                <w:tcPr>
                  <w:tcW w:w="1451" w:type="pct"/>
                  <w:gridSpan w:val="2"/>
                  <w:shd w:val="clear" w:color="auto" w:fill="FFFFFF"/>
                  <w:vAlign w:val="center"/>
                </w:tcPr>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贴片生产线1条，线路调试线1条，装配线1条，原料、产品仓库、办公区、含浸加工区、喷漆区、线材加工区等</w:t>
                  </w:r>
                </w:p>
              </w:tc>
              <w:tc>
                <w:tcPr>
                  <w:tcW w:w="729" w:type="pct"/>
                  <w:shd w:val="clear" w:color="auto" w:fill="FFFFFF"/>
                  <w:vAlign w:val="center"/>
                </w:tcPr>
                <w:p>
                  <w:pPr>
                    <w:widowControl w:val="0"/>
                    <w:adjustRightInd/>
                    <w:snapToGrid/>
                    <w:spacing w:after="0"/>
                    <w:jc w:val="both"/>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线路调试线1条，装配线1条；含浸加工区</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辅助工程</w:t>
                  </w: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办公区</w:t>
                  </w:r>
                </w:p>
              </w:tc>
              <w:tc>
                <w:tcPr>
                  <w:tcW w:w="1375" w:type="pct"/>
                  <w:shd w:val="clear" w:color="auto" w:fill="FFFFFF"/>
                  <w:vAlign w:val="center"/>
                </w:tcPr>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建筑面积约500m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，位于厂房第5层，主要负责企业日常管理。</w:t>
                  </w:r>
                </w:p>
              </w:tc>
              <w:tc>
                <w:tcPr>
                  <w:tcW w:w="1451" w:type="pct"/>
                  <w:gridSpan w:val="2"/>
                  <w:shd w:val="clear" w:color="auto" w:fill="FFFFFF"/>
                  <w:vAlign w:val="center"/>
                </w:tcPr>
                <w:p>
                  <w:pPr>
                    <w:widowControl w:val="0"/>
                    <w:adjustRightInd/>
                    <w:snapToGrid/>
                    <w:spacing w:after="0"/>
                    <w:jc w:val="both"/>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建筑面积500m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，位于厂房第5层，主要负责企业日常管理。</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员工食堂</w:t>
                  </w:r>
                </w:p>
              </w:tc>
              <w:tc>
                <w:tcPr>
                  <w:tcW w:w="1375" w:type="pct"/>
                  <w:shd w:val="clear" w:color="auto" w:fill="FFFFFF"/>
                  <w:vAlign w:val="center"/>
                </w:tcPr>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无食堂，依托光电园食堂就餐。</w:t>
                  </w:r>
                </w:p>
              </w:tc>
              <w:tc>
                <w:tcPr>
                  <w:tcW w:w="1451" w:type="pct"/>
                  <w:gridSpan w:val="2"/>
                  <w:shd w:val="clear" w:color="auto" w:fill="FFFFFF"/>
                  <w:vAlign w:val="center"/>
                </w:tcPr>
                <w:p>
                  <w:pPr>
                    <w:widowControl w:val="0"/>
                    <w:adjustRightInd/>
                    <w:snapToGrid/>
                    <w:spacing w:after="0"/>
                    <w:jc w:val="both"/>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依托光电园食堂就餐。</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公用工程</w:t>
                  </w: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给水</w:t>
                  </w:r>
                </w:p>
              </w:tc>
              <w:tc>
                <w:tcPr>
                  <w:tcW w:w="1375" w:type="pct"/>
                  <w:shd w:val="clear" w:color="auto" w:fill="FFFFFF"/>
                  <w:vAlign w:val="center"/>
                </w:tcPr>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依托园区给水系统。</w:t>
                  </w:r>
                </w:p>
              </w:tc>
              <w:tc>
                <w:tcPr>
                  <w:tcW w:w="1451" w:type="pct"/>
                  <w:gridSpan w:val="2"/>
                  <w:shd w:val="clear" w:color="auto" w:fill="FFFFFF"/>
                  <w:vAlign w:val="center"/>
                </w:tcPr>
                <w:p>
                  <w:pPr>
                    <w:widowControl w:val="0"/>
                    <w:adjustRightInd/>
                    <w:snapToGrid/>
                    <w:spacing w:after="0"/>
                    <w:jc w:val="both"/>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依托园区给水系统。</w:t>
                  </w:r>
                </w:p>
              </w:tc>
              <w:tc>
                <w:tcPr>
                  <w:tcW w:w="729" w:type="pct"/>
                  <w:shd w:val="clear" w:color="auto" w:fill="FFFFFF"/>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pStyle w:val="63"/>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排水</w:t>
                  </w:r>
                </w:p>
              </w:tc>
              <w:tc>
                <w:tcPr>
                  <w:tcW w:w="1375"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采用雨污分流制，无生产废水，生活污水排入园区现有生化池处理后排入市政污水管网。</w:t>
                  </w:r>
                </w:p>
              </w:tc>
              <w:tc>
                <w:tcPr>
                  <w:tcW w:w="1451"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采用雨污分流制，无生产废水，生活污水排入园区现有生化池处理后排入市政污水管网。</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供电</w:t>
                  </w:r>
                </w:p>
              </w:tc>
              <w:tc>
                <w:tcPr>
                  <w:tcW w:w="1375"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依托园区供电系统。</w:t>
                  </w:r>
                </w:p>
              </w:tc>
              <w:tc>
                <w:tcPr>
                  <w:tcW w:w="1451"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依托园区供电系统。</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通风</w:t>
                  </w:r>
                </w:p>
              </w:tc>
              <w:tc>
                <w:tcPr>
                  <w:tcW w:w="13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车间通风采用空气净化系统处理后送风；</w:t>
                  </w:r>
                </w:p>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车间产生的焊接废气和有机废气等通过管道集中收集、处理后排放。</w:t>
                  </w:r>
                </w:p>
              </w:tc>
              <w:tc>
                <w:tcPr>
                  <w:tcW w:w="1451"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车间通风采用空气净化系统处理后送风；</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车间产生的焊接废气和有机废气等通过管道集中收集、处理后排放。</w:t>
                  </w:r>
                </w:p>
              </w:tc>
              <w:tc>
                <w:tcPr>
                  <w:tcW w:w="729" w:type="pct"/>
                  <w:shd w:val="clear" w:color="auto" w:fill="FFFFFF"/>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pStyle w:val="63"/>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储运工程</w:t>
                  </w: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原材料库房</w:t>
                  </w:r>
                </w:p>
              </w:tc>
              <w:tc>
                <w:tcPr>
                  <w:tcW w:w="1375"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位于厂房第5层北侧，面积约500m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451"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位于厂房第5层北侧，面积约500m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gridAfter w:val="1"/>
                <w:wAfter w:w="20" w:type="pct"/>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60"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成品库房</w:t>
                  </w:r>
                </w:p>
              </w:tc>
              <w:tc>
                <w:tcPr>
                  <w:tcW w:w="1375"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位于厂房第5层西侧，面积约300m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451"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位于厂房第5层西侧，面积约300m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75"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jc w:val="center"/>
              </w:trPr>
              <w:tc>
                <w:tcPr>
                  <w:tcW w:w="186"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环保工程</w:t>
                  </w:r>
                </w:p>
              </w:tc>
              <w:tc>
                <w:tcPr>
                  <w:tcW w:w="269"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废气</w:t>
                  </w:r>
                </w:p>
              </w:tc>
              <w:tc>
                <w:tcPr>
                  <w:tcW w:w="291"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焊接烟尘、有机废气</w:t>
                  </w:r>
                </w:p>
              </w:tc>
              <w:tc>
                <w:tcPr>
                  <w:tcW w:w="1395"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每个产生焊接烟尘的工序，设置单独的集气管道收集后，再引到厂房楼顶净化处理后排放（1#排气筒）；喷三防漆（固化）产生的废气通过集气罩收集后，引到厂房楼顶净化处理后排放（2#排气筒）；每个排气筒前端配备一套“过滤器+活性炭吸附”装置，废气通过处理后排放，排放高度大于15m。</w:t>
                  </w:r>
                </w:p>
              </w:tc>
              <w:tc>
                <w:tcPr>
                  <w:tcW w:w="1430"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每个产生焊接烟尘的工序，设置单独的集气管道收集后，再引到厂房楼顶净化处理后排放（1#排气筒）；喷三防漆（固化）产生的废气通过集气罩收集后，引到厂房楼顶净化处理后排放（2#排气筒）；每个排气筒前端配备一套“过滤器+活性炭吸附”装置，废气通过处理后排放，排放高度大于15m。</w:t>
                  </w:r>
                </w:p>
              </w:tc>
              <w:tc>
                <w:tcPr>
                  <w:tcW w:w="729"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两套设备都增加UV光氧催化装置处理效果更佳</w:t>
                  </w:r>
                </w:p>
              </w:tc>
              <w:tc>
                <w:tcPr>
                  <w:tcW w:w="696"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69"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废水</w:t>
                  </w:r>
                </w:p>
              </w:tc>
              <w:tc>
                <w:tcPr>
                  <w:tcW w:w="291"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生活</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污水</w:t>
                  </w:r>
                </w:p>
              </w:tc>
              <w:tc>
                <w:tcPr>
                  <w:tcW w:w="1395" w:type="pct"/>
                  <w:gridSpan w:val="2"/>
                  <w:shd w:val="clear" w:color="auto" w:fill="FFFFFF"/>
                  <w:vAlign w:val="center"/>
                </w:tcPr>
                <w:p>
                  <w:pPr>
                    <w:widowControl w:val="0"/>
                    <w:adjustRightInd/>
                    <w:snapToGrid/>
                    <w:spacing w:after="0"/>
                    <w:jc w:val="both"/>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生活污水排入标准厂房生化池进行处理后，再排入市政污水管道，最后进入沱口污水处理厂进行深度处理后排放。生化池位于标准厂房北面，日处理能力大于50m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/d。</w:t>
                  </w:r>
                </w:p>
              </w:tc>
              <w:tc>
                <w:tcPr>
                  <w:tcW w:w="1430" w:type="pct"/>
                  <w:shd w:val="clear" w:color="auto" w:fill="FFFFFF"/>
                  <w:vAlign w:val="center"/>
                </w:tcPr>
                <w:p>
                  <w:pPr>
                    <w:widowControl w:val="0"/>
                    <w:adjustRightInd/>
                    <w:snapToGrid/>
                    <w:spacing w:after="0"/>
                    <w:jc w:val="both"/>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生活污水排入标准厂房生化池进行处理后，再排入市政污水管道，最后进入沱口污水处理厂进行深度处理后排放。生化池位于标准厂房北面，日处理能力大于50m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/d。</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96"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69"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固废</w:t>
                  </w:r>
                </w:p>
              </w:tc>
              <w:tc>
                <w:tcPr>
                  <w:tcW w:w="291"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一般</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固废</w:t>
                  </w:r>
                </w:p>
              </w:tc>
              <w:tc>
                <w:tcPr>
                  <w:tcW w:w="1395"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一般固废暂存间，位于厂房第4层西北角，面积约30m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430"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一般固废暂存间，位于厂房第4层西北角，面积约30m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96"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39"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69"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91"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危险</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固废</w:t>
                  </w:r>
                </w:p>
              </w:tc>
              <w:tc>
                <w:tcPr>
                  <w:tcW w:w="1395"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危险废物暂存间，位于厂房第4层西北角，面积约20m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43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危险废物暂存间，位于厂房第4层西北角，面积约20m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729" w:type="pct"/>
                  <w:shd w:val="clear" w:color="auto" w:fill="FFFFFF"/>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96" w:type="pct"/>
                  <w:gridSpan w:val="2"/>
                  <w:shd w:val="clear" w:color="auto" w:fill="FFFFFF"/>
                  <w:vAlign w:val="center"/>
                </w:tcPr>
                <w:p>
                  <w:pPr>
                    <w:pStyle w:val="63"/>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6"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69"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91"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生活</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垃圾</w:t>
                  </w:r>
                </w:p>
              </w:tc>
              <w:tc>
                <w:tcPr>
                  <w:tcW w:w="1395"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办公区设置垃圾收集桶，定点收集袋装化后交由市政环卫部门统一处理。</w:t>
                  </w:r>
                </w:p>
              </w:tc>
              <w:tc>
                <w:tcPr>
                  <w:tcW w:w="1430"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办公区设置垃圾收集桶，定点收集袋装化后交由市政环卫部门统一处理。</w:t>
                  </w:r>
                </w:p>
              </w:tc>
              <w:tc>
                <w:tcPr>
                  <w:tcW w:w="729"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依托已验收内容</w:t>
                  </w:r>
                </w:p>
              </w:tc>
              <w:tc>
                <w:tcPr>
                  <w:tcW w:w="696"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14:textFill>
                        <w14:solidFill>
                          <w14:schemeClr w14:val="tx1"/>
                        </w14:solidFill>
                      </w14:textFill>
                    </w:rPr>
                    <w:t>与环评一致</w:t>
                  </w:r>
                </w:p>
              </w:tc>
            </w:tr>
          </w:tbl>
          <w:p>
            <w:pPr>
              <w:pStyle w:val="19"/>
              <w:spacing w:after="0" w:line="540" w:lineRule="exact"/>
              <w:ind w:left="0" w:leftChars="0" w:firstLine="0" w:firstLineChars="0"/>
              <w:rPr>
                <w:rFonts w:hint="eastAsia" w:hAnsi="宋体" w:asciiTheme="minorHAnsi" w:eastAsiaTheme="minorEastAsia" w:cstheme="minorBidi"/>
                <w:b/>
                <w:bCs/>
                <w:kern w:val="2"/>
                <w:sz w:val="24"/>
                <w:szCs w:val="24"/>
                <w:lang w:val="en-US" w:eastAsia="zh-CN" w:bidi="ar-SA"/>
              </w:rPr>
            </w:pPr>
            <w:r>
              <w:rPr>
                <w:rFonts w:hint="eastAsia" w:hAnsi="宋体" w:asciiTheme="minorHAnsi" w:eastAsiaTheme="minorEastAsia" w:cstheme="minorBidi"/>
                <w:b/>
                <w:bCs/>
                <w:kern w:val="2"/>
                <w:sz w:val="24"/>
                <w:szCs w:val="24"/>
                <w:lang w:val="en-US" w:eastAsia="zh-CN" w:bidi="ar-SA"/>
              </w:rPr>
              <w:t>建设内容及规模变更情况</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重庆格上新能源有限公司光伏逆变器和开关电源制造项目建</w:t>
            </w:r>
            <w:r>
              <w:rPr>
                <w:rFonts w:hint="eastAsia" w:ascii="Times New Roman" w:hAnsi="Times New Roman" w:eastAsia="宋体" w:cs="Times New Roman"/>
                <w:color w:val="000000" w:themeColor="text1"/>
                <w:sz w:val="24"/>
                <w:szCs w:val="24"/>
                <w14:textFill>
                  <w14:solidFill>
                    <w14:schemeClr w14:val="tx1"/>
                  </w14:solidFill>
                </w14:textFill>
              </w:rPr>
              <w:t>设内容及规模与环评</w:t>
            </w:r>
            <w:r>
              <w:rPr>
                <w:rFonts w:hint="eastAsia" w:ascii="Times New Roman" w:hAnsi="Times New Roman" w:eastAsia="宋体" w:cs="Times New Roman"/>
                <w:color w:val="000000" w:themeColor="text1"/>
                <w:sz w:val="24"/>
                <w:szCs w:val="24"/>
                <w:lang w:eastAsia="zh-CN"/>
                <w14:textFill>
                  <w14:solidFill>
                    <w14:schemeClr w14:val="tx1"/>
                  </w14:solidFill>
                </w14:textFill>
              </w:rPr>
              <w:t>和批复相比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。增加UV光氧催化装置处理效果更佳。其余</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项目建设内容与环评一致。本次验收</w:t>
            </w:r>
            <w:r>
              <w:rPr>
                <w:rFonts w:hint="eastAsia" w:ascii="Times New Roman" w:hAnsi="宋体" w:eastAsia="宋体" w:cs="宋体"/>
                <w:sz w:val="24"/>
                <w:lang w:val="en-US" w:eastAsia="zh-CN"/>
              </w:rPr>
              <w:t>实际建成生产能力见下表。</w:t>
            </w:r>
          </w:p>
          <w:p>
            <w:pPr>
              <w:widowControl w:val="0"/>
              <w:spacing w:after="0" w:line="500" w:lineRule="exact"/>
              <w:ind w:firstLine="482"/>
              <w:jc w:val="center"/>
              <w:rPr>
                <w:rFonts w:hint="eastAsia" w:ascii="Times New Roman" w:hAnsi="Times New Roman" w:eastAsia="宋体"/>
                <w:b/>
                <w:color w:val="000000" w:themeColor="text1"/>
                <w:kern w:val="2"/>
                <w:sz w:val="21"/>
                <w:szCs w:val="21"/>
                <w:lang w:eastAsia="zh-CN"/>
                <w14:textFill>
                  <w14:solidFill>
                    <w14:schemeClr w14:val="tx1"/>
                  </w14:solidFill>
                </w14:textFill>
              </w:rPr>
            </w:pPr>
            <w:r>
              <w:rPr>
                <w:rFonts w:hint="eastAsia" w:ascii="Times New Roman" w:hAnsi="Times New Roman" w:eastAsia="宋体"/>
                <w:b/>
                <w:color w:val="000000" w:themeColor="text1"/>
                <w:kern w:val="2"/>
                <w:sz w:val="21"/>
                <w:szCs w:val="21"/>
                <w:lang w:eastAsia="zh-CN"/>
                <w14:textFill>
                  <w14:solidFill>
                    <w14:schemeClr w14:val="tx1"/>
                  </w14:solidFill>
                </w14:textFill>
              </w:rPr>
              <w:t>表</w:t>
            </w:r>
            <w:r>
              <w:rPr>
                <w:rFonts w:hint="eastAsia" w:ascii="Times New Roman" w:hAnsi="Times New Roman" w:eastAsia="宋体"/>
                <w:b/>
                <w:color w:val="000000" w:themeColor="text1"/>
                <w:kern w:val="2"/>
                <w:sz w:val="21"/>
                <w:szCs w:val="21"/>
                <w:lang w:val="en-US" w:eastAsia="zh-CN"/>
                <w14:textFill>
                  <w14:solidFill>
                    <w14:schemeClr w14:val="tx1"/>
                  </w14:solidFill>
                </w14:textFill>
              </w:rPr>
              <w:t xml:space="preserve">2-2   </w:t>
            </w:r>
            <w:r>
              <w:rPr>
                <w:rFonts w:hint="eastAsia" w:ascii="Times New Roman" w:hAnsi="Times New Roman" w:eastAsia="宋体"/>
                <w:b/>
                <w:color w:val="000000" w:themeColor="text1"/>
                <w:kern w:val="2"/>
                <w:sz w:val="21"/>
                <w:szCs w:val="21"/>
                <w14:textFill>
                  <w14:solidFill>
                    <w14:schemeClr w14:val="tx1"/>
                  </w14:solidFill>
                </w14:textFill>
              </w:rPr>
              <w:t>项目</w:t>
            </w:r>
            <w:r>
              <w:rPr>
                <w:rFonts w:hint="eastAsia" w:ascii="Times New Roman" w:hAnsi="Times New Roman" w:eastAsia="宋体"/>
                <w:b/>
                <w:color w:val="000000" w:themeColor="text1"/>
                <w:kern w:val="2"/>
                <w:sz w:val="21"/>
                <w:szCs w:val="21"/>
                <w:lang w:eastAsia="zh-CN"/>
                <w14:textFill>
                  <w14:solidFill>
                    <w14:schemeClr w14:val="tx1"/>
                  </w14:solidFill>
                </w14:textFill>
              </w:rPr>
              <w:t>实际生产能力</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782"/>
              <w:gridCol w:w="2481"/>
              <w:gridCol w:w="2606"/>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序号</w:t>
                  </w:r>
                </w:p>
              </w:tc>
              <w:tc>
                <w:tcPr>
                  <w:tcW w:w="926"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产品名称</w:t>
                  </w:r>
                </w:p>
              </w:tc>
              <w:tc>
                <w:tcPr>
                  <w:tcW w:w="1289"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产品规格、用途</w:t>
                  </w:r>
                </w:p>
              </w:tc>
              <w:tc>
                <w:tcPr>
                  <w:tcW w:w="135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产品外观</w:t>
                  </w:r>
                </w:p>
              </w:tc>
              <w:tc>
                <w:tcPr>
                  <w:tcW w:w="995"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产量（万台/年）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926"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光伏逆变器</w:t>
                  </w:r>
                </w:p>
              </w:tc>
              <w:tc>
                <w:tcPr>
                  <w:tcW w:w="1289"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12V~24V，变压器；</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用途：直流电转交流电</w:t>
                  </w:r>
                </w:p>
              </w:tc>
              <w:tc>
                <w:tcPr>
                  <w:tcW w:w="135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drawing>
                      <wp:inline distT="0" distB="0" distL="114300" distR="114300">
                        <wp:extent cx="1268095" cy="1113790"/>
                        <wp:effectExtent l="0" t="0" r="8255" b="10160"/>
                        <wp:docPr id="28" name="图片 1" descr="IMG_20210205_14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0210205_141536"/>
                                <pic:cNvPicPr>
                                  <a:picLocks noChangeAspect="1"/>
                                </pic:cNvPicPr>
                              </pic:nvPicPr>
                              <pic:blipFill>
                                <a:blip r:embed="rId7"/>
                                <a:stretch>
                                  <a:fillRect/>
                                </a:stretch>
                              </pic:blipFill>
                              <pic:spPr>
                                <a:xfrm>
                                  <a:off x="0" y="0"/>
                                  <a:ext cx="1268095" cy="1113790"/>
                                </a:xfrm>
                                <a:prstGeom prst="rect">
                                  <a:avLst/>
                                </a:prstGeom>
                                <a:noFill/>
                                <a:ln>
                                  <a:noFill/>
                                </a:ln>
                              </pic:spPr>
                            </pic:pic>
                          </a:graphicData>
                        </a:graphic>
                      </wp:inline>
                    </w:drawing>
                  </w:r>
                </w:p>
              </w:tc>
              <w:tc>
                <w:tcPr>
                  <w:tcW w:w="995"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3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w:t>
                  </w:r>
                </w:p>
              </w:tc>
              <w:tc>
                <w:tcPr>
                  <w:tcW w:w="926"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开关电源</w:t>
                  </w:r>
                </w:p>
              </w:tc>
              <w:tc>
                <w:tcPr>
                  <w:tcW w:w="1289"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12V~24V，变压器；</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用途：交流电转直流电</w:t>
                  </w:r>
                </w:p>
              </w:tc>
              <w:tc>
                <w:tcPr>
                  <w:tcW w:w="1354"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drawing>
                      <wp:inline distT="0" distB="0" distL="114300" distR="114300">
                        <wp:extent cx="875030" cy="1336040"/>
                        <wp:effectExtent l="0" t="0" r="1270" b="16510"/>
                        <wp:docPr id="29" name="图片 2" descr="Screenshot_20210205_1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Screenshot_20210205_141512"/>
                                <pic:cNvPicPr>
                                  <a:picLocks noChangeAspect="1"/>
                                </pic:cNvPicPr>
                              </pic:nvPicPr>
                              <pic:blipFill>
                                <a:blip r:embed="rId8"/>
                                <a:stretch>
                                  <a:fillRect/>
                                </a:stretch>
                              </pic:blipFill>
                              <pic:spPr>
                                <a:xfrm>
                                  <a:off x="0" y="0"/>
                                  <a:ext cx="875030" cy="1336040"/>
                                </a:xfrm>
                                <a:prstGeom prst="rect">
                                  <a:avLst/>
                                </a:prstGeom>
                                <a:noFill/>
                                <a:ln>
                                  <a:noFill/>
                                </a:ln>
                              </pic:spPr>
                            </pic:pic>
                          </a:graphicData>
                        </a:graphic>
                      </wp:inline>
                    </w:drawing>
                  </w:r>
                </w:p>
              </w:tc>
              <w:tc>
                <w:tcPr>
                  <w:tcW w:w="995" w:type="pct"/>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p>
              </w:tc>
            </w:tr>
          </w:tbl>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根据</w:t>
            </w:r>
            <w:r>
              <w:rPr>
                <w:rFonts w:hint="eastAsia" w:ascii="Times New Roman" w:hAnsi="Times New Roman" w:eastAsia="宋体"/>
                <w:color w:val="000000" w:themeColor="text1"/>
                <w:sz w:val="24"/>
                <w:szCs w:val="24"/>
                <w14:textFill>
                  <w14:solidFill>
                    <w14:schemeClr w14:val="tx1"/>
                  </w14:solidFill>
                </w14:textFill>
              </w:rPr>
              <w:t>关于印发《污染影响类建设项目重大变动清单（试行）》的通知</w:t>
            </w:r>
            <w:r>
              <w:rPr>
                <w:rFonts w:hint="eastAsia" w:ascii="Times New Roman" w:hAnsi="Times New Roman" w:eastAsia="宋体" w:cs="Times New Roman"/>
                <w:color w:val="000000" w:themeColor="text1"/>
                <w:sz w:val="24"/>
                <w:szCs w:val="24"/>
                <w:lang w:eastAsia="zh-CN"/>
                <w14:textFill>
                  <w14:solidFill>
                    <w14:schemeClr w14:val="tx1"/>
                  </w14:solidFill>
                </w14:textFill>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本验收项目的性质、规模、地点、生产工艺和环境保护措施未发生重大变动，因此，本验收项目的变更内容不属于重大变动，可纳入竣工环境保护验收管理。</w:t>
            </w:r>
          </w:p>
          <w:p>
            <w:pPr>
              <w:widowControl w:val="0"/>
              <w:spacing w:after="0" w:line="500" w:lineRule="exact"/>
              <w:jc w:val="both"/>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pPr>
            <w:r>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t>项目总平面布置</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厂房及车间布置：项目租用两层厂房（第4、5层），第四层主要布局生产线（贴片生产线1条，线路调试线2条，装配线2条），第5层主要设置仓库（原料仓库、成品仓库）以及含浸加工区、喷漆区、线材加工区。</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环保设施布置：生产中产生部分焊接废气的焊锡、手工补焊、回流焊废气都通过1#排气筒排放，焊接废气的焊锡、手工补焊、回流焊、产生有机废气的喷三防漆及固化废气都通过2#排气筒排放，废气都经过净化处理后排放，排放口位于厂房屋顶上；办公区设置1处垃圾收集点；厂房第4层生产车间内设置一般工业固废收集点、危废暂存间，便于收集固体废物。</w:t>
            </w:r>
          </w:p>
          <w:p>
            <w:pPr>
              <w:widowControl w:val="0"/>
              <w:spacing w:after="0" w:line="500" w:lineRule="exact"/>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项目将主要生产区和库房分开，能够避免生产车间废气对其他人员的影响；车间内空气通过新风系统净化后使用，办公区为自然通风，这样的布局能够减少生产车间和办公区的相互影响，因此项目总体布局合理。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auto"/>
                <w:sz w:val="24"/>
                <w:szCs w:val="24"/>
              </w:rPr>
              <w:t xml:space="preserve"> 项目总平面布置图见附图</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w:t>
            </w:r>
          </w:p>
          <w:p>
            <w:pPr>
              <w:widowControl w:val="0"/>
              <w:spacing w:after="0" w:line="500" w:lineRule="exact"/>
              <w:jc w:val="both"/>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pPr>
            <w:r>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t>原辅材料消耗及水平衡：</w:t>
            </w:r>
          </w:p>
          <w:p>
            <w:pPr>
              <w:widowControl w:val="0"/>
              <w:spacing w:after="0" w:line="360" w:lineRule="auto"/>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项目实际原辅材料详见表2-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，实际生产设备详见表2-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14"/>
              <w:widowControl w:val="0"/>
              <w:spacing w:line="240" w:lineRule="auto"/>
              <w:rPr>
                <w:rFonts w:hint="eastAsia" w:ascii="Times New Roman" w:hAnsi="Times New Roman" w:eastAsia="宋体" w:cs="Times New Roman"/>
                <w:snapToGrid/>
                <w:color w:val="000000"/>
                <w:sz w:val="21"/>
                <w:lang w:val="en-US" w:eastAsia="zh-CN" w:bidi="ar-SA"/>
              </w:rPr>
            </w:pPr>
            <w:r>
              <w:rPr>
                <w:rFonts w:hint="eastAsia" w:ascii="Times New Roman" w:hAnsi="Times New Roman" w:eastAsia="宋体" w:cs="Times New Roman"/>
                <w:snapToGrid/>
                <w:color w:val="000000"/>
                <w:sz w:val="21"/>
                <w:lang w:val="en-US" w:eastAsia="zh-CN" w:bidi="ar-SA"/>
              </w:rPr>
              <w:t>表2-3  原辅材料及能源消耗情况一览表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58"/>
              <w:gridCol w:w="1380"/>
              <w:gridCol w:w="1125"/>
              <w:gridCol w:w="438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序号</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材料名称</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规格/型号</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年用量</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备注（来源及用途）</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w:t>
                  </w:r>
                </w:p>
              </w:tc>
              <w:tc>
                <w:tcPr>
                  <w:tcW w:w="549" w:type="pct"/>
                  <w:noWrap w:val="0"/>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电子材料</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1390万个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电解电容</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733万个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变压器</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32万个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4</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电阻材料</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1384万个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电源板</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6</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包装材料</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4万个</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外购半成品，用于组装</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7</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锡条</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无铅</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3t</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外购，主要成分Sn3.0Ag0.5Cu，用于波峰焊</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8</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锡丝</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无铅</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1t</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外购，主要成分Sn3.0Ag0.5Cu</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9</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锡膏</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无铅</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3t</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外购，主要成分Sn3.0Ag0.5Cu，用于回流焊，锡膏成份中锡粉与助焊剂的重量比是9:1，主要成分为乙醇60%、异丙醇35%、松香2%、有机酸1%，其他各类添加剂2%。用于回流焊</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10</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助焊剂</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1.5t</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外购，主要成分为乙醇、异丙醇、松香、有机酸。用于波峰焊</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11</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三防漆</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YXHE-420环保绝缘漆</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200kg</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外购，环保绝缘漆系氟改性丙烯酸脂，用于电子线圈，马达转子，线路板表面，金属板材，线材链接处以及防静电等产品的表面喷涂。</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5F原料库，标准包装20kg/桶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12</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绝缘漆</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自干绝缘漆（凡立水）JG-36-1</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150kg</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外购，产品化学成分树脂—醇酸树脂，适用于各种电器：变压器、马达、线圈、磁圈定子、稳压器、电源转换器、滤波器、互感器等绝缘处理，用于含浸工艺。</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2"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13</w:t>
                  </w:r>
                </w:p>
              </w:tc>
              <w:tc>
                <w:tcPr>
                  <w:tcW w:w="549"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稀释剂</w:t>
                  </w:r>
                </w:p>
              </w:tc>
              <w:tc>
                <w:tcPr>
                  <w:tcW w:w="717"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JG-302</w:t>
                  </w:r>
                </w:p>
              </w:tc>
              <w:tc>
                <w:tcPr>
                  <w:tcW w:w="584" w:type="pct"/>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10kg</w:t>
                  </w:r>
                </w:p>
              </w:tc>
              <w:tc>
                <w:tcPr>
                  <w:tcW w:w="2275" w:type="pct"/>
                  <w:tcBorders>
                    <w:righ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外购，绝缘漆稀释剂 JG-302 主要由芳烃类、醇类、酯类等有机溶剂组成，主溶剂化学式C6H12O2。适用于溶剂型系列绝缘漆的稀释。</w:t>
                  </w:r>
                </w:p>
              </w:tc>
              <w:tc>
                <w:tcPr>
                  <w:tcW w:w="630" w:type="pct"/>
                  <w:tcBorders>
                    <w:left w:val="single" w:color="000000" w:sz="4" w:space="0"/>
                  </w:tcBorders>
                  <w:noWrap/>
                  <w:vAlign w:val="center"/>
                </w:tcPr>
                <w:p>
                  <w:pPr>
                    <w:pStyle w:val="63"/>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5F原料库</w:t>
                  </w:r>
                </w:p>
              </w:tc>
            </w:tr>
          </w:tbl>
          <w:p>
            <w:pPr>
              <w:keepNext w:val="0"/>
              <w:keepLines w:val="0"/>
              <w:pageBreakBefore w:val="0"/>
              <w:widowControl w:val="0"/>
              <w:kinsoku/>
              <w:wordWrap/>
              <w:overflowPunct/>
              <w:topLinePunct w:val="0"/>
              <w:autoSpaceDE w:val="0"/>
              <w:autoSpaceDN/>
              <w:bidi w:val="0"/>
              <w:adjustRightInd w:val="0"/>
              <w:snapToGrid w:val="0"/>
              <w:spacing w:line="240" w:lineRule="auto"/>
              <w:ind w:firstLine="422" w:firstLineChars="200"/>
              <w:jc w:val="center"/>
              <w:textAlignment w:val="auto"/>
              <w:rPr>
                <w:rFonts w:ascii="Times New Roman" w:hAnsi="Times New Roman"/>
                <w:b/>
                <w:bCs/>
                <w:color w:val="000000"/>
                <w:sz w:val="21"/>
                <w:szCs w:val="21"/>
              </w:rPr>
            </w:pPr>
            <w:r>
              <w:rPr>
                <w:rFonts w:ascii="Times New Roman" w:hAnsi="Times New Roman" w:eastAsia="宋体"/>
                <w:b/>
                <w:color w:val="000000" w:themeColor="text1"/>
                <w:kern w:val="2"/>
                <w:sz w:val="21"/>
                <w:szCs w:val="21"/>
                <w14:textFill>
                  <w14:solidFill>
                    <w14:schemeClr w14:val="tx1"/>
                  </w14:solidFill>
                </w14:textFill>
              </w:rPr>
              <w:t>表2-</w:t>
            </w:r>
            <w:r>
              <w:rPr>
                <w:rFonts w:hint="eastAsia" w:ascii="Times New Roman" w:hAnsi="Times New Roman" w:eastAsia="宋体"/>
                <w:b/>
                <w:color w:val="000000" w:themeColor="text1"/>
                <w:kern w:val="2"/>
                <w:sz w:val="21"/>
                <w:szCs w:val="21"/>
                <w:lang w:val="en-US" w:eastAsia="zh-CN"/>
                <w14:textFill>
                  <w14:solidFill>
                    <w14:schemeClr w14:val="tx1"/>
                  </w14:solidFill>
                </w14:textFill>
              </w:rPr>
              <w:t>4</w:t>
            </w:r>
            <w:r>
              <w:rPr>
                <w:rFonts w:ascii="Times New Roman" w:hAnsi="Times New Roman" w:eastAsia="宋体"/>
                <w:b/>
                <w:color w:val="000000" w:themeColor="text1"/>
                <w:kern w:val="2"/>
                <w:sz w:val="21"/>
                <w:szCs w:val="21"/>
                <w14:textFill>
                  <w14:solidFill>
                    <w14:schemeClr w14:val="tx1"/>
                  </w14:solidFill>
                </w14:textFill>
              </w:rPr>
              <w:t xml:space="preserve">  </w:t>
            </w:r>
            <w:r>
              <w:rPr>
                <w:rFonts w:hint="eastAsia" w:ascii="Times New Roman" w:hAnsi="Times New Roman" w:eastAsia="宋体"/>
                <w:b/>
                <w:color w:val="000000" w:themeColor="text1"/>
                <w:kern w:val="2"/>
                <w:sz w:val="21"/>
                <w:szCs w:val="21"/>
                <w14:textFill>
                  <w14:solidFill>
                    <w14:schemeClr w14:val="tx1"/>
                  </w14:solidFill>
                </w14:textFill>
              </w:rPr>
              <w:t>主要设备</w:t>
            </w:r>
            <w:r>
              <w:rPr>
                <w:rFonts w:ascii="Times New Roman" w:hAnsi="Times New Roman" w:eastAsia="宋体"/>
                <w:b/>
                <w:color w:val="000000" w:themeColor="text1"/>
                <w:kern w:val="2"/>
                <w:sz w:val="21"/>
                <w:szCs w:val="21"/>
                <w14:textFill>
                  <w14:solidFill>
                    <w14:schemeClr w14:val="tx1"/>
                  </w14:solidFill>
                </w14:textFill>
              </w:rPr>
              <w:t>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3"/>
              <w:gridCol w:w="2070"/>
              <w:gridCol w:w="2282"/>
              <w:gridCol w:w="1285"/>
              <w:gridCol w:w="1285"/>
              <w:gridCol w:w="13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bookmarkStart w:id="0" w:name="OLE_LINK2"/>
                  <w:r>
                    <w:rPr>
                      <w:rFonts w:hint="eastAsia" w:eastAsiaTheme="minorEastAsia"/>
                      <w:color w:val="000000" w:themeColor="text1"/>
                      <w:szCs w:val="21"/>
                      <w:lang w:val="en-US" w:eastAsia="zh-CN"/>
                      <w14:textFill>
                        <w14:solidFill>
                          <w14:schemeClr w14:val="tx1"/>
                        </w14:solidFill>
                      </w14:textFill>
                    </w:rPr>
                    <w:t>序号</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设备名称</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规格型号</w:t>
                  </w:r>
                </w:p>
              </w:tc>
              <w:tc>
                <w:tcPr>
                  <w:tcW w:w="669" w:type="pct"/>
                  <w:noWrap w:val="0"/>
                  <w:vAlign w:val="center"/>
                </w:tcPr>
                <w:p>
                  <w:pPr>
                    <w:pStyle w:val="63"/>
                    <w:rPr>
                      <w:rFonts w:hint="eastAsia" w:eastAsiaTheme="minorEastAsia"/>
                      <w:b/>
                      <w:bCs/>
                      <w:color w:val="000000" w:themeColor="text1"/>
                      <w:szCs w:val="21"/>
                      <w:lang w:eastAsia="zh-CN"/>
                      <w14:textFill>
                        <w14:solidFill>
                          <w14:schemeClr w14:val="tx1"/>
                        </w14:solidFill>
                      </w14:textFill>
                    </w:rPr>
                  </w:pPr>
                  <w:r>
                    <w:rPr>
                      <w:rFonts w:hint="eastAsia" w:eastAsiaTheme="minorEastAsia"/>
                      <w:b/>
                      <w:bCs/>
                      <w:color w:val="000000" w:themeColor="text1"/>
                      <w:szCs w:val="21"/>
                      <w:lang w:eastAsia="zh-CN"/>
                      <w14:textFill>
                        <w14:solidFill>
                          <w14:schemeClr w14:val="tx1"/>
                        </w14:solidFill>
                      </w14:textFill>
                    </w:rPr>
                    <w:t>环评数量</w:t>
                  </w:r>
                </w:p>
              </w:tc>
              <w:tc>
                <w:tcPr>
                  <w:tcW w:w="669" w:type="pct"/>
                  <w:noWrap w:val="0"/>
                  <w:vAlign w:val="center"/>
                </w:tcPr>
                <w:p>
                  <w:pPr>
                    <w:pStyle w:val="63"/>
                    <w:rPr>
                      <w:rFonts w:hint="eastAsia" w:eastAsiaTheme="minorEastAsia"/>
                      <w:b/>
                      <w:bCs/>
                      <w:color w:val="000000" w:themeColor="text1"/>
                      <w:szCs w:val="21"/>
                      <w:lang w:eastAsia="zh-CN"/>
                      <w14:textFill>
                        <w14:solidFill>
                          <w14:schemeClr w14:val="tx1"/>
                        </w14:solidFill>
                      </w14:textFill>
                    </w:rPr>
                  </w:pPr>
                  <w:r>
                    <w:rPr>
                      <w:rFonts w:hint="eastAsia" w:eastAsiaTheme="minorEastAsia"/>
                      <w:b/>
                      <w:bCs/>
                      <w:color w:val="000000" w:themeColor="text1"/>
                      <w:szCs w:val="21"/>
                      <w:lang w:eastAsia="zh-CN"/>
                      <w14:textFill>
                        <w14:solidFill>
                          <w14:schemeClr w14:val="tx1"/>
                        </w14:solidFill>
                      </w14:textFill>
                    </w:rPr>
                    <w:t>实际数量</w:t>
                  </w:r>
                </w:p>
              </w:tc>
              <w:tc>
                <w:tcPr>
                  <w:tcW w:w="684" w:type="pct"/>
                  <w:noWrap w:val="0"/>
                  <w:vAlign w:val="center"/>
                </w:tcPr>
                <w:p>
                  <w:pPr>
                    <w:pStyle w:val="63"/>
                    <w:rPr>
                      <w:rFonts w:hint="eastAsia" w:eastAsiaTheme="minorEastAsia"/>
                      <w:b/>
                      <w:bCs/>
                      <w:color w:val="000000" w:themeColor="text1"/>
                      <w:szCs w:val="21"/>
                      <w:lang w:eastAsia="zh-CN"/>
                      <w14:textFill>
                        <w14:solidFill>
                          <w14:schemeClr w14:val="tx1"/>
                        </w14:solidFill>
                      </w14:textFill>
                    </w:rPr>
                  </w:pPr>
                  <w:r>
                    <w:rPr>
                      <w:rFonts w:hint="eastAsia" w:eastAsiaTheme="minorEastAsia"/>
                      <w:b/>
                      <w:bCs/>
                      <w:color w:val="000000" w:themeColor="text1"/>
                      <w:szCs w:val="21"/>
                      <w:lang w:eastAsia="zh-CN"/>
                      <w14:textFill>
                        <w14:solidFill>
                          <w14:schemeClr w14:val="tx1"/>
                        </w14:solidFill>
                      </w14:textFill>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手动液压搬运车</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DF-2.0</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负载箱</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GS-FI30K</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空压机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LV15M  BR11-8</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贴片机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M606  100*G</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5</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切脚机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SC-350</w:t>
                  </w:r>
                </w:p>
              </w:tc>
              <w:tc>
                <w:tcPr>
                  <w:tcW w:w="669" w:type="pct"/>
                  <w:noWrap w:val="0"/>
                  <w:vAlign w:val="center"/>
                </w:tcPr>
                <w:p>
                  <w:pPr>
                    <w:pStyle w:val="63"/>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磨刀机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PM-550</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84"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7</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裁线机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SL-909</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84"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bookmarkEnd w:id="0"/>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波峰焊机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WS-250DS-LF</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84"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9</w:t>
                  </w:r>
                </w:p>
              </w:tc>
              <w:tc>
                <w:tcPr>
                  <w:tcW w:w="107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钻铣床</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ZX7032-A</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w:t>
                  </w:r>
                </w:p>
              </w:tc>
              <w:tc>
                <w:tcPr>
                  <w:tcW w:w="684"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10</w:t>
                  </w:r>
                </w:p>
              </w:tc>
              <w:tc>
                <w:tcPr>
                  <w:tcW w:w="1078" w:type="pct"/>
                  <w:noWrap w:val="0"/>
                  <w:vAlign w:val="center"/>
                </w:tcPr>
                <w:p>
                  <w:pPr>
                    <w:pStyle w:val="63"/>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回流焊机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RF-835PC</w:t>
                  </w:r>
                </w:p>
              </w:tc>
              <w:tc>
                <w:tcPr>
                  <w:tcW w:w="669" w:type="pct"/>
                  <w:noWrap w:val="0"/>
                  <w:vAlign w:val="center"/>
                </w:tcPr>
                <w:p>
                  <w:pPr>
                    <w:pStyle w:val="63"/>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684"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11</w:t>
                  </w:r>
                </w:p>
              </w:tc>
              <w:tc>
                <w:tcPr>
                  <w:tcW w:w="1078" w:type="pct"/>
                  <w:noWrap w:val="0"/>
                  <w:vAlign w:val="center"/>
                </w:tcPr>
                <w:p>
                  <w:pPr>
                    <w:pStyle w:val="63"/>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喷漆机</w:t>
                  </w:r>
                </w:p>
              </w:tc>
              <w:tc>
                <w:tcPr>
                  <w:tcW w:w="1188" w:type="pct"/>
                  <w:noWrap w:val="0"/>
                  <w:vAlign w:val="center"/>
                </w:tcPr>
                <w:p>
                  <w:pPr>
                    <w:pStyle w:val="63"/>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欧力</w:t>
                  </w:r>
                </w:p>
              </w:tc>
              <w:tc>
                <w:tcPr>
                  <w:tcW w:w="669" w:type="pct"/>
                  <w:noWrap w:val="0"/>
                  <w:vAlign w:val="center"/>
                </w:tcPr>
                <w:p>
                  <w:pPr>
                    <w:pStyle w:val="63"/>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69"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684" w:type="pct"/>
                  <w:noWrap w:val="0"/>
                  <w:vAlign w:val="center"/>
                </w:tcPr>
                <w:p>
                  <w:pPr>
                    <w:pStyle w:val="63"/>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无</w:t>
                  </w:r>
                </w:p>
              </w:tc>
            </w:tr>
          </w:tbl>
          <w:p>
            <w:pPr>
              <w:widowControl w:val="0"/>
              <w:spacing w:after="0" w:line="500" w:lineRule="exact"/>
              <w:jc w:val="both"/>
              <w:rPr>
                <w:rFonts w:hint="eastAsia" w:ascii="Times New Roman" w:hAnsi="Times New Roman" w:eastAsia="宋体"/>
                <w:b/>
                <w:color w:val="000000" w:themeColor="text1"/>
                <w:kern w:val="2"/>
                <w:sz w:val="24"/>
                <w:szCs w:val="21"/>
                <w14:textFill>
                  <w14:solidFill>
                    <w14:schemeClr w14:val="tx1"/>
                  </w14:solidFill>
                </w14:textFill>
              </w:rPr>
            </w:pPr>
            <w:r>
              <w:rPr>
                <w:rFonts w:hint="eastAsia" w:ascii="Times New Roman" w:hAnsi="Times New Roman" w:eastAsia="宋体"/>
                <w:b/>
                <w:color w:val="000000" w:themeColor="text1"/>
                <w:kern w:val="2"/>
                <w:sz w:val="24"/>
                <w:szCs w:val="21"/>
                <w14:textFill>
                  <w14:solidFill>
                    <w14:schemeClr w14:val="tx1"/>
                  </w14:solidFill>
                </w14:textFill>
              </w:rPr>
              <w:t>主要工艺流程及产物环节（附处理工艺流程图，标出产污节点）</w:t>
            </w:r>
          </w:p>
          <w:p>
            <w:pPr>
              <w:widowControl w:val="0"/>
              <w:spacing w:after="0" w:line="500" w:lineRule="exact"/>
              <w:ind w:firstLine="480" w:firstLineChars="200"/>
              <w:jc w:val="both"/>
              <w:rPr>
                <w:rFonts w:hint="eastAsia" w:ascii="Times New Roman" w:hAnsi="Times New Roman" w:eastAsia="宋体"/>
                <w:b/>
                <w:color w:val="000000" w:themeColor="text1"/>
                <w:kern w:val="2"/>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开关电源工艺具体流程及产污环节见图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b/>
                <w:color w:val="000000" w:themeColor="text1"/>
                <w:kern w:val="2"/>
                <w:sz w:val="24"/>
                <w:szCs w:val="21"/>
                <w:lang w:eastAsia="zh-CN"/>
                <w14:textFill>
                  <w14:solidFill>
                    <w14:schemeClr w14:val="tx1"/>
                  </w14:solidFill>
                </w14:textFill>
              </w:rPr>
            </w:pPr>
          </w:p>
          <w:p>
            <w:pPr>
              <w:pStyle w:val="34"/>
              <w:widowControl w:val="0"/>
              <w:ind w:left="0" w:leftChars="0" w:firstLine="0" w:firstLineChars="0"/>
              <w:jc w:val="center"/>
              <w:rPr>
                <w:rFonts w:hint="eastAsia" w:ascii="Times New Roman" w:hAnsi="Times New Roman" w:eastAsia="宋体"/>
                <w:b/>
                <w:color w:val="000000" w:themeColor="text1"/>
                <w:kern w:val="2"/>
                <w:sz w:val="24"/>
                <w:szCs w:val="21"/>
                <w14:textFill>
                  <w14:solidFill>
                    <w14:schemeClr w14:val="tx1"/>
                  </w14:solidFill>
                </w14:textFill>
              </w:rPr>
            </w:pPr>
            <w:r>
              <w:drawing>
                <wp:inline distT="0" distB="0" distL="114300" distR="114300">
                  <wp:extent cx="2428875" cy="6237605"/>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rcRect b="6581"/>
                          <a:stretch>
                            <a:fillRect/>
                          </a:stretch>
                        </pic:blipFill>
                        <pic:spPr>
                          <a:xfrm>
                            <a:off x="0" y="0"/>
                            <a:ext cx="2428875" cy="6237605"/>
                          </a:xfrm>
                          <a:prstGeom prst="rect">
                            <a:avLst/>
                          </a:prstGeom>
                          <a:noFill/>
                          <a:ln>
                            <a:noFill/>
                          </a:ln>
                        </pic:spPr>
                      </pic:pic>
                    </a:graphicData>
                  </a:graphic>
                </wp:inline>
              </w:drawing>
            </w:r>
          </w:p>
          <w:p>
            <w:pPr>
              <w:pStyle w:val="34"/>
              <w:widowControl w:val="0"/>
              <w:ind w:left="0" w:leftChars="0" w:firstLine="0" w:firstLineChars="0"/>
              <w:jc w:val="both"/>
              <w:rPr>
                <w:rFonts w:hint="eastAsia" w:ascii="Times New Roman" w:hAnsi="Times New Roman" w:eastAsia="宋体"/>
                <w:b/>
                <w:color w:val="000000" w:themeColor="text1"/>
                <w:kern w:val="2"/>
                <w:sz w:val="24"/>
                <w:szCs w:val="21"/>
                <w14:textFill>
                  <w14:solidFill>
                    <w14:schemeClr w14:val="tx1"/>
                  </w14:solidFill>
                </w14:textFill>
              </w:rPr>
            </w:pPr>
            <w:r>
              <w:rPr>
                <w:rFonts w:hint="eastAsia" w:ascii="Times New Roman" w:hAnsi="Times New Roman" w:eastAsia="宋体" w:cs="Times New Roman"/>
                <w:color w:val="auto"/>
                <w:sz w:val="21"/>
                <w:szCs w:val="21"/>
                <w:lang w:val="en-US" w:eastAsia="zh-CN" w:bidi="ar-SA"/>
              </w:rPr>
              <w:t>图例：N—噪声   G—废气   S—固体废物</w:t>
            </w:r>
          </w:p>
          <w:p>
            <w:pPr>
              <w:pStyle w:val="34"/>
              <w:widowControl w:val="0"/>
              <w:spacing w:line="240" w:lineRule="auto"/>
              <w:ind w:left="0" w:leftChars="0" w:firstLine="0" w:firstLineChars="0"/>
              <w:jc w:val="center"/>
              <w:rPr>
                <w:rFonts w:hint="eastAsia"/>
              </w:rPr>
            </w:pPr>
            <w:r>
              <w:rPr>
                <w:rFonts w:hint="eastAsia" w:ascii="Times New Roman" w:hAnsi="Times New Roman" w:eastAsia="宋体"/>
                <w:b/>
                <w:color w:val="000000" w:themeColor="text1"/>
                <w:kern w:val="2"/>
                <w:sz w:val="21"/>
                <w:szCs w:val="21"/>
                <w14:textFill>
                  <w14:solidFill>
                    <w14:schemeClr w14:val="tx1"/>
                  </w14:solidFill>
                </w14:textFill>
              </w:rPr>
              <w:t>图</w:t>
            </w:r>
            <w:r>
              <w:rPr>
                <w:rFonts w:hint="eastAsia" w:ascii="Times New Roman" w:hAnsi="Times New Roman" w:eastAsia="宋体"/>
                <w:b/>
                <w:color w:val="000000" w:themeColor="text1"/>
                <w:kern w:val="2"/>
                <w:sz w:val="21"/>
                <w:szCs w:val="21"/>
                <w:lang w:val="en-US" w:eastAsia="zh-CN"/>
                <w14:textFill>
                  <w14:solidFill>
                    <w14:schemeClr w14:val="tx1"/>
                  </w14:solidFill>
                </w14:textFill>
              </w:rPr>
              <w:t>2-2</w:t>
            </w:r>
            <w:r>
              <w:rPr>
                <w:rFonts w:hint="eastAsia" w:ascii="Times New Roman" w:hAnsi="Times New Roman" w:eastAsia="宋体"/>
                <w:b/>
                <w:color w:val="000000" w:themeColor="text1"/>
                <w:kern w:val="2"/>
                <w:sz w:val="21"/>
                <w:szCs w:val="21"/>
                <w14:textFill>
                  <w14:solidFill>
                    <w14:schemeClr w14:val="tx1"/>
                  </w14:solidFill>
                </w14:textFill>
              </w:rPr>
              <w:t xml:space="preserve"> 开关电源工艺生产工艺流程</w:t>
            </w:r>
            <w:r>
              <w:rPr>
                <w:rFonts w:hint="eastAsia" w:ascii="Times New Roman" w:hAnsi="Times New Roman" w:eastAsia="宋体"/>
                <w:b/>
                <w:color w:val="000000" w:themeColor="text1"/>
                <w:kern w:val="2"/>
                <w:sz w:val="21"/>
                <w:szCs w:val="21"/>
                <w:lang w:eastAsia="zh-CN"/>
                <w14:textFill>
                  <w14:solidFill>
                    <w14:schemeClr w14:val="tx1"/>
                  </w14:solidFill>
                </w14:textFill>
              </w:rPr>
              <w:t>、</w:t>
            </w:r>
            <w:r>
              <w:rPr>
                <w:rFonts w:hint="eastAsia" w:ascii="Times New Roman" w:hAnsi="Times New Roman" w:eastAsia="宋体"/>
                <w:b/>
                <w:color w:val="000000" w:themeColor="text1"/>
                <w:kern w:val="2"/>
                <w:sz w:val="21"/>
                <w:szCs w:val="21"/>
                <w14:textFill>
                  <w14:solidFill>
                    <w14:schemeClr w14:val="tx1"/>
                  </w14:solidFill>
                </w14:textFill>
              </w:rPr>
              <w:t>产污环</w:t>
            </w:r>
            <w:r>
              <w:rPr>
                <w:rFonts w:hint="eastAsia" w:ascii="Times New Roman" w:hAnsi="Times New Roman" w:eastAsia="宋体"/>
                <w:b/>
                <w:color w:val="000000" w:themeColor="text1"/>
                <w:kern w:val="2"/>
                <w:sz w:val="21"/>
                <w:szCs w:val="21"/>
                <w:lang w:eastAsia="zh-CN"/>
                <w14:textFill>
                  <w14:solidFill>
                    <w14:schemeClr w14:val="tx1"/>
                  </w14:solidFill>
                </w14:textFill>
              </w:rPr>
              <w:t>节</w:t>
            </w:r>
            <w:r>
              <w:rPr>
                <w:rFonts w:hint="eastAsia" w:ascii="Times New Roman" w:hAnsi="Times New Roman" w:eastAsia="宋体"/>
                <w:b/>
                <w:color w:val="000000" w:themeColor="text1"/>
                <w:kern w:val="2"/>
                <w:sz w:val="21"/>
                <w:szCs w:val="21"/>
                <w14:textFill>
                  <w14:solidFill>
                    <w14:schemeClr w14:val="tx1"/>
                  </w14:solidFill>
                </w14:textFill>
              </w:rPr>
              <w:t>图</w:t>
            </w:r>
            <w:r>
              <w:rPr>
                <w:rFonts w:hint="eastAsia" w:ascii="Times New Roman" w:hAnsi="Times New Roman" w:eastAsia="宋体"/>
                <w:b/>
                <w:color w:val="000000" w:themeColor="text1"/>
                <w:kern w:val="2"/>
                <w:sz w:val="21"/>
                <w:szCs w:val="21"/>
                <w:lang w:val="en-US" w:eastAsia="zh-CN"/>
                <w14:textFill>
                  <w14:solidFill>
                    <w14:schemeClr w14:val="tx1"/>
                  </w14:solidFill>
                </w14:textFill>
              </w:rPr>
              <w:t xml:space="preserve"> </w:t>
            </w:r>
            <w:r>
              <w:rPr>
                <w:rFonts w:hint="eastAsia" w:ascii="Times New Roman" w:hAnsi="Times New Roman" w:eastAsia="宋体"/>
                <w:b/>
                <w:color w:val="000000" w:themeColor="text1"/>
                <w:kern w:val="2"/>
                <w:sz w:val="24"/>
                <w:szCs w:val="21"/>
                <w:lang w:val="en-US" w:eastAsia="zh-CN"/>
                <w14:textFill>
                  <w14:solidFill>
                    <w14:schemeClr w14:val="tx1"/>
                  </w14:solidFill>
                </w14:textFill>
              </w:rPr>
              <w:t xml:space="preserve"> </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开关电源具体生产工艺阐述如下：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（1）预加工</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对外购原材料的载线、引线、底座进行简单的预处理，比如剥线头，将电线引入底座等。加工过程中会有边角料产生S1，集中收集后外售，同时载线机等设备产生噪声。</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（2）绕线</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在绕线机上进行绕线圈。</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（3）脱漆</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外购的铜线圈线头有一层防氧化漆膜，为方便后续与电子配件连接，对线圈的线头进行脱漆处理，脱漆采用机械脱漆的方式，脱漆过程中会有漆渣产生S2，集中收集后委托有资质单位处理。</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（4）焊锡</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将引线与线圈焊接在一起，焊锡使用无铅焊条，焊锡过程中会有锡烟G1产生，通过集气罩+过滤器+活性炭吸附装置处理后经15m 高的排气筒高空排放。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（5）初测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测试所绕线圈是否符合质量要求，不符合要求的线圈重新绕制，该过程产生少量废品S3；</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（6）含浸</w:t>
            </w:r>
          </w:p>
          <w:p>
            <w:pPr>
              <w:widowControl w:val="0"/>
              <w:spacing w:after="0" w:line="500" w:lineRule="exact"/>
              <w:ind w:firstLine="480" w:firstLineChars="200"/>
              <w:jc w:val="both"/>
              <w:rPr>
                <w:rFonts w:hint="eastAsia"/>
                <w:lang w:val="en-US" w:eastAsia="zh-CN"/>
              </w:rPr>
            </w:pPr>
            <w:r>
              <w:rPr>
                <w:rFonts w:hint="eastAsia" w:ascii="Times New Roman" w:hAnsi="Times New Roman" w:eastAsia="宋体" w:cs="Times New Roman"/>
                <w:color w:val="auto"/>
                <w:sz w:val="24"/>
                <w:szCs w:val="24"/>
                <w:lang w:val="en-US" w:eastAsia="zh-CN"/>
              </w:rPr>
              <w:t>含浸区尽量全密闭并采用负压送风方式，将绝缘漆与稀释剂按照规定的比例在调漆房调配会后，放入含浸缸中，然后将线圈进入绝缘漆中，进行浸漆处理；调漆和浸漆过程中会有有机废气G2产生，将有机废气通过负压抽排风方式引入废水收集管道，通过过滤器+活性炭吸附装置中进行处理，处理达标后经2#排气筒屋顶排放（高度大于15m）；绝缘漆及稀释剂漆桶委托有资质单位处理。</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（7）二次测试</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测试产品是否符合质量要求，测试过程中会有不合格产品S3产生，集中收集后外售。</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（8）接引线</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将加工后的线圈接上引线。</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（9）手工补焊</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第4步焊锡不完善的地方进行手工补焊，焊锡过程中会有锡烟G1产生，通过集气罩+过滤器+活性炭吸附装置处理后经15m 高的排气筒高空排放。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（10）装铝壳</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将加工后的线圈装入铝电容壳中。</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（11）三次测试</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测试产品是否符合质量要求，测试过程中会有不合格产品S3产生，集中收集后外售。</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（12）检验及包装入库</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检验产品是否符合质量要求，检验过程中会有不合格产品S3产生，集中收后外售，合格品包装入库。</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TW"/>
              </w:rPr>
              <w:t>光伏逆变器工艺</w:t>
            </w:r>
            <w:r>
              <w:rPr>
                <w:rFonts w:hint="eastAsia" w:ascii="Times New Roman" w:hAnsi="Times New Roman" w:eastAsia="宋体" w:cs="Times New Roman"/>
                <w:color w:val="auto"/>
                <w:sz w:val="24"/>
                <w:szCs w:val="24"/>
                <w:lang w:val="en-US" w:eastAsia="zh-CN"/>
              </w:rPr>
              <w:t>具体流程及产污环节见图2-3。</w:t>
            </w:r>
          </w:p>
          <w:p>
            <w:pPr>
              <w:pStyle w:val="34"/>
              <w:widowControl w:val="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drawing>
                <wp:inline distT="0" distB="0" distL="114300" distR="114300">
                  <wp:extent cx="1762125" cy="5913120"/>
                  <wp:effectExtent l="0" t="0" r="0" b="0"/>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10"/>
                          <a:srcRect l="39739" b="14373"/>
                          <a:stretch>
                            <a:fillRect/>
                          </a:stretch>
                        </pic:blipFill>
                        <pic:spPr>
                          <a:xfrm>
                            <a:off x="0" y="0"/>
                            <a:ext cx="1762125" cy="5913120"/>
                          </a:xfrm>
                          <a:prstGeom prst="rect">
                            <a:avLst/>
                          </a:prstGeom>
                        </pic:spPr>
                      </pic:pic>
                    </a:graphicData>
                  </a:graphic>
                </wp:inline>
              </w:drawing>
            </w:r>
          </w:p>
          <w:p>
            <w:pPr>
              <w:pStyle w:val="34"/>
              <w:widowControl w:val="0"/>
              <w:ind w:left="0" w:leftChars="0" w:firstLine="0" w:firstLineChars="0"/>
              <w:jc w:val="both"/>
              <w:rPr>
                <w:rFonts w:hint="eastAsia" w:ascii="Times New Roman" w:hAnsi="Times New Roman" w:eastAsia="宋体"/>
                <w:b/>
                <w:color w:val="000000" w:themeColor="text1"/>
                <w:kern w:val="2"/>
                <w:sz w:val="24"/>
                <w:szCs w:val="21"/>
                <w14:textFill>
                  <w14:solidFill>
                    <w14:schemeClr w14:val="tx1"/>
                  </w14:solidFill>
                </w14:textFill>
              </w:rPr>
            </w:pPr>
            <w:r>
              <w:rPr>
                <w:rFonts w:hint="eastAsia" w:ascii="Times New Roman" w:hAnsi="Times New Roman" w:eastAsia="宋体" w:cs="Times New Roman"/>
                <w:color w:val="auto"/>
                <w:sz w:val="21"/>
                <w:szCs w:val="21"/>
                <w:lang w:val="en-US" w:eastAsia="zh-CN" w:bidi="ar-SA"/>
              </w:rPr>
              <w:t>图例：N—噪声   G—废气   S—固体废物</w:t>
            </w:r>
          </w:p>
          <w:p>
            <w:pPr>
              <w:pStyle w:val="2"/>
              <w:widowControl w:val="0"/>
              <w:ind w:firstLine="0" w:firstLineChars="0"/>
              <w:jc w:val="center"/>
              <w:rPr>
                <w:rFonts w:hint="eastAsia"/>
                <w:lang w:val="en-US" w:eastAsia="zh-CN"/>
              </w:rPr>
            </w:pPr>
            <w:r>
              <w:rPr>
                <w:rFonts w:hint="eastAsia" w:ascii="Times New Roman" w:hAnsi="Times New Roman" w:eastAsia="宋体"/>
                <w:b/>
                <w:color w:val="000000" w:themeColor="text1"/>
                <w:kern w:val="2"/>
                <w:sz w:val="21"/>
                <w:szCs w:val="21"/>
                <w14:textFill>
                  <w14:solidFill>
                    <w14:schemeClr w14:val="tx1"/>
                  </w14:solidFill>
                </w14:textFill>
              </w:rPr>
              <w:t>图</w:t>
            </w:r>
            <w:r>
              <w:rPr>
                <w:rFonts w:hint="eastAsia" w:ascii="Times New Roman" w:hAnsi="Times New Roman" w:eastAsia="宋体"/>
                <w:b/>
                <w:color w:val="000000" w:themeColor="text1"/>
                <w:kern w:val="2"/>
                <w:sz w:val="21"/>
                <w:szCs w:val="21"/>
                <w:lang w:val="en-US" w:eastAsia="zh-CN"/>
                <w14:textFill>
                  <w14:solidFill>
                    <w14:schemeClr w14:val="tx1"/>
                  </w14:solidFill>
                </w14:textFill>
              </w:rPr>
              <w:t>2-2</w:t>
            </w:r>
            <w:r>
              <w:rPr>
                <w:rFonts w:hint="eastAsia" w:ascii="Times New Roman" w:hAnsi="Times New Roman" w:eastAsia="宋体"/>
                <w:b/>
                <w:color w:val="000000" w:themeColor="text1"/>
                <w:kern w:val="2"/>
                <w:sz w:val="21"/>
                <w:szCs w:val="21"/>
                <w14:textFill>
                  <w14:solidFill>
                    <w14:schemeClr w14:val="tx1"/>
                  </w14:solidFill>
                </w14:textFill>
              </w:rPr>
              <w:t xml:space="preserve"> 光伏逆变器生产工艺流程</w:t>
            </w:r>
            <w:r>
              <w:rPr>
                <w:rFonts w:hint="eastAsia" w:ascii="Times New Roman" w:hAnsi="Times New Roman" w:eastAsia="宋体"/>
                <w:b/>
                <w:color w:val="000000" w:themeColor="text1"/>
                <w:kern w:val="2"/>
                <w:sz w:val="21"/>
                <w:szCs w:val="21"/>
                <w:lang w:eastAsia="zh-CN"/>
                <w14:textFill>
                  <w14:solidFill>
                    <w14:schemeClr w14:val="tx1"/>
                  </w14:solidFill>
                </w14:textFill>
              </w:rPr>
              <w:t>、</w:t>
            </w:r>
            <w:r>
              <w:rPr>
                <w:rFonts w:hint="eastAsia" w:ascii="Times New Roman" w:hAnsi="Times New Roman" w:eastAsia="宋体"/>
                <w:b/>
                <w:color w:val="000000" w:themeColor="text1"/>
                <w:kern w:val="2"/>
                <w:sz w:val="21"/>
                <w:szCs w:val="21"/>
                <w14:textFill>
                  <w14:solidFill>
                    <w14:schemeClr w14:val="tx1"/>
                  </w14:solidFill>
                </w14:textFill>
              </w:rPr>
              <w:t>产污环</w:t>
            </w:r>
            <w:r>
              <w:rPr>
                <w:rFonts w:hint="eastAsia" w:ascii="Times New Roman" w:hAnsi="Times New Roman" w:eastAsia="宋体"/>
                <w:b/>
                <w:color w:val="000000" w:themeColor="text1"/>
                <w:kern w:val="2"/>
                <w:sz w:val="21"/>
                <w:szCs w:val="21"/>
                <w:lang w:eastAsia="zh-CN"/>
                <w14:textFill>
                  <w14:solidFill>
                    <w14:schemeClr w14:val="tx1"/>
                  </w14:solidFill>
                </w14:textFill>
              </w:rPr>
              <w:t>节</w:t>
            </w:r>
            <w:r>
              <w:rPr>
                <w:rFonts w:hint="eastAsia" w:ascii="Times New Roman" w:hAnsi="Times New Roman" w:eastAsia="宋体"/>
                <w:b/>
                <w:color w:val="000000" w:themeColor="text1"/>
                <w:kern w:val="2"/>
                <w:sz w:val="21"/>
                <w:szCs w:val="21"/>
                <w14:textFill>
                  <w14:solidFill>
                    <w14:schemeClr w14:val="tx1"/>
                  </w14:solidFill>
                </w14:textFill>
              </w:rPr>
              <w:t>图</w:t>
            </w:r>
            <w:r>
              <w:rPr>
                <w:rFonts w:hint="eastAsia" w:ascii="Times New Roman" w:hAnsi="Times New Roman" w:eastAsia="宋体"/>
                <w:b/>
                <w:color w:val="000000" w:themeColor="text1"/>
                <w:kern w:val="2"/>
                <w:sz w:val="21"/>
                <w:szCs w:val="21"/>
                <w:lang w:val="en-US" w:eastAsia="zh-CN"/>
                <w14:textFill>
                  <w14:solidFill>
                    <w14:schemeClr w14:val="tx1"/>
                  </w14:solidFill>
                </w14:textFill>
              </w:rPr>
              <w:t xml:space="preserve"> </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TW"/>
              </w:rPr>
              <w:t>光伏逆变器</w:t>
            </w:r>
            <w:r>
              <w:rPr>
                <w:rFonts w:hint="eastAsia" w:ascii="Times New Roman" w:hAnsi="Times New Roman" w:eastAsia="宋体" w:cs="Times New Roman"/>
                <w:color w:val="auto"/>
                <w:sz w:val="24"/>
                <w:szCs w:val="24"/>
                <w:lang w:val="en-US" w:eastAsia="zh-CN"/>
              </w:rPr>
              <w:t>具体生产工艺阐述如下：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1）SMT贴片</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整个生产工艺在一条完整的生产流水线上进行。</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锡膏印刷：项目印刷使用的焊料主要包括锡膏（无铅），首先将PCB板固定在载体夹具上，锡膏（无铅）通过钢网印刷到对应的焊盘上，印刷后的PCB板通过传输送至贴片机，为元器件的焊接做准备。项目钢网板均为外购成品，印刷一定量后由厂家回收。</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②贴片：印刷之后的电路板被传送轨道送至高速贴片机处将贴片式元器件高速、高精度的贴放在电路板相应的位置上；</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回流焊：将贴片完成的电路板送入回流炉进行焊接，回流炉采用电加热，PCB板进入回流焊炉首先经过预热区，预热区温度为室温155℃，PCB板在预热区停留时间为90s，目的是使PCB板均匀受热，随后进入升温区，温度为155-215℃，停留时间为60s，目的是使锡膏中的松香充分挥发，然后进入焊接区，温度为215℃，停留时间为60s， 最后PCB板进入冷却区，通过风冷将PCB板冷却到室温，回流焊工序完成，此工序有废气G3产生，以及生产噪声N。</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④检验：利用AOI检测机将AOI系统中存储的标准数字化图像与实际检测到的图 像进行比较，从而获得检测结果，该工序产生少量的不合格品S3。</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（2）插件及波峰焊</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整个生产工艺在一条完整的生产流水线上进行。</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①插件：人工将各种元器件插入PCB板指定位置，插装过程中出现错误时，重新插装。</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②波峰焊：波峰焊主要由传送带、助焊剂喷雾装置、加热器、泵等组成，PCB板经人工插件后，由传送带送至助焊剂喷雾装置进行助焊剂涂覆，涂覆好后进入预热区， 预热区使用电热板进行加热，预热温度为90-130℃，预热时间为60s，预热后进入焊接区，焊槽里的焊丝在加热器加热（加热温度为245℃）下。熔融成液态，在泵的作用下，在焊槽页面形成特定形状的焊料波（波峰），组件在焊接面通过波峰时被焊料波加热，同时焊料波也就润湿焊区并进行扩展填充，最终实现焊接过程，该工序产生G4。</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③自动焊接：将PCB板放入自动焊接机，自动焊接，采用无铅锡丝为焊材，该工序产生锡及其化合物、噪声；</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④老化测试：随机挑选5%的产品进行老化测试，主要为高低温测试，测试产品在不同环境温度条件下的稳定性；</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（4）安装散热器</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人工将外购散热器安装到逆变器PCB板的指定位置；</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（5）补焊</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波峰焊不完善的地方进行手工补焊，焊锡过程中会有锡烟G1产生，通过集气管道+过滤器+活性炭吸附装置处理后经15m 高的排气筒高空排放；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（6）初调</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人工调试逆变器使其符合产品要求；</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（7）喷三防漆及固化</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涂漆过程在密封箱内完成，涂漆作业时，涂覆工将密闭容器内的漆料通过管道接入设备中，再将电子元件人工放置在密闭手套箱内进行喷涂，涂漆后的元件放到烘干炉内固化，固化加热温度为45±5℃，这个过程产生少量有机废气G5，将有机废气引入过滤器+活性炭吸附装置中进行处理，处理达标后经2#排气筒高空排放（高度大于15m）；</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（8）二次测试</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测试产品是否符合质量要求，测试过程中会有不合格产品S3产生，集中收集后外售；</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（9）装外壳</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将产品放入外壳中；</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（10）老化</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将产品静置于老化设备，通电老化。</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（11）包装</w:t>
            </w:r>
          </w:p>
          <w:p>
            <w:pPr>
              <w:widowControl w:val="0"/>
              <w:spacing w:after="0" w:line="500" w:lineRule="exact"/>
              <w:ind w:firstLine="480" w:firstLineChars="200"/>
              <w:jc w:val="both"/>
              <w:rPr>
                <w:rFonts w:hint="eastAsia"/>
                <w:lang w:val="en-US" w:eastAsia="zh-CN"/>
              </w:rPr>
            </w:pPr>
            <w:r>
              <w:rPr>
                <w:rFonts w:hint="eastAsia" w:ascii="Times New Roman" w:hAnsi="Times New Roman" w:eastAsia="宋体" w:cs="Times New Roman"/>
                <w:color w:val="auto"/>
                <w:sz w:val="24"/>
                <w:szCs w:val="24"/>
                <w:lang w:val="en-US" w:eastAsia="zh-CN"/>
              </w:rPr>
              <w:t>老化后产品包装入库。</w:t>
            </w:r>
          </w:p>
          <w:p>
            <w:pPr>
              <w:pStyle w:val="2"/>
              <w:widowControl w:val="0"/>
              <w:ind w:firstLine="0" w:firstLineChars="0"/>
              <w:jc w:val="center"/>
              <w:rPr>
                <w:rFonts w:hint="eastAsia" w:ascii="Times New Roman" w:hAnsi="Times New Roman" w:eastAsia="宋体"/>
                <w:b/>
                <w:color w:val="000000" w:themeColor="text1"/>
                <w:kern w:val="2"/>
                <w:sz w:val="21"/>
                <w:szCs w:val="21"/>
                <w:lang w:val="zh-TW"/>
                <w14:textFill>
                  <w14:solidFill>
                    <w14:schemeClr w14:val="tx1"/>
                  </w14:solidFill>
                </w14:textFill>
              </w:rPr>
            </w:pPr>
            <w:r>
              <w:rPr>
                <w:rFonts w:hint="eastAsia" w:ascii="Times New Roman" w:hAnsi="Times New Roman" w:eastAsia="宋体"/>
                <w:b/>
                <w:color w:val="000000" w:themeColor="text1"/>
                <w:kern w:val="2"/>
                <w:sz w:val="21"/>
                <w:szCs w:val="21"/>
                <w:lang w:val="zh-TW" w:eastAsia="zh-CN"/>
                <w14:textFill>
                  <w14:solidFill>
                    <w14:schemeClr w14:val="tx1"/>
                  </w14:solidFill>
                </w14:textFill>
              </w:rPr>
              <w:t>表</w:t>
            </w:r>
            <w:r>
              <w:rPr>
                <w:rFonts w:hint="eastAsia" w:ascii="Times New Roman" w:hAnsi="Times New Roman" w:eastAsia="宋体"/>
                <w:b/>
                <w:color w:val="000000" w:themeColor="text1"/>
                <w:kern w:val="2"/>
                <w:sz w:val="21"/>
                <w:szCs w:val="21"/>
                <w:lang w:val="en-US" w:eastAsia="zh-CN"/>
                <w14:textFill>
                  <w14:solidFill>
                    <w14:schemeClr w14:val="tx1"/>
                  </w14:solidFill>
                </w14:textFill>
              </w:rPr>
              <w:t xml:space="preserve">2-5  </w:t>
            </w:r>
            <w:r>
              <w:rPr>
                <w:rFonts w:hint="eastAsia" w:ascii="Times New Roman" w:hAnsi="Times New Roman" w:eastAsia="宋体"/>
                <w:b/>
                <w:color w:val="000000" w:themeColor="text1"/>
                <w:kern w:val="2"/>
                <w:sz w:val="21"/>
                <w:szCs w:val="21"/>
                <w:lang w:val="zh-TW"/>
                <w14:textFill>
                  <w14:solidFill>
                    <w14:schemeClr w14:val="tx1"/>
                  </w14:solidFill>
                </w14:textFill>
              </w:rPr>
              <w:t>主要污染工序及污染物（因子</w:t>
            </w:r>
            <w:r>
              <w:rPr>
                <w:rFonts w:hint="eastAsia" w:ascii="Times New Roman" w:hAnsi="Times New Roman" w:eastAsia="宋体"/>
                <w:b/>
                <w:color w:val="000000" w:themeColor="text1"/>
                <w:kern w:val="2"/>
                <w:sz w:val="21"/>
                <w:szCs w:val="21"/>
                <w14:textFill>
                  <w14:solidFill>
                    <w14:schemeClr w14:val="tx1"/>
                  </w14:solidFill>
                </w14:textFill>
              </w:rPr>
              <w:t>）</w:t>
            </w:r>
            <w:r>
              <w:rPr>
                <w:rFonts w:hint="eastAsia" w:ascii="Times New Roman" w:hAnsi="Times New Roman" w:eastAsia="宋体"/>
                <w:b/>
                <w:color w:val="000000" w:themeColor="text1"/>
                <w:kern w:val="2"/>
                <w:sz w:val="21"/>
                <w:szCs w:val="21"/>
                <w:lang w:val="zh-TW"/>
                <w14:textFill>
                  <w14:solidFill>
                    <w14:schemeClr w14:val="tx1"/>
                  </w14:solidFill>
                </w14:textFill>
              </w:rPr>
              <w:t>一览表</w:t>
            </w:r>
          </w:p>
          <w:tbl>
            <w:tblPr>
              <w:tblStyle w:val="20"/>
              <w:tblpPr/>
              <w:tblOverlap w:val="never"/>
              <w:tblW w:w="4998" w:type="pct"/>
              <w:jc w:val="center"/>
              <w:tblLayout w:type="fixed"/>
              <w:tblCellMar>
                <w:top w:w="0" w:type="dxa"/>
                <w:left w:w="10" w:type="dxa"/>
                <w:bottom w:w="0" w:type="dxa"/>
                <w:right w:w="10" w:type="dxa"/>
              </w:tblCellMar>
            </w:tblPr>
            <w:tblGrid>
              <w:gridCol w:w="993"/>
              <w:gridCol w:w="1655"/>
              <w:gridCol w:w="1624"/>
              <w:gridCol w:w="819"/>
              <w:gridCol w:w="4538"/>
            </w:tblGrid>
            <w:tr>
              <w:trPr>
                <w:trHeight w:val="326" w:hRule="exact"/>
                <w:jc w:val="center"/>
              </w:trPr>
              <w:tc>
                <w:tcPr>
                  <w:tcW w:w="516"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项目</w:t>
                  </w: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产污工序</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污染物名称</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代号</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主要成分</w:t>
                  </w:r>
                </w:p>
              </w:tc>
            </w:tr>
            <w:tr>
              <w:tblPrEx>
                <w:tblCellMar>
                  <w:top w:w="0" w:type="dxa"/>
                  <w:left w:w="10" w:type="dxa"/>
                  <w:bottom w:w="0" w:type="dxa"/>
                  <w:right w:w="10" w:type="dxa"/>
                </w:tblCellMar>
              </w:tblPrEx>
              <w:trPr>
                <w:trHeight w:val="622" w:hRule="exact"/>
                <w:jc w:val="center"/>
              </w:trPr>
              <w:tc>
                <w:tcPr>
                  <w:tcW w:w="516" w:type="pct"/>
                  <w:vMerge w:val="restar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废气</w:t>
                  </w: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焊锡、手工补焊</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焊接废气</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G1</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焊接烟尘、锡及其化合物、有机废气（以非甲烷总烃计）</w:t>
                  </w:r>
                </w:p>
              </w:tc>
            </w:tr>
            <w:tr>
              <w:trPr>
                <w:trHeight w:val="640" w:hRule="exact"/>
                <w:jc w:val="center"/>
              </w:trPr>
              <w:tc>
                <w:tcPr>
                  <w:tcW w:w="516" w:type="pct"/>
                  <w:vMerge w:val="continue"/>
                  <w:tcBorders>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回流焊</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焊接废气</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G3</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焊接烟尘、锡及其化合物、有机废气（以非甲烷总烃计）</w:t>
                  </w:r>
                </w:p>
              </w:tc>
            </w:tr>
            <w:tr>
              <w:trPr>
                <w:trHeight w:val="645" w:hRule="exact"/>
                <w:jc w:val="center"/>
              </w:trPr>
              <w:tc>
                <w:tcPr>
                  <w:tcW w:w="516" w:type="pct"/>
                  <w:vMerge w:val="continue"/>
                  <w:tcBorders>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波峰焊</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焊接废气</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G4</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焊接烟尘、锡及其化合物、有机废气（以非甲烷总烃计）</w:t>
                  </w:r>
                </w:p>
              </w:tc>
            </w:tr>
            <w:tr>
              <w:trPr>
                <w:trHeight w:val="627" w:hRule="exact"/>
                <w:jc w:val="center"/>
              </w:trPr>
              <w:tc>
                <w:tcPr>
                  <w:tcW w:w="516" w:type="pct"/>
                  <w:vMerge w:val="continue"/>
                  <w:tcBorders>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喷三防漆及固化</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喷漆及固化废气</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G5</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有机废气（以非甲烷总烃计）</w:t>
                  </w:r>
                </w:p>
              </w:tc>
            </w:tr>
            <w:tr>
              <w:trPr>
                <w:trHeight w:val="326" w:hRule="exact"/>
                <w:jc w:val="center"/>
              </w:trPr>
              <w:tc>
                <w:tcPr>
                  <w:tcW w:w="516" w:type="pct"/>
                  <w:vMerge w:val="restar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固废</w:t>
                  </w: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预加工</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边角料</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S1</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剥离的电线线头等</w:t>
                  </w:r>
                </w:p>
              </w:tc>
            </w:tr>
            <w:tr>
              <w:trPr>
                <w:trHeight w:val="322" w:hRule="exact"/>
                <w:jc w:val="center"/>
              </w:trPr>
              <w:tc>
                <w:tcPr>
                  <w:tcW w:w="516" w:type="pct"/>
                  <w:vMerge w:val="continue"/>
                  <w:tcBorders>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脱漆</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氧化漆膜</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S2</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防氧化漆</w:t>
                  </w:r>
                </w:p>
              </w:tc>
            </w:tr>
            <w:tr>
              <w:tblPrEx>
                <w:tblCellMar>
                  <w:top w:w="0" w:type="dxa"/>
                  <w:left w:w="10" w:type="dxa"/>
                  <w:bottom w:w="0" w:type="dxa"/>
                  <w:right w:w="10" w:type="dxa"/>
                </w:tblCellMar>
              </w:tblPrEx>
              <w:trPr>
                <w:trHeight w:val="322" w:hRule="exact"/>
                <w:jc w:val="center"/>
              </w:trPr>
              <w:tc>
                <w:tcPr>
                  <w:tcW w:w="516" w:type="pct"/>
                  <w:vMerge w:val="continue"/>
                  <w:tcBorders>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p>
              </w:tc>
              <w:tc>
                <w:tcPr>
                  <w:tcW w:w="859"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测试</w:t>
                  </w:r>
                </w:p>
              </w:tc>
              <w:tc>
                <w:tcPr>
                  <w:tcW w:w="843"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不合格品</w:t>
                  </w:r>
                </w:p>
              </w:tc>
              <w:tc>
                <w:tcPr>
                  <w:tcW w:w="425" w:type="pct"/>
                  <w:tcBorders>
                    <w:top w:val="single" w:color="auto" w:sz="4" w:space="0"/>
                    <w:lef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S3</w:t>
                  </w:r>
                </w:p>
              </w:tc>
              <w:tc>
                <w:tcPr>
                  <w:tcW w:w="2354" w:type="pct"/>
                  <w:tcBorders>
                    <w:top w:val="single" w:color="auto" w:sz="4" w:space="0"/>
                    <w:left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元器件、芯片、插脚等</w:t>
                  </w:r>
                </w:p>
              </w:tc>
            </w:tr>
            <w:tr>
              <w:trPr>
                <w:trHeight w:val="331" w:hRule="exact"/>
                <w:jc w:val="center"/>
              </w:trPr>
              <w:tc>
                <w:tcPr>
                  <w:tcW w:w="516" w:type="pct"/>
                  <w:tcBorders>
                    <w:top w:val="single" w:color="auto" w:sz="4" w:space="0"/>
                    <w:left w:val="single" w:color="auto" w:sz="4" w:space="0"/>
                    <w:bottom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噪声</w:t>
                  </w:r>
                </w:p>
              </w:tc>
              <w:tc>
                <w:tcPr>
                  <w:tcW w:w="4483" w:type="pct"/>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63"/>
                    <w:rPr>
                      <w:rFonts w:hint="eastAsia" w:eastAsiaTheme="minorEastAsia"/>
                      <w:color w:val="000000" w:themeColor="text1"/>
                      <w:szCs w:val="21"/>
                      <w:lang w:val="zh-TW" w:eastAsia="zh-CN"/>
                      <w14:textFill>
                        <w14:solidFill>
                          <w14:schemeClr w14:val="tx1"/>
                        </w14:solidFill>
                      </w14:textFill>
                    </w:rPr>
                  </w:pPr>
                  <w:r>
                    <w:rPr>
                      <w:rFonts w:hint="eastAsia" w:eastAsiaTheme="minorEastAsia"/>
                      <w:color w:val="000000" w:themeColor="text1"/>
                      <w:szCs w:val="21"/>
                      <w:lang w:val="zh-TW" w:eastAsia="zh-CN"/>
                      <w14:textFill>
                        <w14:solidFill>
                          <w14:schemeClr w14:val="tx1"/>
                        </w14:solidFill>
                      </w14:textFill>
                    </w:rPr>
                    <w:t>设备运行时噪声N</w:t>
                  </w:r>
                </w:p>
              </w:tc>
            </w:tr>
          </w:tbl>
          <w:p>
            <w:pPr>
              <w:pStyle w:val="70"/>
              <w:widowControl w:val="0"/>
              <w:ind w:left="0" w:leftChars="0" w:firstLine="0" w:firstLineChars="0"/>
              <w:rPr>
                <w:rFonts w:hint="eastAsia" w:eastAsia="宋体"/>
                <w:vertAlign w:val="baseline"/>
                <w:lang w:eastAsia="zh-CN"/>
              </w:rPr>
            </w:pPr>
          </w:p>
        </w:tc>
      </w:tr>
    </w:tbl>
    <w:p>
      <w:pPr>
        <w:pStyle w:val="34"/>
        <w:sectPr>
          <w:headerReference r:id="rId4" w:type="default"/>
          <w:footerReference r:id="rId5" w:type="default"/>
          <w:type w:val="continuous"/>
          <w:pgSz w:w="11906" w:h="16838"/>
          <w:pgMar w:top="1440" w:right="1080" w:bottom="1440" w:left="1080" w:header="1134"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宋体"/>
          <w:b/>
          <w:color w:val="000000" w:themeColor="text1"/>
          <w:kern w:val="2"/>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9620250</wp:posOffset>
            </wp:positionH>
            <wp:positionV relativeFrom="paragraph">
              <wp:posOffset>-6534150</wp:posOffset>
            </wp:positionV>
            <wp:extent cx="7124700" cy="9499600"/>
            <wp:effectExtent l="0" t="0" r="0" b="0"/>
            <wp:wrapNone/>
            <wp:docPr id="2" name="图片 2" descr="C:\Users\Administrator\Documents\Tencent Files\296206469\Image\C2C\_SP}4_P$9TCN(JK40MQ}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96206469\Image\C2C\_SP}4_P$9TCN(JK40MQ}I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124700" cy="9499600"/>
                    </a:xfrm>
                    <a:prstGeom prst="rect">
                      <a:avLst/>
                    </a:prstGeom>
                    <a:noFill/>
                    <a:ln>
                      <a:noFill/>
                    </a:ln>
                  </pic:spPr>
                </pic:pic>
              </a:graphicData>
            </a:graphic>
          </wp:anchor>
        </w:drawing>
      </w:r>
      <w:r>
        <w:rPr>
          <w:rFonts w:ascii="Times New Roman" w:hAnsi="Times New Roman" w:eastAsia="仿宋_GB2312"/>
          <w:b/>
          <w:color w:val="000000" w:themeColor="text1"/>
          <w:sz w:val="28"/>
          <w:szCs w:val="28"/>
          <w14:textFill>
            <w14:solidFill>
              <w14:schemeClr w14:val="tx1"/>
            </w14:solidFill>
          </w14:textFill>
        </w:rPr>
        <w:t>表三</w:t>
      </w:r>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28" w:hRule="atLeast"/>
          <w:jc w:val="center"/>
        </w:trPr>
        <w:tc>
          <w:tcPr>
            <w:tcW w:w="8924" w:type="dxa"/>
          </w:tcPr>
          <w:p>
            <w:pPr>
              <w:widowControl w:val="0"/>
              <w:spacing w:after="0" w:line="500" w:lineRule="exact"/>
              <w:jc w:val="both"/>
              <w:rPr>
                <w:rFonts w:hint="eastAsia" w:ascii="Times New Roman" w:hAnsi="Times New Roman" w:eastAsia="宋体" w:cs="Times New Roman"/>
                <w:b/>
                <w:color w:val="000000" w:themeColor="text1"/>
                <w:kern w:val="2"/>
                <w:sz w:val="24"/>
                <w:szCs w:val="21"/>
                <w14:textFill>
                  <w14:solidFill>
                    <w14:schemeClr w14:val="tx1"/>
                  </w14:solidFill>
                </w14:textFill>
              </w:rPr>
            </w:pPr>
            <w:r>
              <w:rPr>
                <w:rFonts w:hint="eastAsia" w:ascii="Times New Roman" w:hAnsi="Times New Roman" w:eastAsia="宋体" w:cs="Times New Roman"/>
                <w:b/>
                <w:color w:val="000000" w:themeColor="text1"/>
                <w:kern w:val="2"/>
                <w:sz w:val="24"/>
                <w:szCs w:val="21"/>
                <w14:textFill>
                  <w14:solidFill>
                    <w14:schemeClr w14:val="tx1"/>
                  </w14:solidFill>
                </w14:textFill>
              </w:rPr>
              <w:t>主要污染源、污染物处理和排放（附处理流程示意图，标出废水、废气、厂界噪声监测点位）</w:t>
            </w:r>
          </w:p>
          <w:p>
            <w:pPr>
              <w:widowControl w:val="0"/>
              <w:adjustRightInd/>
              <w:snapToGrid/>
              <w:spacing w:after="0" w:line="500" w:lineRule="exact"/>
              <w:jc w:val="both"/>
              <w:outlineLvl w:val="2"/>
              <w:rPr>
                <w:rFonts w:ascii="Times New Roman" w:hAnsi="Times New Roman" w:eastAsia="宋体"/>
                <w:b/>
                <w:kern w:val="2"/>
                <w:sz w:val="24"/>
                <w:szCs w:val="21"/>
              </w:rPr>
            </w:pPr>
            <w:r>
              <w:rPr>
                <w:rFonts w:hint="eastAsia" w:ascii="Times New Roman" w:hAnsi="Times New Roman" w:eastAsia="宋体"/>
                <w:b/>
                <w:kern w:val="2"/>
                <w:sz w:val="24"/>
                <w:szCs w:val="21"/>
              </w:rPr>
              <w:t>废水</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水主要为生活废水。不产生生产废水。生活污水排入厂区现有的生化池，经处理达《污水综合排放标准》（GB8978-1996）三级标准后，经市政管网进入沱口污水处理厂处理，达《城镇污水处理厂污染物排放标准》（GB18918-2002）一级A标准后排入长江万州区断面。</w:t>
            </w:r>
          </w:p>
          <w:p>
            <w:pPr>
              <w:pStyle w:val="8"/>
            </w:pPr>
            <w:r>
              <w:drawing>
                <wp:inline distT="0" distB="0" distL="114300" distR="114300">
                  <wp:extent cx="5286375" cy="14954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86375" cy="1495425"/>
                          </a:xfrm>
                          <a:prstGeom prst="rect">
                            <a:avLst/>
                          </a:prstGeom>
                          <a:noFill/>
                          <a:ln>
                            <a:noFill/>
                          </a:ln>
                        </pic:spPr>
                      </pic:pic>
                    </a:graphicData>
                  </a:graphic>
                </wp:inline>
              </w:drawing>
            </w:r>
          </w:p>
          <w:p>
            <w:pPr>
              <w:spacing w:after="0" w:line="440" w:lineRule="exact"/>
              <w:jc w:val="center"/>
              <w:rPr>
                <w:rFonts w:ascii="Times New Roman" w:hAnsi="Times New Roman" w:eastAsia="宋体"/>
                <w:b/>
                <w:color w:val="000000"/>
                <w:sz w:val="21"/>
                <w:szCs w:val="21"/>
              </w:rPr>
            </w:pPr>
            <w:r>
              <w:rPr>
                <w:rFonts w:ascii="Times New Roman" w:hAnsi="宋体" w:eastAsia="宋体"/>
                <w:b/>
                <w:color w:val="000000"/>
                <w:sz w:val="21"/>
                <w:szCs w:val="21"/>
              </w:rPr>
              <w:t>图</w:t>
            </w:r>
            <w:r>
              <w:rPr>
                <w:rFonts w:hint="eastAsia" w:ascii="Times New Roman" w:hAnsi="Times New Roman" w:eastAsia="宋体"/>
                <w:b/>
                <w:color w:val="000000"/>
                <w:sz w:val="21"/>
                <w:szCs w:val="21"/>
              </w:rPr>
              <w:t>3.1</w:t>
            </w:r>
            <w:r>
              <w:rPr>
                <w:rFonts w:ascii="Times New Roman" w:hAnsi="Times New Roman" w:eastAsia="宋体"/>
                <w:b/>
                <w:color w:val="000000"/>
                <w:sz w:val="21"/>
                <w:szCs w:val="21"/>
              </w:rPr>
              <w:t xml:space="preserve">    </w:t>
            </w:r>
            <w:r>
              <w:rPr>
                <w:rFonts w:ascii="Times New Roman" w:hAnsi="宋体" w:eastAsia="宋体"/>
                <w:b/>
                <w:color w:val="000000"/>
                <w:sz w:val="21"/>
                <w:szCs w:val="21"/>
              </w:rPr>
              <w:t>废水治理工艺流程</w:t>
            </w:r>
          </w:p>
          <w:p>
            <w:pPr>
              <w:pStyle w:val="8"/>
              <w:rPr>
                <w:rFonts w:hint="eastAsia"/>
                <w:lang w:val="en-US" w:eastAsia="zh-CN"/>
              </w:rPr>
            </w:pPr>
          </w:p>
          <w:p>
            <w:pPr>
              <w:widowControl w:val="0"/>
              <w:adjustRightInd/>
              <w:snapToGrid/>
              <w:spacing w:after="0" w:line="500" w:lineRule="exact"/>
              <w:rPr>
                <w:rFonts w:ascii="Times New Roman" w:hAnsi="Times New Roman" w:eastAsia="宋体"/>
                <w:b/>
                <w:kern w:val="2"/>
                <w:sz w:val="24"/>
                <w:szCs w:val="24"/>
              </w:rPr>
            </w:pPr>
            <w:r>
              <w:rPr>
                <w:rFonts w:ascii="Times New Roman" w:hAnsi="Times New Roman" w:eastAsia="宋体"/>
                <w:b/>
                <w:kern w:val="2"/>
                <w:sz w:val="24"/>
                <w:szCs w:val="24"/>
              </w:rPr>
              <w:t>废气</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部分流焊和波峰焊焊接废气通过各个单独的吸气管引入废气集中收集管道，管道末端设置“过滤器+活性炭吸附装置+UV光氧催化”，废气经过该装置处理后通过1#排气筒引到屋顶排放。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部分焊接烟气、三防漆喷漆、固化废气、绝缘漆含浸及干燥废气全部引入废气集中收集管道，管道末端设置“过滤器+活性炭吸附装置+UV光氧催化”，废气经过该装置处理后，通过2#排气筒再引到屋顶排放。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废气治理流程图如下：</w:t>
            </w:r>
          </w:p>
          <w:p>
            <w:pPr>
              <w:pStyle w:val="2"/>
              <w:rPr>
                <w:rFonts w:hint="eastAsia" w:ascii="Times New Roman" w:hAnsi="Times New Roman" w:eastAsia="宋体" w:cs="Times New Roman"/>
                <w:color w:val="auto"/>
                <w:sz w:val="24"/>
                <w:szCs w:val="24"/>
                <w:lang w:val="en-US" w:eastAsia="zh-CN"/>
              </w:rPr>
            </w:pPr>
          </w:p>
          <w:p>
            <w:pPr>
              <w:pStyle w:val="2"/>
              <w:rPr>
                <w:rFonts w:hint="eastAsia" w:ascii="Times New Roman" w:hAnsi="Times New Roman" w:eastAsia="宋体" w:cs="Times New Roman"/>
                <w:color w:val="auto"/>
                <w:sz w:val="24"/>
                <w:szCs w:val="24"/>
                <w:lang w:val="en-US" w:eastAsia="zh-CN"/>
              </w:rPr>
            </w:pPr>
          </w:p>
          <w:p>
            <w:pPr>
              <w:pStyle w:val="2"/>
              <w:jc w:val="center"/>
              <w:rPr>
                <w:rFonts w:hint="eastAsia" w:ascii="Times New Roman" w:hAnsi="Times New Roman" w:eastAsia="宋体" w:cs="Times New Roman"/>
                <w:color w:val="auto"/>
                <w:sz w:val="24"/>
                <w:szCs w:val="24"/>
                <w:lang w:val="en-US" w:eastAsia="zh-CN"/>
              </w:rPr>
            </w:pPr>
            <w:r>
              <w:drawing>
                <wp:inline distT="0" distB="0" distL="114300" distR="114300">
                  <wp:extent cx="5343525" cy="3448050"/>
                  <wp:effectExtent l="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343525" cy="3448050"/>
                          </a:xfrm>
                          <a:prstGeom prst="rect">
                            <a:avLst/>
                          </a:prstGeom>
                          <a:noFill/>
                          <a:ln>
                            <a:noFill/>
                          </a:ln>
                        </pic:spPr>
                      </pic:pic>
                    </a:graphicData>
                  </a:graphic>
                </wp:inline>
              </w:drawing>
            </w:r>
          </w:p>
          <w:p>
            <w:pPr>
              <w:spacing w:after="0" w:line="440" w:lineRule="exact"/>
              <w:jc w:val="center"/>
              <w:rPr>
                <w:rFonts w:ascii="Times New Roman" w:hAnsi="Times New Roman" w:eastAsia="宋体"/>
                <w:b/>
                <w:color w:val="000000"/>
                <w:sz w:val="21"/>
                <w:szCs w:val="21"/>
              </w:rPr>
            </w:pPr>
            <w:r>
              <w:rPr>
                <w:rFonts w:ascii="Times New Roman" w:hAnsi="宋体" w:eastAsia="宋体"/>
                <w:b/>
                <w:color w:val="000000"/>
                <w:sz w:val="21"/>
                <w:szCs w:val="21"/>
              </w:rPr>
              <w:t>图</w:t>
            </w:r>
            <w:r>
              <w:rPr>
                <w:rFonts w:hint="eastAsia" w:ascii="Times New Roman" w:hAnsi="Times New Roman" w:eastAsia="宋体"/>
                <w:b/>
                <w:color w:val="000000"/>
                <w:sz w:val="21"/>
                <w:szCs w:val="21"/>
              </w:rPr>
              <w:t>3.</w:t>
            </w:r>
            <w:r>
              <w:rPr>
                <w:rFonts w:hint="eastAsia" w:ascii="Times New Roman" w:hAnsi="Times New Roman" w:eastAsia="宋体"/>
                <w:b/>
                <w:color w:val="000000"/>
                <w:sz w:val="21"/>
                <w:szCs w:val="21"/>
                <w:lang w:val="en-US" w:eastAsia="zh-CN"/>
              </w:rPr>
              <w:t>2</w:t>
            </w:r>
            <w:r>
              <w:rPr>
                <w:rFonts w:ascii="Times New Roman" w:hAnsi="Times New Roman" w:eastAsia="宋体"/>
                <w:b/>
                <w:color w:val="000000"/>
                <w:sz w:val="21"/>
                <w:szCs w:val="21"/>
              </w:rPr>
              <w:t xml:space="preserve">    </w:t>
            </w:r>
            <w:r>
              <w:rPr>
                <w:rFonts w:ascii="Times New Roman" w:hAnsi="宋体" w:eastAsia="宋体"/>
                <w:b/>
                <w:color w:val="000000"/>
                <w:sz w:val="21"/>
                <w:szCs w:val="21"/>
              </w:rPr>
              <w:t>废</w:t>
            </w:r>
            <w:r>
              <w:rPr>
                <w:rFonts w:hint="eastAsia" w:ascii="Times New Roman" w:hAnsi="宋体" w:eastAsia="宋体"/>
                <w:b/>
                <w:color w:val="000000"/>
                <w:sz w:val="21"/>
                <w:szCs w:val="21"/>
                <w:lang w:eastAsia="zh-CN"/>
              </w:rPr>
              <w:t>气</w:t>
            </w:r>
            <w:r>
              <w:rPr>
                <w:rFonts w:ascii="Times New Roman" w:hAnsi="宋体" w:eastAsia="宋体"/>
                <w:b/>
                <w:color w:val="000000"/>
                <w:sz w:val="21"/>
                <w:szCs w:val="21"/>
              </w:rPr>
              <w:t>治理工艺流程</w:t>
            </w:r>
          </w:p>
          <w:p>
            <w:pPr>
              <w:widowControl w:val="0"/>
              <w:adjustRightInd/>
              <w:snapToGrid/>
              <w:spacing w:after="0" w:line="500" w:lineRule="exact"/>
              <w:jc w:val="both"/>
              <w:outlineLvl w:val="2"/>
              <w:rPr>
                <w:rFonts w:ascii="Times New Roman" w:hAnsi="Times New Roman" w:eastAsia="宋体"/>
                <w:b/>
                <w:kern w:val="2"/>
                <w:sz w:val="24"/>
                <w:szCs w:val="24"/>
              </w:rPr>
            </w:pPr>
            <w:r>
              <w:rPr>
                <w:rFonts w:ascii="Times New Roman" w:hAnsi="Times New Roman" w:eastAsia="宋体"/>
                <w:b/>
                <w:kern w:val="2"/>
                <w:sz w:val="24"/>
                <w:szCs w:val="24"/>
              </w:rPr>
              <w:t>固废</w:t>
            </w:r>
          </w:p>
          <w:p>
            <w:pPr>
              <w:spacing w:after="0" w:line="440" w:lineRule="exact"/>
              <w:ind w:firstLine="480" w:firstLineChars="20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一般固废暂存间，位于厂房第4层西北角，面积约30m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，危险废物暂存间，位于厂房第4层西北角，面积约20m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，办公区设置垃圾收集桶，定点收集袋装化后交由市政环卫部门统一处理。</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1</w:t>
            </w:r>
            <w:r>
              <w:rPr>
                <w:rFonts w:hint="eastAsia" w:ascii="Times New Roman" w:hAnsi="Times New Roman" w:eastAsia="宋体"/>
                <w:color w:val="000000"/>
                <w:sz w:val="24"/>
                <w:szCs w:val="24"/>
                <w:lang w:eastAsia="zh-CN"/>
              </w:rPr>
              <w:t>）一般固废</w:t>
            </w:r>
          </w:p>
          <w:p>
            <w:pPr>
              <w:spacing w:after="0" w:line="440" w:lineRule="exact"/>
              <w:ind w:firstLine="480" w:firstLineChars="20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olor w:val="000000"/>
                <w:sz w:val="24"/>
                <w:szCs w:val="24"/>
                <w:lang w:val="en-US" w:eastAsia="zh-CN"/>
              </w:rPr>
              <w:t>生产过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 xml:space="preserve">程产生的固废主要预加工产生的边角料，委托资源回收公司处置。 </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lang w:eastAsia="zh-CN"/>
              </w:rPr>
              <w:t>）危险废物</w:t>
            </w:r>
          </w:p>
          <w:p>
            <w:pPr>
              <w:spacing w:after="0"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危险废物为防氧化漆膜、漆渣、漆桶和稀释剂桶、不合格品、废活性炭，</w:t>
            </w:r>
            <w:r>
              <w:rPr>
                <w:rFonts w:hint="eastAsia" w:ascii="Times New Roman" w:hAnsi="Times New Roman" w:eastAsia="宋体"/>
                <w:color w:val="000000"/>
                <w:sz w:val="24"/>
                <w:szCs w:val="24"/>
                <w:lang w:eastAsia="zh-CN"/>
              </w:rPr>
              <w:t>收集后贮存于危废暂存间，</w:t>
            </w:r>
            <w:r>
              <w:rPr>
                <w:rFonts w:hint="eastAsia" w:ascii="Times New Roman" w:hAnsi="Times New Roman" w:eastAsia="宋体" w:cs="Times New Roman"/>
                <w:color w:val="auto"/>
                <w:sz w:val="24"/>
                <w:szCs w:val="24"/>
                <w:lang w:val="en-US" w:eastAsia="zh-CN"/>
              </w:rPr>
              <w:t>定期交由重庆巨光实业有限公司处理，详见附件4。</w:t>
            </w:r>
          </w:p>
          <w:p>
            <w:pPr>
              <w:spacing w:after="0"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（3）生活垃圾</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生活垃圾由环卫部门收集后运城市生活垃圾处置场处理。</w:t>
            </w:r>
          </w:p>
          <w:p>
            <w:pPr>
              <w:pStyle w:val="8"/>
              <w:numPr>
                <w:ilvl w:val="0"/>
                <w:numId w:val="0"/>
              </w:numPr>
              <w:rPr>
                <w:rFonts w:hint="eastAsia"/>
                <w:lang w:eastAsia="zh-CN"/>
              </w:rPr>
            </w:pPr>
          </w:p>
          <w:p>
            <w:pPr>
              <w:adjustRightInd w:val="0"/>
              <w:spacing w:line="240" w:lineRule="auto"/>
              <w:jc w:val="cente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表3.1 本项目固废的产生及处理情况</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 </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1785"/>
              <w:gridCol w:w="2358"/>
              <w:gridCol w:w="1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3" w:type="pct"/>
                  <w:noWrap w:val="0"/>
                  <w:vAlign w:val="center"/>
                </w:tcPr>
                <w:p>
                  <w:pPr>
                    <w:pStyle w:val="63"/>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名称</w:t>
                  </w:r>
                </w:p>
              </w:tc>
              <w:tc>
                <w:tcPr>
                  <w:tcW w:w="1027" w:type="pct"/>
                  <w:noWrap w:val="0"/>
                  <w:vAlign w:val="center"/>
                </w:tcPr>
                <w:p>
                  <w:pPr>
                    <w:pStyle w:val="63"/>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产生量（t/a）</w:t>
                  </w:r>
                </w:p>
              </w:tc>
              <w:tc>
                <w:tcPr>
                  <w:tcW w:w="1357" w:type="pct"/>
                  <w:noWrap w:val="0"/>
                  <w:vAlign w:val="center"/>
                </w:tcPr>
                <w:p>
                  <w:pPr>
                    <w:pStyle w:val="63"/>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处置措施</w:t>
                  </w:r>
                </w:p>
              </w:tc>
              <w:tc>
                <w:tcPr>
                  <w:tcW w:w="1112" w:type="pct"/>
                  <w:noWrap w:val="0"/>
                  <w:vAlign w:val="center"/>
                </w:tcPr>
                <w:p>
                  <w:pPr>
                    <w:pStyle w:val="63"/>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边角料</w:t>
                  </w:r>
                </w:p>
              </w:tc>
              <w:tc>
                <w:tcPr>
                  <w:tcW w:w="1027" w:type="pct"/>
                  <w:noWrap w:val="0"/>
                  <w:vAlign w:val="center"/>
                </w:tcPr>
                <w:p>
                  <w:pPr>
                    <w:pStyle w:val="63"/>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zh-TW" w:eastAsia="zh-CN" w:bidi="ar-SA"/>
                      <w14:textFill>
                        <w14:solidFill>
                          <w14:schemeClr w14:val="tx1"/>
                        </w14:solidFill>
                      </w14:textFill>
                    </w:rPr>
                    <w:t>0.01</w:t>
                  </w:r>
                </w:p>
              </w:tc>
              <w:tc>
                <w:tcPr>
                  <w:tcW w:w="1357"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回收利用</w:t>
                  </w:r>
                </w:p>
              </w:tc>
              <w:tc>
                <w:tcPr>
                  <w:tcW w:w="1112"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一般固废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03" w:type="pct"/>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防氧化漆膜、漆渣、漆桶和稀释剂桶</w:t>
                  </w:r>
                </w:p>
              </w:tc>
              <w:tc>
                <w:tcPr>
                  <w:tcW w:w="1027" w:type="pct"/>
                  <w:vMerge w:val="restart"/>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0.05</w:t>
                  </w:r>
                </w:p>
              </w:tc>
              <w:tc>
                <w:tcPr>
                  <w:tcW w:w="1357" w:type="pct"/>
                  <w:vMerge w:val="restar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委托有危废处理资质的单位处理</w:t>
                  </w:r>
                </w:p>
              </w:tc>
              <w:tc>
                <w:tcPr>
                  <w:tcW w:w="1112" w:type="pct"/>
                  <w:vMerge w:val="restar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03" w:type="pct"/>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zh-TW" w:eastAsia="zh-CN"/>
                      <w14:textFill>
                        <w14:solidFill>
                          <w14:schemeClr w14:val="tx1"/>
                        </w14:solidFill>
                      </w14:textFill>
                    </w:rPr>
                    <w:t>不合格品</w:t>
                  </w:r>
                </w:p>
              </w:tc>
              <w:tc>
                <w:tcPr>
                  <w:tcW w:w="1027" w:type="pct"/>
                  <w:vMerge w:val="continue"/>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p>
              </w:tc>
              <w:tc>
                <w:tcPr>
                  <w:tcW w:w="1357" w:type="pct"/>
                  <w:vMerge w:val="continue"/>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1112" w:type="pct"/>
                  <w:vMerge w:val="continue"/>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03" w:type="pct"/>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zh-TW" w:eastAsia="zh-CN"/>
                      <w14:textFill>
                        <w14:solidFill>
                          <w14:schemeClr w14:val="tx1"/>
                        </w14:solidFill>
                      </w14:textFill>
                    </w:rPr>
                    <w:t>废活性炭</w:t>
                  </w:r>
                </w:p>
              </w:tc>
              <w:tc>
                <w:tcPr>
                  <w:tcW w:w="1027" w:type="pct"/>
                  <w:noWrap w:val="0"/>
                  <w:vAlign w:val="center"/>
                </w:tcPr>
                <w:p>
                  <w:pPr>
                    <w:pStyle w:val="63"/>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zh-TW" w:eastAsia="zh-CN"/>
                      <w14:textFill>
                        <w14:solidFill>
                          <w14:schemeClr w14:val="tx1"/>
                        </w14:solidFill>
                      </w14:textFill>
                    </w:rPr>
                    <w:t>0.05</w:t>
                  </w:r>
                </w:p>
              </w:tc>
              <w:tc>
                <w:tcPr>
                  <w:tcW w:w="1357"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1112"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03"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生活垃圾</w:t>
                  </w:r>
                </w:p>
              </w:tc>
              <w:tc>
                <w:tcPr>
                  <w:tcW w:w="1027" w:type="pct"/>
                  <w:noWrap w:val="0"/>
                  <w:vAlign w:val="center"/>
                </w:tcPr>
                <w:p>
                  <w:pPr>
                    <w:pStyle w:val="63"/>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zh-TW" w:eastAsia="zh-CN"/>
                      <w14:textFill>
                        <w14:solidFill>
                          <w14:schemeClr w14:val="tx1"/>
                        </w14:solidFill>
                      </w14:textFill>
                    </w:rPr>
                    <w:t>11.2</w:t>
                  </w:r>
                </w:p>
              </w:tc>
              <w:tc>
                <w:tcPr>
                  <w:tcW w:w="1357"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由市政环卫部门统一处理</w:t>
                  </w:r>
                </w:p>
              </w:tc>
              <w:tc>
                <w:tcPr>
                  <w:tcW w:w="1112" w:type="pct"/>
                  <w:noWrap w:val="0"/>
                  <w:vAlign w:val="center"/>
                </w:tcPr>
                <w:p>
                  <w:pPr>
                    <w:pStyle w:val="63"/>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生活垃圾</w:t>
                  </w:r>
                </w:p>
              </w:tc>
            </w:tr>
          </w:tbl>
          <w:p>
            <w:pPr>
              <w:spacing w:after="0" w:line="360" w:lineRule="auto"/>
              <w:rPr>
                <w:rFonts w:ascii="宋体" w:hAnsi="宋体" w:eastAsia="宋体" w:cs="宋体"/>
                <w:sz w:val="24"/>
                <w:szCs w:val="24"/>
              </w:rPr>
            </w:pPr>
            <w:r>
              <w:rPr>
                <w:rFonts w:ascii="Times New Roman" w:hAnsi="Times New Roman" w:eastAsia="宋体"/>
                <w:b/>
                <w:kern w:val="2"/>
                <w:sz w:val="24"/>
                <w:szCs w:val="24"/>
              </w:rPr>
              <w:t>噪声</w:t>
            </w:r>
          </w:p>
          <w:p>
            <w:pPr>
              <w:spacing w:after="0" w:line="440" w:lineRule="exact"/>
              <w:ind w:firstLine="480" w:firstLineChars="200"/>
              <w:rPr>
                <w:rFonts w:hint="eastAsia" w:ascii="Times New Roman" w:hAnsi="Times New Roman" w:eastAsia="宋体"/>
                <w:color w:val="000000"/>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噪声源主要来自机械设备等运行时所产生的噪声。选用低噪声设备和符合国家、行业标准的低噪声设备，同时做好设备的维护与保养，避免设备故障或老化产生的噪声污染，设备基础均减震，安装设备时设备与基座安装减震橡胶垫圈，降低振动噪声。</w:t>
            </w:r>
          </w:p>
          <w:p>
            <w:pPr>
              <w:spacing w:after="0" w:line="440" w:lineRule="exact"/>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环境管理</w:t>
            </w:r>
          </w:p>
          <w:p>
            <w:pPr>
              <w:spacing w:after="0" w:line="440" w:lineRule="exact"/>
              <w:ind w:firstLine="480" w:firstLineChars="200"/>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为确保环境保护的有效实施，本公司建立健全了环境保护内部管理机构和制度，制定了《环境保护规章制度》。</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5" w:hRule="atLeast"/>
              </w:trPr>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11755" cy="1958340"/>
                        <wp:effectExtent l="0" t="0" r="17145" b="3810"/>
                        <wp:docPr id="31" name="图片 31" descr="eb500cde6c6150a38eddbdf4e27b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b500cde6c6150a38eddbdf4e27b57e"/>
                                <pic:cNvPicPr>
                                  <a:picLocks noChangeAspect="1"/>
                                </pic:cNvPicPr>
                              </pic:nvPicPr>
                              <pic:blipFill>
                                <a:blip r:embed="rId14"/>
                                <a:stretch>
                                  <a:fillRect/>
                                </a:stretch>
                              </pic:blipFill>
                              <pic:spPr>
                                <a:xfrm>
                                  <a:off x="0" y="0"/>
                                  <a:ext cx="2611755" cy="195834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drawing>
                      <wp:inline distT="0" distB="0" distL="114300" distR="114300">
                        <wp:extent cx="2611755" cy="1958340"/>
                        <wp:effectExtent l="0" t="0" r="17145" b="3810"/>
                        <wp:docPr id="32" name="图片 32" descr="925e4d9af0a62d3063c99c8f7454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25e4d9af0a62d3063c99c8f7454de8"/>
                                <pic:cNvPicPr>
                                  <a:picLocks noChangeAspect="1"/>
                                </pic:cNvPicPr>
                              </pic:nvPicPr>
                              <pic:blipFill>
                                <a:blip r:embed="rId15"/>
                                <a:stretch>
                                  <a:fillRect/>
                                </a:stretch>
                              </pic:blipFill>
                              <pic:spPr>
                                <a:xfrm>
                                  <a:off x="0" y="0"/>
                                  <a:ext cx="2611755" cy="1958340"/>
                                </a:xfrm>
                                <a:prstGeom prst="rect">
                                  <a:avLst/>
                                </a:prstGeom>
                              </pic:spPr>
                            </pic:pic>
                          </a:graphicData>
                        </a:graphic>
                      </wp:inline>
                    </w:drawing>
                  </w:r>
                  <w:r>
                    <w:drawing>
                      <wp:anchor distT="0" distB="0" distL="114300" distR="114300" simplePos="0" relativeHeight="251661312" behindDoc="0" locked="0" layoutInCell="1" allowOverlap="1">
                        <wp:simplePos x="0" y="0"/>
                        <wp:positionH relativeFrom="column">
                          <wp:posOffset>3896995</wp:posOffset>
                        </wp:positionH>
                        <wp:positionV relativeFrom="paragraph">
                          <wp:posOffset>3300730</wp:posOffset>
                        </wp:positionV>
                        <wp:extent cx="2400300" cy="1800225"/>
                        <wp:effectExtent l="0" t="0" r="0" b="9525"/>
                        <wp:wrapNone/>
                        <wp:docPr id="15" name="图片 7" descr="IMG_20190814_1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0190814_104451"/>
                                <pic:cNvPicPr>
                                  <a:picLocks noChangeAspect="1"/>
                                </pic:cNvPicPr>
                              </pic:nvPicPr>
                              <pic:blipFill>
                                <a:blip r:embed="rId16"/>
                                <a:stretch>
                                  <a:fillRect/>
                                </a:stretch>
                              </pic:blipFill>
                              <pic:spPr>
                                <a:xfrm>
                                  <a:off x="0" y="0"/>
                                  <a:ext cx="2400300" cy="1800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default" w:ascii="Times New Roman" w:hAnsi="Times New Roman" w:eastAsia="宋体"/>
                      <w:b/>
                      <w:kern w:val="2"/>
                      <w:sz w:val="24"/>
                      <w:szCs w:val="24"/>
                      <w:vertAlign w:val="baseline"/>
                      <w:lang w:val="en-US" w:eastAsia="zh-CN"/>
                    </w:rPr>
                  </w:pPr>
                  <w:r>
                    <w:rPr>
                      <w:rFonts w:hint="eastAsia" w:ascii="Times New Roman" w:hAnsi="Times New Roman" w:eastAsia="宋体"/>
                      <w:b/>
                      <w:kern w:val="2"/>
                      <w:sz w:val="24"/>
                      <w:szCs w:val="24"/>
                      <w:vertAlign w:val="baseline"/>
                      <w:lang w:val="en-US" w:eastAsia="zh-CN"/>
                    </w:rPr>
                    <w:t>1#过滤器+UV光氧+活性炭</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val="en-US" w:eastAsia="zh-CN"/>
                    </w:rPr>
                    <w:t>2#过滤器+UV光氧+活性炭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11755" cy="1958340"/>
                        <wp:effectExtent l="0" t="0" r="17145" b="3810"/>
                        <wp:docPr id="33" name="图片 33" descr="f01d9b1d220fe25117cdbf17feb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01d9b1d220fe25117cdbf17feb0198"/>
                                <pic:cNvPicPr>
                                  <a:picLocks noChangeAspect="1"/>
                                </pic:cNvPicPr>
                              </pic:nvPicPr>
                              <pic:blipFill>
                                <a:blip r:embed="rId17"/>
                                <a:stretch>
                                  <a:fillRect/>
                                </a:stretch>
                              </pic:blipFill>
                              <pic:spPr>
                                <a:xfrm>
                                  <a:off x="0" y="0"/>
                                  <a:ext cx="2611755" cy="195834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11755" cy="1958340"/>
                        <wp:effectExtent l="0" t="0" r="17145" b="3810"/>
                        <wp:docPr id="35" name="图片 35" descr="3c6fd2f68b4db4283a9a25bfad84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c6fd2f68b4db4283a9a25bfad8409b"/>
                                <pic:cNvPicPr>
                                  <a:picLocks noChangeAspect="1"/>
                                </pic:cNvPicPr>
                              </pic:nvPicPr>
                              <pic:blipFill>
                                <a:blip r:embed="rId18"/>
                                <a:stretch>
                                  <a:fillRect/>
                                </a:stretch>
                              </pic:blipFill>
                              <pic:spPr>
                                <a:xfrm>
                                  <a:off x="0" y="0"/>
                                  <a:ext cx="2611755"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喷漆工序集气罩</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干燥工序集气罩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27630" cy="2393950"/>
                        <wp:effectExtent l="0" t="0" r="1270" b="6350"/>
                        <wp:docPr id="7" name="图片 7" descr="微信图片_2021062209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22094950"/>
                                <pic:cNvPicPr>
                                  <a:picLocks noChangeAspect="1"/>
                                </pic:cNvPicPr>
                              </pic:nvPicPr>
                              <pic:blipFill>
                                <a:blip r:embed="rId19"/>
                                <a:srcRect b="10199"/>
                                <a:stretch>
                                  <a:fillRect/>
                                </a:stretch>
                              </pic:blipFill>
                              <pic:spPr>
                                <a:xfrm>
                                  <a:off x="0" y="0"/>
                                  <a:ext cx="2627630" cy="239395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11755" cy="2300605"/>
                        <wp:effectExtent l="0" t="0" r="17145" b="4445"/>
                        <wp:docPr id="12" name="图片 12" descr="39993675d5f1396827567e7bc60c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9993675d5f1396827567e7bc60c099"/>
                                <pic:cNvPicPr>
                                  <a:picLocks noChangeAspect="1"/>
                                </pic:cNvPicPr>
                              </pic:nvPicPr>
                              <pic:blipFill>
                                <a:blip r:embed="rId20"/>
                                <a:stretch>
                                  <a:fillRect/>
                                </a:stretch>
                              </pic:blipFill>
                              <pic:spPr>
                                <a:xfrm>
                                  <a:off x="0" y="0"/>
                                  <a:ext cx="2611755" cy="2300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危废间</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地面硬化</w:t>
                  </w:r>
                </w:p>
              </w:tc>
            </w:tr>
          </w:tbl>
          <w:p>
            <w:pPr>
              <w:widowControl w:val="0"/>
              <w:adjustRightInd/>
              <w:snapToGrid/>
              <w:spacing w:after="0" w:line="360" w:lineRule="auto"/>
              <w:ind w:firstLine="482" w:firstLineChars="200"/>
              <w:jc w:val="center"/>
              <w:rPr>
                <w:rFonts w:hint="eastAsia" w:ascii="Times New Roman" w:hAnsi="Times New Roman" w:eastAsia="宋体"/>
                <w:b/>
                <w:color w:val="000000" w:themeColor="text1"/>
                <w:kern w:val="2"/>
                <w:sz w:val="24"/>
                <w:szCs w:val="21"/>
                <w:lang w:val="en-US" w:eastAsia="zh-CN"/>
                <w14:textFill>
                  <w14:solidFill>
                    <w14:schemeClr w14:val="tx1"/>
                  </w14:solidFill>
                </w14:textFill>
              </w:rPr>
            </w:pPr>
            <w:r>
              <w:rPr>
                <w:rFonts w:hint="eastAsia" w:ascii="Times New Roman" w:hAnsi="Times New Roman" w:eastAsia="宋体"/>
                <w:b/>
                <w:color w:val="000000" w:themeColor="text1"/>
                <w:kern w:val="2"/>
                <w:sz w:val="24"/>
                <w:szCs w:val="21"/>
                <w:lang w:val="en-US" w:eastAsia="zh-CN"/>
                <w14:textFill>
                  <w14:solidFill>
                    <w14:schemeClr w14:val="tx1"/>
                  </w14:solidFill>
                </w14:textFill>
              </w:rPr>
              <w:t xml:space="preserve"> </w:t>
            </w:r>
          </w:p>
          <w:p>
            <w:pPr>
              <w:widowControl w:val="0"/>
              <w:adjustRightInd/>
              <w:snapToGrid/>
              <w:spacing w:after="0" w:line="360" w:lineRule="auto"/>
              <w:jc w:val="center"/>
              <w:rPr>
                <w:rFonts w:ascii="Times New Roman" w:hAnsi="Times New Roman" w:eastAsia="宋体"/>
                <w:b/>
                <w:kern w:val="2"/>
                <w:sz w:val="24"/>
                <w:szCs w:val="24"/>
              </w:rPr>
            </w:pPr>
            <w:r>
              <w:rPr>
                <w:rFonts w:hint="eastAsia" w:ascii="Times New Roman" w:hAnsi="Times New Roman" w:eastAsia="宋体"/>
                <w:b/>
                <w:color w:val="000000" w:themeColor="text1"/>
                <w:kern w:val="2"/>
                <w:sz w:val="24"/>
                <w:szCs w:val="21"/>
                <w:lang w:eastAsia="zh-CN"/>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3.3  环保设施图</w:t>
            </w:r>
          </w:p>
        </w:tc>
      </w:tr>
    </w:tbl>
    <w:p>
      <w:pPr>
        <w:spacing w:after="0" w:line="360" w:lineRule="auto"/>
        <w:rPr>
          <w:rFonts w:hint="eastAsia" w:ascii="Times New Roman" w:hAnsi="Times New Roman" w:eastAsia="仿宋_GB2312"/>
          <w:b/>
          <w:sz w:val="28"/>
          <w:szCs w:val="28"/>
          <w:lang w:eastAsia="zh-CN"/>
        </w:rPr>
      </w:pPr>
    </w:p>
    <w:p>
      <w:pPr>
        <w:spacing w:after="0" w:line="360" w:lineRule="auto"/>
        <w:rPr>
          <w:rFonts w:hint="eastAsia" w:ascii="Times New Roman" w:hAnsi="Times New Roman" w:eastAsia="仿宋_GB2312"/>
          <w:b/>
          <w:sz w:val="28"/>
          <w:szCs w:val="28"/>
          <w:lang w:eastAsia="zh-CN"/>
        </w:rPr>
      </w:pPr>
      <w:r>
        <w:rPr>
          <w:rFonts w:hint="eastAsia" w:ascii="Times New Roman" w:hAnsi="Times New Roman" w:eastAsia="仿宋_GB2312"/>
          <w:b/>
          <w:sz w:val="28"/>
          <w:szCs w:val="28"/>
          <w:lang w:eastAsia="zh-CN"/>
        </w:rPr>
        <w:t>表四</w:t>
      </w:r>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60" w:hRule="atLeast"/>
          <w:jc w:val="center"/>
        </w:trPr>
        <w:tc>
          <w:tcPr>
            <w:tcW w:w="8924" w:type="dxa"/>
          </w:tcPr>
          <w:p>
            <w:pPr>
              <w:spacing w:after="0" w:line="360" w:lineRule="auto"/>
              <w:rPr>
                <w:rFonts w:ascii="Times New Roman" w:hAnsi="Times New Roman" w:eastAsia="宋体"/>
                <w:b w:val="0"/>
                <w:bCs w:val="0"/>
                <w:sz w:val="24"/>
                <w:szCs w:val="24"/>
              </w:rPr>
            </w:pPr>
            <w:r>
              <w:rPr>
                <w:rFonts w:ascii="Times New Roman" w:hAnsi="Times New Roman" w:eastAsia="宋体"/>
                <w:b w:val="0"/>
                <w:bCs w:val="0"/>
                <w:sz w:val="24"/>
                <w:szCs w:val="24"/>
              </w:rPr>
              <w:t>建设项目环境影响报告表主要结论及审批部门审批决定：</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4.1建设项目环评报告表的主要结论与建议</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4.1.1项目概况</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重庆格上新能源有限公司拟在万州区联合路12号第4、5层（万州经开区标准厂房）建设“光伏逆变器和开关电源制造”项目，该项目总投资2000万元，建成后年产光伏逆变器10万台，开关电源10万台。</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4.1.2</w:t>
            </w:r>
            <w:r>
              <w:rPr>
                <w:rFonts w:hint="eastAsia" w:ascii="Times New Roman" w:hAnsi="Times New Roman" w:eastAsia="宋体"/>
                <w:b/>
                <w:sz w:val="24"/>
                <w:szCs w:val="24"/>
              </w:rPr>
              <w:t>产业政策符合性、规划符合性分析</w:t>
            </w:r>
          </w:p>
          <w:p>
            <w:pPr>
              <w:spacing w:after="0" w:line="500" w:lineRule="exact"/>
              <w:ind w:firstLine="480" w:firstLineChars="200"/>
              <w:jc w:val="both"/>
              <w:rPr>
                <w:rFonts w:hint="default"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 xml:space="preserve">拟建项目不属于《产业结构调整指导目录（2019年本）》中规定的淘汰、限制类产业，同时，项目取得了《重庆市企业投资项目备案证》“项目编码2019-500101-39-03-063445”，说明该项目符合国家和地方产业政策要求。 </w:t>
            </w:r>
          </w:p>
          <w:p>
            <w:pPr>
              <w:spacing w:after="0" w:line="500" w:lineRule="exact"/>
              <w:ind w:firstLine="480" w:firstLineChars="200"/>
              <w:jc w:val="both"/>
              <w:rPr>
                <w:rFonts w:hint="eastAsia"/>
                <w:color w:val="000000"/>
                <w:sz w:val="26"/>
              </w:rPr>
            </w:pPr>
            <w:r>
              <w:rPr>
                <w:rFonts w:hint="eastAsia" w:ascii="Times New Roman" w:hAnsi="Times New Roman" w:eastAsia="宋体"/>
                <w:b w:val="0"/>
                <w:bCs/>
                <w:sz w:val="24"/>
                <w:szCs w:val="24"/>
                <w:lang w:val="en-US" w:eastAsia="zh-CN"/>
              </w:rPr>
              <w:t>项目位于万州经开区光电园，项目用地属于万州区城市总体规划中的工业用地，符合城市总体规划和用地规划的要求。</w:t>
            </w:r>
          </w:p>
          <w:p>
            <w:pPr>
              <w:spacing w:after="0" w:line="500" w:lineRule="exact"/>
              <w:jc w:val="both"/>
              <w:rPr>
                <w:rFonts w:hint="eastAsia" w:ascii="Times New Roman" w:hAnsi="Times New Roman" w:eastAsia="宋体"/>
                <w:b/>
                <w:sz w:val="24"/>
                <w:szCs w:val="24"/>
                <w:lang w:eastAsia="zh-CN"/>
              </w:rPr>
            </w:pPr>
            <w:r>
              <w:rPr>
                <w:rFonts w:ascii="Times New Roman" w:hAnsi="Times New Roman" w:eastAsia="宋体"/>
                <w:b/>
                <w:sz w:val="24"/>
                <w:szCs w:val="24"/>
              </w:rPr>
              <w:t>4.1.</w:t>
            </w:r>
            <w:r>
              <w:rPr>
                <w:rFonts w:hint="eastAsia" w:ascii="Times New Roman" w:hAnsi="Times New Roman" w:eastAsia="宋体"/>
                <w:b/>
                <w:sz w:val="24"/>
                <w:szCs w:val="24"/>
                <w:lang w:val="en-US" w:eastAsia="zh-CN"/>
              </w:rPr>
              <w:t>3</w:t>
            </w:r>
            <w:r>
              <w:rPr>
                <w:rFonts w:hint="eastAsia" w:ascii="Times New Roman" w:hAnsi="Times New Roman" w:eastAsia="宋体"/>
                <w:b/>
                <w:sz w:val="24"/>
                <w:szCs w:val="24"/>
                <w:lang w:eastAsia="zh-CN"/>
              </w:rPr>
              <w:t>环境影响分析及防治措施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 xml:space="preserve">（1）水环境影响及防治措施 </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项目营运期无产生废水，生活污水和地面清洁废水进入现有生化池处理，处理达到《污水综合排放标准》三级标准后，排入沱口污水处理厂，经污水处理厂处理达到《城镇污水处理厂污染物排放标准》一级 A 标准后外排。污水达标排放，对地表水环境影响较小。（2）环境空气影响及防治措施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营运期废气主要有焊接废气和有机废气。各种焊接废气通过各个单独的吸气管道引入废气集中收集管道，管道末端设置“过滤器+活性炭吸附装置”，废气经过该装置处理后引到屋顶排放（1#排气筒），其中，焊接烟尘（锡及其化合物）处理效率为60%，有机废气（以非甲烷总烃计）处理效率为80%。</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三防漆喷漆及固化废气、绝缘漆含浸及干燥废气全部引入废气集中收集管道，管道末端设置“过滤器+活性炭吸附装置”，废气经过该装置处理后，再引到屋顶排放（2#排气筒），有机废气（以非甲烷总烃计）处理效率为80%。</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根据预测，项目外排废气污染物的最大地面浓度占标率Pi为1.02%，说明外排废气对环境空气质量的影响较小。</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（3）声环境影响及防治措施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营运期间的噪声主要来自生产设备运行噪声，噪声值在70～100dB（A）之间，采取减震、降噪、建筑隔声等措施后，降噪效果15-20dB（A）左右，通过噪声预测分析可知，拟建项目各厂界噪声均能达到《工业企业厂界环境噪声排放标准》（GB12348-2008）3类标准要求。</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（4）固体废物影响及防治措施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运行期产生的的固体废物包括预加工产生的边角料S1、脱漆产生的防氧化漆膜S2、多次测试产生的不合格品S3，喷漆产生的漆渣、含浸产生的漆渣、使用后的漆桶和稀释剂桶、废气处理装置产生的废活性炭、以及职工生活垃圾。其中一般工业固废边角料综合利用，危险废物（脱漆产生的防氧化漆膜、多次测试产生的不合格品，喷漆产生的漆渣、含浸产生的漆渣、使用后的漆桶和稀释剂桶、废气处理装置产生的废活性炭）分类收集暂存后定期委托有资质单位处理，生活垃圾由环卫部门统一清运处置。本项目固废能够达到减量化、资源化、无害化的效果，不会对周围环境产生明显不利的影响。</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（5）地下水环境影响</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项目无生产废水，且位于园区标准厂房的第4、5层，发生污染物渗漏污染地下水的可能性很小；生活污水进入生化池处理后排入市政污水管网，只要项目做好分区防渗工作，对地下水环境的影响非常小。</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（6）土壤环境影响</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但项目位于工业园区标准厂房内，地面都进行了硬化处理，如果物料泄漏可以及时收集处理，造成土壤污染的可能性微乎其微，对周边土壤的影响较小。</w:t>
            </w:r>
          </w:p>
          <w:p>
            <w:pPr>
              <w:spacing w:after="0" w:line="500" w:lineRule="exact"/>
              <w:jc w:val="both"/>
              <w:rPr>
                <w:rFonts w:hint="eastAsia" w:ascii="Times New Roman" w:hAnsi="Times New Roman" w:eastAsia="宋体"/>
                <w:b/>
                <w:sz w:val="24"/>
                <w:szCs w:val="24"/>
              </w:rPr>
            </w:pPr>
            <w:r>
              <w:rPr>
                <w:rFonts w:ascii="Times New Roman" w:hAnsi="Times New Roman" w:eastAsia="宋体"/>
                <w:b/>
                <w:sz w:val="24"/>
                <w:szCs w:val="24"/>
              </w:rPr>
              <w:t>4.1.</w:t>
            </w:r>
            <w:r>
              <w:rPr>
                <w:rFonts w:hint="eastAsia" w:ascii="Times New Roman" w:hAnsi="Times New Roman" w:eastAsia="宋体"/>
                <w:b/>
                <w:sz w:val="24"/>
                <w:szCs w:val="24"/>
                <w:lang w:val="en-US" w:eastAsia="zh-CN"/>
              </w:rPr>
              <w:t>4</w:t>
            </w:r>
            <w:r>
              <w:rPr>
                <w:rFonts w:hint="eastAsia" w:ascii="Times New Roman" w:hAnsi="Times New Roman" w:eastAsia="宋体"/>
                <w:b/>
                <w:sz w:val="24"/>
                <w:szCs w:val="24"/>
              </w:rPr>
              <w:t>风险分析</w:t>
            </w:r>
          </w:p>
          <w:p>
            <w:pPr>
              <w:spacing w:after="0" w:line="500" w:lineRule="exact"/>
              <w:ind w:firstLine="480" w:firstLineChars="200"/>
              <w:jc w:val="both"/>
              <w:rPr>
                <w:rFonts w:hint="eastAsia" w:ascii="Times New Roman" w:hAnsi="Times New Roman" w:eastAsia="宋体"/>
                <w:b/>
                <w:sz w:val="24"/>
                <w:szCs w:val="24"/>
                <w:lang w:eastAsia="zh-CN"/>
              </w:rPr>
            </w:pPr>
            <w:r>
              <w:rPr>
                <w:rFonts w:hint="eastAsia" w:ascii="Times New Roman" w:hAnsi="Times New Roman" w:eastAsia="宋体"/>
                <w:b w:val="0"/>
                <w:bCs/>
                <w:sz w:val="24"/>
                <w:szCs w:val="24"/>
                <w:lang w:val="en-US" w:eastAsia="zh-CN"/>
              </w:rPr>
              <w:t>对照《建设项目环境风险评价技术导则》（HJ169－2018）中附录B，本项目原料中重点关注的物质为助焊剂、绝缘漆及其稀释剂，这些原辅材料中含有异丙醇、二甲苯、甲苯等风险物质。重点关注的物质主要分布在原料仓库和生产作业场所，原料仓库一般库存一个月左右的原料用量。根据风险潜势初判结果，本项目Q&lt;1，风险潜势为I，可开展简单分析，做好风险防范措施后，可将风险影响降到最低，项目环境风险可以承受。</w:t>
            </w:r>
          </w:p>
          <w:p>
            <w:pPr>
              <w:spacing w:after="0" w:line="500" w:lineRule="exact"/>
              <w:jc w:val="both"/>
              <w:rPr>
                <w:rFonts w:hint="eastAsia" w:ascii="Times New Roman" w:hAnsi="Times New Roman" w:eastAsia="宋体"/>
                <w:b/>
                <w:sz w:val="24"/>
                <w:szCs w:val="24"/>
                <w:lang w:eastAsia="zh-CN"/>
              </w:rPr>
            </w:pPr>
            <w:r>
              <w:rPr>
                <w:rFonts w:hint="eastAsia" w:ascii="Times New Roman" w:hAnsi="Times New Roman" w:eastAsia="宋体"/>
                <w:b/>
                <w:sz w:val="24"/>
                <w:szCs w:val="24"/>
                <w:lang w:eastAsia="zh-CN"/>
              </w:rPr>
              <w:t>4.1.</w:t>
            </w:r>
            <w:r>
              <w:rPr>
                <w:rFonts w:hint="eastAsia" w:ascii="Times New Roman" w:hAnsi="Times New Roman" w:eastAsia="宋体"/>
                <w:b/>
                <w:sz w:val="24"/>
                <w:szCs w:val="24"/>
                <w:lang w:val="en-US" w:eastAsia="zh-CN"/>
              </w:rPr>
              <w:t>5</w:t>
            </w:r>
            <w:r>
              <w:rPr>
                <w:rFonts w:hint="eastAsia" w:ascii="Times New Roman" w:hAnsi="Times New Roman" w:eastAsia="宋体"/>
                <w:b/>
                <w:sz w:val="24"/>
                <w:szCs w:val="24"/>
                <w:lang w:eastAsia="zh-CN"/>
              </w:rPr>
              <w:t>清洁生产</w:t>
            </w:r>
          </w:p>
          <w:p>
            <w:pPr>
              <w:spacing w:after="0" w:line="500" w:lineRule="exact"/>
              <w:ind w:firstLine="480" w:firstLineChars="200"/>
              <w:jc w:val="both"/>
              <w:rPr>
                <w:rFonts w:hint="eastAsia"/>
                <w:lang w:val="en-US" w:eastAsia="zh-CN"/>
              </w:rPr>
            </w:pPr>
            <w:r>
              <w:rPr>
                <w:rFonts w:hint="eastAsia" w:ascii="Times New Roman" w:hAnsi="Times New Roman" w:eastAsia="宋体"/>
                <w:b w:val="0"/>
                <w:bCs/>
                <w:sz w:val="24"/>
                <w:szCs w:val="24"/>
                <w:lang w:val="en-US" w:eastAsia="zh-CN"/>
              </w:rPr>
              <w:t>拟建项目按清洁生产要求，从工艺、设备等方面采取了一系列的清洁生产措施，有效减少了污染物产生和排放，实现了从源头控制和减少污染物、降低环境影响的清洁生产目的，清洁生产水平较可达到国内先进水平。</w:t>
            </w:r>
          </w:p>
          <w:p>
            <w:pPr>
              <w:spacing w:after="0" w:line="500" w:lineRule="exact"/>
              <w:jc w:val="both"/>
              <w:rPr>
                <w:rFonts w:hint="eastAsia" w:ascii="Times New Roman" w:hAnsi="Times New Roman" w:eastAsia="宋体"/>
                <w:b/>
                <w:sz w:val="24"/>
                <w:szCs w:val="24"/>
                <w:lang w:eastAsia="zh-CN"/>
              </w:rPr>
            </w:pPr>
            <w:r>
              <w:rPr>
                <w:rFonts w:hint="eastAsia" w:ascii="Times New Roman" w:hAnsi="Times New Roman" w:eastAsia="宋体"/>
                <w:b/>
                <w:sz w:val="24"/>
                <w:szCs w:val="24"/>
                <w:lang w:eastAsia="zh-CN"/>
              </w:rPr>
              <w:t>4.1.</w:t>
            </w:r>
            <w:r>
              <w:rPr>
                <w:rFonts w:hint="eastAsia" w:ascii="Times New Roman" w:hAnsi="Times New Roman" w:eastAsia="宋体"/>
                <w:b/>
                <w:sz w:val="24"/>
                <w:szCs w:val="24"/>
                <w:lang w:val="en-US" w:eastAsia="zh-CN"/>
              </w:rPr>
              <w:t>6</w:t>
            </w:r>
            <w:r>
              <w:rPr>
                <w:rFonts w:hint="eastAsia" w:ascii="Times New Roman" w:hAnsi="Times New Roman" w:eastAsia="宋体"/>
                <w:b/>
                <w:sz w:val="24"/>
                <w:szCs w:val="24"/>
                <w:lang w:eastAsia="zh-CN"/>
              </w:rPr>
              <w:t>环评综合结论</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重庆格上新能源有限公司“光伏逆变器和开关电源制造”项目建设内容符合国家和地方产业政策要求；项目选址于三峡光电科技产业园，符合“三线一单”要求，符合主体功能区规划、土地利用总体规划、城乡规划的要求。项目产生的各类污染物通过治理后均可达标排放，固废分类处置后能够实现减量化、无害化和资源化；外排污染物符合总量控制要求；造成的环境影响符合项目所在地环境功能区划确定的环境质量要求。因此，从环保的角度出发，本项目的建设是可行的。</w:t>
            </w:r>
          </w:p>
          <w:p>
            <w:pPr>
              <w:spacing w:after="0" w:line="500" w:lineRule="exact"/>
              <w:jc w:val="both"/>
              <w:rPr>
                <w:rFonts w:hint="eastAsia" w:ascii="Times New Roman" w:hAnsi="Times New Roman" w:eastAsia="宋体"/>
                <w:b/>
                <w:sz w:val="24"/>
                <w:szCs w:val="24"/>
                <w:lang w:eastAsia="zh-CN"/>
              </w:rPr>
            </w:pPr>
            <w:r>
              <w:rPr>
                <w:rFonts w:hint="eastAsia" w:ascii="Times New Roman" w:hAnsi="Times New Roman" w:eastAsia="宋体"/>
                <w:b/>
                <w:sz w:val="24"/>
                <w:szCs w:val="24"/>
                <w:lang w:eastAsia="zh-CN"/>
              </w:rPr>
              <w:t>4.2环境影响评价文件批准书</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你单位报送的光伏逆变器和开关电源制造项目（项目代码:2019-500101-39-03-063445）环评文件及相关报批申请材料收悉。该项目位于万州经开区光电园联合路12号，租用标准厂房4000m'，购置相关生产设备，项目建成后年产光伏逆变器10万台、开关电源10万台。经审查，符合建设项目环境影响评价文件告知承诺审批的相关要求。</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根据贵阳科保环境技术有限公司编制的《重庆格上新能源有限公司光伏逆变器和开关电源制造项目环境影响报告表》对该项目开展环境影响评价的结论，在全面落实报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你单位应当严格落实该项目环境影响报告表提出的防治生态影响和环境污染措施及防范环境风险措施，严格执行配套建设的环保设施与主体工程同时设计、同时施工、同时投产的环保“三同时”制度。项目投入运行前，及时向我局申请排污许可，不得无证排污或不按证排污。项目竣工后，应按照相关规定开展环境保护验收，经验收合格，项目方可正式投入生产或使用。</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的性质、规模、地点、采用的生产工艺或者防治污染措施发生重大变动的，你单位应当重新报批该项目的环境影响评价文件。项目的环保日常监督管理由万州经开区生态环境局和万州区生态环境保护综合行政执法支队按照有关职责实施，发现存在不符合告知承诺制或环评文件存在重大质量问题，依法撤销审批决定，造成的一切法律后果和经济损失均由你单位承担。</w:t>
            </w:r>
          </w:p>
          <w:p>
            <w:pPr>
              <w:spacing w:after="0" w:line="500" w:lineRule="exact"/>
              <w:ind w:firstLine="480" w:firstLineChars="200"/>
              <w:jc w:val="both"/>
              <w:rPr>
                <w:rFonts w:hint="default"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详见附件1。</w:t>
            </w:r>
          </w:p>
          <w:p>
            <w:pPr>
              <w:widowControl w:val="0"/>
              <w:spacing w:before="48" w:beforeLines="20" w:after="0" w:line="360" w:lineRule="auto"/>
              <w:jc w:val="both"/>
              <w:rPr>
                <w:rFonts w:ascii="Times New Roman" w:hAnsi="Times New Roman" w:eastAsia="仿宋_GB2312"/>
                <w:sz w:val="21"/>
                <w:szCs w:val="21"/>
              </w:rPr>
            </w:pPr>
          </w:p>
        </w:tc>
      </w:tr>
    </w:tbl>
    <w:p>
      <w:pPr>
        <w:spacing w:line="360" w:lineRule="auto"/>
        <w:rPr>
          <w:rFonts w:ascii="Times New Roman" w:hAnsi="Times New Roman" w:eastAsia="仿宋_GB2312"/>
          <w:sz w:val="21"/>
          <w:szCs w:val="21"/>
        </w:rPr>
        <w:sectPr>
          <w:pgSz w:w="11906" w:h="16838"/>
          <w:pgMar w:top="1440" w:right="1800" w:bottom="1440" w:left="1800" w:header="964"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表五</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35" w:hRule="atLeast"/>
          <w:jc w:val="center"/>
        </w:trPr>
        <w:tc>
          <w:tcPr>
            <w:tcW w:w="8522" w:type="dxa"/>
          </w:tcPr>
          <w:p>
            <w:pPr>
              <w:spacing w:after="0" w:line="360" w:lineRule="auto"/>
              <w:rPr>
                <w:rFonts w:ascii="Times New Roman" w:hAnsi="Times New Roman" w:eastAsia="宋体"/>
                <w:sz w:val="24"/>
                <w:szCs w:val="21"/>
              </w:rPr>
            </w:pPr>
            <w:r>
              <w:rPr>
                <w:rFonts w:ascii="Times New Roman" w:hAnsi="Times New Roman" w:eastAsia="宋体"/>
                <w:sz w:val="24"/>
                <w:szCs w:val="21"/>
              </w:rPr>
              <w:t>验收监测质量保证及质量控制：</w:t>
            </w:r>
          </w:p>
          <w:p>
            <w:pPr>
              <w:keepNext/>
              <w:keepLines/>
              <w:widowControl w:val="0"/>
              <w:adjustRightInd/>
              <w:snapToGrid/>
              <w:spacing w:after="0" w:line="360" w:lineRule="auto"/>
              <w:jc w:val="both"/>
              <w:outlineLvl w:val="1"/>
              <w:rPr>
                <w:rFonts w:ascii="Times New Roman" w:hAnsi="Times New Roman" w:eastAsia="宋体"/>
                <w:b/>
                <w:bCs/>
                <w:kern w:val="2"/>
                <w:sz w:val="24"/>
                <w:szCs w:val="21"/>
              </w:rPr>
            </w:pPr>
            <w:r>
              <w:rPr>
                <w:rFonts w:ascii="Times New Roman" w:hAnsi="Times New Roman" w:eastAsia="宋体"/>
                <w:b/>
                <w:bCs/>
                <w:kern w:val="2"/>
                <w:sz w:val="24"/>
                <w:szCs w:val="21"/>
              </w:rPr>
              <w:t>监测分析方法</w:t>
            </w:r>
          </w:p>
          <w:p>
            <w:pPr>
              <w:widowControl w:val="0"/>
              <w:adjustRightInd/>
              <w:snapToGrid/>
              <w:spacing w:after="0" w:line="360" w:lineRule="auto"/>
              <w:ind w:firstLine="480" w:firstLineChars="200"/>
              <w:jc w:val="both"/>
              <w:rPr>
                <w:rFonts w:ascii="Times New Roman" w:hAnsi="Times New Roman" w:eastAsia="宋体"/>
                <w:kern w:val="2"/>
                <w:sz w:val="24"/>
                <w:szCs w:val="21"/>
              </w:rPr>
            </w:pPr>
            <w:r>
              <w:rPr>
                <w:rFonts w:ascii="Times New Roman" w:hAnsi="Times New Roman" w:eastAsia="宋体"/>
                <w:kern w:val="2"/>
                <w:sz w:val="24"/>
                <w:szCs w:val="21"/>
              </w:rPr>
              <w:t>本次验收使用的监测方法见表5.1。</w:t>
            </w:r>
          </w:p>
          <w:p>
            <w:pPr>
              <w:keepNext w:val="0"/>
              <w:keepLines w:val="0"/>
              <w:pageBreakBefore w:val="0"/>
              <w:widowControl w:val="0"/>
              <w:tabs>
                <w:tab w:val="left" w:pos="735"/>
                <w:tab w:val="left" w:pos="5940"/>
              </w:tabs>
              <w:kinsoku/>
              <w:wordWrap/>
              <w:overflowPunct/>
              <w:topLinePunct w:val="0"/>
              <w:autoSpaceDE/>
              <w:autoSpaceDN/>
              <w:bidi w:val="0"/>
              <w:adjustRightInd/>
              <w:snapToGrid/>
              <w:spacing w:line="320" w:lineRule="exact"/>
              <w:ind w:right="66" w:rightChars="30"/>
              <w:jc w:val="center"/>
              <w:textAlignment w:val="auto"/>
              <w:rPr>
                <w:rFonts w:hint="default" w:ascii="Times New Roman" w:hAnsi="Times New Roman" w:cs="Times New Roman"/>
                <w:sz w:val="24"/>
                <w:szCs w:val="24"/>
              </w:rPr>
            </w:pPr>
            <w:r>
              <w:rPr>
                <w:rFonts w:ascii="Times New Roman" w:hAnsi="Times New Roman" w:eastAsia="宋体"/>
                <w:b/>
                <w:kern w:val="2"/>
                <w:sz w:val="24"/>
                <w:szCs w:val="21"/>
              </w:rPr>
              <w:t>表5.1    监测方法一览表</w:t>
            </w:r>
          </w:p>
          <w:tbl>
            <w:tblPr>
              <w:tblStyle w:val="2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1471"/>
              <w:gridCol w:w="3957"/>
              <w:gridCol w:w="2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79" w:hRule="atLeast"/>
                <w:jc w:val="center"/>
              </w:trPr>
              <w:tc>
                <w:tcPr>
                  <w:tcW w:w="470"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监测类别</w:t>
                  </w: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监测分析方法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方法标准号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废水</w:t>
                  </w: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pH</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pH值的测定 电极法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1147-2020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化学需氧量的测定 重铬酸盐法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828-2017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氨氮的测定 蒸馏-中和滴定法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537-2009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悬浮物的测定 重量法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GB 11901-1989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47"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石油类</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石油类和动植物油的测定</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红外分光光度法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637-2018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04"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五日生化需氧量</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水质 五日生化需氧量（BOD5）的测定  稀释与接种法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505-2009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jc w:val="center"/>
              </w:trPr>
              <w:tc>
                <w:tcPr>
                  <w:tcW w:w="470"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有组织废气</w:t>
                  </w: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烟气参数</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5.2烟气参数的测定 温度、含湿量、烟气成分、压力、流速和流量</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《空气和废气监测分析方法》(第四版) 国家环境保护总局（2003年）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jc w:val="center"/>
              </w:trPr>
              <w:tc>
                <w:tcPr>
                  <w:tcW w:w="47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有组织废气</w:t>
                  </w:r>
                </w:p>
              </w:tc>
              <w:tc>
                <w:tcPr>
                  <w:tcW w:w="888"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烟气参数</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固定污染源废气监测技术规范</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HJ/T 397-2007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20"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固定污染源废气（SO2、NOX、颗粒物）排放连续监测系统要求及检测方法</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 xml:space="preserve">附录D </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HJ</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76-2017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3"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固定污染源废气 低浓度颗粒物的测定 重量法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836-2017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固定污染源排气中颗粒物和气态污染物采样方法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GB/T 16157-1996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78"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非甲烷总烃</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固定污染源废气</w:t>
                  </w:r>
                  <w:r>
                    <w:rPr>
                      <w:rFonts w:hint="default" w:ascii="Times New Roman" w:hAnsi="Times New Roman" w:eastAsia="宋体" w:cs="Times New Roman"/>
                      <w:kern w:val="2"/>
                      <w:sz w:val="21"/>
                      <w:szCs w:val="21"/>
                      <w:lang w:val="en-US" w:eastAsia="zh-CN"/>
                    </w:rPr>
                    <w:t xml:space="preserve"> 总烃、甲烷和非甲烷总烃的测定 气相色谱法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38-2017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01"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锡及其化合物</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大气固定污染源 锡的测定 石墨炉原子吸收分光光度法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 HJ/T 65-2001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01" w:hRule="atLeast"/>
                <w:jc w:val="center"/>
              </w:trPr>
              <w:tc>
                <w:tcPr>
                  <w:tcW w:w="47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无组织废气</w:t>
                  </w: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颗粒物</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环境空气 总悬浮颗粒物的测定 重量法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1263-2022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44"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非甲烷总烃</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环境空气 总烃、甲烷和非甲烷总烃的测定 直接进样-气相色谱法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HJ 604-2017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0"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锡及其化合物</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大气固定污染源 锡的测定 石墨炉原子吸收分光光度法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 HJ/T 65-2001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47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噪声</w:t>
                  </w:r>
                </w:p>
              </w:tc>
              <w:tc>
                <w:tcPr>
                  <w:tcW w:w="888"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工业企业厂界环境噪声</w:t>
                  </w: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工业企业厂界环境噪声排放标准</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 测量方法）</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GB 12348-2008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47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888"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3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环境噪声监测技术规范 噪声测量值修正</w:t>
                  </w:r>
                </w:p>
              </w:tc>
              <w:tc>
                <w:tcPr>
                  <w:tcW w:w="125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HJ 706-2014</w:t>
                  </w:r>
                </w:p>
              </w:tc>
            </w:tr>
          </w:tbl>
          <w:p>
            <w:pPr>
              <w:keepNext/>
              <w:keepLines/>
              <w:widowControl w:val="0"/>
              <w:adjustRightInd/>
              <w:snapToGrid/>
              <w:spacing w:after="0" w:line="360" w:lineRule="auto"/>
              <w:jc w:val="both"/>
              <w:outlineLvl w:val="1"/>
              <w:rPr>
                <w:rFonts w:ascii="Times New Roman" w:hAnsi="Times New Roman" w:eastAsia="宋体"/>
                <w:b/>
                <w:bCs/>
                <w:kern w:val="2"/>
                <w:sz w:val="24"/>
                <w:szCs w:val="21"/>
              </w:rPr>
            </w:pPr>
            <w:r>
              <w:rPr>
                <w:rFonts w:ascii="Times New Roman" w:hAnsi="Times New Roman" w:eastAsia="宋体"/>
                <w:b/>
                <w:bCs/>
                <w:kern w:val="2"/>
                <w:sz w:val="24"/>
                <w:szCs w:val="21"/>
              </w:rPr>
              <w:t>监测仪器</w:t>
            </w:r>
          </w:p>
          <w:p>
            <w:pPr>
              <w:widowControl w:val="0"/>
              <w:adjustRightInd/>
              <w:snapToGrid/>
              <w:spacing w:after="0" w:line="360" w:lineRule="auto"/>
              <w:ind w:firstLine="480" w:firstLineChars="200"/>
              <w:jc w:val="both"/>
              <w:rPr>
                <w:rFonts w:ascii="Times New Roman" w:hAnsi="Times New Roman" w:eastAsia="宋体"/>
                <w:kern w:val="2"/>
                <w:sz w:val="24"/>
                <w:szCs w:val="21"/>
              </w:rPr>
            </w:pPr>
            <w:r>
              <w:rPr>
                <w:rFonts w:ascii="Times New Roman" w:hAnsi="Times New Roman" w:eastAsia="宋体"/>
                <w:kern w:val="2"/>
                <w:sz w:val="24"/>
                <w:szCs w:val="21"/>
              </w:rPr>
              <w:t>本次检测采用仪器见表5.2。</w:t>
            </w:r>
          </w:p>
          <w:p>
            <w:pPr>
              <w:keepNext w:val="0"/>
              <w:keepLines w:val="0"/>
              <w:pageBreakBefore w:val="0"/>
              <w:widowControl w:val="0"/>
              <w:tabs>
                <w:tab w:val="left" w:pos="735"/>
              </w:tabs>
              <w:kinsoku/>
              <w:wordWrap/>
              <w:overflowPunct/>
              <w:topLinePunct w:val="0"/>
              <w:autoSpaceDE/>
              <w:autoSpaceDN/>
              <w:bidi w:val="0"/>
              <w:adjustRightInd/>
              <w:snapToGrid/>
              <w:spacing w:line="380" w:lineRule="exact"/>
              <w:ind w:right="0" w:rightChars="0" w:firstLine="0" w:firstLineChars="0"/>
              <w:jc w:val="center"/>
              <w:textAlignment w:val="auto"/>
              <w:outlineLvl w:val="9"/>
              <w:rPr>
                <w:rFonts w:hint="default" w:ascii="Times New Roman" w:hAnsi="Times New Roman" w:cs="Times New Roman"/>
                <w:color w:val="auto"/>
                <w:sz w:val="24"/>
                <w:szCs w:val="24"/>
                <w:lang w:val="en-US"/>
              </w:rPr>
            </w:pPr>
            <w:r>
              <w:rPr>
                <w:rFonts w:ascii="Times New Roman" w:hAnsi="Times New Roman" w:eastAsia="宋体"/>
                <w:b/>
                <w:kern w:val="2"/>
                <w:sz w:val="24"/>
                <w:szCs w:val="21"/>
              </w:rPr>
              <w:t>表5.2  检测仪器一览表</w:t>
            </w:r>
          </w:p>
          <w:tbl>
            <w:tblPr>
              <w:tblStyle w:val="2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1307"/>
              <w:gridCol w:w="3317"/>
              <w:gridCol w:w="2114"/>
              <w:gridCol w:w="6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3" w:hRule="atLeast"/>
                <w:jc w:val="center"/>
              </w:trPr>
              <w:tc>
                <w:tcPr>
                  <w:tcW w:w="513"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监测类别</w:t>
                  </w:r>
                </w:p>
              </w:tc>
              <w:tc>
                <w:tcPr>
                  <w:tcW w:w="7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仪器名称及型号</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仪器编号</w:t>
                  </w:r>
                </w:p>
              </w:tc>
              <w:tc>
                <w:tcPr>
                  <w:tcW w:w="417"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废水</w:t>
                  </w:r>
                </w:p>
              </w:tc>
              <w:tc>
                <w:tcPr>
                  <w:tcW w:w="7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pH</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PHBJ-260便携式pH计</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601806N0020090060</w:t>
                  </w:r>
                </w:p>
              </w:tc>
              <w:tc>
                <w:tcPr>
                  <w:tcW w:w="417"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所有仪器均在检定或校准有效期内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滴定管</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ZB1863026</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GZX-GF101-1-BS-Ⅱ/H</w:t>
                  </w:r>
                  <w:r>
                    <w:rPr>
                      <w:rFonts w:hint="default" w:ascii="Times New Roman" w:hAnsi="Times New Roman" w:eastAsia="宋体" w:cs="Times New Roman"/>
                      <w:kern w:val="2"/>
                      <w:sz w:val="21"/>
                      <w:szCs w:val="21"/>
                      <w:lang w:val="en-US" w:eastAsia="zh-CN"/>
                    </w:rPr>
                    <w:t xml:space="preserve"> </w:t>
                  </w:r>
                </w:p>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电热恒温鼓风干燥箱</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040261702</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BSA224S</w:t>
                  </w:r>
                  <w:r>
                    <w:rPr>
                      <w:rFonts w:hint="default" w:ascii="Times New Roman" w:hAnsi="Times New Roman" w:eastAsia="宋体" w:cs="Times New Roman"/>
                      <w:kern w:val="2"/>
                      <w:sz w:val="21"/>
                      <w:szCs w:val="21"/>
                      <w:lang w:val="en-US" w:eastAsia="zh-CN"/>
                    </w:rPr>
                    <w:t xml:space="preserve"> 电子天平</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33790750</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5"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石油类</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OIL</w:t>
                  </w:r>
                  <w:r>
                    <w:rPr>
                      <w:rFonts w:hint="eastAsia"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val="en-US" w:eastAsia="zh-CN"/>
                    </w:rPr>
                    <w:t>460 红外分光测油仪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111I</w:t>
                  </w:r>
                  <w:r>
                    <w:rPr>
                      <w:rFonts w:hint="eastAsia" w:ascii="Times New Roman" w:hAnsi="Times New Roman" w:eastAsia="宋体" w:cs="Times New Roman"/>
                      <w:kern w:val="2"/>
                      <w:sz w:val="21"/>
                      <w:szCs w:val="21"/>
                      <w:lang w:val="en-US" w:eastAsia="zh-CN"/>
                    </w:rPr>
                    <w:t>I</w:t>
                  </w:r>
                  <w:r>
                    <w:rPr>
                      <w:rFonts w:hint="default" w:ascii="Times New Roman" w:hAnsi="Times New Roman" w:eastAsia="宋体" w:cs="Times New Roman"/>
                      <w:kern w:val="2"/>
                      <w:sz w:val="21"/>
                      <w:szCs w:val="21"/>
                      <w:lang w:val="en-US" w:eastAsia="zh-CN"/>
                    </w:rPr>
                    <w:t>C16010014</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1"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氨氮</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滴定管</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ZB1863028</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2"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五日生化需氧量</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SPX-</w:t>
                  </w:r>
                  <w:r>
                    <w:rPr>
                      <w:rFonts w:hint="eastAsia" w:ascii="Times New Roman" w:hAnsi="Times New Roman" w:eastAsia="宋体" w:cs="Times New Roman"/>
                      <w:kern w:val="2"/>
                      <w:sz w:val="21"/>
                      <w:szCs w:val="21"/>
                      <w:lang w:val="en-US" w:eastAsia="zh-CN"/>
                    </w:rPr>
                    <w:t>150</w:t>
                  </w:r>
                  <w:r>
                    <w:rPr>
                      <w:rFonts w:hint="default" w:ascii="Times New Roman" w:hAnsi="Times New Roman" w:eastAsia="宋体" w:cs="Times New Roman"/>
                      <w:kern w:val="2"/>
                      <w:sz w:val="21"/>
                      <w:szCs w:val="21"/>
                      <w:lang w:val="en-US" w:eastAsia="zh-CN"/>
                    </w:rPr>
                    <w:t>-Ⅱ</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en-US" w:eastAsia="zh-CN"/>
                    </w:rPr>
                    <w:t>生化培养箱</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02051706</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13"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滴定管</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ZB1862911</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2" w:hRule="atLeast"/>
                <w:jc w:val="center"/>
              </w:trPr>
              <w:tc>
                <w:tcPr>
                  <w:tcW w:w="513"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有组织废气</w:t>
                  </w:r>
                </w:p>
              </w:tc>
              <w:tc>
                <w:tcPr>
                  <w:tcW w:w="789"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烟气参数</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3260A17082063</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3260A18077760</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3260A17082063</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3260A18077760</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NVN-800低浓度称量恒温恒湿设备</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JN180527</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8"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MSU125P-.CE 十万分之一天平</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35702910</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8" w:hRule="atLeast"/>
                <w:jc w:val="center"/>
              </w:trPr>
              <w:tc>
                <w:tcPr>
                  <w:tcW w:w="513"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有组织废气</w:t>
                  </w: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101-1A电热恒温干燥箱</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50313091</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8"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ATY224电子天平</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D318900241</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GC9790 PLUS 气相色谱仪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9790p0155</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3260A17082063</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ZR-3260自动烟尘烟气综合测试仪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3260A18077760</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AA-6880原子吸收分光光度计</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A30985531156CS</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无组织废气</w:t>
                  </w: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TH-150C智能中流量空气总悬浮颗粒物采样器</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331512678</w:t>
                  </w:r>
                </w:p>
              </w:tc>
              <w:tc>
                <w:tcPr>
                  <w:tcW w:w="417"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TH-150C智能中流量空气总悬浮颗粒物采样器</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331511481</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FB-8手持式风速风向仪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CW3170302-2-3</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FB-8三杯风速仪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JC2018042005</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RG-AWS9</w:t>
                  </w:r>
                  <w:r>
                    <w:rPr>
                      <w:rFonts w:hint="eastAsia" w:ascii="Times New Roman" w:hAnsi="Times New Roman" w:eastAsia="宋体" w:cs="Times New Roman"/>
                      <w:kern w:val="2"/>
                      <w:sz w:val="21"/>
                      <w:szCs w:val="21"/>
                      <w:lang w:val="en-US" w:eastAsia="zh-CN"/>
                    </w:rPr>
                    <w:t xml:space="preserve"> 恒温恒湿系统</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RGAWS9015</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MS205DU</w:t>
                  </w:r>
                  <w:r>
                    <w:rPr>
                      <w:rFonts w:hint="eastAsia" w:ascii="Times New Roman" w:hAnsi="Times New Roman" w:eastAsia="宋体" w:cs="Times New Roman"/>
                      <w:kern w:val="2"/>
                      <w:sz w:val="21"/>
                      <w:szCs w:val="21"/>
                      <w:lang w:val="en-US" w:eastAsia="zh-CN"/>
                    </w:rPr>
                    <w:t xml:space="preserve"> 十万分之一电子天平</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B745947293</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FB-8手持式风速风向仪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CW3170302-2-3</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FB-8三杯风速仪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JC2018042005</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GC9790 PLUS气相色谱仪</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9790p0155</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TH-150A智能中流量空气总悬浮颗粒物采样器</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341509017</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513" w:type="pct"/>
                  <w:vMerge w:val="continue"/>
                  <w:noWrap w:val="0"/>
                  <w:vAlign w:val="center"/>
                </w:tcPr>
                <w:p>
                  <w:pPr>
                    <w:spacing w:line="240" w:lineRule="auto"/>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TH-150A智能中流量空气总悬浮颗粒物采样器</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341509014</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513" w:type="pct"/>
                  <w:vMerge w:val="continue"/>
                  <w:noWrap w:val="0"/>
                  <w:vAlign w:val="center"/>
                </w:tcPr>
                <w:p>
                  <w:pPr>
                    <w:spacing w:line="240" w:lineRule="auto"/>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FB-8手持式风速风向仪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CW3170302-2-3</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513" w:type="pct"/>
                  <w:vMerge w:val="continue"/>
                  <w:noWrap w:val="0"/>
                  <w:vAlign w:val="center"/>
                </w:tcPr>
                <w:p>
                  <w:pPr>
                    <w:spacing w:line="240" w:lineRule="auto"/>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FB-8三杯风速仪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JC2018042005</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513" w:type="pct"/>
                  <w:vMerge w:val="continue"/>
                  <w:noWrap w:val="0"/>
                  <w:vAlign w:val="center"/>
                </w:tcPr>
                <w:p>
                  <w:pPr>
                    <w:spacing w:line="240" w:lineRule="auto"/>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AA-6880原子吸收分光光度计</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A30985531156CS</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513"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噪声</w:t>
                  </w:r>
                </w:p>
              </w:tc>
              <w:tc>
                <w:tcPr>
                  <w:tcW w:w="789" w:type="pct"/>
                  <w:vMerge w:val="restar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工业企业厂界环境噪声</w:t>
                  </w: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AWA5688多功能声级计</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00313286</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AWA6221A声校准器</w:t>
                  </w:r>
                </w:p>
              </w:tc>
              <w:tc>
                <w:tcPr>
                  <w:tcW w:w="1276"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1004528</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513" w:type="pct"/>
                  <w:vMerge w:val="continue"/>
                  <w:noWrap w:val="0"/>
                  <w:vAlign w:val="center"/>
                </w:tcPr>
                <w:p>
                  <w:pPr>
                    <w:jc w:val="center"/>
                    <w:rPr>
                      <w:rFonts w:hint="default" w:ascii="Times New Roman" w:hAnsi="Times New Roman" w:cs="Times New Roman"/>
                      <w:b w:val="0"/>
                      <w:bCs/>
                      <w:color w:val="auto"/>
                      <w:sz w:val="24"/>
                      <w:szCs w:val="24"/>
                      <w:lang w:val="en-US" w:eastAsia="zh-CN"/>
                    </w:rPr>
                  </w:pPr>
                </w:p>
              </w:tc>
              <w:tc>
                <w:tcPr>
                  <w:tcW w:w="789" w:type="pct"/>
                  <w:vMerge w:val="continue"/>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p>
              </w:tc>
              <w:tc>
                <w:tcPr>
                  <w:tcW w:w="2002"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FB-8手持式风速风向仪</w:t>
                  </w:r>
                </w:p>
              </w:tc>
              <w:tc>
                <w:tcPr>
                  <w:tcW w:w="1276"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CW3170302-2-3</w:t>
                  </w:r>
                </w:p>
              </w:tc>
              <w:tc>
                <w:tcPr>
                  <w:tcW w:w="417" w:type="pct"/>
                  <w:vMerge w:val="continue"/>
                  <w:noWrap w:val="0"/>
                  <w:vAlign w:val="center"/>
                </w:tcPr>
                <w:p>
                  <w:pPr>
                    <w:tabs>
                      <w:tab w:val="left" w:pos="735"/>
                    </w:tabs>
                    <w:spacing w:line="400" w:lineRule="atLeast"/>
                    <w:ind w:right="66" w:rightChars="30"/>
                    <w:jc w:val="center"/>
                    <w:rPr>
                      <w:rFonts w:hint="default" w:ascii="Times New Roman" w:hAnsi="Times New Roman" w:cs="Times New Roman"/>
                      <w:color w:val="auto"/>
                      <w:sz w:val="15"/>
                      <w:szCs w:val="15"/>
                    </w:rPr>
                  </w:pPr>
                </w:p>
              </w:tc>
            </w:tr>
          </w:tbl>
          <w:p>
            <w:pPr>
              <w:widowControl w:val="0"/>
              <w:adjustRightInd/>
              <w:snapToGrid/>
              <w:spacing w:after="0"/>
              <w:jc w:val="center"/>
              <w:rPr>
                <w:rFonts w:ascii="Times New Roman" w:hAnsi="Times New Roman" w:eastAsia="宋体"/>
                <w:b/>
                <w:kern w:val="2"/>
                <w:sz w:val="24"/>
                <w:szCs w:val="21"/>
              </w:rPr>
            </w:pPr>
          </w:p>
          <w:p>
            <w:pPr>
              <w:keepNext/>
              <w:keepLines/>
              <w:widowControl w:val="0"/>
              <w:adjustRightInd/>
              <w:snapToGrid/>
              <w:spacing w:after="0" w:line="360" w:lineRule="auto"/>
              <w:jc w:val="both"/>
              <w:outlineLvl w:val="1"/>
              <w:rPr>
                <w:rFonts w:ascii="Times New Roman" w:hAnsi="Times New Roman" w:eastAsia="宋体"/>
                <w:b/>
                <w:bCs/>
                <w:kern w:val="2"/>
                <w:sz w:val="24"/>
                <w:szCs w:val="21"/>
              </w:rPr>
            </w:pPr>
            <w:r>
              <w:rPr>
                <w:rFonts w:ascii="Times New Roman" w:hAnsi="Times New Roman" w:eastAsia="宋体"/>
                <w:b/>
                <w:bCs/>
                <w:kern w:val="2"/>
                <w:sz w:val="24"/>
                <w:szCs w:val="21"/>
              </w:rPr>
              <w:t>人员资质</w:t>
            </w:r>
          </w:p>
          <w:p>
            <w:pPr>
              <w:pStyle w:val="4"/>
              <w:spacing w:line="360" w:lineRule="auto"/>
              <w:ind w:firstLine="480" w:firstLineChars="200"/>
              <w:rPr>
                <w:b/>
                <w:sz w:val="24"/>
                <w:szCs w:val="21"/>
              </w:rPr>
            </w:pPr>
            <w:r>
              <w:rPr>
                <w:bCs w:val="0"/>
                <w:sz w:val="24"/>
                <w:szCs w:val="21"/>
              </w:rPr>
              <w:t>参加竣工验收监测采样和测试的人员，经考核合格并持证上岗；验收项目负责人、报告编制人员、现场采样负责人均具有中国环境监测总站颁发的建设项目竣工环境保护验收监测人员合格证书。监测数据和报告执行三级审核制度。</w:t>
            </w:r>
          </w:p>
          <w:p>
            <w:pPr>
              <w:pStyle w:val="4"/>
              <w:spacing w:line="360" w:lineRule="auto"/>
              <w:rPr>
                <w:b/>
                <w:sz w:val="24"/>
                <w:szCs w:val="21"/>
              </w:rPr>
            </w:pPr>
            <w:r>
              <w:rPr>
                <w:b/>
                <w:sz w:val="24"/>
                <w:szCs w:val="21"/>
              </w:rPr>
              <w:t>水质监测分析过程中的质量保证和质量控制</w:t>
            </w:r>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监测过程中的质量保证措施按国家环境保护总局颁发的《环境监测质量保证管理规定》和《环境监测质量管理技术导则》（HJ630-2011）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w:t>
            </w:r>
          </w:p>
          <w:p>
            <w:pPr>
              <w:pStyle w:val="4"/>
              <w:spacing w:line="360" w:lineRule="auto"/>
              <w:rPr>
                <w:b/>
                <w:sz w:val="24"/>
                <w:szCs w:val="21"/>
              </w:rPr>
            </w:pPr>
            <w:bookmarkStart w:id="1" w:name="_Toc502762713"/>
            <w:bookmarkStart w:id="2" w:name="_Toc513645616"/>
            <w:bookmarkStart w:id="3" w:name="_Toc505588971"/>
            <w:r>
              <w:rPr>
                <w:b/>
                <w:sz w:val="24"/>
                <w:szCs w:val="21"/>
              </w:rPr>
              <w:t>气体监测分析过程中的质量保证和质量控制</w:t>
            </w:r>
            <w:bookmarkEnd w:id="1"/>
            <w:bookmarkEnd w:id="2"/>
            <w:bookmarkEnd w:id="3"/>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被测排放物的浓度在仪器测试量程的有效范围即仪器量程的30％～70％之间。</w:t>
            </w:r>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在采样前用标准气体进行了标定</w:t>
            </w:r>
            <w:r>
              <w:rPr>
                <w:rFonts w:hint="eastAsia" w:ascii="Times New Roman" w:hAnsi="Times New Roman" w:eastAsia="宋体"/>
                <w:sz w:val="24"/>
                <w:szCs w:val="21"/>
              </w:rPr>
              <w:t>，</w:t>
            </w:r>
            <w:r>
              <w:rPr>
                <w:rFonts w:ascii="Times New Roman" w:hAnsi="Times New Roman" w:eastAsia="宋体"/>
                <w:sz w:val="24"/>
                <w:szCs w:val="21"/>
              </w:rPr>
              <w:t>对采样器流量计、流速计等进行了校核，在测试时保证其采样流量。</w:t>
            </w:r>
          </w:p>
          <w:p>
            <w:pPr>
              <w:pStyle w:val="4"/>
              <w:spacing w:line="360" w:lineRule="auto"/>
              <w:rPr>
                <w:b/>
                <w:sz w:val="24"/>
                <w:szCs w:val="21"/>
              </w:rPr>
            </w:pPr>
            <w:bookmarkStart w:id="4" w:name="_Toc505588972"/>
            <w:bookmarkStart w:id="5" w:name="_Toc513645617"/>
            <w:bookmarkStart w:id="6" w:name="_Toc502762714"/>
            <w:r>
              <w:rPr>
                <w:b/>
                <w:sz w:val="24"/>
                <w:szCs w:val="21"/>
              </w:rPr>
              <w:t>噪声监测分析过程中的质量保证和质量控制</w:t>
            </w:r>
            <w:bookmarkEnd w:id="4"/>
            <w:bookmarkEnd w:id="5"/>
            <w:bookmarkEnd w:id="6"/>
          </w:p>
          <w:p>
            <w:pPr>
              <w:pStyle w:val="56"/>
              <w:spacing w:line="360" w:lineRule="auto"/>
              <w:ind w:firstLine="480"/>
              <w:rPr>
                <w:rFonts w:eastAsia="仿宋_GB2312"/>
                <w:sz w:val="24"/>
                <w:szCs w:val="21"/>
              </w:rPr>
            </w:pPr>
            <w:r>
              <w:rPr>
                <w:sz w:val="24"/>
                <w:szCs w:val="21"/>
              </w:rPr>
              <w:t>监测时使用经计量部门检定、并在有效使用期内的声级计；声级计在测试前后用标准发生源进行校准，测量前后仪器的灵敏度相差不大于0.5dB。</w:t>
            </w:r>
          </w:p>
        </w:tc>
      </w:tr>
    </w:tbl>
    <w:p>
      <w:pPr>
        <w:spacing w:line="360" w:lineRule="auto"/>
        <w:rPr>
          <w:rFonts w:ascii="Times New Roman" w:hAnsi="Times New Roman" w:eastAsia="仿宋_GB2312"/>
          <w:sz w:val="21"/>
          <w:szCs w:val="21"/>
        </w:rPr>
        <w:sectPr>
          <w:pgSz w:w="11906" w:h="16838"/>
          <w:pgMar w:top="1440" w:right="1800" w:bottom="1440" w:left="1800" w:header="964"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表六</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3" w:hRule="atLeast"/>
          <w:jc w:val="center"/>
        </w:trPr>
        <w:tc>
          <w:tcPr>
            <w:tcW w:w="8522" w:type="dxa"/>
          </w:tcPr>
          <w:p>
            <w:pPr>
              <w:spacing w:after="0" w:line="360" w:lineRule="auto"/>
              <w:jc w:val="both"/>
              <w:rPr>
                <w:rFonts w:ascii="Times New Roman" w:hAnsi="Times New Roman" w:eastAsia="宋体"/>
                <w:sz w:val="24"/>
                <w:szCs w:val="24"/>
              </w:rPr>
            </w:pPr>
            <w:r>
              <w:rPr>
                <w:rFonts w:ascii="Times New Roman" w:hAnsi="Times New Roman" w:eastAsia="宋体"/>
                <w:sz w:val="24"/>
                <w:szCs w:val="24"/>
              </w:rPr>
              <w:t>验收监测内容：</w:t>
            </w:r>
          </w:p>
          <w:p>
            <w:pPr>
              <w:pStyle w:val="4"/>
              <w:spacing w:line="360" w:lineRule="auto"/>
              <w:rPr>
                <w:rFonts w:hint="eastAsia" w:ascii="Times New Roman" w:hAnsi="Times New Roman" w:cs="Times New Roman"/>
                <w:b/>
                <w:sz w:val="24"/>
                <w:szCs w:val="21"/>
                <w:lang w:val="en-US" w:eastAsia="zh-CN"/>
              </w:rPr>
            </w:pPr>
            <w:r>
              <w:rPr>
                <w:rFonts w:hint="eastAsia" w:ascii="Times New Roman" w:hAnsi="Times New Roman" w:cs="Times New Roman"/>
                <w:b/>
                <w:sz w:val="24"/>
                <w:szCs w:val="21"/>
                <w:lang w:eastAsia="zh-CN"/>
              </w:rPr>
              <w:t>废</w:t>
            </w:r>
            <w:r>
              <w:rPr>
                <w:rFonts w:hint="eastAsia" w:cs="Times New Roman"/>
                <w:b/>
                <w:sz w:val="24"/>
                <w:szCs w:val="21"/>
                <w:lang w:eastAsia="zh-CN"/>
              </w:rPr>
              <w:t>气</w:t>
            </w:r>
          </w:p>
          <w:p>
            <w:pPr>
              <w:widowControl w:val="0"/>
              <w:adjustRightInd/>
              <w:snapToGrid/>
              <w:spacing w:after="0" w:line="500" w:lineRule="exact"/>
              <w:ind w:firstLine="480" w:firstLineChars="200"/>
              <w:jc w:val="left"/>
              <w:rPr>
                <w:rFonts w:ascii="Times New Roman" w:hAnsi="Times New Roman" w:eastAsia="宋体" w:cs="Times New Roman"/>
                <w:color w:val="auto"/>
                <w:kern w:val="2"/>
                <w:sz w:val="24"/>
                <w:szCs w:val="21"/>
                <w:lang w:val="en-US" w:eastAsia="zh-CN" w:bidi="ar-SA"/>
              </w:rPr>
            </w:pPr>
            <w:r>
              <w:rPr>
                <w:rFonts w:ascii="Times New Roman" w:hAnsi="Times New Roman" w:eastAsia="宋体" w:cs="Times New Roman"/>
                <w:color w:val="auto"/>
                <w:kern w:val="2"/>
                <w:sz w:val="24"/>
                <w:szCs w:val="21"/>
                <w:lang w:val="en-US" w:eastAsia="zh-CN" w:bidi="ar-SA"/>
              </w:rPr>
              <w:t>废</w:t>
            </w:r>
            <w:r>
              <w:rPr>
                <w:rFonts w:hint="eastAsia" w:ascii="Times New Roman" w:hAnsi="Times New Roman" w:eastAsia="宋体" w:cs="Times New Roman"/>
                <w:color w:val="auto"/>
                <w:kern w:val="2"/>
                <w:sz w:val="24"/>
                <w:szCs w:val="21"/>
                <w:lang w:val="en-US" w:eastAsia="zh-CN" w:bidi="ar-SA"/>
              </w:rPr>
              <w:t>气</w:t>
            </w:r>
            <w:r>
              <w:rPr>
                <w:rFonts w:ascii="Times New Roman" w:hAnsi="Times New Roman" w:eastAsia="宋体" w:cs="Times New Roman"/>
                <w:color w:val="auto"/>
                <w:kern w:val="2"/>
                <w:sz w:val="24"/>
                <w:szCs w:val="21"/>
                <w:lang w:val="en-US" w:eastAsia="zh-CN" w:bidi="ar-SA"/>
              </w:rPr>
              <w:t>监测点位、因子和频次详见表6.</w:t>
            </w:r>
            <w:r>
              <w:rPr>
                <w:rFonts w:hint="eastAsia" w:ascii="Times New Roman" w:hAnsi="Times New Roman" w:eastAsia="宋体" w:cs="Times New Roman"/>
                <w:color w:val="auto"/>
                <w:kern w:val="2"/>
                <w:sz w:val="24"/>
                <w:szCs w:val="21"/>
                <w:lang w:val="en-US" w:eastAsia="zh-CN" w:bidi="ar-SA"/>
              </w:rPr>
              <w:t>1</w:t>
            </w:r>
            <w:r>
              <w:rPr>
                <w:rFonts w:ascii="Times New Roman" w:hAnsi="Times New Roman" w:eastAsia="宋体" w:cs="Times New Roman"/>
                <w:color w:val="auto"/>
                <w:kern w:val="2"/>
                <w:sz w:val="24"/>
                <w:szCs w:val="21"/>
                <w:lang w:val="en-US" w:eastAsia="zh-CN" w:bidi="ar-SA"/>
              </w:rPr>
              <w:t>。</w:t>
            </w:r>
          </w:p>
          <w:p>
            <w:pPr>
              <w:spacing w:line="540" w:lineRule="exact"/>
              <w:ind w:firstLine="463" w:firstLineChars="192"/>
              <w:jc w:val="center"/>
              <w:rPr>
                <w:rFonts w:eastAsia="黑体"/>
                <w:color w:val="000000"/>
                <w:sz w:val="28"/>
                <w:szCs w:val="28"/>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1</w:t>
            </w:r>
            <w:r>
              <w:rPr>
                <w:rFonts w:ascii="Times New Roman" w:hAnsi="Times New Roman" w:eastAsia="宋体" w:cs="Times New Roman"/>
                <w:b/>
                <w:bCs/>
                <w:kern w:val="2"/>
                <w:sz w:val="24"/>
                <w:szCs w:val="21"/>
              </w:rPr>
              <w:t xml:space="preserve"> </w:t>
            </w:r>
            <w:r>
              <w:rPr>
                <w:rFonts w:hint="eastAsia" w:ascii="Times New Roman" w:hAnsi="Times New Roman" w:eastAsia="宋体" w:cs="Times New Roman"/>
                <w:b/>
                <w:bCs/>
                <w:kern w:val="2"/>
                <w:sz w:val="24"/>
                <w:szCs w:val="21"/>
                <w:lang w:val="en-US" w:eastAsia="zh-CN"/>
              </w:rPr>
              <w:t xml:space="preserve">  </w:t>
            </w:r>
            <w:r>
              <w:rPr>
                <w:rFonts w:hint="eastAsia" w:ascii="Times New Roman" w:hAnsi="Times New Roman" w:eastAsia="宋体" w:cs="Times New Roman"/>
                <w:b/>
                <w:bCs/>
                <w:kern w:val="2"/>
                <w:sz w:val="24"/>
                <w:szCs w:val="21"/>
                <w:lang w:eastAsia="zh-CN"/>
              </w:rPr>
              <w:t>废气</w:t>
            </w:r>
            <w:r>
              <w:rPr>
                <w:rFonts w:ascii="Times New Roman" w:hAnsi="Times New Roman" w:eastAsia="宋体" w:cs="Times New Roman"/>
                <w:b/>
                <w:bCs/>
                <w:kern w:val="2"/>
                <w:sz w:val="24"/>
                <w:szCs w:val="21"/>
              </w:rPr>
              <w:t>检测点位及频次</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6"/>
              <w:gridCol w:w="1425"/>
              <w:gridCol w:w="1948"/>
              <w:gridCol w:w="2162"/>
              <w:gridCol w:w="1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类别</w:t>
                  </w:r>
                </w:p>
              </w:tc>
              <w:tc>
                <w:tcPr>
                  <w:tcW w:w="1425"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污染源</w:t>
                  </w:r>
                </w:p>
              </w:tc>
              <w:tc>
                <w:tcPr>
                  <w:tcW w:w="1948"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监测点位</w:t>
                  </w:r>
                </w:p>
              </w:tc>
              <w:tc>
                <w:tcPr>
                  <w:tcW w:w="216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监测因子</w:t>
                  </w:r>
                </w:p>
              </w:tc>
              <w:tc>
                <w:tcPr>
                  <w:tcW w:w="178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val="en-US"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976" w:type="dxa"/>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废气</w:t>
                  </w: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有组织排放</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1#、2#排气筒进出口</w:t>
                  </w:r>
                </w:p>
              </w:tc>
              <w:tc>
                <w:tcPr>
                  <w:tcW w:w="216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非甲烷总烃、锡及其化合物、颗粒物</w:t>
                  </w:r>
                </w:p>
              </w:tc>
              <w:tc>
                <w:tcPr>
                  <w:tcW w:w="1782" w:type="dxa"/>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每天3次</w:t>
                  </w: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54" w:hRule="atLeast"/>
              </w:trPr>
              <w:tc>
                <w:tcPr>
                  <w:tcW w:w="976" w:type="dxa"/>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eastAsia="zh-CN"/>
                    </w:rPr>
                    <w:t>无组织排放</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eastAsia="zh-CN"/>
                    </w:rPr>
                    <w:t>上风向</w:t>
                  </w:r>
                  <w:r>
                    <w:rPr>
                      <w:rFonts w:hint="eastAsia" w:ascii="Times New Roman" w:hAnsi="Times New Roman" w:eastAsia="宋体" w:cs="Times New Roman"/>
                      <w:kern w:val="2"/>
                      <w:sz w:val="21"/>
                      <w:szCs w:val="21"/>
                      <w:lang w:val="en-US" w:eastAsia="zh-CN"/>
                    </w:rPr>
                    <w:t>1个，</w:t>
                  </w:r>
                  <w:r>
                    <w:rPr>
                      <w:rFonts w:hint="eastAsia" w:ascii="Times New Roman" w:hAnsi="Times New Roman" w:eastAsia="宋体" w:cs="Times New Roman"/>
                      <w:kern w:val="2"/>
                      <w:sz w:val="21"/>
                      <w:szCs w:val="21"/>
                      <w:lang w:eastAsia="zh-CN"/>
                    </w:rPr>
                    <w:t>下风向</w:t>
                  </w:r>
                  <w:r>
                    <w:rPr>
                      <w:rFonts w:hint="eastAsia" w:ascii="Times New Roman" w:hAnsi="Times New Roman" w:eastAsia="宋体" w:cs="Times New Roman"/>
                      <w:kern w:val="2"/>
                      <w:sz w:val="21"/>
                      <w:szCs w:val="21"/>
                      <w:lang w:val="en-US" w:eastAsia="zh-CN"/>
                    </w:rPr>
                    <w:t>1个</w:t>
                  </w:r>
                </w:p>
              </w:tc>
              <w:tc>
                <w:tcPr>
                  <w:tcW w:w="216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非甲烷总烃、锡及其化合物、颗粒物</w:t>
                  </w:r>
                </w:p>
              </w:tc>
              <w:tc>
                <w:tcPr>
                  <w:tcW w:w="1782" w:type="dxa"/>
                  <w:vMerge w:val="continue"/>
                  <w:noWrap w:val="0"/>
                  <w:vAlign w:val="center"/>
                </w:tcPr>
                <w:p>
                  <w:pPr>
                    <w:widowControl/>
                    <w:overflowPunct w:val="0"/>
                    <w:snapToGrid w:val="0"/>
                    <w:jc w:val="center"/>
                    <w:rPr>
                      <w:rFonts w:hint="eastAsia" w:ascii="Times New Roman" w:hAnsi="Times New Roman" w:eastAsia="宋体" w:cs="Times New Roman"/>
                      <w:kern w:val="2"/>
                      <w:sz w:val="21"/>
                      <w:szCs w:val="21"/>
                    </w:rPr>
                  </w:pPr>
                </w:p>
              </w:tc>
            </w:tr>
          </w:tbl>
          <w:p>
            <w:pPr>
              <w:pStyle w:val="4"/>
              <w:spacing w:line="360" w:lineRule="auto"/>
              <w:rPr>
                <w:rFonts w:hint="eastAsia" w:cs="Times New Roman"/>
                <w:b/>
                <w:sz w:val="24"/>
                <w:szCs w:val="21"/>
                <w:lang w:eastAsia="zh-CN"/>
              </w:rPr>
            </w:pPr>
          </w:p>
          <w:p>
            <w:pPr>
              <w:pStyle w:val="4"/>
              <w:spacing w:line="360" w:lineRule="auto"/>
              <w:rPr>
                <w:rFonts w:hint="eastAsia" w:cs="Times New Roman"/>
                <w:b/>
                <w:sz w:val="24"/>
                <w:szCs w:val="21"/>
                <w:lang w:eastAsia="zh-CN"/>
              </w:rPr>
            </w:pPr>
            <w:r>
              <w:rPr>
                <w:rFonts w:hint="eastAsia" w:cs="Times New Roman"/>
                <w:b/>
                <w:sz w:val="24"/>
                <w:szCs w:val="21"/>
                <w:lang w:eastAsia="zh-CN"/>
              </w:rPr>
              <w:t>废水</w:t>
            </w:r>
          </w:p>
          <w:p>
            <w:pPr>
              <w:widowControl w:val="0"/>
              <w:adjustRightInd/>
              <w:snapToGrid/>
              <w:spacing w:after="0" w:line="500" w:lineRule="exact"/>
              <w:ind w:firstLine="480" w:firstLineChars="200"/>
              <w:jc w:val="left"/>
              <w:rPr>
                <w:rFonts w:hint="eastAsia"/>
                <w:lang w:eastAsia="zh-CN"/>
              </w:rPr>
            </w:pPr>
            <w:r>
              <w:rPr>
                <w:rFonts w:ascii="Times New Roman" w:hAnsi="Times New Roman" w:eastAsia="宋体" w:cs="Times New Roman"/>
                <w:color w:val="auto"/>
                <w:kern w:val="2"/>
                <w:sz w:val="24"/>
                <w:szCs w:val="21"/>
                <w:lang w:val="en-US" w:eastAsia="zh-CN" w:bidi="ar-SA"/>
              </w:rPr>
              <w:t>废</w:t>
            </w:r>
            <w:r>
              <w:rPr>
                <w:rFonts w:hint="eastAsia" w:ascii="Times New Roman" w:hAnsi="Times New Roman" w:eastAsia="宋体" w:cs="Times New Roman"/>
                <w:color w:val="auto"/>
                <w:kern w:val="2"/>
                <w:sz w:val="24"/>
                <w:szCs w:val="21"/>
                <w:lang w:val="en-US" w:eastAsia="zh-CN" w:bidi="ar-SA"/>
              </w:rPr>
              <w:t>水</w:t>
            </w:r>
            <w:r>
              <w:rPr>
                <w:rFonts w:ascii="Times New Roman" w:hAnsi="Times New Roman" w:eastAsia="宋体" w:cs="Times New Roman"/>
                <w:color w:val="auto"/>
                <w:kern w:val="2"/>
                <w:sz w:val="24"/>
                <w:szCs w:val="21"/>
                <w:lang w:val="en-US" w:eastAsia="zh-CN" w:bidi="ar-SA"/>
              </w:rPr>
              <w:t>监测点位、因子和频次详见表6.</w:t>
            </w:r>
            <w:r>
              <w:rPr>
                <w:rFonts w:hint="eastAsia" w:ascii="Times New Roman" w:hAnsi="Times New Roman" w:eastAsia="宋体" w:cs="Times New Roman"/>
                <w:color w:val="auto"/>
                <w:kern w:val="2"/>
                <w:sz w:val="24"/>
                <w:szCs w:val="21"/>
                <w:lang w:val="en-US" w:eastAsia="zh-CN" w:bidi="ar-SA"/>
              </w:rPr>
              <w:t>1</w:t>
            </w:r>
            <w:r>
              <w:rPr>
                <w:rFonts w:ascii="Times New Roman" w:hAnsi="Times New Roman" w:eastAsia="宋体" w:cs="Times New Roman"/>
                <w:color w:val="auto"/>
                <w:kern w:val="2"/>
                <w:sz w:val="24"/>
                <w:szCs w:val="21"/>
                <w:lang w:val="en-US" w:eastAsia="zh-CN" w:bidi="ar-SA"/>
              </w:rPr>
              <w:t>。</w:t>
            </w:r>
          </w:p>
          <w:p>
            <w:pPr>
              <w:spacing w:line="540" w:lineRule="exact"/>
              <w:ind w:firstLine="463" w:firstLineChars="192"/>
              <w:jc w:val="center"/>
              <w:rPr>
                <w:rFonts w:eastAsia="黑体"/>
                <w:color w:val="000000"/>
                <w:sz w:val="28"/>
                <w:szCs w:val="28"/>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2</w:t>
            </w:r>
            <w:r>
              <w:rPr>
                <w:rFonts w:ascii="Times New Roman" w:hAnsi="Times New Roman" w:eastAsia="宋体" w:cs="Times New Roman"/>
                <w:b/>
                <w:bCs/>
                <w:kern w:val="2"/>
                <w:sz w:val="24"/>
                <w:szCs w:val="21"/>
              </w:rPr>
              <w:t xml:space="preserve"> </w:t>
            </w:r>
            <w:r>
              <w:rPr>
                <w:rFonts w:hint="eastAsia" w:ascii="Times New Roman" w:hAnsi="Times New Roman" w:eastAsia="宋体" w:cs="Times New Roman"/>
                <w:b/>
                <w:bCs/>
                <w:kern w:val="2"/>
                <w:sz w:val="24"/>
                <w:szCs w:val="21"/>
                <w:lang w:val="en-US" w:eastAsia="zh-CN"/>
              </w:rPr>
              <w:t xml:space="preserve">  </w:t>
            </w:r>
            <w:r>
              <w:rPr>
                <w:rFonts w:hint="eastAsia" w:ascii="Times New Roman" w:hAnsi="Times New Roman" w:eastAsia="宋体" w:cs="Times New Roman"/>
                <w:b/>
                <w:bCs/>
                <w:kern w:val="2"/>
                <w:sz w:val="24"/>
                <w:szCs w:val="21"/>
                <w:lang w:eastAsia="zh-CN"/>
              </w:rPr>
              <w:t>废水</w:t>
            </w:r>
            <w:r>
              <w:rPr>
                <w:rFonts w:ascii="Times New Roman" w:hAnsi="Times New Roman" w:eastAsia="宋体" w:cs="Times New Roman"/>
                <w:b/>
                <w:bCs/>
                <w:kern w:val="2"/>
                <w:sz w:val="24"/>
                <w:szCs w:val="21"/>
              </w:rPr>
              <w:t>检测点位及频次</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6"/>
              <w:gridCol w:w="1425"/>
              <w:gridCol w:w="1948"/>
              <w:gridCol w:w="2162"/>
              <w:gridCol w:w="1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类别</w:t>
                  </w:r>
                </w:p>
              </w:tc>
              <w:tc>
                <w:tcPr>
                  <w:tcW w:w="1425"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污染源</w:t>
                  </w:r>
                </w:p>
              </w:tc>
              <w:tc>
                <w:tcPr>
                  <w:tcW w:w="1948"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监测点位</w:t>
                  </w:r>
                </w:p>
              </w:tc>
              <w:tc>
                <w:tcPr>
                  <w:tcW w:w="216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监测因子</w:t>
                  </w:r>
                </w:p>
              </w:tc>
              <w:tc>
                <w:tcPr>
                  <w:tcW w:w="178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废水</w:t>
                  </w: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生活废水</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生化池进出口</w:t>
                  </w:r>
                </w:p>
              </w:tc>
              <w:tc>
                <w:tcPr>
                  <w:tcW w:w="216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pH、COD、BOD5、SS、NH3-N、石油类</w:t>
                  </w:r>
                </w:p>
              </w:tc>
              <w:tc>
                <w:tcPr>
                  <w:tcW w:w="178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监测2天，每天4次</w:t>
                  </w:r>
                </w:p>
              </w:tc>
            </w:tr>
          </w:tbl>
          <w:p>
            <w:pPr>
              <w:pStyle w:val="4"/>
              <w:spacing w:line="360" w:lineRule="auto"/>
              <w:rPr>
                <w:rFonts w:hint="eastAsia" w:ascii="Times New Roman" w:hAnsi="Times New Roman" w:cs="Times New Roman"/>
                <w:b/>
                <w:sz w:val="24"/>
                <w:szCs w:val="21"/>
                <w:lang w:eastAsia="zh-CN"/>
              </w:rPr>
            </w:pPr>
            <w:r>
              <w:rPr>
                <w:rFonts w:hint="eastAsia" w:ascii="Times New Roman" w:hAnsi="Times New Roman" w:cs="Times New Roman"/>
                <w:b/>
                <w:sz w:val="24"/>
                <w:szCs w:val="21"/>
                <w:lang w:eastAsia="zh-CN"/>
              </w:rPr>
              <w:t>厂界噪声监测</w:t>
            </w:r>
          </w:p>
          <w:p>
            <w:pPr>
              <w:widowControl w:val="0"/>
              <w:adjustRightInd/>
              <w:snapToGrid/>
              <w:spacing w:after="0" w:line="360" w:lineRule="auto"/>
              <w:ind w:firstLine="480" w:firstLineChars="200"/>
              <w:jc w:val="both"/>
              <w:rPr>
                <w:rFonts w:ascii="Times New Roman" w:hAnsi="Times New Roman" w:eastAsia="宋体"/>
                <w:bCs/>
                <w:kern w:val="2"/>
                <w:sz w:val="24"/>
                <w:szCs w:val="21"/>
              </w:rPr>
            </w:pPr>
            <w:r>
              <w:rPr>
                <w:rFonts w:ascii="Times New Roman" w:hAnsi="Times New Roman" w:eastAsia="宋体"/>
                <w:kern w:val="2"/>
                <w:sz w:val="24"/>
                <w:szCs w:val="21"/>
              </w:rPr>
              <w:t>噪声监测点位、因子和频次详见表6</w:t>
            </w:r>
            <w:r>
              <w:rPr>
                <w:rFonts w:hint="eastAsia" w:ascii="Times New Roman" w:hAnsi="Times New Roman" w:eastAsia="宋体"/>
                <w:kern w:val="2"/>
                <w:sz w:val="24"/>
                <w:szCs w:val="21"/>
                <w:lang w:val="en-US" w:eastAsia="zh-CN"/>
              </w:rPr>
              <w:t>.2</w:t>
            </w:r>
            <w:r>
              <w:rPr>
                <w:rFonts w:ascii="Times New Roman" w:hAnsi="Times New Roman" w:eastAsia="宋体"/>
                <w:kern w:val="2"/>
                <w:sz w:val="24"/>
                <w:szCs w:val="21"/>
              </w:rPr>
              <w:t>。</w:t>
            </w:r>
          </w:p>
          <w:p>
            <w:pPr>
              <w:widowControl w:val="0"/>
              <w:adjustRightInd/>
              <w:snapToGrid/>
              <w:spacing w:after="0" w:line="500" w:lineRule="exact"/>
              <w:jc w:val="center"/>
              <w:rPr>
                <w:rFonts w:ascii="Times New Roman" w:hAnsi="Times New Roman" w:eastAsia="宋体" w:cs="Times New Roman"/>
                <w:b/>
                <w:bCs/>
                <w:kern w:val="2"/>
                <w:sz w:val="24"/>
                <w:szCs w:val="21"/>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2  噪声</w:t>
            </w:r>
            <w:r>
              <w:rPr>
                <w:rFonts w:ascii="Times New Roman" w:hAnsi="Times New Roman" w:eastAsia="宋体" w:cs="Times New Roman"/>
                <w:b/>
                <w:bCs/>
                <w:kern w:val="2"/>
                <w:sz w:val="24"/>
                <w:szCs w:val="21"/>
              </w:rPr>
              <w:t>检测点位及频次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304"/>
              <w:gridCol w:w="1454"/>
              <w:gridCol w:w="1950"/>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69" w:type="pct"/>
                  <w:noWrap w:val="0"/>
                  <w:vAlign w:val="center"/>
                </w:tcPr>
                <w:p>
                  <w:pPr>
                    <w:widowControl w:val="0"/>
                    <w:adjustRightInd/>
                    <w:snapToGrid/>
                    <w:spacing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w:t>
                  </w:r>
                  <w:r>
                    <w:rPr>
                      <w:rFonts w:ascii="Times New Roman" w:hAnsi="Times New Roman" w:eastAsia="宋体" w:cs="Times New Roman"/>
                      <w:b/>
                      <w:bCs/>
                      <w:kern w:val="2"/>
                      <w:sz w:val="21"/>
                      <w:szCs w:val="21"/>
                    </w:rPr>
                    <w:t>项目</w:t>
                  </w:r>
                </w:p>
              </w:tc>
              <w:tc>
                <w:tcPr>
                  <w:tcW w:w="786" w:type="pct"/>
                  <w:noWrap w:val="0"/>
                  <w:vAlign w:val="center"/>
                </w:tcPr>
                <w:p>
                  <w:pPr>
                    <w:widowControl w:val="0"/>
                    <w:adjustRightInd/>
                    <w:snapToGrid/>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监测</w:t>
                  </w:r>
                  <w:r>
                    <w:rPr>
                      <w:rFonts w:hint="eastAsia" w:ascii="Times New Roman" w:hAnsi="Times New Roman" w:eastAsia="宋体" w:cs="Times New Roman"/>
                      <w:b/>
                      <w:bCs/>
                      <w:kern w:val="2"/>
                      <w:sz w:val="21"/>
                      <w:szCs w:val="21"/>
                    </w:rPr>
                    <w:t>点位</w:t>
                  </w:r>
                </w:p>
              </w:tc>
              <w:tc>
                <w:tcPr>
                  <w:tcW w:w="876"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监测因子</w:t>
                  </w:r>
                </w:p>
              </w:tc>
              <w:tc>
                <w:tcPr>
                  <w:tcW w:w="1175"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监测频次</w:t>
                  </w:r>
                </w:p>
              </w:tc>
              <w:tc>
                <w:tcPr>
                  <w:tcW w:w="1391"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eastAsia" w:ascii="Times New Roman" w:hAnsi="Times New Roman" w:eastAsia="宋体" w:cs="Times New Roman"/>
                      <w:b/>
                      <w:bCs/>
                      <w:kern w:val="2"/>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厂界噪声</w:t>
                  </w: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eastAsia="zh-CN"/>
                    </w:rPr>
                    <w:t>东</w:t>
                  </w:r>
                  <w:r>
                    <w:rPr>
                      <w:rFonts w:hint="eastAsia" w:ascii="Times New Roman" w:hAnsi="Times New Roman" w:eastAsia="宋体" w:cs="Times New Roman"/>
                      <w:kern w:val="2"/>
                      <w:sz w:val="21"/>
                      <w:szCs w:val="21"/>
                    </w:rPr>
                    <w:t>面</w:t>
                  </w:r>
                </w:p>
              </w:tc>
              <w:tc>
                <w:tcPr>
                  <w:tcW w:w="876"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厂界噪声</w:t>
                  </w:r>
                </w:p>
              </w:tc>
              <w:tc>
                <w:tcPr>
                  <w:tcW w:w="117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连续监测2天，每天昼、夜各1次</w:t>
                  </w:r>
                </w:p>
              </w:tc>
              <w:tc>
                <w:tcPr>
                  <w:tcW w:w="1391" w:type="pct"/>
                  <w:vMerge w:val="restart"/>
                  <w:noWrap w:val="0"/>
                  <w:vAlign w:val="center"/>
                </w:tcPr>
                <w:p>
                  <w:pPr>
                    <w:pStyle w:val="15"/>
                    <w:rPr>
                      <w:rFonts w:hint="eastAsia" w:ascii="Tahoma" w:hAnsi="Tahoma" w:eastAsia="微软雅黑" w:cs="Times New Roman"/>
                      <w:snapToGrid w:val="0"/>
                      <w:color w:val="000000"/>
                      <w:kern w:val="0"/>
                      <w:sz w:val="22"/>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《工业企业厂界环境噪声排放标准》（GB12348-2008）3类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厂区南面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val="en-US" w:eastAsia="zh-CN"/>
                    </w:rPr>
                    <w:t>西面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val="en-US" w:eastAsia="zh-CN"/>
                    </w:rPr>
                    <w:t>北面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bl>
          <w:p>
            <w:pPr>
              <w:spacing w:before="48" w:beforeLines="20" w:line="360" w:lineRule="auto"/>
              <w:jc w:val="center"/>
            </w:pPr>
            <w:r>
              <w:drawing>
                <wp:inline distT="0" distB="0" distL="114300" distR="114300">
                  <wp:extent cx="5270500" cy="2919730"/>
                  <wp:effectExtent l="0" t="0" r="635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0500" cy="2919730"/>
                          </a:xfrm>
                          <a:prstGeom prst="rect">
                            <a:avLst/>
                          </a:prstGeom>
                          <a:noFill/>
                          <a:ln>
                            <a:noFill/>
                          </a:ln>
                        </pic:spPr>
                      </pic:pic>
                    </a:graphicData>
                  </a:graphic>
                </wp:inline>
              </w:drawing>
            </w:r>
          </w:p>
          <w:p>
            <w:pPr>
              <w:spacing w:before="48" w:beforeLines="20" w:line="360" w:lineRule="auto"/>
              <w:jc w:val="center"/>
              <w:rPr>
                <w:rFonts w:hint="eastAsia" w:ascii="Times New Roman" w:hAnsi="Times New Roman" w:eastAsia="仿宋_GB2312"/>
                <w:sz w:val="21"/>
                <w:szCs w:val="21"/>
                <w:lang w:eastAsia="zh-CN"/>
              </w:rPr>
            </w:pPr>
            <w:r>
              <w:rPr>
                <w:rFonts w:hint="eastAsia" w:ascii="Times New Roman" w:hAnsi="Times New Roman" w:eastAsia="宋体"/>
                <w:b/>
                <w:color w:val="000000" w:themeColor="text1"/>
                <w:kern w:val="2"/>
                <w:sz w:val="24"/>
                <w:szCs w:val="21"/>
                <w:lang w:eastAsia="zh-CN"/>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6.1 无组织及噪声监测点位图</w:t>
            </w:r>
          </w:p>
        </w:tc>
      </w:tr>
    </w:tbl>
    <w:p>
      <w:pPr>
        <w:spacing w:after="0" w:line="360" w:lineRule="auto"/>
        <w:rPr>
          <w:rFonts w:ascii="Times New Roman" w:hAnsi="Times New Roman" w:eastAsia="仿宋_GB2312"/>
          <w:b/>
          <w:sz w:val="28"/>
          <w:szCs w:val="28"/>
        </w:r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表七</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65" w:hRule="atLeast"/>
          <w:jc w:val="center"/>
        </w:trPr>
        <w:tc>
          <w:tcPr>
            <w:tcW w:w="5000" w:type="pct"/>
          </w:tcPr>
          <w:p>
            <w:pPr>
              <w:spacing w:after="0" w:line="360" w:lineRule="auto"/>
              <w:jc w:val="both"/>
              <w:rPr>
                <w:rFonts w:ascii="Times New Roman" w:hAnsi="Times New Roman" w:eastAsia="宋体"/>
                <w:sz w:val="24"/>
                <w:szCs w:val="24"/>
              </w:rPr>
            </w:pPr>
            <w:r>
              <w:rPr>
                <w:rFonts w:ascii="Times New Roman" w:hAnsi="Times New Roman" w:eastAsia="宋体"/>
                <w:sz w:val="24"/>
                <w:szCs w:val="24"/>
              </w:rPr>
              <w:t>验收监测期间生产工况记录：</w:t>
            </w:r>
          </w:p>
          <w:p>
            <w:pPr>
              <w:widowControl w:val="0"/>
              <w:adjustRightInd/>
              <w:snapToGrid/>
              <w:spacing w:after="0" w:line="360" w:lineRule="auto"/>
              <w:ind w:firstLine="480" w:firstLineChars="200"/>
              <w:jc w:val="both"/>
              <w:rPr>
                <w:rFonts w:hint="eastAsia" w:ascii="Times New Roman" w:hAnsi="Times New Roman" w:eastAsia="宋体"/>
                <w:kern w:val="2"/>
                <w:sz w:val="24"/>
                <w:szCs w:val="24"/>
                <w:lang w:val="en-US" w:eastAsia="zh-CN"/>
              </w:rPr>
            </w:pPr>
            <w:r>
              <w:rPr>
                <w:rFonts w:hint="eastAsia" w:ascii="Times New Roman" w:hAnsi="Times New Roman" w:eastAsia="宋体"/>
                <w:kern w:val="2"/>
                <w:sz w:val="24"/>
                <w:szCs w:val="21"/>
              </w:rPr>
              <w:t>根据</w:t>
            </w:r>
            <w:r>
              <w:rPr>
                <w:rFonts w:hint="eastAsia" w:ascii="Times New Roman" w:hAnsi="Times New Roman" w:eastAsia="宋体"/>
                <w:kern w:val="2"/>
                <w:sz w:val="24"/>
                <w:szCs w:val="21"/>
                <w:lang w:eastAsia="zh-CN"/>
              </w:rPr>
              <w:t>重庆恒鼎环境检测有限公司</w:t>
            </w:r>
            <w:r>
              <w:rPr>
                <w:rFonts w:hint="eastAsia" w:ascii="Times New Roman" w:hAnsi="Times New Roman" w:eastAsia="宋体"/>
                <w:kern w:val="2"/>
                <w:sz w:val="24"/>
                <w:szCs w:val="21"/>
              </w:rPr>
              <w:t>提供的监测报告</w:t>
            </w:r>
            <w:r>
              <w:rPr>
                <w:rFonts w:hint="eastAsia" w:ascii="Times New Roman" w:hAnsi="Times New Roman" w:eastAsia="宋体"/>
                <w:kern w:val="2"/>
                <w:sz w:val="24"/>
                <w:szCs w:val="21"/>
                <w:lang w:val="en-US" w:eastAsia="zh-CN"/>
              </w:rPr>
              <w:t>（</w:t>
            </w:r>
            <w:r>
              <w:rPr>
                <w:rFonts w:hint="eastAsia" w:ascii="Times New Roman" w:hAnsi="Times New Roman" w:eastAsia="宋体"/>
                <w:kern w:val="2"/>
                <w:sz w:val="24"/>
                <w:szCs w:val="21"/>
              </w:rPr>
              <w:t>报告编号</w:t>
            </w:r>
            <w:r>
              <w:rPr>
                <w:rFonts w:hint="eastAsia" w:ascii="Times New Roman" w:hAnsi="Times New Roman" w:eastAsia="宋体" w:cs="Times New Roman"/>
                <w:kern w:val="2"/>
                <w:sz w:val="24"/>
                <w:szCs w:val="21"/>
                <w:lang w:eastAsia="zh-CN"/>
              </w:rPr>
              <w:t>：渝恒（检）字[2023]第05014-YS号）</w:t>
            </w:r>
            <w:r>
              <w:rPr>
                <w:rFonts w:hint="eastAsia" w:ascii="Times New Roman" w:hAnsi="Times New Roman" w:eastAsia="宋体" w:cs="Times New Roman"/>
                <w:kern w:val="2"/>
                <w:sz w:val="24"/>
                <w:szCs w:val="21"/>
              </w:rPr>
              <w:t>，验收监测期间20</w:t>
            </w:r>
            <w:r>
              <w:rPr>
                <w:rFonts w:hint="eastAsia" w:ascii="Times New Roman" w:hAnsi="Times New Roman" w:eastAsia="宋体" w:cs="Times New Roman"/>
                <w:kern w:val="2"/>
                <w:sz w:val="24"/>
                <w:szCs w:val="21"/>
                <w:lang w:val="en-US" w:eastAsia="zh-CN"/>
              </w:rPr>
              <w:t>23</w:t>
            </w:r>
            <w:r>
              <w:rPr>
                <w:rFonts w:hint="eastAsia" w:ascii="Times New Roman" w:hAnsi="Times New Roman" w:eastAsia="宋体" w:cs="Times New Roman"/>
                <w:kern w:val="2"/>
                <w:sz w:val="24"/>
                <w:szCs w:val="21"/>
              </w:rPr>
              <w:t>年</w:t>
            </w:r>
            <w:r>
              <w:rPr>
                <w:rFonts w:hint="eastAsia" w:ascii="Times New Roman" w:hAnsi="Times New Roman" w:eastAsia="宋体" w:cs="Times New Roman"/>
                <w:kern w:val="2"/>
                <w:sz w:val="24"/>
                <w:szCs w:val="21"/>
                <w:lang w:val="en-US" w:eastAsia="zh-CN"/>
              </w:rPr>
              <w:t>7</w:t>
            </w:r>
            <w:r>
              <w:rPr>
                <w:rFonts w:hint="eastAsia" w:ascii="Times New Roman" w:hAnsi="Times New Roman" w:eastAsia="宋体" w:cs="Times New Roman"/>
                <w:kern w:val="2"/>
                <w:sz w:val="24"/>
                <w:szCs w:val="21"/>
              </w:rPr>
              <w:t>月</w:t>
            </w:r>
            <w:r>
              <w:rPr>
                <w:rFonts w:hint="eastAsia" w:ascii="Times New Roman" w:hAnsi="Times New Roman" w:eastAsia="宋体" w:cs="Times New Roman"/>
                <w:kern w:val="2"/>
                <w:sz w:val="24"/>
                <w:szCs w:val="21"/>
                <w:lang w:val="en-US" w:eastAsia="zh-CN"/>
              </w:rPr>
              <w:t>6</w:t>
            </w:r>
            <w:r>
              <w:rPr>
                <w:rFonts w:hint="eastAsia" w:ascii="Times New Roman" w:hAnsi="Times New Roman" w:eastAsia="宋体" w:cs="Times New Roman"/>
                <w:kern w:val="2"/>
                <w:sz w:val="24"/>
                <w:szCs w:val="21"/>
              </w:rPr>
              <w:t>～</w:t>
            </w:r>
            <w:r>
              <w:rPr>
                <w:rFonts w:hint="eastAsia" w:ascii="Times New Roman" w:hAnsi="Times New Roman" w:eastAsia="宋体" w:cs="Times New Roman"/>
                <w:kern w:val="2"/>
                <w:sz w:val="24"/>
                <w:szCs w:val="21"/>
                <w:lang w:val="en-US" w:eastAsia="zh-CN"/>
              </w:rPr>
              <w:t>7月7</w:t>
            </w:r>
            <w:r>
              <w:rPr>
                <w:rFonts w:hint="eastAsia" w:ascii="Times New Roman" w:hAnsi="Times New Roman" w:eastAsia="宋体" w:cs="Times New Roman"/>
                <w:kern w:val="2"/>
                <w:sz w:val="24"/>
                <w:szCs w:val="21"/>
              </w:rPr>
              <w:t>日，该企业生产工况正</w:t>
            </w:r>
            <w:r>
              <w:rPr>
                <w:rFonts w:ascii="Times New Roman" w:hAnsi="Times New Roman" w:eastAsia="宋体"/>
                <w:kern w:val="2"/>
                <w:sz w:val="24"/>
                <w:szCs w:val="24"/>
              </w:rPr>
              <w:t>常，生产负荷均达到</w:t>
            </w:r>
            <w:r>
              <w:rPr>
                <w:rFonts w:hint="eastAsia" w:ascii="Times New Roman" w:hAnsi="Times New Roman" w:eastAsia="宋体"/>
                <w:kern w:val="2"/>
                <w:sz w:val="24"/>
                <w:szCs w:val="24"/>
                <w:lang w:val="en-US" w:eastAsia="zh-CN"/>
              </w:rPr>
              <w:t>75</w:t>
            </w:r>
            <w:r>
              <w:rPr>
                <w:rFonts w:ascii="Times New Roman" w:hAnsi="Times New Roman" w:eastAsia="宋体"/>
                <w:kern w:val="2"/>
                <w:sz w:val="24"/>
                <w:szCs w:val="24"/>
              </w:rPr>
              <w:t>%</w:t>
            </w:r>
            <w:r>
              <w:rPr>
                <w:rFonts w:hint="eastAsia" w:ascii="Times New Roman" w:hAnsi="Times New Roman" w:eastAsia="宋体"/>
                <w:kern w:val="2"/>
                <w:sz w:val="24"/>
                <w:szCs w:val="24"/>
              </w:rPr>
              <w:t>，</w:t>
            </w:r>
            <w:r>
              <w:rPr>
                <w:rFonts w:ascii="Times New Roman" w:hAnsi="Times New Roman" w:eastAsia="宋体"/>
                <w:kern w:val="2"/>
                <w:sz w:val="24"/>
                <w:szCs w:val="24"/>
              </w:rPr>
              <w:t>符合验收监测技术规范要求。</w:t>
            </w:r>
            <w:r>
              <w:rPr>
                <w:rFonts w:hint="eastAsia" w:ascii="Times New Roman" w:hAnsi="Times New Roman" w:eastAsia="宋体"/>
                <w:kern w:val="2"/>
                <w:sz w:val="24"/>
                <w:szCs w:val="24"/>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before="313" w:beforeLines="100" w:after="157" w:afterLines="50" w:line="240" w:lineRule="atLeast"/>
              <w:jc w:val="center"/>
              <w:textAlignment w:val="auto"/>
              <w:rPr>
                <w:rFonts w:hint="eastAsia"/>
                <w:b/>
                <w:color w:val="000000"/>
                <w:sz w:val="28"/>
              </w:rPr>
            </w:pPr>
            <w:r>
              <w:rPr>
                <w:rFonts w:ascii="Times New Roman" w:hAnsi="Times New Roman" w:eastAsia="宋体"/>
                <w:b/>
                <w:bCs/>
                <w:kern w:val="2"/>
                <w:sz w:val="24"/>
                <w:szCs w:val="24"/>
              </w:rPr>
              <w:t>表7.1 基本情况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93"/>
              <w:gridCol w:w="3048"/>
              <w:gridCol w:w="1523"/>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08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单位名称</w:t>
                  </w:r>
                </w:p>
              </w:tc>
              <w:tc>
                <w:tcPr>
                  <w:tcW w:w="183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rPr>
                    <w:t>重庆格上新能源有限公司</w:t>
                  </w:r>
                </w:p>
              </w:tc>
              <w:tc>
                <w:tcPr>
                  <w:tcW w:w="9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建厂日期</w:t>
                  </w:r>
                </w:p>
              </w:tc>
              <w:tc>
                <w:tcPr>
                  <w:tcW w:w="11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2018年12月21日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8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单位所在地址</w:t>
                  </w:r>
                </w:p>
              </w:tc>
              <w:tc>
                <w:tcPr>
                  <w:tcW w:w="3918" w:type="pct"/>
                  <w:gridSpan w:val="3"/>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重庆市</w:t>
                  </w:r>
                  <w:r>
                    <w:rPr>
                      <w:rFonts w:hint="eastAsia" w:ascii="Times New Roman" w:hAnsi="Times New Roman" w:eastAsia="宋体" w:cs="Times New Roman"/>
                      <w:kern w:val="2"/>
                      <w:sz w:val="21"/>
                      <w:szCs w:val="21"/>
                      <w:lang w:val="zh-CN"/>
                    </w:rPr>
                    <w:t>万州区联合路</w:t>
                  </w:r>
                  <w:r>
                    <w:rPr>
                      <w:rFonts w:hint="eastAsia" w:ascii="Times New Roman" w:hAnsi="Times New Roman" w:eastAsia="宋体" w:cs="Times New Roman"/>
                      <w:kern w:val="2"/>
                      <w:sz w:val="21"/>
                      <w:szCs w:val="21"/>
                      <w:lang w:val="en-US" w:eastAsia="zh-CN"/>
                    </w:rPr>
                    <w:t>12号第4、5层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8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联系人姓名</w:t>
                  </w:r>
                </w:p>
              </w:tc>
              <w:tc>
                <w:tcPr>
                  <w:tcW w:w="183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rPr>
                    <w:t>江飞</w:t>
                  </w:r>
                </w:p>
              </w:tc>
              <w:tc>
                <w:tcPr>
                  <w:tcW w:w="9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电话</w:t>
                  </w:r>
                </w:p>
              </w:tc>
              <w:tc>
                <w:tcPr>
                  <w:tcW w:w="11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15736422929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8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企业法人及代码</w:t>
                  </w:r>
                </w:p>
              </w:tc>
              <w:tc>
                <w:tcPr>
                  <w:tcW w:w="183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91500101MA607F5E3P</w:t>
                  </w:r>
                </w:p>
              </w:tc>
              <w:tc>
                <w:tcPr>
                  <w:tcW w:w="9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zh-CN" w:eastAsia="zh-CN"/>
                    </w:rPr>
                    <w:t>所属行业</w:t>
                  </w:r>
                </w:p>
              </w:tc>
              <w:tc>
                <w:tcPr>
                  <w:tcW w:w="11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C3821变压器、整流器和电感器制造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08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rPr>
                    <w:t>登记注册类型</w:t>
                  </w:r>
                </w:p>
              </w:tc>
              <w:tc>
                <w:tcPr>
                  <w:tcW w:w="183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有限责任公司</w:t>
                  </w:r>
                </w:p>
              </w:tc>
              <w:tc>
                <w:tcPr>
                  <w:tcW w:w="9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rPr>
                    <w:t>规模</w:t>
                  </w:r>
                </w:p>
              </w:tc>
              <w:tc>
                <w:tcPr>
                  <w:tcW w:w="1163"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小型</w:t>
                  </w:r>
                </w:p>
              </w:tc>
            </w:tr>
          </w:tbl>
          <w:p>
            <w:pPr>
              <w:widowControl w:val="0"/>
              <w:adjustRightInd/>
              <w:snapToGrid/>
              <w:spacing w:after="0"/>
              <w:ind w:firstLine="482" w:firstLineChars="200"/>
              <w:jc w:val="center"/>
              <w:rPr>
                <w:rFonts w:ascii="Times New Roman" w:hAnsi="Times New Roman" w:eastAsia="宋体"/>
                <w:b/>
                <w:bCs/>
                <w:kern w:val="2"/>
                <w:sz w:val="24"/>
                <w:szCs w:val="24"/>
              </w:rPr>
            </w:pPr>
          </w:p>
          <w:p>
            <w:pPr>
              <w:spacing w:after="0" w:line="500" w:lineRule="exact"/>
              <w:rPr>
                <w:rFonts w:ascii="Times New Roman" w:hAnsi="Times New Roman" w:eastAsia="宋体"/>
                <w:sz w:val="24"/>
                <w:szCs w:val="21"/>
              </w:rPr>
            </w:pPr>
            <w:r>
              <w:rPr>
                <w:rFonts w:ascii="Times New Roman" w:hAnsi="Times New Roman" w:eastAsia="宋体"/>
                <w:sz w:val="24"/>
                <w:szCs w:val="21"/>
              </w:rPr>
              <w:t>验收监测结果</w:t>
            </w:r>
            <w:r>
              <w:rPr>
                <w:rFonts w:hint="eastAsia" w:ascii="Times New Roman" w:hAnsi="Times New Roman" w:eastAsia="宋体"/>
                <w:sz w:val="24"/>
                <w:szCs w:val="21"/>
              </w:rPr>
              <w:t>见表7.2~7.</w:t>
            </w:r>
            <w:r>
              <w:rPr>
                <w:rFonts w:hint="eastAsia" w:ascii="Times New Roman" w:hAnsi="Times New Roman" w:eastAsia="宋体"/>
                <w:sz w:val="24"/>
                <w:szCs w:val="21"/>
                <w:lang w:val="en-US" w:eastAsia="zh-CN"/>
              </w:rPr>
              <w:t>6</w:t>
            </w:r>
            <w:r>
              <w:rPr>
                <w:rFonts w:hint="eastAsia" w:ascii="Times New Roman" w:hAnsi="Times New Roman" w:eastAsia="宋体"/>
                <w:sz w:val="24"/>
                <w:szCs w:val="21"/>
              </w:rPr>
              <w:t>：</w:t>
            </w:r>
          </w:p>
          <w:p>
            <w:pPr>
              <w:pStyle w:val="8"/>
              <w:keepNext w:val="0"/>
              <w:keepLines w:val="0"/>
              <w:pageBreakBefore w:val="0"/>
              <w:widowControl w:val="0"/>
              <w:kinsoku/>
              <w:wordWrap/>
              <w:overflowPunct/>
              <w:topLinePunct w:val="0"/>
              <w:autoSpaceDE/>
              <w:autoSpaceDN/>
              <w:bidi w:val="0"/>
              <w:adjustRightInd/>
              <w:snapToGrid/>
              <w:spacing w:before="313" w:beforeLines="100" w:after="157" w:afterLines="50" w:line="240" w:lineRule="atLeast"/>
              <w:jc w:val="center"/>
              <w:textAlignment w:val="auto"/>
              <w:rPr>
                <w:rFonts w:hint="eastAsia" w:ascii="Times New Roman" w:hAnsi="Times New Roman" w:eastAsia="宋体" w:cs="Times New Roman"/>
                <w:bCs/>
                <w:sz w:val="24"/>
                <w:szCs w:val="24"/>
                <w:lang w:val="en-US" w:eastAsia="zh-CN"/>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7.2</w:t>
            </w:r>
            <w:r>
              <w:rPr>
                <w:rFonts w:hint="eastAsia"/>
                <w:b/>
                <w:bCs/>
                <w:kern w:val="2"/>
                <w:sz w:val="24"/>
                <w:szCs w:val="24"/>
                <w:lang w:val="en-US" w:eastAsia="zh-CN"/>
              </w:rPr>
              <w:t xml:space="preserve">  </w:t>
            </w:r>
            <w:r>
              <w:rPr>
                <w:rFonts w:hint="eastAsia" w:ascii="Times New Roman" w:hAnsi="Times New Roman" w:eastAsia="宋体" w:cs="Times New Roman"/>
                <w:b/>
                <w:bCs/>
                <w:kern w:val="2"/>
                <w:sz w:val="24"/>
                <w:szCs w:val="24"/>
                <w:lang w:val="en-US" w:eastAsia="zh-CN"/>
              </w:rPr>
              <w:t>焊锡、手工补焊、回流焊、波峰焊废气</w:t>
            </w:r>
            <w:r>
              <w:rPr>
                <w:rFonts w:hint="eastAsia" w:ascii="Times New Roman" w:hAnsi="Times New Roman" w:eastAsia="宋体"/>
                <w:b/>
                <w:bCs/>
                <w:kern w:val="2"/>
                <w:sz w:val="24"/>
                <w:szCs w:val="24"/>
                <w:lang w:val="en-US" w:eastAsia="zh-CN"/>
              </w:rPr>
              <w:t>进、出</w:t>
            </w:r>
            <w:r>
              <w:rPr>
                <w:rFonts w:ascii="Times New Roman" w:hAnsi="Times New Roman" w:eastAsia="宋体"/>
                <w:b/>
                <w:bCs/>
                <w:kern w:val="2"/>
                <w:sz w:val="24"/>
                <w:szCs w:val="24"/>
              </w:rPr>
              <w:t>口检测结果一览表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117"/>
              <w:gridCol w:w="1513"/>
              <w:gridCol w:w="1513"/>
              <w:gridCol w:w="1513"/>
              <w:gridCol w:w="883"/>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eastAsia="zh-CN"/>
                    </w:rPr>
                    <w:t>2023年7月6日</w:t>
                  </w:r>
                  <w:r>
                    <w:rPr>
                      <w:rFonts w:hint="default" w:ascii="Times New Roman" w:hAnsi="Times New Roman" w:eastAsia="宋体" w:cs="Times New Roman"/>
                      <w:kern w:val="2"/>
                      <w:sz w:val="21"/>
                      <w:szCs w:val="21"/>
                      <w:lang w:val="zh-CN" w:eastAsia="zh-CN"/>
                    </w:rPr>
                    <w:t>（</w:t>
                  </w:r>
                  <w:r>
                    <w:rPr>
                      <w:rFonts w:hint="eastAsia" w:ascii="Times New Roman" w:hAnsi="Times New Roman" w:eastAsia="宋体" w:cs="Times New Roman"/>
                      <w:kern w:val="2"/>
                      <w:sz w:val="21"/>
                      <w:szCs w:val="21"/>
                      <w:lang w:val="en-US" w:eastAsia="zh-CN"/>
                    </w:rPr>
                    <w:t xml:space="preserve">焊锡、手工补焊、回流焊、波峰焊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60" w:type="pct"/>
                  <w:gridSpan w:val="2"/>
                  <w:tcBorders>
                    <w:tl2br w:val="single" w:color="auto" w:sz="4" w:space="0"/>
                  </w:tcBorders>
                  <w:noWrap w:val="0"/>
                  <w:vAlign w:val="bottom"/>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zh-CN" w:eastAsia="zh-CN"/>
                    </w:rPr>
                    <w:t>样品编号</w:t>
                  </w:r>
                </w:p>
                <w:p>
                  <w:pPr>
                    <w:widowControl w:val="0"/>
                    <w:adjustRightInd/>
                    <w:snapToGrid/>
                    <w:spacing w:after="0"/>
                    <w:jc w:val="center"/>
                    <w:rPr>
                      <w:rFonts w:hint="default" w:ascii="Times New Roman" w:hAnsi="Times New Roman" w:eastAsia="宋体" w:cs="Times New Roman"/>
                      <w:kern w:val="2"/>
                      <w:sz w:val="21"/>
                      <w:szCs w:val="21"/>
                      <w:lang w:val="zh-CN"/>
                    </w:rPr>
                  </w:pPr>
                </w:p>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22.7</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2.85</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17.4</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8.65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w:t>
                  </w:r>
                  <w:r>
                    <w:rPr>
                      <w:rFonts w:hint="default" w:ascii="Times New Roman" w:hAnsi="Times New Roman" w:eastAsia="宋体" w:cs="Times New Roman"/>
                      <w:kern w:val="2"/>
                      <w:sz w:val="21"/>
                      <w:szCs w:val="21"/>
                      <w:vertAlign w:val="superscript"/>
                      <w:lang w:val="zh-CN"/>
                    </w:rPr>
                    <w:t>3</w:t>
                  </w:r>
                  <w:r>
                    <w:rPr>
                      <w:rFonts w:hint="default" w:ascii="Times New Roman" w:hAnsi="Times New Roman" w:eastAsia="宋体" w:cs="Times New Roman"/>
                      <w:kern w:val="2"/>
                      <w:sz w:val="21"/>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eastAsia="zh-CN"/>
                    </w:rPr>
                    <w:t>颗粒物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78.5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80.6</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78.5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80.6</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0.67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0.63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0.70</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en-US" w:eastAsia="zh-CN"/>
                    </w:rPr>
                    <w:t>非甲烷总烃</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5.41</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6.05</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6.00</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5.41</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0.05</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zh-CN" w:eastAsia="zh-CN"/>
                    </w:rPr>
                    <w:t>2023年7月6日</w:t>
                  </w:r>
                  <w:r>
                    <w:rPr>
                      <w:rFonts w:hint="default" w:ascii="Times New Roman" w:hAnsi="Times New Roman" w:eastAsia="宋体" w:cs="Times New Roman"/>
                      <w:kern w:val="2"/>
                      <w:sz w:val="21"/>
                      <w:szCs w:val="21"/>
                      <w:lang w:val="zh-CN" w:eastAsia="zh-CN"/>
                    </w:rPr>
                    <w:t>（</w:t>
                  </w:r>
                  <w:r>
                    <w:rPr>
                      <w:rFonts w:hint="eastAsia" w:ascii="Times New Roman" w:hAnsi="Times New Roman" w:eastAsia="宋体" w:cs="Times New Roman"/>
                      <w:kern w:val="2"/>
                      <w:sz w:val="21"/>
                      <w:szCs w:val="21"/>
                      <w:lang w:val="en-US" w:eastAsia="zh-CN"/>
                    </w:rPr>
                    <w:t xml:space="preserve">焊锡、手工补焊、回流焊、波峰焊进口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27940</wp:posOffset>
                            </wp:positionV>
                            <wp:extent cx="1238250" cy="462280"/>
                            <wp:effectExtent l="1905" t="4445" r="17145" b="9525"/>
                            <wp:wrapNone/>
                            <wp:docPr id="21" name="直接连接符 21"/>
                            <wp:cNvGraphicFramePr/>
                            <a:graphic xmlns:a="http://schemas.openxmlformats.org/drawingml/2006/main">
                              <a:graphicData uri="http://schemas.microsoft.com/office/word/2010/wordprocessingShape">
                                <wps:wsp>
                                  <wps:cNvCnPr/>
                                  <wps:spPr>
                                    <a:xfrm>
                                      <a:off x="0" y="0"/>
                                      <a:ext cx="1238250" cy="4622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6.4pt;width:97.5pt;z-index:251662336;mso-width-relative:page;mso-height-relative:page;" filled="f" stroked="t" coordsize="21600,21600" o:gfxdata="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D0qVzWAAAABwEAAA8AAAAAAAAAAQAgAAAAIgAAAGRycy9kb3ducmV2Lnht&#10;bFBLAQIUABQAAAAIAIdO4kCHCt/B+wEAAOsDAAAOAAAAAAAAAAEAIAAAACU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zh-CN" w:eastAsia="zh-CN"/>
                    </w:rPr>
                    <w:t>样品编号</w:t>
                  </w:r>
                </w:p>
                <w:p>
                  <w:pPr>
                    <w:widowControl w:val="0"/>
                    <w:adjustRightInd/>
                    <w:snapToGrid/>
                    <w:spacing w:after="0"/>
                    <w:jc w:val="center"/>
                    <w:rPr>
                      <w:rFonts w:hint="default" w:ascii="Times New Roman" w:hAnsi="Times New Roman" w:eastAsia="宋体" w:cs="Times New Roman"/>
                      <w:kern w:val="2"/>
                      <w:sz w:val="21"/>
                      <w:szCs w:val="21"/>
                      <w:lang w:val="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eastAsia="zh-CN"/>
                    </w:rPr>
                    <w:t>监测项目</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6</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23.7</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2.68</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17.6</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8.71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w:t>
                  </w:r>
                  <w:r>
                    <w:rPr>
                      <w:rFonts w:hint="default" w:ascii="Times New Roman" w:hAnsi="Times New Roman" w:eastAsia="宋体" w:cs="Times New Roman"/>
                      <w:kern w:val="2"/>
                      <w:sz w:val="21"/>
                      <w:szCs w:val="21"/>
                      <w:vertAlign w:val="superscript"/>
                      <w:lang w:val="zh-CN"/>
                    </w:rPr>
                    <w:t>3</w:t>
                  </w:r>
                  <w:r>
                    <w:rPr>
                      <w:rFonts w:hint="default" w:ascii="Times New Roman" w:hAnsi="Times New Roman" w:eastAsia="宋体" w:cs="Times New Roman"/>
                      <w:kern w:val="2"/>
                      <w:sz w:val="21"/>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zh-CN" w:eastAsia="zh-CN"/>
                    </w:rPr>
                    <w:t>锡及其化合物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zh-CN" w:eastAsia="zh-CN"/>
                    </w:rPr>
                    <w:t>2023年7月</w:t>
                  </w:r>
                  <w:r>
                    <w:rPr>
                      <w:rFonts w:hint="eastAsia" w:ascii="Times New Roman" w:hAnsi="Times New Roman" w:eastAsia="宋体" w:cs="Times New Roman"/>
                      <w:kern w:val="2"/>
                      <w:sz w:val="21"/>
                      <w:szCs w:val="21"/>
                      <w:lang w:val="en-US" w:eastAsia="zh-CN"/>
                    </w:rPr>
                    <w:t>7</w:t>
                  </w:r>
                  <w:r>
                    <w:rPr>
                      <w:rFonts w:hint="eastAsia" w:ascii="Times New Roman" w:hAnsi="Times New Roman" w:eastAsia="宋体" w:cs="Times New Roman"/>
                      <w:kern w:val="2"/>
                      <w:sz w:val="21"/>
                      <w:szCs w:val="21"/>
                      <w:lang w:val="zh-CN" w:eastAsia="zh-CN"/>
                    </w:rPr>
                    <w:t>日</w:t>
                  </w:r>
                  <w:r>
                    <w:rPr>
                      <w:rFonts w:hint="default" w:ascii="Times New Roman" w:hAnsi="Times New Roman" w:eastAsia="宋体" w:cs="Times New Roman"/>
                      <w:kern w:val="2"/>
                      <w:sz w:val="21"/>
                      <w:szCs w:val="21"/>
                      <w:lang w:val="zh-CN" w:eastAsia="zh-CN"/>
                    </w:rPr>
                    <w:t>（</w:t>
                  </w:r>
                  <w:r>
                    <w:rPr>
                      <w:rFonts w:hint="eastAsia" w:ascii="Times New Roman" w:hAnsi="Times New Roman" w:eastAsia="宋体" w:cs="Times New Roman"/>
                      <w:kern w:val="2"/>
                      <w:sz w:val="21"/>
                      <w:szCs w:val="21"/>
                      <w:lang w:val="en-US" w:eastAsia="zh-CN"/>
                    </w:rPr>
                    <w:t xml:space="preserve">焊锡、手工补焊、回流焊、波峰焊进口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2"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17780</wp:posOffset>
                            </wp:positionV>
                            <wp:extent cx="1174115" cy="598805"/>
                            <wp:effectExtent l="1905" t="4445" r="5080" b="6350"/>
                            <wp:wrapNone/>
                            <wp:docPr id="6" name="直接连接符 6"/>
                            <wp:cNvGraphicFramePr/>
                            <a:graphic xmlns:a="http://schemas.openxmlformats.org/drawingml/2006/main">
                              <a:graphicData uri="http://schemas.microsoft.com/office/word/2010/wordprocessingShape">
                                <wps:wsp>
                                  <wps:cNvCnPr/>
                                  <wps:spPr>
                                    <a:xfrm>
                                      <a:off x="0" y="0"/>
                                      <a:ext cx="1174115" cy="598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1.4pt;height:47.15pt;width:92.45pt;z-index:251664384;mso-width-relative:page;mso-height-relative:page;" filled="f" stroked="t" coordsize="21600,21600" o:gfxdata="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brPC9UAAAAHAQAADwAAAAAAAAABACAAAAAiAAAAZHJzL2Rvd25yZXYueG1sUEsB&#10;AhQAFAAAAAgAh07iQJ1EhYH4AQAA6QMAAA4AAAAAAAAAAQAgAAAAJA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zh-CN" w:eastAsia="zh-CN"/>
                    </w:rPr>
                    <w:t>样品编号</w:t>
                  </w:r>
                </w:p>
                <w:p>
                  <w:pPr>
                    <w:widowControl w:val="0"/>
                    <w:adjustRightInd/>
                    <w:snapToGrid/>
                    <w:spacing w:after="0"/>
                    <w:jc w:val="center"/>
                    <w:rPr>
                      <w:rFonts w:hint="default" w:ascii="Times New Roman" w:hAnsi="Times New Roman" w:eastAsia="宋体" w:cs="Times New Roman"/>
                      <w:kern w:val="2"/>
                      <w:sz w:val="21"/>
                      <w:szCs w:val="21"/>
                      <w:lang w:val="zh-CN"/>
                    </w:rPr>
                  </w:pPr>
                </w:p>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8</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9</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27.9</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3.04</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17.6</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8.70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w:t>
                  </w:r>
                  <w:r>
                    <w:rPr>
                      <w:rFonts w:hint="default" w:ascii="Times New Roman" w:hAnsi="Times New Roman" w:eastAsia="宋体" w:cs="Times New Roman"/>
                      <w:kern w:val="2"/>
                      <w:sz w:val="21"/>
                      <w:szCs w:val="21"/>
                      <w:vertAlign w:val="superscript"/>
                      <w:lang w:val="zh-CN"/>
                    </w:rPr>
                    <w:t>3</w:t>
                  </w:r>
                  <w:r>
                    <w:rPr>
                      <w:rFonts w:hint="default" w:ascii="Times New Roman" w:hAnsi="Times New Roman" w:eastAsia="宋体" w:cs="Times New Roman"/>
                      <w:kern w:val="2"/>
                      <w:sz w:val="21"/>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zh-CN" w:eastAsia="zh-CN"/>
                    </w:rPr>
                    <w:t>颗粒物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83.6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77.9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83.6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77.9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0.66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非甲烷总烃</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5.28</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5.21</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5.28</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0.04</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zh-CN" w:eastAsia="zh-CN"/>
                    </w:rPr>
                    <w:t>2023年7月</w:t>
                  </w:r>
                  <w:r>
                    <w:rPr>
                      <w:rFonts w:hint="eastAsia" w:ascii="Times New Roman" w:hAnsi="Times New Roman" w:eastAsia="宋体" w:cs="Times New Roman"/>
                      <w:kern w:val="2"/>
                      <w:sz w:val="21"/>
                      <w:szCs w:val="21"/>
                      <w:lang w:val="en-US" w:eastAsia="zh-CN"/>
                    </w:rPr>
                    <w:t>7</w:t>
                  </w:r>
                  <w:r>
                    <w:rPr>
                      <w:rFonts w:hint="eastAsia" w:ascii="Times New Roman" w:hAnsi="Times New Roman" w:eastAsia="宋体" w:cs="Times New Roman"/>
                      <w:kern w:val="2"/>
                      <w:sz w:val="21"/>
                      <w:szCs w:val="21"/>
                      <w:lang w:val="zh-CN" w:eastAsia="zh-CN"/>
                    </w:rPr>
                    <w:t>日</w:t>
                  </w:r>
                  <w:r>
                    <w:rPr>
                      <w:rFonts w:hint="default" w:ascii="Times New Roman" w:hAnsi="Times New Roman" w:eastAsia="宋体" w:cs="Times New Roman"/>
                      <w:kern w:val="2"/>
                      <w:sz w:val="21"/>
                      <w:szCs w:val="21"/>
                      <w:lang w:val="zh-CN" w:eastAsia="zh-CN"/>
                    </w:rPr>
                    <w:t>（</w:t>
                  </w:r>
                  <w:r>
                    <w:rPr>
                      <w:rFonts w:hint="eastAsia" w:ascii="Times New Roman" w:hAnsi="Times New Roman" w:eastAsia="宋体" w:cs="Times New Roman"/>
                      <w:kern w:val="2"/>
                      <w:sz w:val="21"/>
                      <w:szCs w:val="21"/>
                      <w:lang w:val="en-US" w:eastAsia="zh-CN"/>
                    </w:rPr>
                    <w:t xml:space="preserve">焊锡、手工补焊、回流焊、波峰焊进口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mc:AlternateContent>
                      <mc:Choice Requires="wps">
                        <w:drawing>
                          <wp:anchor distT="0" distB="0" distL="114300" distR="114300" simplePos="0" relativeHeight="251663360" behindDoc="0" locked="0" layoutInCell="1" allowOverlap="1">
                            <wp:simplePos x="0" y="0"/>
                            <wp:positionH relativeFrom="column">
                              <wp:posOffset>-55245</wp:posOffset>
                            </wp:positionH>
                            <wp:positionV relativeFrom="paragraph">
                              <wp:posOffset>27940</wp:posOffset>
                            </wp:positionV>
                            <wp:extent cx="1171575" cy="433705"/>
                            <wp:effectExtent l="1905" t="4445" r="7620" b="19050"/>
                            <wp:wrapNone/>
                            <wp:docPr id="20" name="直接连接符 20"/>
                            <wp:cNvGraphicFramePr/>
                            <a:graphic xmlns:a="http://schemas.openxmlformats.org/drawingml/2006/main">
                              <a:graphicData uri="http://schemas.microsoft.com/office/word/2010/wordprocessingShape">
                                <wps:wsp>
                                  <wps:cNvCnPr/>
                                  <wps:spPr>
                                    <a:xfrm>
                                      <a:off x="0" y="0"/>
                                      <a:ext cx="1171575" cy="433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4.15pt;width:92.25pt;z-index:251663360;mso-width-relative:page;mso-height-relative:page;" filled="f" stroked="t" coordsize="21600,21600" o:gfxdata="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mdtm1gAAAAcBAAAPAAAAAAAAAAEAIAAAACIAAABkcnMvZG93bnJldi54bWxQ&#10;SwECFAAUAAAACACHTuJAjrytzf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zh-CN" w:eastAsia="zh-CN"/>
                    </w:rPr>
                    <w:t>样品编号</w:t>
                  </w:r>
                </w:p>
                <w:p>
                  <w:pPr>
                    <w:widowControl w:val="0"/>
                    <w:adjustRightInd/>
                    <w:snapToGrid/>
                    <w:spacing w:after="0"/>
                    <w:jc w:val="center"/>
                    <w:rPr>
                      <w:rFonts w:hint="default" w:ascii="Times New Roman" w:hAnsi="Times New Roman" w:eastAsia="宋体" w:cs="Times New Roman"/>
                      <w:kern w:val="2"/>
                      <w:sz w:val="21"/>
                      <w:szCs w:val="21"/>
                      <w:lang w:val="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28.7</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8.37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zh-CN" w:eastAsia="zh-CN"/>
                    </w:rPr>
                    <w:t>锡及其化合物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mg/m</w:t>
                  </w:r>
                  <w:r>
                    <w:rPr>
                      <w:rFonts w:hint="default" w:ascii="Times New Roman" w:hAnsi="Times New Roman" w:eastAsia="宋体" w:cs="Times New Roman"/>
                      <w:kern w:val="2"/>
                      <w:sz w:val="21"/>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en-US" w:eastAsia="zh-CN"/>
                    </w:rPr>
                    <w:t>标准依据</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eastAsia"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备注</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排气筒尺寸：</w:t>
                  </w:r>
                  <w:r>
                    <w:rPr>
                      <w:rFonts w:hint="eastAsia" w:ascii="Times New Roman" w:hAnsi="Times New Roman" w:eastAsia="宋体" w:cs="Times New Roman"/>
                      <w:kern w:val="2"/>
                      <w:sz w:val="21"/>
                      <w:szCs w:val="21"/>
                      <w:lang w:val="en-US" w:eastAsia="zh-CN"/>
                    </w:rPr>
                    <w:t>0.4m</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焊锡、手工补焊、回流焊、波峰焊出口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hRule="atLeast"/>
                <w:jc w:val="center"/>
              </w:trPr>
              <w:tc>
                <w:tcPr>
                  <w:tcW w:w="1160" w:type="pct"/>
                  <w:gridSpan w:val="2"/>
                  <w:tcBorders>
                    <w:tl2br w:val="single" w:color="auto" w:sz="4" w:space="0"/>
                  </w:tcBorders>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23.4</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18.1</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9.05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9.29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8.96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17.0</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17.0</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0.15</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1.10</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1.14</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1.10</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1.10</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焊锡、手工补焊、回流焊、波峰焊出口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27940</wp:posOffset>
                            </wp:positionV>
                            <wp:extent cx="1219835" cy="452120"/>
                            <wp:effectExtent l="1905" t="4445" r="16510" b="19685"/>
                            <wp:wrapNone/>
                            <wp:docPr id="22" name="直接连接符 22"/>
                            <wp:cNvGraphicFramePr/>
                            <a:graphic xmlns:a="http://schemas.openxmlformats.org/drawingml/2006/main">
                              <a:graphicData uri="http://schemas.microsoft.com/office/word/2010/wordprocessingShape">
                                <wps:wsp>
                                  <wps:cNvCnPr/>
                                  <wps:spPr>
                                    <a:xfrm>
                                      <a:off x="0" y="0"/>
                                      <a:ext cx="1219835" cy="452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5.6pt;width:96.05pt;z-index:251665408;mso-width-relative:page;mso-height-relative:page;" filled="f" stroked="t" coordsize="21600,21600" o:gfxdata="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HAuKrWAAAABwEAAA8AAAAAAAAAAQAgAAAAIgAAAGRycy9kb3ducmV2Lnht&#10;bFBLAQIUABQAAAAIAIdO4kCAHQoz+wEAAOsDAAAOAAAAAAAAAAEAIAAAACU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6</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23.8</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3.02</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18.8</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9.11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9.30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9.04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4.30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4.30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3.92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3.70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0.31</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焊锡、手工补焊、回流焊、波峰焊出口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2"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67456" behindDoc="0" locked="0" layoutInCell="1" allowOverlap="1">
                            <wp:simplePos x="0" y="0"/>
                            <wp:positionH relativeFrom="column">
                              <wp:posOffset>-62865</wp:posOffset>
                            </wp:positionH>
                            <wp:positionV relativeFrom="paragraph">
                              <wp:posOffset>17780</wp:posOffset>
                            </wp:positionV>
                            <wp:extent cx="1193165" cy="626745"/>
                            <wp:effectExtent l="1905" t="4445" r="5080" b="16510"/>
                            <wp:wrapNone/>
                            <wp:docPr id="23" name="直接连接符 23"/>
                            <wp:cNvGraphicFramePr/>
                            <a:graphic xmlns:a="http://schemas.openxmlformats.org/drawingml/2006/main">
                              <a:graphicData uri="http://schemas.microsoft.com/office/word/2010/wordprocessingShape">
                                <wps:wsp>
                                  <wps:cNvCnPr/>
                                  <wps:spPr>
                                    <a:xfrm>
                                      <a:off x="0" y="0"/>
                                      <a:ext cx="1193165" cy="6267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1.4pt;height:49.35pt;width:93.95pt;z-index:251667456;mso-width-relative:page;mso-height-relative:page;" filled="f" stroked="t" coordsize="21600,21600" o:gfxdata="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acWRdYAAAAIAQAADwAAAAAAAAABACAAAAAiAAAAZHJzL2Rvd25yZXYueG1s&#10;UEsBAhQAFAAAAAgAh07iQOXwYnj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both"/>
                    <w:rPr>
                      <w:rFonts w:hint="default" w:ascii="Times New Roman" w:hAnsi="Times New Roman" w:eastAsia="宋体" w:cs="Times New Roman"/>
                      <w:kern w:val="2"/>
                      <w:sz w:val="21"/>
                      <w:szCs w:val="21"/>
                      <w:lang w:val="en-US" w:eastAsia="zh-CN"/>
                    </w:rPr>
                  </w:pPr>
                </w:p>
                <w:p>
                  <w:pPr>
                    <w:widowControl w:val="0"/>
                    <w:adjustRightInd/>
                    <w:snapToGrid/>
                    <w:spacing w:after="0"/>
                    <w:jc w:val="both"/>
                    <w:rPr>
                      <w:rFonts w:hint="default" w:ascii="Times New Roman" w:hAnsi="Times New Roman" w:eastAsia="宋体" w:cs="Times New Roman"/>
                      <w:kern w:val="2"/>
                      <w:sz w:val="21"/>
                      <w:szCs w:val="21"/>
                      <w:lang w:val="en-US" w:eastAsia="zh-CN"/>
                    </w:rPr>
                  </w:pPr>
                </w:p>
                <w:p>
                  <w:pPr>
                    <w:widowControl w:val="0"/>
                    <w:adjustRightInd/>
                    <w:snapToGrid/>
                    <w:spacing w:after="0"/>
                    <w:jc w:val="both"/>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8</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9</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24.8</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3.14</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3.08</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19.2</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18.9</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9.44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9.10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9.24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18.3</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0.16</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0.17</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1.29</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1.37</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焊锡、手工补焊、回流焊、波峰焊出口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160"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66432" behindDoc="0" locked="0" layoutInCell="1" allowOverlap="1">
                            <wp:simplePos x="0" y="0"/>
                            <wp:positionH relativeFrom="column">
                              <wp:posOffset>-55245</wp:posOffset>
                            </wp:positionH>
                            <wp:positionV relativeFrom="paragraph">
                              <wp:posOffset>27940</wp:posOffset>
                            </wp:positionV>
                            <wp:extent cx="1209675" cy="471805"/>
                            <wp:effectExtent l="1905" t="4445" r="7620" b="19050"/>
                            <wp:wrapNone/>
                            <wp:docPr id="24" name="直接连接符 24"/>
                            <wp:cNvGraphicFramePr/>
                            <a:graphic xmlns:a="http://schemas.openxmlformats.org/drawingml/2006/main">
                              <a:graphicData uri="http://schemas.microsoft.com/office/word/2010/wordprocessingShape">
                                <wps:wsp>
                                  <wps:cNvCnPr/>
                                  <wps:spPr>
                                    <a:xfrm>
                                      <a:off x="0" y="0"/>
                                      <a:ext cx="1209675" cy="471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7.15pt;width:95.25pt;z-index:251666432;mso-width-relative:page;mso-height-relative:page;" filled="f" stroked="t" coordsize="21600,21600" o:gfxdata="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QGja9YAAAAHAQAADwAAAAAAAAABACAAAAAiAAAAZHJzL2Rvd25yZXYueG1s&#10;UEsBAhQAFAAAAAgAh07iQG4zXsr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24.8</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25.2</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2.99</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3.07</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3.15</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18.1</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18.7</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8.78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8.82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9.11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91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3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487"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7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91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53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0.31</w:t>
                  </w:r>
                </w:p>
              </w:tc>
              <w:tc>
                <w:tcPr>
                  <w:tcW w:w="57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标准依据</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《大气污染物综合排放标准》DB50/418-2016表1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0"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备注</w:t>
                  </w:r>
                </w:p>
              </w:tc>
              <w:tc>
                <w:tcPr>
                  <w:tcW w:w="3839"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排气筒高度：</w:t>
                  </w:r>
                  <w:r>
                    <w:rPr>
                      <w:rFonts w:hint="eastAsia" w:ascii="Times New Roman" w:hAnsi="Times New Roman" w:eastAsia="宋体" w:cs="Times New Roman"/>
                      <w:kern w:val="2"/>
                      <w:sz w:val="21"/>
                      <w:szCs w:val="21"/>
                      <w:lang w:val="en-US" w:eastAsia="zh-CN"/>
                    </w:rPr>
                    <w:t>15</w:t>
                  </w:r>
                  <w:r>
                    <w:rPr>
                      <w:rFonts w:hint="default" w:ascii="Times New Roman" w:hAnsi="Times New Roman" w:eastAsia="宋体" w:cs="Times New Roman"/>
                      <w:kern w:val="2"/>
                      <w:sz w:val="21"/>
                      <w:szCs w:val="21"/>
                      <w:lang w:val="en-US" w:eastAsia="zh-CN"/>
                    </w:rPr>
                    <w:t>m；排气筒尺寸：</w:t>
                  </w:r>
                  <w:r>
                    <w:rPr>
                      <w:rFonts w:hint="eastAsia" w:ascii="Times New Roman" w:hAnsi="Times New Roman" w:eastAsia="宋体" w:cs="Times New Roman"/>
                      <w:kern w:val="2"/>
                      <w:sz w:val="21"/>
                      <w:szCs w:val="21"/>
                      <w:lang w:val="en-US" w:eastAsia="zh-CN"/>
                    </w:rPr>
                    <w:t>0.4m</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0.4m</w:t>
                  </w:r>
                </w:p>
              </w:tc>
            </w:tr>
          </w:tbl>
          <w:p>
            <w:pPr>
              <w:tabs>
                <w:tab w:val="left" w:pos="735"/>
              </w:tabs>
              <w:spacing w:line="500" w:lineRule="exact"/>
              <w:jc w:val="center"/>
              <w:rPr>
                <w:rFonts w:hint="eastAsia" w:ascii="Times New Roman" w:hAnsi="Times New Roman" w:eastAsia="宋体" w:cs="Times New Roman"/>
                <w:bCs/>
                <w:sz w:val="24"/>
                <w:szCs w:val="24"/>
                <w:lang w:val="en-US" w:eastAsia="zh-CN"/>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w:t>
            </w:r>
            <w:r>
              <w:rPr>
                <w:rFonts w:hint="eastAsia" w:ascii="Times New Roman" w:hAnsi="Times New Roman" w:eastAsia="宋体"/>
                <w:b/>
                <w:bCs/>
                <w:kern w:val="2"/>
                <w:sz w:val="24"/>
                <w:szCs w:val="24"/>
                <w:lang w:val="en-US" w:eastAsia="zh-CN"/>
              </w:rPr>
              <w:t>3</w:t>
            </w:r>
            <w:r>
              <w:rPr>
                <w:rFonts w:hint="eastAsia"/>
                <w:b/>
                <w:bCs/>
                <w:kern w:val="2"/>
                <w:sz w:val="24"/>
                <w:szCs w:val="24"/>
                <w:lang w:val="en-US" w:eastAsia="zh-CN"/>
              </w:rPr>
              <w:t xml:space="preserve">  </w:t>
            </w:r>
            <w:r>
              <w:rPr>
                <w:rFonts w:hint="eastAsia" w:ascii="Times New Roman" w:hAnsi="Times New Roman" w:eastAsia="宋体" w:cs="Times New Roman"/>
                <w:b/>
                <w:bCs/>
                <w:kern w:val="2"/>
                <w:sz w:val="24"/>
                <w:szCs w:val="24"/>
                <w:lang w:val="en-US" w:eastAsia="zh-CN"/>
              </w:rPr>
              <w:t>含浸、干燥、喷三防漆、固化废气出口</w:t>
            </w:r>
            <w:r>
              <w:rPr>
                <w:rFonts w:ascii="Times New Roman" w:hAnsi="Times New Roman" w:eastAsia="宋体" w:cs="Times New Roman"/>
                <w:b/>
                <w:bCs/>
                <w:kern w:val="2"/>
                <w:sz w:val="24"/>
                <w:szCs w:val="24"/>
              </w:rPr>
              <w:t>检</w:t>
            </w:r>
            <w:r>
              <w:rPr>
                <w:rFonts w:ascii="Times New Roman" w:hAnsi="Times New Roman" w:eastAsia="宋体"/>
                <w:b/>
                <w:bCs/>
                <w:kern w:val="2"/>
                <w:sz w:val="24"/>
                <w:szCs w:val="24"/>
              </w:rPr>
              <w:t>测结果一览表</w:t>
            </w: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7</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107"/>
              <w:gridCol w:w="1453"/>
              <w:gridCol w:w="1453"/>
              <w:gridCol w:w="1455"/>
              <w:gridCol w:w="87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含浸、干燥、喷三防漆、固化废气出口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66" w:type="pct"/>
                  <w:gridSpan w:val="2"/>
                  <w:tcBorders>
                    <w:tl2br w:val="single" w:color="auto" w:sz="4" w:space="0"/>
                  </w:tcBorders>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-2</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23.8</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24.0</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3.28</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3.18</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3.11</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14.9</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14.2</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4.11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3.93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14.7</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15.5</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14.7</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15.5</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1.62</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1.57</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1.62</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1.26</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1.57</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6.66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4.95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6.31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含浸、干燥、喷三防漆、固化废气出口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68480" behindDoc="0" locked="0" layoutInCell="1" allowOverlap="1">
                            <wp:simplePos x="0" y="0"/>
                            <wp:positionH relativeFrom="column">
                              <wp:posOffset>-55245</wp:posOffset>
                            </wp:positionH>
                            <wp:positionV relativeFrom="paragraph">
                              <wp:posOffset>27940</wp:posOffset>
                            </wp:positionV>
                            <wp:extent cx="1200150" cy="471805"/>
                            <wp:effectExtent l="1905" t="4445" r="17145" b="19050"/>
                            <wp:wrapNone/>
                            <wp:docPr id="25" name="直接连接符 25"/>
                            <wp:cNvGraphicFramePr/>
                            <a:graphic xmlns:a="http://schemas.openxmlformats.org/drawingml/2006/main">
                              <a:graphicData uri="http://schemas.microsoft.com/office/word/2010/wordprocessingShape">
                                <wps:wsp>
                                  <wps:cNvCnPr/>
                                  <wps:spPr>
                                    <a:xfrm>
                                      <a:off x="0" y="0"/>
                                      <a:ext cx="1200150" cy="471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7.15pt;width:94.5pt;z-index:251668480;mso-width-relative:page;mso-height-relative:page;" filled="f" stroked="t" coordsize="21600,21600" o:gfxdata="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BwAb1AAAAAcBAAAPAAAAAAAAAAEAIAAAACIAAABkcnMvZG93bnJldi54bWxQ&#10;SwECFAAUAAAACACHTuJALbmlQvsBAADrAwAADgAAAAAAAAABACAAAAAj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6</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24.5</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3.17</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14.8</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15.1</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4.20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4.17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8.61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9.79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9.30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0.31</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含浸、干燥、喷三防漆、固化废气出口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2" w:hRule="atLeast"/>
                <w:jc w:val="center"/>
              </w:trPr>
              <w:tc>
                <w:tcPr>
                  <w:tcW w:w="1166"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70528" behindDoc="0" locked="0" layoutInCell="1" allowOverlap="1">
                            <wp:simplePos x="0" y="0"/>
                            <wp:positionH relativeFrom="column">
                              <wp:posOffset>-62865</wp:posOffset>
                            </wp:positionH>
                            <wp:positionV relativeFrom="paragraph">
                              <wp:posOffset>17780</wp:posOffset>
                            </wp:positionV>
                            <wp:extent cx="1240155" cy="626745"/>
                            <wp:effectExtent l="1905" t="4445" r="15240" b="16510"/>
                            <wp:wrapNone/>
                            <wp:docPr id="26" name="直接连接符 26"/>
                            <wp:cNvGraphicFramePr/>
                            <a:graphic xmlns:a="http://schemas.openxmlformats.org/drawingml/2006/main">
                              <a:graphicData uri="http://schemas.microsoft.com/office/word/2010/wordprocessingShape">
                                <wps:wsp>
                                  <wps:cNvCnPr/>
                                  <wps:spPr>
                                    <a:xfrm>
                                      <a:off x="0" y="0"/>
                                      <a:ext cx="1240155" cy="6267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1.4pt;height:49.35pt;width:97.65pt;z-index:251670528;mso-width-relative:page;mso-height-relative:page;" filled="f" stroked="t" coordsize="21600,21600" o:gfxdata="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5ogVNcAAAAIAQAADwAAAAAAAAABACAAAAAiAAAAZHJzL2Rvd25yZXYueG1s&#10;UEsBAhQAFAAAAAgAh07iQINEPuL5AQAA6wMAAA4AAAAAAAAAAQAgAAAAJg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both"/>
                    <w:rPr>
                      <w:rFonts w:hint="default" w:ascii="Times New Roman" w:hAnsi="Times New Roman" w:eastAsia="宋体" w:cs="Times New Roman"/>
                      <w:kern w:val="2"/>
                      <w:sz w:val="21"/>
                      <w:szCs w:val="21"/>
                      <w:lang w:val="en-US" w:eastAsia="zh-CN"/>
                    </w:rPr>
                  </w:pPr>
                </w:p>
                <w:p>
                  <w:pPr>
                    <w:widowControl w:val="0"/>
                    <w:adjustRightInd/>
                    <w:snapToGrid/>
                    <w:spacing w:after="0"/>
                    <w:jc w:val="both"/>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7</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8</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9</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25.8</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26.0</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3.18</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3.30</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3.39</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14.8</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14.5</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4.16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3.74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jc w:val="center"/>
              </w:trPr>
              <w:tc>
                <w:tcPr>
                  <w:tcW w:w="49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13.9</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14.5</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15.4</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13.9</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14.5</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49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1.36</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120</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6.32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4.97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 xml:space="preserve">含浸、干燥、喷三防漆、固化废气出口  </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166" w:type="pct"/>
                  <w:gridSpan w:val="2"/>
                  <w:noWrap w:val="0"/>
                  <w:vAlign w:val="bottom"/>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mc:AlternateContent>
                      <mc:Choice Requires="wps">
                        <w:drawing>
                          <wp:anchor distT="0" distB="0" distL="114300" distR="114300" simplePos="0" relativeHeight="251669504" behindDoc="0" locked="0" layoutInCell="1" allowOverlap="1">
                            <wp:simplePos x="0" y="0"/>
                            <wp:positionH relativeFrom="column">
                              <wp:posOffset>-55245</wp:posOffset>
                            </wp:positionH>
                            <wp:positionV relativeFrom="paragraph">
                              <wp:posOffset>27940</wp:posOffset>
                            </wp:positionV>
                            <wp:extent cx="1209675" cy="452120"/>
                            <wp:effectExtent l="1905" t="4445" r="7620" b="19685"/>
                            <wp:wrapNone/>
                            <wp:docPr id="27" name="直接连接符 27"/>
                            <wp:cNvGraphicFramePr/>
                            <a:graphic xmlns:a="http://schemas.openxmlformats.org/drawingml/2006/main">
                              <a:graphicData uri="http://schemas.microsoft.com/office/word/2010/wordprocessingShape">
                                <wps:wsp>
                                  <wps:cNvCnPr/>
                                  <wps:spPr>
                                    <a:xfrm>
                                      <a:off x="0" y="0"/>
                                      <a:ext cx="1209675" cy="452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2.2pt;height:35.6pt;width:95.25pt;z-index:251669504;mso-width-relative:page;mso-height-relative:page;" filled="f" stroked="t" coordsize="21600,21600" o:gfxdata="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HEArWAAAABwEAAA8AAAAAAAAAAQAgAAAAIgAAAGRycy9kb3ducmV2LnhtbFBL&#10;AQIUABQAAAAIAIdO4kCUqfT8+AEAAOsDAAAOAAAAAAAAAAEAIAAAACU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1"/>
                      <w:lang w:val="en-US" w:eastAsia="zh-CN"/>
                    </w:rPr>
                    <w:t xml:space="preserve">       样品编号</w:t>
                  </w: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both"/>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11</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12</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排气温度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25.7</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25.5</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含湿量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3.25</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3.32</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3.41</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排气流速</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14.9</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14.4</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14.7</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排气流量</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3.92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实测浓度</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排放浓度</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877"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c>
                <w:tcPr>
                  <w:tcW w:w="1124"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49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66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排放速率</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-5</w:t>
                  </w:r>
                </w:p>
              </w:tc>
              <w:tc>
                <w:tcPr>
                  <w:tcW w:w="87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9.60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p>
              </w:tc>
              <w:tc>
                <w:tcPr>
                  <w:tcW w:w="87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9.49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0.31</w:t>
                  </w:r>
                </w:p>
              </w:tc>
              <w:tc>
                <w:tcPr>
                  <w:tcW w:w="67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标准依据</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《大气污染物综合排放标准》DB50/418-2016表1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66"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备注</w:t>
                  </w:r>
                </w:p>
              </w:tc>
              <w:tc>
                <w:tcPr>
                  <w:tcW w:w="3833"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排气筒高度：</w:t>
                  </w:r>
                  <w:r>
                    <w:rPr>
                      <w:rFonts w:hint="eastAsia" w:ascii="Times New Roman" w:hAnsi="Times New Roman" w:eastAsia="宋体" w:cs="Times New Roman"/>
                      <w:kern w:val="2"/>
                      <w:sz w:val="21"/>
                      <w:szCs w:val="21"/>
                      <w:lang w:val="en-US" w:eastAsia="zh-CN"/>
                    </w:rPr>
                    <w:t>15</w:t>
                  </w:r>
                  <w:r>
                    <w:rPr>
                      <w:rFonts w:hint="default" w:ascii="Times New Roman" w:hAnsi="Times New Roman" w:eastAsia="宋体" w:cs="Times New Roman"/>
                      <w:kern w:val="2"/>
                      <w:sz w:val="21"/>
                      <w:szCs w:val="21"/>
                      <w:lang w:val="en-US" w:eastAsia="zh-CN"/>
                    </w:rPr>
                    <w:t>m；排气筒尺寸：</w:t>
                  </w:r>
                  <w:r>
                    <w:rPr>
                      <w:rFonts w:hint="eastAsia" w:ascii="Times New Roman" w:hAnsi="Times New Roman" w:eastAsia="宋体" w:cs="Times New Roman"/>
                      <w:kern w:val="2"/>
                      <w:sz w:val="21"/>
                      <w:szCs w:val="21"/>
                      <w:lang w:val="en-US" w:eastAsia="zh-CN"/>
                    </w:rPr>
                    <w:t>0.3m</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0.3m</w:t>
                  </w:r>
                </w:p>
              </w:tc>
            </w:tr>
          </w:tbl>
          <w:p>
            <w:pPr>
              <w:widowControl w:val="0"/>
              <w:adjustRightInd/>
              <w:snapToGrid/>
              <w:spacing w:after="0" w:line="360" w:lineRule="auto"/>
              <w:ind w:firstLine="480" w:firstLineChars="200"/>
              <w:jc w:val="both"/>
              <w:rPr>
                <w:rFonts w:hint="eastAsia" w:ascii="Times New Roman" w:hAnsi="Times New Roman" w:eastAsia="宋体"/>
                <w:kern w:val="2"/>
                <w:sz w:val="24"/>
                <w:szCs w:val="21"/>
              </w:rPr>
            </w:pPr>
            <w:r>
              <w:rPr>
                <w:rFonts w:hint="eastAsia" w:ascii="Times New Roman" w:hAnsi="Times New Roman" w:eastAsia="宋体"/>
                <w:kern w:val="2"/>
                <w:sz w:val="24"/>
                <w:szCs w:val="21"/>
                <w:lang w:val="en-US" w:eastAsia="zh-CN"/>
              </w:rPr>
              <w:t>检</w:t>
            </w:r>
            <w:r>
              <w:rPr>
                <w:rFonts w:hint="eastAsia" w:ascii="Times New Roman" w:hAnsi="Times New Roman" w:eastAsia="宋体"/>
                <w:kern w:val="2"/>
                <w:sz w:val="24"/>
                <w:szCs w:val="21"/>
              </w:rPr>
              <w:t>测结果表明：验收监测期间，</w:t>
            </w:r>
            <w:r>
              <w:rPr>
                <w:rFonts w:hint="eastAsia" w:ascii="Times New Roman" w:hAnsi="Times New Roman" w:eastAsia="宋体"/>
                <w:kern w:val="2"/>
                <w:sz w:val="24"/>
                <w:szCs w:val="21"/>
                <w:lang w:val="en-US" w:eastAsia="zh-CN"/>
              </w:rPr>
              <w:t>项目废气通过处理后的废气因子</w:t>
            </w:r>
            <w:r>
              <w:rPr>
                <w:rFonts w:hint="default" w:ascii="Times New Roman" w:hAnsi="Times New Roman" w:eastAsia="宋体"/>
                <w:kern w:val="2"/>
                <w:sz w:val="24"/>
                <w:szCs w:val="21"/>
                <w:lang w:val="en-US" w:eastAsia="zh-CN"/>
              </w:rPr>
              <w:t>颗粒物、非甲烷总烃、锡及其化合物</w:t>
            </w:r>
            <w:r>
              <w:rPr>
                <w:rFonts w:hint="eastAsia" w:ascii="Times New Roman" w:hAnsi="Times New Roman" w:eastAsia="宋体"/>
                <w:kern w:val="2"/>
                <w:sz w:val="24"/>
                <w:szCs w:val="21"/>
                <w:lang w:val="en-US" w:eastAsia="zh-CN"/>
              </w:rPr>
              <w:t>满足</w:t>
            </w:r>
            <w:r>
              <w:rPr>
                <w:rFonts w:hint="default" w:ascii="Times New Roman" w:hAnsi="Times New Roman" w:eastAsia="宋体"/>
                <w:kern w:val="2"/>
                <w:sz w:val="24"/>
                <w:szCs w:val="21"/>
                <w:lang w:val="en-US" w:eastAsia="zh-CN"/>
              </w:rPr>
              <w:t>《大气污染物综合排放标准》（DB 50/418-2016）表1</w:t>
            </w:r>
            <w:r>
              <w:rPr>
                <w:rFonts w:hint="eastAsia" w:ascii="Times New Roman" w:hAnsi="Times New Roman" w:eastAsia="宋体"/>
                <w:kern w:val="2"/>
                <w:sz w:val="24"/>
                <w:szCs w:val="21"/>
                <w:lang w:val="en-US" w:eastAsia="zh-CN"/>
              </w:rPr>
              <w:t>标准。</w:t>
            </w:r>
          </w:p>
          <w:p>
            <w:pPr>
              <w:keepNext w:val="0"/>
              <w:keepLines w:val="0"/>
              <w:pageBreakBefore w:val="0"/>
              <w:widowControl w:val="0"/>
              <w:kinsoku/>
              <w:wordWrap/>
              <w:overflowPunct/>
              <w:topLinePunct w:val="0"/>
              <w:autoSpaceDE/>
              <w:autoSpaceDN/>
              <w:bidi w:val="0"/>
              <w:adjustRightInd/>
              <w:snapToGrid/>
              <w:spacing w:before="157" w:beforeLines="50" w:line="240" w:lineRule="atLeast"/>
              <w:jc w:val="center"/>
              <w:textAlignment w:val="auto"/>
              <w:rPr>
                <w:b/>
                <w:color w:val="000000"/>
                <w:sz w:val="24"/>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w:t>
            </w:r>
            <w:r>
              <w:rPr>
                <w:rFonts w:hint="eastAsia" w:ascii="Times New Roman" w:hAnsi="Times New Roman" w:eastAsia="宋体"/>
                <w:b/>
                <w:bCs/>
                <w:kern w:val="2"/>
                <w:sz w:val="24"/>
                <w:szCs w:val="24"/>
                <w:lang w:val="en-US" w:eastAsia="zh-CN"/>
              </w:rPr>
              <w:t xml:space="preserve">4  </w:t>
            </w:r>
            <w:r>
              <w:rPr>
                <w:rFonts w:hint="eastAsia" w:ascii="Times New Roman" w:hAnsi="Times New Roman" w:eastAsia="宋体"/>
                <w:b/>
                <w:bCs/>
                <w:kern w:val="2"/>
                <w:sz w:val="24"/>
                <w:szCs w:val="24"/>
              </w:rPr>
              <w:t>无组织废气</w:t>
            </w:r>
            <w:r>
              <w:rPr>
                <w:rFonts w:ascii="Times New Roman" w:hAnsi="Times New Roman" w:eastAsia="宋体"/>
                <w:b/>
                <w:bCs/>
                <w:kern w:val="2"/>
                <w:sz w:val="24"/>
                <w:szCs w:val="24"/>
              </w:rPr>
              <w:t>（</w:t>
            </w:r>
            <w:r>
              <w:rPr>
                <w:rFonts w:hint="eastAsia" w:ascii="Times New Roman" w:hAnsi="Times New Roman" w:eastAsia="宋体"/>
                <w:b/>
                <w:bCs/>
                <w:kern w:val="2"/>
                <w:sz w:val="24"/>
                <w:szCs w:val="24"/>
              </w:rPr>
              <w:t>B</w:t>
            </w:r>
            <w:r>
              <w:rPr>
                <w:rFonts w:hint="eastAsia" w:ascii="Times New Roman" w:hAnsi="Times New Roman" w:eastAsia="宋体"/>
                <w:b/>
                <w:bCs/>
                <w:kern w:val="2"/>
                <w:sz w:val="24"/>
                <w:szCs w:val="24"/>
                <w:lang w:val="en-US" w:eastAsia="zh-CN"/>
              </w:rPr>
              <w:t>1、B2</w:t>
            </w:r>
            <w:r>
              <w:rPr>
                <w:rFonts w:ascii="Times New Roman" w:hAnsi="Times New Roman" w:eastAsia="宋体"/>
                <w:b/>
                <w:bCs/>
                <w:kern w:val="2"/>
                <w:sz w:val="24"/>
                <w:szCs w:val="24"/>
              </w:rPr>
              <w:t>）检测结果一览表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598"/>
              <w:gridCol w:w="1586"/>
              <w:gridCol w:w="1566"/>
              <w:gridCol w:w="82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8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118"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p>
                  <w:pPr>
                    <w:widowControl w:val="0"/>
                    <w:adjustRightInd/>
                    <w:snapToGrid/>
                    <w:spacing w:after="0"/>
                    <w:jc w:val="center"/>
                    <mc:AlternateContent>
                      <mc:Choice Requires="wpsCustomData">
                        <wpsCustomData:diagonalParaType/>
                      </mc:Choice>
                    </mc:AlternateContent>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en-US" w:eastAsia="zh-CN"/>
                    </w:rPr>
                    <w:t>样品编号</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2</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0.441</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0.457</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0.437</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869"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0.81</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0.82</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0.88</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1598"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8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6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81" w:type="pct"/>
                  <w:gridSpan w:val="5"/>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atLeast"/>
                <w:jc w:val="center"/>
              </w:trPr>
              <w:tc>
                <w:tcPr>
                  <w:tcW w:w="1118"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p>
                  <w:pPr>
                    <w:widowControl w:val="0"/>
                    <w:adjustRightInd/>
                    <w:snapToGrid/>
                    <w:spacing w:after="0"/>
                    <w:jc w:val="center"/>
                    <mc:AlternateContent>
                      <mc:Choice Requires="wpsCustomData">
                        <wpsCustomData:diagonalParaType/>
                      </mc:Choice>
                    </mc:AlternateContent>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en-US" w:eastAsia="zh-CN"/>
                    </w:rPr>
                    <w:t>样品编号</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6</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2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0.412</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0.431</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0.445</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0.77</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0.74</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0.78</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1598"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8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6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标准依据</w:t>
                  </w:r>
                </w:p>
              </w:tc>
              <w:tc>
                <w:tcPr>
                  <w:tcW w:w="388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《大气污染物综合排放标准》DB50/418-2016表1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备注</w:t>
                  </w:r>
                </w:p>
              </w:tc>
              <w:tc>
                <w:tcPr>
                  <w:tcW w:w="3881" w:type="pct"/>
                  <w:gridSpan w:val="5"/>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当</w:t>
                  </w:r>
                  <w:r>
                    <w:rPr>
                      <w:rFonts w:hint="default" w:ascii="Times New Roman" w:hAnsi="Times New Roman" w:eastAsia="宋体" w:cs="Times New Roman"/>
                      <w:kern w:val="2"/>
                      <w:sz w:val="21"/>
                      <w:szCs w:val="21"/>
                      <w:lang w:val="en-US" w:eastAsia="zh-CN"/>
                    </w:rPr>
                    <w:t>排放浓度</w:t>
                  </w:r>
                  <w:r>
                    <w:rPr>
                      <w:rFonts w:hint="eastAsia" w:ascii="Times New Roman" w:hAnsi="Times New Roman" w:eastAsia="宋体" w:cs="Times New Roman"/>
                      <w:kern w:val="2"/>
                      <w:sz w:val="21"/>
                      <w:szCs w:val="21"/>
                      <w:lang w:val="en-US" w:eastAsia="zh-CN"/>
                    </w:rPr>
                    <w:t>低于方法检出限时，以检出限加“L”表示。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8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2023年7月6日</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atLeast"/>
                <w:jc w:val="center"/>
              </w:trPr>
              <w:tc>
                <w:tcPr>
                  <w:tcW w:w="1118"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p>
                  <w:pPr>
                    <w:widowControl w:val="0"/>
                    <w:adjustRightInd/>
                    <w:snapToGrid/>
                    <w:spacing w:after="0"/>
                    <w:jc w:val="center"/>
                    <mc:AlternateContent>
                      <mc:Choice Requires="wpsCustomData">
                        <wpsCustomData:diagonalParaType/>
                      </mc:Choice>
                    </mc:AlternateContent>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en-US" w:eastAsia="zh-CN"/>
                    </w:rPr>
                    <w:t>样品编号</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2</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0.363</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0.370</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0.376</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869"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0.81</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0.82</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0.84</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1598"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8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1566" w:type="dxa"/>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49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869"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监测时间及点位</w:t>
                  </w:r>
                </w:p>
              </w:tc>
              <w:tc>
                <w:tcPr>
                  <w:tcW w:w="3881" w:type="pct"/>
                  <w:gridSpan w:val="5"/>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2023年7月7日</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atLeast"/>
                <w:jc w:val="center"/>
              </w:trPr>
              <w:tc>
                <w:tcPr>
                  <w:tcW w:w="1118"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监测项目</w:t>
                  </w:r>
                </w:p>
                <w:p>
                  <w:pPr>
                    <w:widowControl w:val="0"/>
                    <w:adjustRightInd/>
                    <w:snapToGrid/>
                    <w:spacing w:after="0"/>
                    <w:jc w:val="center"/>
                    <mc:AlternateContent>
                      <mc:Choice Requires="wpsCustomData">
                        <wpsCustomData:diagonalParaType/>
                      </mc:Choice>
                    </mc:AlternateContent>
                    <w:rPr>
                      <w:rFonts w:hint="default" w:ascii="Times New Roman" w:hAnsi="Times New Roman" w:eastAsia="宋体" w:cs="Times New Roman"/>
                      <w:kern w:val="2"/>
                      <w:sz w:val="21"/>
                      <w:szCs w:val="21"/>
                      <w:lang w:val="en-US" w:eastAsia="zh-CN"/>
                    </w:rPr>
                  </w:pP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val="en-US" w:eastAsia="zh-CN"/>
                    </w:rPr>
                    <w:t>样品编号</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2305014</w:t>
                  </w:r>
                  <w:r>
                    <w:rPr>
                      <w:rFonts w:hint="default" w:ascii="Times New Roman" w:hAnsi="Times New Roman" w:eastAsia="宋体" w:cs="Times New Roman"/>
                      <w:kern w:val="2"/>
                      <w:sz w:val="21"/>
                      <w:szCs w:val="21"/>
                      <w:lang w:val="en-US" w:eastAsia="zh-CN"/>
                    </w:rPr>
                    <w:t>-G</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6</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标准值</w:t>
                  </w:r>
                </w:p>
              </w:tc>
              <w:tc>
                <w:tcPr>
                  <w:tcW w:w="52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颗粒物</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0.376</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0.394</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0.406</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52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0.69</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0.70</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0.87</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4.0</w:t>
                  </w:r>
                </w:p>
              </w:tc>
              <w:tc>
                <w:tcPr>
                  <w:tcW w:w="52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锡及其化合物</w:t>
                  </w:r>
                </w:p>
              </w:tc>
              <w:tc>
                <w:tcPr>
                  <w:tcW w:w="96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95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94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-6</w:t>
                  </w:r>
                  <w:r>
                    <w:rPr>
                      <w:rFonts w:hint="eastAsia" w:ascii="Times New Roman" w:hAnsi="Times New Roman" w:eastAsia="宋体" w:cs="Times New Roman"/>
                      <w:kern w:val="2"/>
                      <w:sz w:val="21"/>
                      <w:szCs w:val="21"/>
                      <w:lang w:val="en-US" w:eastAsia="zh-CN"/>
                    </w:rPr>
                    <w:t>L</w:t>
                  </w:r>
                </w:p>
              </w:tc>
              <w:tc>
                <w:tcPr>
                  <w:tcW w:w="49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w:t>
                  </w:r>
                </w:p>
              </w:tc>
              <w:tc>
                <w:tcPr>
                  <w:tcW w:w="522"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111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标准依据</w:t>
                  </w:r>
                </w:p>
              </w:tc>
              <w:tc>
                <w:tcPr>
                  <w:tcW w:w="388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《大气污染物综合排放标准》DB50/418-2016表1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1118"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备注</w:t>
                  </w:r>
                </w:p>
              </w:tc>
              <w:tc>
                <w:tcPr>
                  <w:tcW w:w="3881" w:type="pct"/>
                  <w:gridSpan w:val="5"/>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当</w:t>
                  </w:r>
                  <w:r>
                    <w:rPr>
                      <w:rFonts w:hint="default" w:ascii="Times New Roman" w:hAnsi="Times New Roman" w:eastAsia="宋体" w:cs="Times New Roman"/>
                      <w:kern w:val="2"/>
                      <w:sz w:val="21"/>
                      <w:szCs w:val="21"/>
                      <w:lang w:val="en-US" w:eastAsia="zh-CN"/>
                    </w:rPr>
                    <w:t>排放浓度</w:t>
                  </w:r>
                  <w:r>
                    <w:rPr>
                      <w:rFonts w:hint="eastAsia" w:ascii="Times New Roman" w:hAnsi="Times New Roman" w:eastAsia="宋体" w:cs="Times New Roman"/>
                      <w:kern w:val="2"/>
                      <w:sz w:val="21"/>
                      <w:szCs w:val="21"/>
                      <w:lang w:val="en-US" w:eastAsia="zh-CN"/>
                    </w:rPr>
                    <w:t>低于方法检出限时，以检出限加“L”表示。</w:t>
                  </w:r>
                </w:p>
              </w:tc>
            </w:tr>
          </w:tbl>
          <w:p>
            <w:pPr>
              <w:widowControl w:val="0"/>
              <w:adjustRightInd/>
              <w:snapToGrid/>
              <w:spacing w:after="0" w:line="360" w:lineRule="auto"/>
              <w:ind w:firstLine="480" w:firstLineChars="200"/>
              <w:jc w:val="both"/>
              <w:rPr>
                <w:rFonts w:hint="eastAsia" w:ascii="Times New Roman" w:hAnsi="Times New Roman" w:eastAsia="宋体"/>
                <w:kern w:val="2"/>
                <w:sz w:val="24"/>
                <w:szCs w:val="21"/>
              </w:rPr>
            </w:pPr>
            <w:r>
              <w:rPr>
                <w:rFonts w:hint="eastAsia" w:ascii="Times New Roman" w:hAnsi="Times New Roman" w:eastAsia="宋体"/>
                <w:kern w:val="2"/>
                <w:sz w:val="24"/>
                <w:szCs w:val="21"/>
                <w:lang w:val="en-US" w:eastAsia="zh-CN"/>
              </w:rPr>
              <w:t>检测结果表明：验收监测期间，无组织废气中的</w:t>
            </w:r>
            <w:r>
              <w:rPr>
                <w:rFonts w:hint="default" w:ascii="Times New Roman" w:hAnsi="Times New Roman" w:eastAsia="宋体"/>
                <w:kern w:val="2"/>
                <w:sz w:val="24"/>
                <w:szCs w:val="21"/>
                <w:lang w:val="en-US" w:eastAsia="zh-CN"/>
              </w:rPr>
              <w:t>颗粒物、非甲烷总烃、锡及其化合物</w:t>
            </w:r>
            <w:r>
              <w:rPr>
                <w:rFonts w:hint="eastAsia" w:ascii="Times New Roman" w:hAnsi="Times New Roman" w:eastAsia="宋体"/>
                <w:kern w:val="2"/>
                <w:sz w:val="24"/>
                <w:szCs w:val="21"/>
                <w:lang w:val="en-US" w:eastAsia="zh-CN"/>
              </w:rPr>
              <w:t>满足</w:t>
            </w:r>
            <w:r>
              <w:rPr>
                <w:rFonts w:hint="default" w:ascii="Times New Roman" w:hAnsi="Times New Roman" w:eastAsia="宋体"/>
                <w:kern w:val="2"/>
                <w:sz w:val="24"/>
                <w:szCs w:val="21"/>
                <w:lang w:val="en-US" w:eastAsia="zh-CN"/>
              </w:rPr>
              <w:t>《大气污染物综合排放标准》（DB 50/418-2016）表1</w:t>
            </w:r>
            <w:r>
              <w:rPr>
                <w:rFonts w:hint="eastAsia" w:ascii="Times New Roman" w:hAnsi="Times New Roman" w:eastAsia="宋体"/>
                <w:kern w:val="2"/>
                <w:sz w:val="24"/>
                <w:szCs w:val="21"/>
                <w:lang w:val="en-US" w:eastAsia="zh-CN"/>
              </w:rPr>
              <w:t>标准。</w:t>
            </w:r>
          </w:p>
          <w:p>
            <w:pPr>
              <w:keepNext w:val="0"/>
              <w:keepLines w:val="0"/>
              <w:pageBreakBefore w:val="0"/>
              <w:widowControl w:val="0"/>
              <w:tabs>
                <w:tab w:val="left" w:pos="735"/>
              </w:tabs>
              <w:kinsoku/>
              <w:wordWrap/>
              <w:overflowPunct/>
              <w:topLinePunct w:val="0"/>
              <w:autoSpaceDE/>
              <w:autoSpaceDN/>
              <w:bidi w:val="0"/>
              <w:adjustRightInd/>
              <w:snapToGrid/>
              <w:spacing w:line="240" w:lineRule="auto"/>
              <w:ind w:right="0" w:rightChars="0"/>
              <w:jc w:val="center"/>
              <w:textAlignment w:val="auto"/>
              <w:outlineLvl w:val="9"/>
              <w:rPr>
                <w:rFonts w:ascii="Times New Roman" w:hAnsi="Times New Roman" w:eastAsia="宋体"/>
                <w:b/>
                <w:bCs/>
                <w:kern w:val="2"/>
                <w:sz w:val="24"/>
                <w:szCs w:val="24"/>
              </w:rPr>
            </w:pPr>
            <w:r>
              <w:rPr>
                <w:rFonts w:ascii="Times New Roman" w:hAnsi="Times New Roman" w:eastAsia="宋体"/>
                <w:b/>
                <w:bCs/>
                <w:kern w:val="2"/>
                <w:sz w:val="24"/>
                <w:szCs w:val="24"/>
              </w:rPr>
              <w:t>表7.</w:t>
            </w:r>
            <w:r>
              <w:rPr>
                <w:rFonts w:hint="eastAsia" w:ascii="Times New Roman" w:hAnsi="Times New Roman" w:eastAsia="宋体"/>
                <w:b/>
                <w:bCs/>
                <w:kern w:val="2"/>
                <w:sz w:val="24"/>
                <w:szCs w:val="24"/>
                <w:lang w:val="en-US" w:eastAsia="zh-CN"/>
              </w:rPr>
              <w:t>5</w:t>
            </w:r>
            <w:r>
              <w:rPr>
                <w:rFonts w:ascii="Times New Roman" w:hAnsi="Times New Roman" w:eastAsia="宋体"/>
                <w:b/>
                <w:bCs/>
                <w:kern w:val="2"/>
                <w:sz w:val="24"/>
                <w:szCs w:val="24"/>
              </w:rPr>
              <w:t>工业企业厂界环境噪声检测结果表</w:t>
            </w:r>
          </w:p>
          <w:p>
            <w:pPr>
              <w:keepNext w:val="0"/>
              <w:keepLines w:val="0"/>
              <w:pageBreakBefore w:val="0"/>
              <w:widowControl w:val="0"/>
              <w:tabs>
                <w:tab w:val="left" w:pos="735"/>
              </w:tabs>
              <w:kinsoku/>
              <w:wordWrap/>
              <w:overflowPunct/>
              <w:topLinePunct w:val="0"/>
              <w:autoSpaceDE/>
              <w:autoSpaceDN/>
              <w:bidi w:val="0"/>
              <w:adjustRightInd/>
              <w:snapToGrid/>
              <w:spacing w:line="240" w:lineRule="auto"/>
              <w:ind w:right="0" w:rightChars="0"/>
              <w:jc w:val="right"/>
              <w:textAlignment w:val="auto"/>
              <w:outlineLvl w:val="9"/>
              <w:rPr>
                <w:rFonts w:hint="default" w:ascii="Times New Roman" w:hAnsi="Times New Roman" w:eastAsia="宋体" w:cs="Times New Roman"/>
                <w:bCs/>
                <w:sz w:val="21"/>
                <w:szCs w:val="21"/>
                <w:lang w:val="en-US"/>
              </w:rPr>
            </w:pPr>
            <w:r>
              <w:rPr>
                <w:rFonts w:hint="default" w:ascii="Times New Roman" w:hAnsi="Times New Roman" w:eastAsia="宋体" w:cs="Times New Roman"/>
                <w:b w:val="0"/>
                <w:bCs/>
                <w:sz w:val="21"/>
                <w:szCs w:val="21"/>
                <w:lang w:val="en-US" w:eastAsia="zh-CN"/>
              </w:rPr>
              <w:t>单位：dB（A）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846"/>
              <w:gridCol w:w="1291"/>
              <w:gridCol w:w="1239"/>
              <w:gridCol w:w="1233"/>
              <w:gridCol w:w="121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668"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日期</w:t>
                  </w:r>
                </w:p>
              </w:tc>
              <w:tc>
                <w:tcPr>
                  <w:tcW w:w="509"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点位</w:t>
                  </w:r>
                </w:p>
              </w:tc>
              <w:tc>
                <w:tcPr>
                  <w:tcW w:w="2997" w:type="pct"/>
                  <w:gridSpan w:val="4"/>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 间</w:t>
                  </w:r>
                </w:p>
              </w:tc>
              <w:tc>
                <w:tcPr>
                  <w:tcW w:w="823"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68"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09"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测量值</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本底值</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修正值</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结果</w:t>
                  </w:r>
                </w:p>
              </w:tc>
              <w:tc>
                <w:tcPr>
                  <w:tcW w:w="823"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2023.7.6</w:t>
                  </w: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N1</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59.1</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54.1</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w:t>
                  </w:r>
                </w:p>
              </w:tc>
              <w:tc>
                <w:tcPr>
                  <w:tcW w:w="823"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2</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59.5</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53.9</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59</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3</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57.0</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52.0</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4</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62.7</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52.9</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62</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2023.7.7</w:t>
                  </w: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N1</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62.3</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54.2</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61</w:t>
                  </w:r>
                </w:p>
              </w:tc>
              <w:tc>
                <w:tcPr>
                  <w:tcW w:w="823"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2</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57.4</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51.7</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3</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61.0</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54.2</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0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4</w:t>
                  </w:r>
                </w:p>
              </w:tc>
              <w:tc>
                <w:tcPr>
                  <w:tcW w:w="77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59.4</w:t>
                  </w:r>
                </w:p>
              </w:tc>
              <w:tc>
                <w:tcPr>
                  <w:tcW w:w="74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52.2</w:t>
                  </w:r>
                </w:p>
              </w:tc>
              <w:tc>
                <w:tcPr>
                  <w:tcW w:w="7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w:t>
                  </w:r>
                </w:p>
              </w:tc>
              <w:tc>
                <w:tcPr>
                  <w:tcW w:w="72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58</w:t>
                  </w:r>
                </w:p>
              </w:tc>
              <w:tc>
                <w:tcPr>
                  <w:tcW w:w="823"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78"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评价标准值</w:t>
                  </w:r>
                </w:p>
              </w:tc>
              <w:tc>
                <w:tcPr>
                  <w:tcW w:w="382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昼间 ≤ 6</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78"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标准依据</w:t>
                  </w:r>
                </w:p>
              </w:tc>
              <w:tc>
                <w:tcPr>
                  <w:tcW w:w="382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《工业企业厂界环境噪声排放标准》GB 12348-2008 表1 </w:t>
                  </w:r>
                  <w:r>
                    <w:rPr>
                      <w:rFonts w:hint="eastAsia" w:ascii="Times New Roman" w:hAnsi="Times New Roman" w:eastAsia="宋体" w:cs="Times New Roman"/>
                      <w:kern w:val="2"/>
                      <w:sz w:val="21"/>
                      <w:szCs w:val="21"/>
                      <w:lang w:val="en-US" w:eastAsia="zh-CN"/>
                    </w:rPr>
                    <w:t>中3</w:t>
                  </w:r>
                  <w:r>
                    <w:rPr>
                      <w:rFonts w:hint="default" w:ascii="Times New Roman" w:hAnsi="Times New Roman" w:eastAsia="宋体" w:cs="Times New Roman"/>
                      <w:kern w:val="2"/>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8" w:type="pct"/>
                  <w:gridSpan w:val="2"/>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备注</w:t>
                  </w:r>
                </w:p>
              </w:tc>
              <w:tc>
                <w:tcPr>
                  <w:tcW w:w="3821" w:type="pct"/>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                        /</w:t>
                  </w:r>
                </w:p>
              </w:tc>
            </w:tr>
          </w:tbl>
          <w:p>
            <w:pPr>
              <w:spacing w:after="0"/>
              <w:jc w:val="center"/>
              <w:rPr>
                <w:rFonts w:ascii="Times New Roman" w:hAnsi="Times New Roman" w:eastAsia="仿宋_GB2312"/>
                <w:b/>
                <w:sz w:val="28"/>
                <w:szCs w:val="28"/>
              </w:rPr>
            </w:pPr>
          </w:p>
          <w:p>
            <w:pPr>
              <w:spacing w:line="360" w:lineRule="auto"/>
              <w:ind w:firstLine="480" w:firstLineChars="200"/>
            </w:pPr>
            <w:r>
              <w:rPr>
                <w:rFonts w:hint="eastAsia" w:ascii="Times New Roman" w:hAnsi="Times New Roman" w:eastAsia="宋体"/>
                <w:kern w:val="2"/>
                <w:sz w:val="24"/>
                <w:szCs w:val="21"/>
                <w:lang w:val="en-US" w:eastAsia="zh-CN"/>
              </w:rPr>
              <w:t>检测结果表明：验收监测期间，项目东侧、南侧、北侧、西侧厂界噪声监测值均满足《工业企业厂界环境噪声排放标准》（GB 12348-2008）表1的3类标准（昼间≤65dB）限值要求。项目夜间不生产。</w:t>
            </w:r>
          </w:p>
          <w:p>
            <w:pPr>
              <w:spacing w:before="48" w:beforeLines="20" w:line="360" w:lineRule="auto"/>
              <w:rPr>
                <w:rFonts w:ascii="Times New Roman" w:hAnsi="Times New Roman" w:eastAsia="仿宋_GB2312"/>
                <w:sz w:val="21"/>
                <w:szCs w:val="21"/>
              </w:rPr>
            </w:pPr>
          </w:p>
        </w:tc>
      </w:tr>
    </w:tbl>
    <w:p>
      <w:pPr>
        <w:spacing w:after="0" w:line="360" w:lineRule="auto"/>
        <w:rPr>
          <w:rFonts w:ascii="Times New Roman" w:hAnsi="Times New Roman" w:eastAsia="仿宋_GB2312"/>
          <w:b/>
          <w:sz w:val="21"/>
          <w:szCs w:val="21"/>
        </w:rPr>
        <w:sectPr>
          <w:pgSz w:w="11906" w:h="16838"/>
          <w:pgMar w:top="1440" w:right="1800" w:bottom="1440" w:left="1800" w:header="1020"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表八</w:t>
      </w:r>
    </w:p>
    <w:tbl>
      <w:tblPr>
        <w:tblStyle w:val="20"/>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27" w:hRule="atLeast"/>
          <w:jc w:val="center"/>
        </w:trPr>
        <w:tc>
          <w:tcPr>
            <w:tcW w:w="8960" w:type="dxa"/>
            <w:tcBorders>
              <w:top w:val="single" w:color="auto" w:sz="4" w:space="0"/>
              <w:left w:val="single" w:color="auto" w:sz="4" w:space="0"/>
              <w:bottom w:val="single" w:color="000000" w:themeColor="text1" w:sz="4" w:space="0"/>
              <w:right w:val="single" w:color="auto" w:sz="4" w:space="0"/>
            </w:tcBorders>
            <w:shd w:val="clear" w:color="auto" w:fill="FFFFFF"/>
          </w:tcPr>
          <w:p>
            <w:pPr>
              <w:spacing w:after="0" w:line="50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验收监测结论：</w:t>
            </w:r>
          </w:p>
          <w:p>
            <w:pPr>
              <w:widowControl w:val="0"/>
              <w:adjustRightInd/>
              <w:snapToGrid/>
              <w:spacing w:after="0" w:line="500" w:lineRule="exact"/>
              <w:jc w:val="both"/>
              <w:rPr>
                <w:rFonts w:hint="eastAsia" w:ascii="Times New Roman" w:hAnsi="Times New Roman" w:eastAsia="宋体"/>
                <w:b/>
                <w:color w:val="000000"/>
                <w:kern w:val="2"/>
                <w:sz w:val="24"/>
                <w:szCs w:val="24"/>
                <w:lang w:eastAsia="zh-CN"/>
              </w:rPr>
            </w:pPr>
            <w:r>
              <w:rPr>
                <w:rFonts w:hint="eastAsia" w:ascii="Times New Roman" w:hAnsi="Times New Roman" w:eastAsia="宋体"/>
                <w:b/>
                <w:color w:val="000000"/>
                <w:kern w:val="2"/>
                <w:sz w:val="24"/>
                <w:szCs w:val="24"/>
                <w:lang w:eastAsia="zh-CN"/>
              </w:rPr>
              <w:t>废水监测结论</w:t>
            </w:r>
          </w:p>
          <w:p>
            <w:pPr>
              <w:widowControl w:val="0"/>
              <w:adjustRightInd/>
              <w:snapToGrid/>
              <w:spacing w:after="0" w:line="360" w:lineRule="auto"/>
              <w:ind w:firstLine="480" w:firstLineChars="200"/>
              <w:jc w:val="both"/>
              <w:rPr>
                <w:rFonts w:hint="eastAsia" w:ascii="Times New Roman" w:hAnsi="Times New Roman" w:eastAsia="宋体"/>
                <w:color w:val="000000"/>
                <w:kern w:val="2"/>
                <w:sz w:val="24"/>
                <w:szCs w:val="24"/>
                <w:lang w:eastAsia="zh-CN"/>
              </w:rPr>
            </w:pPr>
            <w:r>
              <w:rPr>
                <w:rFonts w:ascii="宋体" w:hAnsi="宋体" w:eastAsia="宋体" w:cs="宋体"/>
                <w:sz w:val="24"/>
                <w:szCs w:val="24"/>
              </w:rPr>
              <w:t>本次验收期间，企业工作人员数量没发生变化，生活污水产生量没有变化，根据一期验收监测结果，该企业生活污水生化池处理出水能够达到相应排放标准</w:t>
            </w:r>
            <w:r>
              <w:rPr>
                <w:rFonts w:hint="eastAsia" w:ascii="Times New Roman" w:hAnsi="Times New Roman" w:eastAsia="宋体"/>
                <w:color w:val="000000"/>
                <w:kern w:val="2"/>
                <w:sz w:val="24"/>
                <w:szCs w:val="24"/>
                <w:lang w:eastAsia="zh-CN"/>
              </w:rPr>
              <w:t>。</w:t>
            </w:r>
          </w:p>
          <w:p>
            <w:pPr>
              <w:widowControl w:val="0"/>
              <w:adjustRightInd/>
              <w:snapToGrid/>
              <w:spacing w:after="0" w:line="500" w:lineRule="exact"/>
              <w:jc w:val="both"/>
              <w:rPr>
                <w:rFonts w:ascii="Times New Roman" w:hAnsi="Times New Roman" w:eastAsia="宋体"/>
                <w:color w:val="000000"/>
                <w:kern w:val="2"/>
                <w:sz w:val="24"/>
                <w:szCs w:val="24"/>
              </w:rPr>
            </w:pPr>
            <w:r>
              <w:rPr>
                <w:rFonts w:ascii="Times New Roman" w:hAnsi="Times New Roman" w:eastAsia="宋体"/>
                <w:b/>
                <w:color w:val="000000"/>
                <w:kern w:val="2"/>
                <w:sz w:val="24"/>
                <w:szCs w:val="24"/>
              </w:rPr>
              <w:t>废气监测结论</w:t>
            </w:r>
          </w:p>
          <w:p>
            <w:pPr>
              <w:widowControl w:val="0"/>
              <w:adjustRightInd/>
              <w:snapToGrid/>
              <w:spacing w:after="0" w:line="360" w:lineRule="auto"/>
              <w:ind w:firstLine="480" w:firstLineChars="200"/>
              <w:jc w:val="both"/>
              <w:rPr>
                <w:rFonts w:hint="eastAsia" w:ascii="Times New Roman" w:hAnsi="Times New Roman" w:eastAsia="宋体"/>
                <w:color w:val="000000"/>
                <w:kern w:val="2"/>
                <w:sz w:val="24"/>
                <w:szCs w:val="21"/>
              </w:rPr>
            </w:pPr>
            <w:r>
              <w:rPr>
                <w:rFonts w:ascii="Times New Roman" w:hAnsi="Times New Roman" w:eastAsia="宋体"/>
                <w:color w:val="000000"/>
                <w:kern w:val="2"/>
                <w:sz w:val="24"/>
                <w:szCs w:val="24"/>
              </w:rPr>
              <w:t>验收监测期间，</w:t>
            </w:r>
            <w:r>
              <w:rPr>
                <w:rFonts w:hint="eastAsia" w:ascii="Times New Roman" w:hAnsi="Times New Roman" w:eastAsia="宋体"/>
                <w:color w:val="000000"/>
                <w:kern w:val="2"/>
                <w:sz w:val="24"/>
                <w:szCs w:val="21"/>
                <w:lang w:val="en-US" w:eastAsia="zh-CN"/>
              </w:rPr>
              <w:t>1#、2#排气筒通过过滤器+活性炭吸附+UV光氧催化后的废气因子</w:t>
            </w:r>
            <w:r>
              <w:rPr>
                <w:rFonts w:hint="default" w:ascii="Times New Roman" w:hAnsi="Times New Roman" w:eastAsia="宋体"/>
                <w:color w:val="000000"/>
                <w:kern w:val="2"/>
                <w:sz w:val="24"/>
                <w:szCs w:val="21"/>
                <w:lang w:val="en-US" w:eastAsia="zh-CN"/>
              </w:rPr>
              <w:t>颗粒物、非甲烷总烃、锡及其化合物</w:t>
            </w:r>
            <w:r>
              <w:rPr>
                <w:rFonts w:hint="eastAsia" w:ascii="Times New Roman" w:hAnsi="Times New Roman" w:eastAsia="宋体"/>
                <w:color w:val="000000"/>
                <w:kern w:val="2"/>
                <w:sz w:val="24"/>
                <w:szCs w:val="21"/>
                <w:lang w:val="en-US" w:eastAsia="zh-CN"/>
              </w:rPr>
              <w:t>满足</w:t>
            </w:r>
            <w:r>
              <w:rPr>
                <w:rFonts w:hint="default" w:ascii="Times New Roman" w:hAnsi="Times New Roman" w:eastAsia="宋体"/>
                <w:color w:val="000000"/>
                <w:kern w:val="2"/>
                <w:sz w:val="24"/>
                <w:szCs w:val="21"/>
                <w:lang w:val="en-US" w:eastAsia="zh-CN"/>
              </w:rPr>
              <w:t>《大气污染物综合排放标准》（DB 50/418-2016）表1</w:t>
            </w:r>
            <w:r>
              <w:rPr>
                <w:rFonts w:hint="eastAsia" w:ascii="Times New Roman" w:hAnsi="Times New Roman" w:eastAsia="宋体"/>
                <w:color w:val="000000"/>
                <w:kern w:val="2"/>
                <w:sz w:val="24"/>
                <w:szCs w:val="21"/>
                <w:lang w:val="en-US" w:eastAsia="zh-CN"/>
              </w:rPr>
              <w:t>标准。</w:t>
            </w:r>
          </w:p>
          <w:p>
            <w:pPr>
              <w:widowControl w:val="0"/>
              <w:adjustRightInd/>
              <w:snapToGrid/>
              <w:spacing w:after="0" w:line="360" w:lineRule="auto"/>
              <w:ind w:firstLine="480" w:firstLineChars="200"/>
              <w:jc w:val="both"/>
              <w:rPr>
                <w:rFonts w:hint="eastAsia" w:ascii="Times New Roman" w:hAnsi="Times New Roman" w:eastAsia="宋体"/>
                <w:color w:val="000000"/>
                <w:kern w:val="2"/>
                <w:sz w:val="24"/>
                <w:szCs w:val="21"/>
              </w:rPr>
            </w:pPr>
            <w:r>
              <w:rPr>
                <w:rFonts w:hint="eastAsia" w:ascii="Times New Roman" w:hAnsi="Times New Roman" w:eastAsia="宋体"/>
                <w:color w:val="000000"/>
                <w:kern w:val="2"/>
                <w:sz w:val="24"/>
                <w:szCs w:val="21"/>
                <w:lang w:val="en-US" w:eastAsia="zh-CN"/>
              </w:rPr>
              <w:t>无组织废气中的</w:t>
            </w:r>
            <w:r>
              <w:rPr>
                <w:rFonts w:hint="default" w:ascii="Times New Roman" w:hAnsi="Times New Roman" w:eastAsia="宋体"/>
                <w:color w:val="000000"/>
                <w:kern w:val="2"/>
                <w:sz w:val="24"/>
                <w:szCs w:val="21"/>
                <w:lang w:val="en-US" w:eastAsia="zh-CN"/>
              </w:rPr>
              <w:t>颗粒物、非甲烷总烃、锡及其化合物</w:t>
            </w:r>
            <w:r>
              <w:rPr>
                <w:rFonts w:hint="eastAsia" w:ascii="Times New Roman" w:hAnsi="Times New Roman" w:eastAsia="宋体"/>
                <w:color w:val="000000"/>
                <w:kern w:val="2"/>
                <w:sz w:val="24"/>
                <w:szCs w:val="21"/>
                <w:lang w:val="en-US" w:eastAsia="zh-CN"/>
              </w:rPr>
              <w:t>满足</w:t>
            </w:r>
            <w:r>
              <w:rPr>
                <w:rFonts w:hint="default" w:ascii="Times New Roman" w:hAnsi="Times New Roman" w:eastAsia="宋体"/>
                <w:color w:val="000000"/>
                <w:kern w:val="2"/>
                <w:sz w:val="24"/>
                <w:szCs w:val="21"/>
                <w:lang w:val="en-US" w:eastAsia="zh-CN"/>
              </w:rPr>
              <w:t>《大气污染物综合排放标准》（DB 50/418-2016）表1</w:t>
            </w:r>
            <w:r>
              <w:rPr>
                <w:rFonts w:hint="eastAsia" w:ascii="Times New Roman" w:hAnsi="Times New Roman" w:eastAsia="宋体"/>
                <w:color w:val="000000"/>
                <w:kern w:val="2"/>
                <w:sz w:val="24"/>
                <w:szCs w:val="21"/>
                <w:lang w:val="en-US" w:eastAsia="zh-CN"/>
              </w:rPr>
              <w:t>标准。</w:t>
            </w:r>
          </w:p>
          <w:p>
            <w:pPr>
              <w:widowControl w:val="0"/>
              <w:adjustRightInd/>
              <w:snapToGrid/>
              <w:spacing w:after="0" w:line="500" w:lineRule="exact"/>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噪声监测结论</w:t>
            </w:r>
          </w:p>
          <w:p>
            <w:pPr>
              <w:widowControl w:val="0"/>
              <w:adjustRightInd/>
              <w:snapToGrid/>
              <w:spacing w:after="0" w:line="500" w:lineRule="exact"/>
              <w:ind w:firstLine="480" w:firstLineChars="200"/>
              <w:jc w:val="both"/>
              <w:rPr>
                <w:rFonts w:ascii="Times New Roman" w:hAnsi="Times New Roman" w:eastAsia="宋体"/>
                <w:color w:val="000000"/>
                <w:kern w:val="2"/>
                <w:sz w:val="24"/>
                <w:szCs w:val="24"/>
              </w:rPr>
            </w:pPr>
            <w:r>
              <w:rPr>
                <w:rFonts w:ascii="Times New Roman" w:hAnsi="Times New Roman" w:eastAsia="宋体"/>
                <w:color w:val="000000"/>
                <w:kern w:val="2"/>
                <w:sz w:val="24"/>
                <w:szCs w:val="24"/>
              </w:rPr>
              <w:t>验收监测期间，</w:t>
            </w:r>
            <w:r>
              <w:rPr>
                <w:rFonts w:hint="eastAsia" w:ascii="Times New Roman" w:hAnsi="Times New Roman" w:eastAsia="宋体"/>
                <w:color w:val="000000"/>
                <w:kern w:val="2"/>
                <w:sz w:val="24"/>
                <w:szCs w:val="24"/>
                <w:lang w:eastAsia="zh-CN"/>
              </w:rPr>
              <w:t>项目</w:t>
            </w:r>
            <w:r>
              <w:rPr>
                <w:rFonts w:ascii="Times New Roman" w:hAnsi="Times New Roman" w:eastAsia="宋体"/>
                <w:color w:val="000000"/>
                <w:kern w:val="2"/>
                <w:sz w:val="24"/>
                <w:szCs w:val="24"/>
              </w:rPr>
              <w:t>厂界噪声满足《工业企业厂界环境噪声排放标准》（GB12348-2008）</w:t>
            </w:r>
            <w:r>
              <w:rPr>
                <w:rFonts w:hint="eastAsia" w:ascii="Times New Roman" w:hAnsi="Times New Roman" w:eastAsia="宋体"/>
                <w:color w:val="000000"/>
                <w:kern w:val="2"/>
                <w:sz w:val="24"/>
                <w:szCs w:val="24"/>
                <w:lang w:val="en-US" w:eastAsia="zh-CN"/>
              </w:rPr>
              <w:t>3</w:t>
            </w:r>
            <w:r>
              <w:rPr>
                <w:rFonts w:ascii="Times New Roman" w:hAnsi="Times New Roman" w:eastAsia="宋体"/>
                <w:color w:val="000000"/>
                <w:kern w:val="2"/>
                <w:sz w:val="24"/>
                <w:szCs w:val="24"/>
              </w:rPr>
              <w:t>类标准。</w:t>
            </w:r>
          </w:p>
          <w:p>
            <w:pPr>
              <w:widowControl w:val="0"/>
              <w:adjustRightInd/>
              <w:snapToGrid/>
              <w:spacing w:after="0" w:line="500" w:lineRule="exact"/>
              <w:jc w:val="both"/>
              <w:rPr>
                <w:rFonts w:hint="eastAsia" w:ascii="Times New Roman" w:hAnsi="Times New Roman" w:eastAsia="宋体"/>
                <w:b/>
                <w:color w:val="000000"/>
                <w:kern w:val="2"/>
                <w:sz w:val="24"/>
                <w:szCs w:val="24"/>
                <w:lang w:val="en-US" w:eastAsia="zh-CN"/>
              </w:rPr>
            </w:pPr>
            <w:r>
              <w:rPr>
                <w:rFonts w:hint="eastAsia" w:ascii="Times New Roman" w:hAnsi="Times New Roman" w:eastAsia="宋体"/>
                <w:b/>
                <w:color w:val="000000"/>
                <w:kern w:val="2"/>
                <w:sz w:val="24"/>
                <w:szCs w:val="24"/>
                <w:lang w:val="en-US" w:eastAsia="zh-CN"/>
              </w:rPr>
              <w:t>固态废物</w:t>
            </w:r>
          </w:p>
          <w:p>
            <w:pPr>
              <w:widowControl w:val="0"/>
              <w:adjustRightInd/>
              <w:snapToGrid/>
              <w:spacing w:after="0" w:line="500" w:lineRule="exact"/>
              <w:ind w:firstLine="480" w:firstLineChars="200"/>
              <w:jc w:val="both"/>
              <w:rPr>
                <w:rFonts w:hint="eastAsia" w:ascii="Times New Roman" w:hAnsi="Times New Roman" w:eastAsia="宋体"/>
                <w:color w:val="000000"/>
                <w:kern w:val="2"/>
                <w:sz w:val="24"/>
                <w:szCs w:val="24"/>
                <w:lang w:val="en-US" w:eastAsia="zh-CN"/>
              </w:rPr>
            </w:pPr>
            <w:r>
              <w:rPr>
                <w:rFonts w:hint="eastAsia" w:ascii="Times New Roman" w:hAnsi="Times New Roman" w:eastAsia="宋体"/>
                <w:b w:val="0"/>
                <w:bCs/>
                <w:color w:val="000000"/>
                <w:sz w:val="24"/>
                <w:szCs w:val="24"/>
                <w:lang w:val="en-US" w:eastAsia="zh-CN"/>
              </w:rPr>
              <w:t>项目固体废物主要是生产固废、生活垃圾、</w:t>
            </w:r>
            <w:r>
              <w:rPr>
                <w:rFonts w:hint="eastAsia" w:ascii="Times New Roman" w:hAnsi="Times New Roman" w:eastAsia="宋体" w:cs="Times New Roman"/>
                <w:color w:val="000000"/>
                <w:sz w:val="24"/>
                <w:szCs w:val="24"/>
                <w:lang w:val="en-US" w:eastAsia="zh-CN"/>
              </w:rPr>
              <w:t>防氧化漆膜、漆渣、漆桶和稀释剂桶、不合格品、废活性炭、废灯管</w:t>
            </w:r>
            <w:r>
              <w:rPr>
                <w:rFonts w:hint="eastAsia" w:ascii="Times New Roman" w:hAnsi="Times New Roman" w:eastAsia="宋体"/>
                <w:b w:val="0"/>
                <w:bCs/>
                <w:color w:val="000000"/>
                <w:sz w:val="24"/>
                <w:szCs w:val="24"/>
                <w:lang w:val="en-US" w:eastAsia="zh-CN"/>
              </w:rPr>
              <w:t xml:space="preserve">等。 </w:t>
            </w:r>
            <w:r>
              <w:rPr>
                <w:rFonts w:hint="eastAsia" w:ascii="Times New Roman" w:hAnsi="Times New Roman" w:eastAsia="宋体" w:cs="Times New Roman"/>
                <w:color w:val="000000"/>
                <w:kern w:val="2"/>
                <w:sz w:val="24"/>
                <w:szCs w:val="24"/>
                <w:lang w:val="en-US" w:eastAsia="zh-CN"/>
              </w:rPr>
              <w:t>预加工产生的边角料，委托资源回收公司处置</w:t>
            </w:r>
            <w:r>
              <w:rPr>
                <w:rFonts w:hint="eastAsia" w:ascii="Times New Roman" w:hAnsi="Times New Roman" w:eastAsia="宋体"/>
                <w:b w:val="0"/>
                <w:bCs/>
                <w:color w:val="000000"/>
                <w:sz w:val="24"/>
                <w:szCs w:val="24"/>
                <w:lang w:val="en-US" w:eastAsia="zh-CN"/>
              </w:rPr>
              <w:t>。生活垃圾，统一交环卫部门处理。</w:t>
            </w:r>
            <w:r>
              <w:rPr>
                <w:rFonts w:hint="eastAsia" w:ascii="Times New Roman" w:hAnsi="Times New Roman" w:eastAsia="宋体" w:cs="Times New Roman"/>
                <w:color w:val="000000"/>
                <w:sz w:val="24"/>
                <w:szCs w:val="24"/>
                <w:lang w:val="en-US" w:eastAsia="zh-CN"/>
              </w:rPr>
              <w:t>防氧化漆膜、漆渣、漆桶和稀释剂桶、不合格品、废灯管、废活性炭，</w:t>
            </w:r>
            <w:r>
              <w:rPr>
                <w:rFonts w:hint="eastAsia" w:ascii="Times New Roman" w:hAnsi="Times New Roman" w:eastAsia="宋体"/>
                <w:color w:val="000000"/>
                <w:sz w:val="24"/>
                <w:szCs w:val="24"/>
                <w:lang w:eastAsia="zh-CN"/>
              </w:rPr>
              <w:t>收集后贮存于危废暂存间，</w:t>
            </w:r>
            <w:r>
              <w:rPr>
                <w:rFonts w:hint="eastAsia" w:ascii="Times New Roman" w:hAnsi="Times New Roman" w:eastAsia="宋体" w:cs="Times New Roman"/>
                <w:color w:val="000000"/>
                <w:sz w:val="24"/>
                <w:szCs w:val="24"/>
                <w:lang w:val="en-US" w:eastAsia="zh-CN"/>
              </w:rPr>
              <w:t>定期</w:t>
            </w:r>
            <w:r>
              <w:rPr>
                <w:rFonts w:hint="eastAsia" w:ascii="Times New Roman" w:hAnsi="Times New Roman" w:eastAsia="宋体"/>
                <w:color w:val="000000"/>
                <w:kern w:val="2"/>
                <w:sz w:val="24"/>
                <w:szCs w:val="24"/>
                <w:lang w:val="en-US" w:eastAsia="zh-CN"/>
              </w:rPr>
              <w:t>交由重庆巨光实业有限公司处理。</w:t>
            </w:r>
          </w:p>
          <w:p>
            <w:pPr>
              <w:widowControl w:val="0"/>
              <w:adjustRightInd/>
              <w:snapToGrid/>
              <w:spacing w:after="0" w:line="500" w:lineRule="exact"/>
              <w:jc w:val="both"/>
              <w:rPr>
                <w:rFonts w:hint="eastAsia" w:ascii="Times New Roman" w:hAnsi="Times New Roman" w:eastAsia="宋体" w:cs="Times New Roman"/>
                <w:b/>
                <w:color w:val="000000"/>
                <w:kern w:val="2"/>
                <w:sz w:val="24"/>
                <w:szCs w:val="24"/>
                <w:lang w:val="en-US" w:eastAsia="zh-CN"/>
              </w:rPr>
            </w:pPr>
            <w:r>
              <w:rPr>
                <w:rFonts w:hint="eastAsia" w:ascii="Times New Roman" w:hAnsi="Times New Roman" w:eastAsia="宋体" w:cs="Times New Roman"/>
                <w:b/>
                <w:color w:val="000000"/>
                <w:kern w:val="2"/>
                <w:sz w:val="24"/>
                <w:szCs w:val="24"/>
                <w:lang w:val="en-US" w:eastAsia="zh-CN"/>
              </w:rPr>
              <w:t>其他</w:t>
            </w:r>
          </w:p>
          <w:p>
            <w:pPr>
              <w:widowControl w:val="0"/>
              <w:adjustRightInd/>
              <w:snapToGrid/>
              <w:spacing w:after="0" w:line="500" w:lineRule="exact"/>
              <w:ind w:firstLine="480" w:firstLineChars="200"/>
              <w:jc w:val="both"/>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项目主要生产光伏逆变器，开关电源。行业划分属于变压器、整流器和电感器制造。根据固定污染源排污许可证分类管理名录（2019 年版）的相关要求，属于登记管理，不需要办理排污许可证，仅需要在全国排污许可证信息管理平台上填报排污登记表，企业于2021年</w:t>
            </w:r>
            <w:r>
              <w:rPr>
                <w:rFonts w:hint="default" w:ascii="Times New Roman" w:hAnsi="Times New Roman" w:eastAsia="宋体" w:cs="Times New Roman"/>
                <w:b w:val="0"/>
                <w:bCs/>
                <w:color w:val="000000"/>
                <w:sz w:val="24"/>
                <w:szCs w:val="24"/>
                <w:lang w:val="en-US" w:eastAsia="zh-CN"/>
              </w:rPr>
              <w:t>06</w:t>
            </w:r>
            <w:r>
              <w:rPr>
                <w:rFonts w:hint="eastAsia" w:ascii="Times New Roman" w:hAnsi="Times New Roman" w:eastAsia="宋体" w:cs="Times New Roman"/>
                <w:b w:val="0"/>
                <w:bCs/>
                <w:color w:val="000000"/>
                <w:sz w:val="24"/>
                <w:szCs w:val="24"/>
                <w:lang w:val="en-US" w:eastAsia="zh-CN"/>
              </w:rPr>
              <w:t>月</w:t>
            </w:r>
            <w:r>
              <w:rPr>
                <w:rFonts w:hint="default" w:ascii="Times New Roman" w:hAnsi="Times New Roman" w:eastAsia="宋体" w:cs="Times New Roman"/>
                <w:b w:val="0"/>
                <w:bCs/>
                <w:color w:val="000000"/>
                <w:sz w:val="24"/>
                <w:szCs w:val="24"/>
                <w:lang w:val="en-US" w:eastAsia="zh-CN"/>
              </w:rPr>
              <w:t>03</w:t>
            </w:r>
            <w:r>
              <w:rPr>
                <w:rFonts w:hint="eastAsia" w:ascii="Times New Roman" w:hAnsi="Times New Roman" w:eastAsia="宋体" w:cs="Times New Roman"/>
                <w:b w:val="0"/>
                <w:bCs/>
                <w:color w:val="000000"/>
                <w:sz w:val="24"/>
                <w:szCs w:val="24"/>
                <w:lang w:val="en-US" w:eastAsia="zh-CN"/>
              </w:rPr>
              <w:t>日完成固定污染源排污登记。登记编号：91500101MA607F5E3P001X。</w:t>
            </w:r>
          </w:p>
          <w:p>
            <w:pPr>
              <w:widowControl w:val="0"/>
              <w:adjustRightInd/>
              <w:snapToGrid/>
              <w:spacing w:after="0" w:line="500" w:lineRule="exact"/>
              <w:jc w:val="both"/>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结论：</w:t>
            </w:r>
          </w:p>
          <w:p>
            <w:pPr>
              <w:widowControl w:val="0"/>
              <w:adjustRightInd/>
              <w:snapToGrid/>
              <w:spacing w:after="0" w:line="500" w:lineRule="exact"/>
              <w:ind w:firstLine="480" w:firstLineChars="200"/>
              <w:jc w:val="both"/>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本项目在验收监测过程中，废气、噪声、固废均满足相关要求，建议本项目通过竣工验收。</w:t>
            </w:r>
          </w:p>
          <w:p>
            <w:pPr>
              <w:widowControl w:val="0"/>
              <w:adjustRightInd/>
              <w:snapToGrid/>
              <w:spacing w:after="0" w:line="500" w:lineRule="exact"/>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环境管理检查及风险防范</w:t>
            </w:r>
          </w:p>
          <w:p>
            <w:pPr>
              <w:widowControl w:val="0"/>
              <w:adjustRightInd/>
              <w:snapToGrid/>
              <w:spacing w:after="0" w:line="500" w:lineRule="exact"/>
              <w:ind w:firstLine="360" w:firstLineChars="150"/>
              <w:jc w:val="both"/>
              <w:rPr>
                <w:rFonts w:ascii="Times New Roman" w:hAnsi="Times New Roman" w:eastAsia="宋体"/>
                <w:color w:val="000000"/>
                <w:kern w:val="2"/>
                <w:sz w:val="24"/>
                <w:szCs w:val="24"/>
              </w:rPr>
            </w:pPr>
            <w:r>
              <w:rPr>
                <w:rFonts w:ascii="Times New Roman" w:hAnsi="Times New Roman" w:eastAsia="宋体"/>
                <w:color w:val="000000"/>
                <w:kern w:val="2"/>
                <w:sz w:val="24"/>
                <w:szCs w:val="24"/>
              </w:rPr>
              <w:t>（1）环境管理措施</w:t>
            </w:r>
          </w:p>
          <w:p>
            <w:pPr>
              <w:widowControl w:val="0"/>
              <w:adjustRightInd/>
              <w:snapToGrid/>
              <w:spacing w:after="0" w:line="500" w:lineRule="exact"/>
              <w:ind w:firstLine="480" w:firstLineChars="200"/>
              <w:jc w:val="both"/>
              <w:rPr>
                <w:rFonts w:hint="eastAsia" w:ascii="Times New Roman" w:hAnsi="Times New Roman" w:eastAsia="宋体"/>
                <w:color w:val="000000"/>
                <w:kern w:val="2"/>
                <w:sz w:val="24"/>
                <w:szCs w:val="24"/>
              </w:rPr>
            </w:pPr>
            <w:r>
              <w:rPr>
                <w:rFonts w:hint="eastAsia" w:ascii="Times New Roman" w:hAnsi="Times New Roman" w:eastAsia="宋体"/>
                <w:color w:val="000000"/>
                <w:kern w:val="2"/>
                <w:sz w:val="24"/>
                <w:szCs w:val="24"/>
              </w:rPr>
              <w:t>提高企业管理人员及全体员工的环保意识，加强环境管理。不断完善各项环境管理规章制度，减少原辅材料的跑、冒、滴、漏。加强生产各环节管理。</w:t>
            </w:r>
          </w:p>
          <w:p>
            <w:pPr>
              <w:widowControl w:val="0"/>
              <w:adjustRightInd/>
              <w:snapToGrid/>
              <w:spacing w:after="0" w:line="500" w:lineRule="exact"/>
              <w:ind w:firstLine="360" w:firstLineChars="150"/>
              <w:jc w:val="both"/>
              <w:rPr>
                <w:rFonts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lang w:eastAsia="zh-CN"/>
              </w:rPr>
              <w:t>（</w:t>
            </w:r>
            <w:r>
              <w:rPr>
                <w:rFonts w:hint="eastAsia" w:ascii="Times New Roman" w:hAnsi="Times New Roman" w:eastAsia="宋体" w:cs="Times New Roman"/>
                <w:color w:val="000000"/>
                <w:kern w:val="2"/>
                <w:sz w:val="24"/>
                <w:szCs w:val="24"/>
                <w:lang w:val="en-US" w:eastAsia="zh-CN"/>
              </w:rPr>
              <w:t>2</w:t>
            </w:r>
            <w:r>
              <w:rPr>
                <w:rFonts w:hint="eastAsia" w:ascii="Times New Roman" w:hAnsi="Times New Roman" w:eastAsia="宋体" w:cs="Times New Roman"/>
                <w:color w:val="000000"/>
                <w:kern w:val="2"/>
                <w:sz w:val="24"/>
                <w:szCs w:val="24"/>
                <w:lang w:eastAsia="zh-CN"/>
              </w:rPr>
              <w:t>）</w:t>
            </w:r>
            <w:r>
              <w:rPr>
                <w:rFonts w:ascii="Times New Roman" w:hAnsi="Times New Roman" w:eastAsia="宋体" w:cs="Times New Roman"/>
                <w:color w:val="000000"/>
                <w:kern w:val="2"/>
                <w:sz w:val="24"/>
                <w:szCs w:val="24"/>
              </w:rPr>
              <w:t>风险防范</w:t>
            </w:r>
          </w:p>
          <w:p>
            <w:pPr>
              <w:widowControl w:val="0"/>
              <w:adjustRightInd/>
              <w:snapToGrid/>
              <w:spacing w:after="0" w:line="500" w:lineRule="exact"/>
              <w:ind w:firstLine="480" w:firstLineChars="200"/>
              <w:jc w:val="both"/>
              <w:rPr>
                <w:rFonts w:hint="eastAsia" w:ascii="Times New Roman" w:hAnsi="Times New Roman"/>
                <w:color w:val="000000"/>
                <w:kern w:val="2"/>
                <w:sz w:val="24"/>
                <w:szCs w:val="24"/>
                <w:lang w:eastAsia="zh-CN"/>
              </w:rPr>
            </w:pPr>
            <w:r>
              <w:rPr>
                <w:rFonts w:hint="eastAsia" w:ascii="Times New Roman" w:hAnsi="Times New Roman" w:eastAsia="宋体" w:cs="Arial"/>
                <w:bCs/>
                <w:color w:val="000000"/>
                <w:kern w:val="2"/>
                <w:sz w:val="24"/>
                <w:szCs w:val="24"/>
                <w:lang w:val="en-US" w:eastAsia="zh-CN" w:bidi="ar-SA"/>
              </w:rPr>
              <w:t>制定应急预案，配备灭火器、 急救箱等消防物资。</w:t>
            </w:r>
            <w:r>
              <w:rPr>
                <w:rFonts w:hint="eastAsia" w:ascii="Times New Roman" w:hAnsi="Times New Roman" w:eastAsia="宋体" w:cs="Times New Roman"/>
                <w:color w:val="000000"/>
                <w:kern w:val="2"/>
                <w:sz w:val="24"/>
                <w:szCs w:val="24"/>
                <w:lang w:val="en-US" w:eastAsia="zh-CN"/>
              </w:rPr>
              <w:t>危废间做好防渗，加强对废气治理设施的管理，定期维护，发现故障时立即停产检修。严格落实各项安全措施，加强环境风险管理，加强工人的环境风险防范能力。</w:t>
            </w:r>
          </w:p>
          <w:p>
            <w:pPr>
              <w:keepNext/>
              <w:keepLines/>
              <w:widowControl w:val="0"/>
              <w:adjustRightInd/>
              <w:snapToGrid/>
              <w:spacing w:after="0" w:line="500" w:lineRule="exact"/>
              <w:jc w:val="both"/>
              <w:outlineLvl w:val="1"/>
              <w:rPr>
                <w:rFonts w:ascii="Times New Roman" w:hAnsi="Times New Roman" w:eastAsia="宋体"/>
                <w:b/>
                <w:bCs/>
                <w:color w:val="000000"/>
                <w:kern w:val="2"/>
                <w:sz w:val="24"/>
                <w:szCs w:val="24"/>
              </w:rPr>
            </w:pPr>
            <w:bookmarkStart w:id="7" w:name="_Toc502762721"/>
            <w:bookmarkStart w:id="8" w:name="_Toc513645624"/>
            <w:bookmarkStart w:id="9" w:name="_Toc505588977"/>
            <w:r>
              <w:rPr>
                <w:rFonts w:ascii="Times New Roman" w:hAnsi="Times New Roman" w:eastAsia="宋体"/>
                <w:b/>
                <w:bCs/>
                <w:color w:val="000000"/>
                <w:kern w:val="2"/>
                <w:sz w:val="24"/>
                <w:szCs w:val="24"/>
              </w:rPr>
              <w:t>建议</w:t>
            </w:r>
            <w:bookmarkEnd w:id="7"/>
            <w:bookmarkEnd w:id="8"/>
            <w:bookmarkEnd w:id="9"/>
          </w:p>
          <w:p>
            <w:pPr>
              <w:spacing w:after="0" w:line="440" w:lineRule="exact"/>
              <w:ind w:firstLine="480" w:firstLineChars="200"/>
              <w:rPr>
                <w:rFonts w:hint="eastAsia" w:ascii="Times New Roman" w:hAnsi="宋体" w:eastAsia="宋体"/>
                <w:color w:val="000000"/>
                <w:spacing w:val="-4"/>
                <w:sz w:val="24"/>
                <w:szCs w:val="24"/>
              </w:rPr>
            </w:pPr>
            <w:r>
              <w:rPr>
                <w:rFonts w:ascii="Times New Roman" w:hAnsi="Times New Roman" w:eastAsia="宋体"/>
                <w:color w:val="000000"/>
                <w:kern w:val="2"/>
                <w:sz w:val="24"/>
                <w:szCs w:val="24"/>
              </w:rPr>
              <w:t>（1）</w:t>
            </w:r>
            <w:r>
              <w:rPr>
                <w:rFonts w:hint="eastAsia" w:ascii="Times New Roman" w:hAnsi="宋体" w:eastAsia="宋体"/>
                <w:color w:val="000000"/>
                <w:spacing w:val="-4"/>
                <w:sz w:val="24"/>
                <w:szCs w:val="24"/>
              </w:rPr>
              <w:t>加强环保设施的运行管理和维护，确保环保设施处于良好运行状态，以保证污染治理设施的处理效果。</w:t>
            </w:r>
          </w:p>
          <w:p>
            <w:pPr>
              <w:widowControl w:val="0"/>
              <w:adjustRightInd/>
              <w:snapToGrid/>
              <w:spacing w:after="0" w:line="500" w:lineRule="exact"/>
              <w:ind w:firstLine="480" w:firstLineChars="200"/>
              <w:jc w:val="both"/>
              <w:rPr>
                <w:rFonts w:ascii="Times New Roman" w:hAnsi="Times New Roman" w:eastAsia="宋体"/>
                <w:color w:val="000000"/>
                <w:kern w:val="2"/>
                <w:sz w:val="24"/>
                <w:szCs w:val="24"/>
              </w:rPr>
            </w:pPr>
            <w:r>
              <w:rPr>
                <w:rFonts w:ascii="Times New Roman" w:hAnsi="Times New Roman" w:eastAsia="宋体"/>
                <w:color w:val="000000"/>
                <w:kern w:val="2"/>
                <w:sz w:val="24"/>
                <w:szCs w:val="24"/>
              </w:rPr>
              <w:t>（2）建设单位应领导带头，高度重视环境保护工作，加强营运期的环境管理，设置兼职的环保管理人员，负责监督管理治理设施运行，确保切实做到各项污染物长期稳定达标排放，不得对周围环境造成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2" w:hRule="atLeast"/>
          <w:jc w:val="center"/>
        </w:trPr>
        <w:tc>
          <w:tcPr>
            <w:tcW w:w="8960" w:type="dxa"/>
            <w:tcBorders>
              <w:top w:val="single" w:color="000000" w:themeColor="text1" w:sz="4" w:space="0"/>
              <w:left w:val="single" w:color="auto" w:sz="4" w:space="0"/>
              <w:bottom w:val="single" w:color="auto" w:sz="4" w:space="0"/>
              <w:right w:val="single" w:color="auto" w:sz="4" w:space="0"/>
            </w:tcBorders>
            <w:shd w:val="clear" w:color="auto" w:fill="auto"/>
            <w:vAlign w:val="top"/>
          </w:tcPr>
          <w:p>
            <w:pPr>
              <w:spacing w:after="0" w:line="500" w:lineRule="exact"/>
              <w:rPr>
                <w:rFonts w:hint="eastAsia" w:ascii="Times New Roman" w:hAnsi="宋体" w:eastAsia="宋体"/>
                <w:b/>
                <w:color w:val="000000"/>
                <w:sz w:val="28"/>
                <w:szCs w:val="28"/>
                <w:lang w:eastAsia="zh-CN"/>
              </w:rPr>
            </w:pPr>
            <w:bookmarkStart w:id="10" w:name="_Toc515263100"/>
            <w:r>
              <w:rPr>
                <w:rFonts w:hint="eastAsia" w:ascii="Times New Roman" w:hAnsi="宋体" w:eastAsia="宋体"/>
                <w:b/>
                <w:color w:val="000000"/>
                <w:sz w:val="28"/>
                <w:szCs w:val="28"/>
                <w:lang w:eastAsia="zh-CN"/>
              </w:rPr>
              <w:t>附</w:t>
            </w:r>
            <w:r>
              <w:rPr>
                <w:rFonts w:hint="eastAsia" w:ascii="Times New Roman" w:hAnsi="宋体" w:eastAsia="宋体"/>
                <w:b/>
                <w:color w:val="000000"/>
                <w:sz w:val="28"/>
                <w:szCs w:val="28"/>
                <w:lang w:val="en-US" w:eastAsia="zh-CN"/>
              </w:rPr>
              <w:t xml:space="preserve"> </w:t>
            </w:r>
            <w:r>
              <w:rPr>
                <w:rFonts w:hint="eastAsia" w:ascii="Times New Roman" w:hAnsi="宋体" w:eastAsia="宋体"/>
                <w:b/>
                <w:color w:val="000000"/>
                <w:sz w:val="28"/>
                <w:szCs w:val="28"/>
                <w:lang w:eastAsia="zh-CN"/>
              </w:rPr>
              <w:t>图</w:t>
            </w:r>
          </w:p>
          <w:p>
            <w:pPr>
              <w:widowControl w:val="0"/>
              <w:adjustRightInd/>
              <w:snapToGrid/>
              <w:spacing w:after="0" w:line="500" w:lineRule="exact"/>
              <w:ind w:firstLine="480" w:firstLineChars="2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eastAsia="zh-CN"/>
              </w:rPr>
              <w:t>附图</w:t>
            </w:r>
            <w:r>
              <w:rPr>
                <w:rFonts w:hint="eastAsia" w:ascii="Times New Roman" w:hAnsi="Times New Roman" w:cs="Times New Roman" w:eastAsiaTheme="minorEastAsia"/>
                <w:color w:val="000000"/>
                <w:sz w:val="24"/>
                <w:szCs w:val="24"/>
                <w:lang w:val="en-US" w:eastAsia="zh-CN"/>
              </w:rPr>
              <w:t>1  地理位置图</w:t>
            </w:r>
          </w:p>
          <w:p>
            <w:pPr>
              <w:widowControl w:val="0"/>
              <w:adjustRightInd/>
              <w:snapToGrid/>
              <w:spacing w:after="0" w:line="500" w:lineRule="exact"/>
              <w:ind w:firstLine="480" w:firstLineChars="2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附图2 水文地质图</w:t>
            </w:r>
          </w:p>
          <w:p>
            <w:pPr>
              <w:widowControl w:val="0"/>
              <w:adjustRightInd/>
              <w:snapToGrid/>
              <w:spacing w:after="0" w:line="500" w:lineRule="exact"/>
              <w:ind w:firstLine="480" w:firstLineChars="2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附图3 敏感点分布图</w:t>
            </w:r>
          </w:p>
          <w:p>
            <w:pPr>
              <w:widowControl w:val="0"/>
              <w:adjustRightInd/>
              <w:snapToGrid/>
              <w:spacing w:after="0" w:line="500" w:lineRule="exact"/>
              <w:ind w:firstLine="480" w:firstLineChars="200"/>
              <w:jc w:val="both"/>
              <w:rPr>
                <w:rFonts w:hint="eastAsia"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附图4 园区分布图</w:t>
            </w:r>
          </w:p>
          <w:p>
            <w:pPr>
              <w:widowControl w:val="0"/>
              <w:adjustRightInd/>
              <w:snapToGrid/>
              <w:spacing w:after="0" w:line="500" w:lineRule="exact"/>
              <w:ind w:firstLine="480" w:firstLineChars="200"/>
              <w:jc w:val="both"/>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附图5 平面布置图</w:t>
            </w:r>
          </w:p>
          <w:p>
            <w:pPr>
              <w:rPr>
                <w:rFonts w:hint="default"/>
                <w:color w:val="000000"/>
                <w:lang w:val="en-US" w:eastAsia="zh-CN"/>
              </w:rPr>
            </w:pPr>
          </w:p>
          <w:p>
            <w:pPr>
              <w:spacing w:after="0" w:line="500" w:lineRule="exact"/>
              <w:rPr>
                <w:rFonts w:ascii="Times New Roman" w:hAnsi="Times New Roman" w:eastAsia="宋体"/>
                <w:b/>
                <w:color w:val="000000"/>
                <w:sz w:val="28"/>
                <w:szCs w:val="28"/>
              </w:rPr>
            </w:pPr>
            <w:r>
              <w:rPr>
                <w:rFonts w:ascii="Times New Roman" w:hAnsi="宋体" w:eastAsia="宋体"/>
                <w:b/>
                <w:color w:val="000000"/>
                <w:sz w:val="28"/>
                <w:szCs w:val="28"/>
              </w:rPr>
              <w:t>附</w:t>
            </w:r>
            <w:r>
              <w:rPr>
                <w:rFonts w:ascii="Times New Roman" w:hAnsi="Times New Roman" w:eastAsia="宋体"/>
                <w:b/>
                <w:color w:val="000000"/>
                <w:sz w:val="28"/>
                <w:szCs w:val="28"/>
              </w:rPr>
              <w:t xml:space="preserve"> </w:t>
            </w:r>
            <w:r>
              <w:rPr>
                <w:rFonts w:ascii="Times New Roman" w:hAnsi="宋体" w:eastAsia="宋体"/>
                <w:b/>
                <w:color w:val="000000"/>
                <w:sz w:val="28"/>
                <w:szCs w:val="28"/>
              </w:rPr>
              <w:t>件</w:t>
            </w:r>
            <w:bookmarkEnd w:id="10"/>
          </w:p>
          <w:p>
            <w:pPr>
              <w:widowControl w:val="0"/>
              <w:adjustRightInd/>
              <w:snapToGrid/>
              <w:spacing w:after="0" w:line="500" w:lineRule="exact"/>
              <w:ind w:firstLine="480" w:firstLineChars="200"/>
              <w:jc w:val="both"/>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1</w:t>
            </w:r>
            <w:r>
              <w:rPr>
                <w:rFonts w:hint="default" w:ascii="Times New Roman" w:hAnsi="Times New Roman" w:eastAsia="宋体" w:cs="Times New Roman"/>
                <w:color w:val="000000"/>
                <w:sz w:val="24"/>
                <w:szCs w:val="24"/>
              </w:rPr>
              <w:t>、《重庆市建设项目环境影响评价文件批准书》（渝（</w:t>
            </w:r>
            <w:r>
              <w:rPr>
                <w:rFonts w:hint="default" w:ascii="Times New Roman" w:hAnsi="Times New Roman" w:eastAsia="宋体" w:cs="Times New Roman"/>
                <w:color w:val="000000"/>
                <w:sz w:val="24"/>
                <w:szCs w:val="24"/>
                <w:lang w:eastAsia="zh-CN"/>
              </w:rPr>
              <w:t>万</w:t>
            </w:r>
            <w:r>
              <w:rPr>
                <w:rFonts w:hint="default" w:ascii="Times New Roman" w:hAnsi="Times New Roman" w:eastAsia="宋体" w:cs="Times New Roman"/>
                <w:color w:val="000000"/>
                <w:sz w:val="24"/>
                <w:szCs w:val="24"/>
              </w:rPr>
              <w:t>）环准〔20</w:t>
            </w:r>
            <w:r>
              <w:rPr>
                <w:rFonts w:hint="default" w:ascii="Times New Roman" w:hAnsi="Times New Roman" w:eastAsia="宋体" w:cs="Times New Roman"/>
                <w:color w:val="000000"/>
                <w:sz w:val="24"/>
                <w:szCs w:val="24"/>
                <w:lang w:val="en-US" w:eastAsia="zh-CN"/>
              </w:rPr>
              <w:t>21</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58</w:t>
            </w:r>
            <w:r>
              <w:rPr>
                <w:rFonts w:hint="default" w:ascii="Times New Roman" w:hAnsi="Times New Roman" w:eastAsia="宋体" w:cs="Times New Roman"/>
                <w:color w:val="000000"/>
                <w:sz w:val="24"/>
                <w:szCs w:val="24"/>
              </w:rPr>
              <w:t>号</w:t>
            </w:r>
            <w:r>
              <w:rPr>
                <w:rFonts w:hint="default" w:ascii="Times New Roman" w:hAnsi="Times New Roman" w:eastAsia="宋体" w:cs="Times New Roman"/>
                <w:bCs/>
                <w:color w:val="000000"/>
                <w:sz w:val="24"/>
                <w:szCs w:val="24"/>
              </w:rPr>
              <w:t>）；</w:t>
            </w:r>
          </w:p>
          <w:p>
            <w:pPr>
              <w:widowControl w:val="0"/>
              <w:adjustRightInd/>
              <w:snapToGrid/>
              <w:spacing w:after="0" w:line="500" w:lineRule="exact"/>
              <w:ind w:firstLine="480" w:firstLineChars="200"/>
              <w:jc w:val="both"/>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rPr>
              <w:t>2、《危</w:t>
            </w:r>
            <w:r>
              <w:rPr>
                <w:rFonts w:hint="default" w:ascii="Times New Roman" w:hAnsi="Times New Roman" w:eastAsia="宋体" w:cs="Times New Roman"/>
                <w:bCs/>
                <w:color w:val="000000"/>
                <w:sz w:val="24"/>
                <w:szCs w:val="24"/>
                <w:lang w:eastAsia="zh-CN"/>
              </w:rPr>
              <w:t>险废物安全处置合同》；</w:t>
            </w:r>
          </w:p>
          <w:p>
            <w:pPr>
              <w:widowControl w:val="0"/>
              <w:adjustRightInd/>
              <w:snapToGrid/>
              <w:spacing w:after="0" w:line="500" w:lineRule="exact"/>
              <w:ind w:firstLine="480" w:firstLineChars="200"/>
              <w:jc w:val="both"/>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3、</w:t>
            </w:r>
            <w:r>
              <w:rPr>
                <w:rFonts w:hint="eastAsia" w:ascii="Times New Roman" w:hAnsi="Times New Roman" w:eastAsia="宋体" w:cs="Times New Roman"/>
                <w:bCs/>
                <w:color w:val="000000"/>
                <w:sz w:val="24"/>
                <w:szCs w:val="24"/>
                <w:lang w:eastAsia="zh-CN"/>
              </w:rPr>
              <w:t>重庆恒鼎环境检测有限公司</w:t>
            </w:r>
            <w:r>
              <w:rPr>
                <w:rFonts w:hint="default" w:ascii="Times New Roman" w:hAnsi="Times New Roman" w:eastAsia="宋体" w:cs="Times New Roman"/>
                <w:bCs/>
                <w:color w:val="000000"/>
                <w:sz w:val="24"/>
                <w:szCs w:val="24"/>
                <w:lang w:eastAsia="zh-CN"/>
              </w:rPr>
              <w:t>《检测报告》（报告编号：渝恒（检）字[</w:t>
            </w:r>
            <w:r>
              <w:rPr>
                <w:rFonts w:hint="eastAsia" w:ascii="Times New Roman" w:hAnsi="Times New Roman" w:eastAsia="宋体" w:cs="Times New Roman"/>
                <w:bCs/>
                <w:color w:val="000000"/>
                <w:sz w:val="24"/>
                <w:szCs w:val="24"/>
                <w:lang w:eastAsia="zh-CN"/>
              </w:rPr>
              <w:t>202</w:t>
            </w:r>
            <w:r>
              <w:rPr>
                <w:rFonts w:hint="eastAsia" w:ascii="Times New Roman" w:hAnsi="Times New Roman" w:eastAsia="宋体" w:cs="Times New Roman"/>
                <w:bCs/>
                <w:color w:val="000000"/>
                <w:sz w:val="24"/>
                <w:szCs w:val="24"/>
                <w:lang w:val="en-US" w:eastAsia="zh-CN"/>
              </w:rPr>
              <w:t>3</w:t>
            </w:r>
            <w:r>
              <w:rPr>
                <w:rFonts w:hint="default" w:ascii="Times New Roman" w:hAnsi="Times New Roman" w:eastAsia="宋体" w:cs="Times New Roman"/>
                <w:bCs/>
                <w:color w:val="000000"/>
                <w:sz w:val="24"/>
                <w:szCs w:val="24"/>
                <w:lang w:eastAsia="zh-CN"/>
              </w:rPr>
              <w:t>]第</w:t>
            </w:r>
            <w:r>
              <w:rPr>
                <w:rFonts w:hint="eastAsia" w:ascii="Times New Roman" w:hAnsi="Times New Roman" w:eastAsia="宋体" w:cs="Times New Roman"/>
                <w:bCs/>
                <w:color w:val="000000"/>
                <w:sz w:val="24"/>
                <w:szCs w:val="24"/>
                <w:lang w:val="en-US" w:eastAsia="zh-CN"/>
              </w:rPr>
              <w:t>05014-YS</w:t>
            </w:r>
            <w:r>
              <w:rPr>
                <w:rFonts w:hint="default" w:ascii="Times New Roman" w:hAnsi="Times New Roman" w:eastAsia="宋体" w:cs="Times New Roman"/>
                <w:bCs/>
                <w:color w:val="000000"/>
                <w:sz w:val="24"/>
                <w:szCs w:val="24"/>
                <w:lang w:eastAsia="zh-CN"/>
              </w:rPr>
              <w:t>号）；</w:t>
            </w:r>
          </w:p>
          <w:p>
            <w:pPr>
              <w:widowControl w:val="0"/>
              <w:adjustRightInd/>
              <w:snapToGrid/>
              <w:spacing w:after="0" w:line="50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4登记回执。</w:t>
            </w:r>
          </w:p>
          <w:p>
            <w:pPr>
              <w:widowControl w:val="0"/>
              <w:adjustRightInd/>
              <w:snapToGrid/>
              <w:spacing w:after="0" w:line="500" w:lineRule="exact"/>
              <w:ind w:firstLine="360" w:firstLineChars="150"/>
              <w:jc w:val="both"/>
              <w:rPr>
                <w:rFonts w:hint="eastAsia" w:ascii="Times New Roman" w:hAnsi="Times New Roman" w:eastAsia="宋体"/>
                <w:color w:val="000000"/>
                <w:kern w:val="2"/>
                <w:sz w:val="24"/>
                <w:szCs w:val="24"/>
              </w:rPr>
            </w:pPr>
          </w:p>
        </w:tc>
      </w:tr>
    </w:tbl>
    <w:p>
      <w:pPr>
        <w:widowControl w:val="0"/>
        <w:adjustRightInd/>
        <w:snapToGrid/>
        <w:spacing w:after="0" w:line="300" w:lineRule="exact"/>
        <w:rPr>
          <w:rFonts w:ascii="Times New Roman" w:hAnsi="Times New Roman" w:eastAsia="宋体"/>
          <w:b/>
          <w:kern w:val="2"/>
          <w:sz w:val="24"/>
          <w:szCs w:val="24"/>
        </w:rPr>
      </w:pPr>
    </w:p>
    <w:sectPr>
      <w:pgSz w:w="11906" w:h="16838"/>
      <w:pgMar w:top="1440" w:right="1800" w:bottom="1440" w:left="1800" w:header="907" w:footer="708"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auto"/>
    <w:pitch w:val="default"/>
    <w:sig w:usb0="E10002FF" w:usb1="4000FCFF" w:usb2="00000009" w:usb3="00000000" w:csb0="6000019F" w:csb1="DFD70000"/>
  </w:font>
  <w:font w:name="仿宋_GB2312">
    <w:altName w:val="仿宋"/>
    <w:panose1 w:val="00000000000000000000"/>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FontAwesom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24"/>
                              <w:rFonts w:ascii="Times New Roman" w:hAnsi="Times New Roman"/>
                              <w:sz w:val="28"/>
                              <w:szCs w:val="28"/>
                            </w:rPr>
                          </w:pPr>
                          <w:r>
                            <w:rPr>
                              <w:rStyle w:val="24"/>
                              <w:rFonts w:ascii="Times New Roman" w:hAnsi="Times New Roman"/>
                              <w:sz w:val="28"/>
                              <w:szCs w:val="28"/>
                            </w:rPr>
                            <w:t>—</w:t>
                          </w:r>
                          <w:r>
                            <w:rPr>
                              <w:rStyle w:val="24"/>
                              <w:rFonts w:ascii="Times New Roman" w:hAnsi="Times New Roman"/>
                              <w:sz w:val="20"/>
                              <w:szCs w:val="20"/>
                            </w:rPr>
                            <w:t xml:space="preserve">  </w:t>
                          </w:r>
                          <w:r>
                            <w:rPr>
                              <w:rFonts w:ascii="Times New Roman" w:hAnsi="Times New Roman"/>
                              <w:sz w:val="26"/>
                              <w:szCs w:val="26"/>
                            </w:rPr>
                            <w:fldChar w:fldCharType="begin"/>
                          </w:r>
                          <w:r>
                            <w:rPr>
                              <w:rStyle w:val="24"/>
                              <w:rFonts w:ascii="Times New Roman" w:hAnsi="Times New Roman"/>
                              <w:sz w:val="26"/>
                              <w:szCs w:val="26"/>
                            </w:rPr>
                            <w:instrText xml:space="preserve">PAGE  </w:instrText>
                          </w:r>
                          <w:r>
                            <w:rPr>
                              <w:rFonts w:ascii="Times New Roman" w:hAnsi="Times New Roman"/>
                              <w:sz w:val="26"/>
                              <w:szCs w:val="26"/>
                            </w:rPr>
                            <w:fldChar w:fldCharType="separate"/>
                          </w:r>
                          <w:r>
                            <w:rPr>
                              <w:rStyle w:val="24"/>
                              <w:rFonts w:ascii="Times New Roman" w:hAnsi="Times New Roman"/>
                              <w:sz w:val="26"/>
                              <w:szCs w:val="26"/>
                            </w:rPr>
                            <w:t>18</w:t>
                          </w:r>
                          <w:r>
                            <w:rPr>
                              <w:rFonts w:ascii="Times New Roman" w:hAnsi="Times New Roman"/>
                              <w:sz w:val="26"/>
                              <w:szCs w:val="26"/>
                            </w:rPr>
                            <w:fldChar w:fldCharType="end"/>
                          </w:r>
                          <w:r>
                            <w:rPr>
                              <w:rStyle w:val="24"/>
                              <w:rFonts w:ascii="Times New Roman" w:hAnsi="Times New Roman"/>
                              <w:sz w:val="20"/>
                              <w:szCs w:val="20"/>
                            </w:rPr>
                            <w:t xml:space="preserve">  </w:t>
                          </w:r>
                          <w:r>
                            <w:rPr>
                              <w:rStyle w:val="24"/>
                              <w:rFonts w:ascii="Times New Roman" w:hAnsi="Times New Roman"/>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24"/>
                        <w:rFonts w:ascii="Times New Roman" w:hAnsi="Times New Roman"/>
                        <w:sz w:val="28"/>
                        <w:szCs w:val="28"/>
                      </w:rPr>
                    </w:pPr>
                    <w:r>
                      <w:rPr>
                        <w:rStyle w:val="24"/>
                        <w:rFonts w:ascii="Times New Roman" w:hAnsi="Times New Roman"/>
                        <w:sz w:val="28"/>
                        <w:szCs w:val="28"/>
                      </w:rPr>
                      <w:t>—</w:t>
                    </w:r>
                    <w:r>
                      <w:rPr>
                        <w:rStyle w:val="24"/>
                        <w:rFonts w:ascii="Times New Roman" w:hAnsi="Times New Roman"/>
                        <w:sz w:val="20"/>
                        <w:szCs w:val="20"/>
                      </w:rPr>
                      <w:t xml:space="preserve">  </w:t>
                    </w:r>
                    <w:r>
                      <w:rPr>
                        <w:rFonts w:ascii="Times New Roman" w:hAnsi="Times New Roman"/>
                        <w:sz w:val="26"/>
                        <w:szCs w:val="26"/>
                      </w:rPr>
                      <w:fldChar w:fldCharType="begin"/>
                    </w:r>
                    <w:r>
                      <w:rPr>
                        <w:rStyle w:val="24"/>
                        <w:rFonts w:ascii="Times New Roman" w:hAnsi="Times New Roman"/>
                        <w:sz w:val="26"/>
                        <w:szCs w:val="26"/>
                      </w:rPr>
                      <w:instrText xml:space="preserve">PAGE  </w:instrText>
                    </w:r>
                    <w:r>
                      <w:rPr>
                        <w:rFonts w:ascii="Times New Roman" w:hAnsi="Times New Roman"/>
                        <w:sz w:val="26"/>
                        <w:szCs w:val="26"/>
                      </w:rPr>
                      <w:fldChar w:fldCharType="separate"/>
                    </w:r>
                    <w:r>
                      <w:rPr>
                        <w:rStyle w:val="24"/>
                        <w:rFonts w:ascii="Times New Roman" w:hAnsi="Times New Roman"/>
                        <w:sz w:val="26"/>
                        <w:szCs w:val="26"/>
                      </w:rPr>
                      <w:t>18</w:t>
                    </w:r>
                    <w:r>
                      <w:rPr>
                        <w:rFonts w:ascii="Times New Roman" w:hAnsi="Times New Roman"/>
                        <w:sz w:val="26"/>
                        <w:szCs w:val="26"/>
                      </w:rPr>
                      <w:fldChar w:fldCharType="end"/>
                    </w:r>
                    <w:r>
                      <w:rPr>
                        <w:rStyle w:val="24"/>
                        <w:rFonts w:ascii="Times New Roman" w:hAnsi="Times New Roman"/>
                        <w:sz w:val="20"/>
                        <w:szCs w:val="20"/>
                      </w:rPr>
                      <w:t xml:space="preserve">  </w:t>
                    </w:r>
                    <w:r>
                      <w:rPr>
                        <w:rStyle w:val="24"/>
                        <w:rFonts w:ascii="Times New Roman" w:hAnsi="Times New Roman"/>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right"/>
      <w:rPr>
        <w:rFonts w:ascii="Times New Roman" w:hAnsi="Times New Roman"/>
      </w:rPr>
    </w:pPr>
    <w:r>
      <w:rPr>
        <w:rFonts w:hint="eastAsia" w:ascii="Times New Roman" w:hAnsi="Times New Roman"/>
        <w:sz w:val="20"/>
        <w:lang w:eastAsia="zh-CN"/>
      </w:rPr>
      <w:t>光伏逆变器和开关电源制造项目</w:t>
    </w:r>
    <w:r>
      <w:rPr>
        <w:rFonts w:hint="eastAsia" w:ascii="Times New Roman" w:hAnsi="Times New Roman"/>
        <w:sz w:val="20"/>
      </w:rPr>
      <w:t>竣工环境保护验收</w:t>
    </w:r>
    <w:r>
      <w:rPr>
        <w:rFonts w:ascii="Times New Roman" w:hAnsi="Times New Roman"/>
        <w:sz w:val="20"/>
      </w:rPr>
      <w:t>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D325E5"/>
    <w:multiLevelType w:val="singleLevel"/>
    <w:tmpl w:val="D3D325E5"/>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isplayHorizontalDrawingGridEvery w:val="1"/>
  <w:displayVerticalDrawingGridEvery w:val="1"/>
  <w:doNotShadeFormData w:val="1"/>
  <w:noPunctuationKerning w:val="1"/>
  <w:characterSpacingControl w:val="doNotCompress"/>
  <w:doNotValidateAgainstSchema/>
  <w:doNotDemarcateInvalidXml/>
  <w:footnotePr>
    <w:footnote w:id="0"/>
    <w:footnote w:id="1"/>
  </w:footnotePr>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172A27"/>
    <w:rsid w:val="00001807"/>
    <w:rsid w:val="00001903"/>
    <w:rsid w:val="00012544"/>
    <w:rsid w:val="0001551A"/>
    <w:rsid w:val="00030077"/>
    <w:rsid w:val="00030508"/>
    <w:rsid w:val="000317EF"/>
    <w:rsid w:val="0004098F"/>
    <w:rsid w:val="000433E4"/>
    <w:rsid w:val="00047D41"/>
    <w:rsid w:val="0005343E"/>
    <w:rsid w:val="00055BF0"/>
    <w:rsid w:val="000560FD"/>
    <w:rsid w:val="00070C0C"/>
    <w:rsid w:val="0007492F"/>
    <w:rsid w:val="00075798"/>
    <w:rsid w:val="00080D03"/>
    <w:rsid w:val="000878AA"/>
    <w:rsid w:val="00087F74"/>
    <w:rsid w:val="0009117C"/>
    <w:rsid w:val="0009282F"/>
    <w:rsid w:val="00092A36"/>
    <w:rsid w:val="000A1772"/>
    <w:rsid w:val="000A2D56"/>
    <w:rsid w:val="000A5137"/>
    <w:rsid w:val="000C18AD"/>
    <w:rsid w:val="000C561F"/>
    <w:rsid w:val="000D1538"/>
    <w:rsid w:val="000D1AB7"/>
    <w:rsid w:val="000D2336"/>
    <w:rsid w:val="000D3308"/>
    <w:rsid w:val="000D43DF"/>
    <w:rsid w:val="000D7602"/>
    <w:rsid w:val="000F00F3"/>
    <w:rsid w:val="000F5C87"/>
    <w:rsid w:val="001071D2"/>
    <w:rsid w:val="00114E27"/>
    <w:rsid w:val="00116610"/>
    <w:rsid w:val="00135619"/>
    <w:rsid w:val="001358D7"/>
    <w:rsid w:val="0013757A"/>
    <w:rsid w:val="00143464"/>
    <w:rsid w:val="00145EB8"/>
    <w:rsid w:val="00153199"/>
    <w:rsid w:val="00153235"/>
    <w:rsid w:val="00154C46"/>
    <w:rsid w:val="00155269"/>
    <w:rsid w:val="00156F83"/>
    <w:rsid w:val="00167D3D"/>
    <w:rsid w:val="00172A27"/>
    <w:rsid w:val="00173497"/>
    <w:rsid w:val="001764D9"/>
    <w:rsid w:val="00193E49"/>
    <w:rsid w:val="0019749F"/>
    <w:rsid w:val="001A5864"/>
    <w:rsid w:val="001B1B93"/>
    <w:rsid w:val="001B2502"/>
    <w:rsid w:val="001B6831"/>
    <w:rsid w:val="001B7C82"/>
    <w:rsid w:val="001D1504"/>
    <w:rsid w:val="001D1B11"/>
    <w:rsid w:val="001D1E28"/>
    <w:rsid w:val="001D2331"/>
    <w:rsid w:val="001D40A2"/>
    <w:rsid w:val="001D6220"/>
    <w:rsid w:val="001D6EEA"/>
    <w:rsid w:val="001D76D5"/>
    <w:rsid w:val="001E0064"/>
    <w:rsid w:val="001F2E65"/>
    <w:rsid w:val="001F4FB6"/>
    <w:rsid w:val="001F665B"/>
    <w:rsid w:val="001F6964"/>
    <w:rsid w:val="001F7CDE"/>
    <w:rsid w:val="00200CC5"/>
    <w:rsid w:val="00202E6B"/>
    <w:rsid w:val="00205FD5"/>
    <w:rsid w:val="0020717B"/>
    <w:rsid w:val="002104DF"/>
    <w:rsid w:val="0022013A"/>
    <w:rsid w:val="002217ED"/>
    <w:rsid w:val="00222320"/>
    <w:rsid w:val="0022432D"/>
    <w:rsid w:val="00224B4F"/>
    <w:rsid w:val="002342AE"/>
    <w:rsid w:val="002376AF"/>
    <w:rsid w:val="0024206B"/>
    <w:rsid w:val="0024412B"/>
    <w:rsid w:val="0025277D"/>
    <w:rsid w:val="00252FC4"/>
    <w:rsid w:val="00255C1F"/>
    <w:rsid w:val="00270CD9"/>
    <w:rsid w:val="00273CDE"/>
    <w:rsid w:val="002829A5"/>
    <w:rsid w:val="002842F0"/>
    <w:rsid w:val="00287048"/>
    <w:rsid w:val="00292404"/>
    <w:rsid w:val="0029286D"/>
    <w:rsid w:val="00292AF5"/>
    <w:rsid w:val="002A60DE"/>
    <w:rsid w:val="002B1A84"/>
    <w:rsid w:val="002B1DE0"/>
    <w:rsid w:val="002B32DF"/>
    <w:rsid w:val="002B741F"/>
    <w:rsid w:val="002B7FEE"/>
    <w:rsid w:val="002C273F"/>
    <w:rsid w:val="002C285C"/>
    <w:rsid w:val="002C3AAD"/>
    <w:rsid w:val="002D1A8D"/>
    <w:rsid w:val="002D35EC"/>
    <w:rsid w:val="002D4819"/>
    <w:rsid w:val="002E0C0C"/>
    <w:rsid w:val="002E16A3"/>
    <w:rsid w:val="002E656B"/>
    <w:rsid w:val="002F19C2"/>
    <w:rsid w:val="002F26AB"/>
    <w:rsid w:val="002F6795"/>
    <w:rsid w:val="00300CC0"/>
    <w:rsid w:val="00301358"/>
    <w:rsid w:val="0030742E"/>
    <w:rsid w:val="003163BF"/>
    <w:rsid w:val="003170E0"/>
    <w:rsid w:val="00317C7C"/>
    <w:rsid w:val="00325A95"/>
    <w:rsid w:val="00330D58"/>
    <w:rsid w:val="00336B3C"/>
    <w:rsid w:val="00340B22"/>
    <w:rsid w:val="00342AB6"/>
    <w:rsid w:val="00343B49"/>
    <w:rsid w:val="00344635"/>
    <w:rsid w:val="003507A9"/>
    <w:rsid w:val="00353777"/>
    <w:rsid w:val="00354E66"/>
    <w:rsid w:val="003556AD"/>
    <w:rsid w:val="00365797"/>
    <w:rsid w:val="003668AA"/>
    <w:rsid w:val="003672B3"/>
    <w:rsid w:val="003701A5"/>
    <w:rsid w:val="00375A67"/>
    <w:rsid w:val="00382C25"/>
    <w:rsid w:val="003856BA"/>
    <w:rsid w:val="003956EE"/>
    <w:rsid w:val="003A0977"/>
    <w:rsid w:val="003A1E35"/>
    <w:rsid w:val="003A3553"/>
    <w:rsid w:val="003C29AB"/>
    <w:rsid w:val="003D01D0"/>
    <w:rsid w:val="003D1B53"/>
    <w:rsid w:val="003E0DDF"/>
    <w:rsid w:val="003E1036"/>
    <w:rsid w:val="003E18C6"/>
    <w:rsid w:val="003E1A65"/>
    <w:rsid w:val="003E655A"/>
    <w:rsid w:val="003F0846"/>
    <w:rsid w:val="003F4195"/>
    <w:rsid w:val="003F7031"/>
    <w:rsid w:val="00402A8E"/>
    <w:rsid w:val="00402C67"/>
    <w:rsid w:val="00403CB2"/>
    <w:rsid w:val="004040C6"/>
    <w:rsid w:val="0040433F"/>
    <w:rsid w:val="004059B6"/>
    <w:rsid w:val="00405FA3"/>
    <w:rsid w:val="00411466"/>
    <w:rsid w:val="00424314"/>
    <w:rsid w:val="00425234"/>
    <w:rsid w:val="00432107"/>
    <w:rsid w:val="004321F5"/>
    <w:rsid w:val="00440544"/>
    <w:rsid w:val="004418C3"/>
    <w:rsid w:val="00441AC1"/>
    <w:rsid w:val="0046451C"/>
    <w:rsid w:val="0047135B"/>
    <w:rsid w:val="00474529"/>
    <w:rsid w:val="0048174E"/>
    <w:rsid w:val="0048430D"/>
    <w:rsid w:val="004848A8"/>
    <w:rsid w:val="00486243"/>
    <w:rsid w:val="004918FB"/>
    <w:rsid w:val="0049348E"/>
    <w:rsid w:val="00496D5D"/>
    <w:rsid w:val="00497D26"/>
    <w:rsid w:val="004A1E1D"/>
    <w:rsid w:val="004A356B"/>
    <w:rsid w:val="004A3F48"/>
    <w:rsid w:val="004B185F"/>
    <w:rsid w:val="004B3B2D"/>
    <w:rsid w:val="004B5DE2"/>
    <w:rsid w:val="004B7A86"/>
    <w:rsid w:val="004C009D"/>
    <w:rsid w:val="004C1C3E"/>
    <w:rsid w:val="004D4786"/>
    <w:rsid w:val="004D4ED2"/>
    <w:rsid w:val="004E4EDA"/>
    <w:rsid w:val="004F0272"/>
    <w:rsid w:val="004F2C5A"/>
    <w:rsid w:val="004F7B90"/>
    <w:rsid w:val="00502F15"/>
    <w:rsid w:val="00513625"/>
    <w:rsid w:val="00522929"/>
    <w:rsid w:val="005248F3"/>
    <w:rsid w:val="00525281"/>
    <w:rsid w:val="00531252"/>
    <w:rsid w:val="00531AAA"/>
    <w:rsid w:val="00531C87"/>
    <w:rsid w:val="00534C71"/>
    <w:rsid w:val="00535235"/>
    <w:rsid w:val="0054007F"/>
    <w:rsid w:val="00542B24"/>
    <w:rsid w:val="005442E5"/>
    <w:rsid w:val="00546F28"/>
    <w:rsid w:val="00550C96"/>
    <w:rsid w:val="00552C2B"/>
    <w:rsid w:val="00555C3A"/>
    <w:rsid w:val="00555F18"/>
    <w:rsid w:val="005665C8"/>
    <w:rsid w:val="0057557F"/>
    <w:rsid w:val="005760CC"/>
    <w:rsid w:val="005767CF"/>
    <w:rsid w:val="00587119"/>
    <w:rsid w:val="005871EA"/>
    <w:rsid w:val="005A0C3E"/>
    <w:rsid w:val="005A0F46"/>
    <w:rsid w:val="005A409A"/>
    <w:rsid w:val="005A41E7"/>
    <w:rsid w:val="005A496C"/>
    <w:rsid w:val="005A6DBA"/>
    <w:rsid w:val="005A7FD8"/>
    <w:rsid w:val="005B22F0"/>
    <w:rsid w:val="005B6239"/>
    <w:rsid w:val="005B655A"/>
    <w:rsid w:val="005C53DA"/>
    <w:rsid w:val="005C5D40"/>
    <w:rsid w:val="005D0ECC"/>
    <w:rsid w:val="005D1FBE"/>
    <w:rsid w:val="005D2817"/>
    <w:rsid w:val="005D2BF7"/>
    <w:rsid w:val="005D6FD3"/>
    <w:rsid w:val="005D75AE"/>
    <w:rsid w:val="005E063B"/>
    <w:rsid w:val="005F0106"/>
    <w:rsid w:val="005F0260"/>
    <w:rsid w:val="005F1957"/>
    <w:rsid w:val="0060097A"/>
    <w:rsid w:val="00602831"/>
    <w:rsid w:val="00605115"/>
    <w:rsid w:val="00610CB0"/>
    <w:rsid w:val="006113D7"/>
    <w:rsid w:val="006116CB"/>
    <w:rsid w:val="00612329"/>
    <w:rsid w:val="00612E52"/>
    <w:rsid w:val="0061331C"/>
    <w:rsid w:val="00620CEF"/>
    <w:rsid w:val="0062190D"/>
    <w:rsid w:val="006262BC"/>
    <w:rsid w:val="0063337F"/>
    <w:rsid w:val="00640392"/>
    <w:rsid w:val="00646E66"/>
    <w:rsid w:val="0065162E"/>
    <w:rsid w:val="00660EA5"/>
    <w:rsid w:val="0066230C"/>
    <w:rsid w:val="00663C8E"/>
    <w:rsid w:val="00670C8C"/>
    <w:rsid w:val="00673FAF"/>
    <w:rsid w:val="0068701F"/>
    <w:rsid w:val="006A7033"/>
    <w:rsid w:val="006A762E"/>
    <w:rsid w:val="006B1129"/>
    <w:rsid w:val="006B1734"/>
    <w:rsid w:val="006B22CF"/>
    <w:rsid w:val="006C1F21"/>
    <w:rsid w:val="006C20A9"/>
    <w:rsid w:val="006C54C5"/>
    <w:rsid w:val="006C720B"/>
    <w:rsid w:val="006D1EA4"/>
    <w:rsid w:val="006D34F4"/>
    <w:rsid w:val="006D37B1"/>
    <w:rsid w:val="006D3BC4"/>
    <w:rsid w:val="006D5BFD"/>
    <w:rsid w:val="006D7E98"/>
    <w:rsid w:val="006E3405"/>
    <w:rsid w:val="006E45BE"/>
    <w:rsid w:val="006F28F3"/>
    <w:rsid w:val="006F2A0E"/>
    <w:rsid w:val="006F3974"/>
    <w:rsid w:val="006F510F"/>
    <w:rsid w:val="006F784C"/>
    <w:rsid w:val="00701BBA"/>
    <w:rsid w:val="0070343A"/>
    <w:rsid w:val="00705B1F"/>
    <w:rsid w:val="00712036"/>
    <w:rsid w:val="00722953"/>
    <w:rsid w:val="00722A8B"/>
    <w:rsid w:val="007249FF"/>
    <w:rsid w:val="00732CC6"/>
    <w:rsid w:val="00736A19"/>
    <w:rsid w:val="00737FEA"/>
    <w:rsid w:val="0074220D"/>
    <w:rsid w:val="00760554"/>
    <w:rsid w:val="00776F8B"/>
    <w:rsid w:val="00782E4B"/>
    <w:rsid w:val="0078391A"/>
    <w:rsid w:val="007876B6"/>
    <w:rsid w:val="00796756"/>
    <w:rsid w:val="007A58D5"/>
    <w:rsid w:val="007B32B3"/>
    <w:rsid w:val="007B38DB"/>
    <w:rsid w:val="007B6A88"/>
    <w:rsid w:val="007B76FA"/>
    <w:rsid w:val="007C28A8"/>
    <w:rsid w:val="007D048E"/>
    <w:rsid w:val="007D217A"/>
    <w:rsid w:val="007D4C25"/>
    <w:rsid w:val="007D613E"/>
    <w:rsid w:val="007D62A6"/>
    <w:rsid w:val="007D7263"/>
    <w:rsid w:val="007E3DD2"/>
    <w:rsid w:val="007E479A"/>
    <w:rsid w:val="007E703B"/>
    <w:rsid w:val="007E754F"/>
    <w:rsid w:val="007F059C"/>
    <w:rsid w:val="007F0C2C"/>
    <w:rsid w:val="007F6E3D"/>
    <w:rsid w:val="00802E2A"/>
    <w:rsid w:val="00812DEC"/>
    <w:rsid w:val="00813C3B"/>
    <w:rsid w:val="0082158C"/>
    <w:rsid w:val="00826A85"/>
    <w:rsid w:val="008302DD"/>
    <w:rsid w:val="008378A0"/>
    <w:rsid w:val="00837C3E"/>
    <w:rsid w:val="00840A0D"/>
    <w:rsid w:val="00841EA5"/>
    <w:rsid w:val="008438FC"/>
    <w:rsid w:val="00851B13"/>
    <w:rsid w:val="008545F2"/>
    <w:rsid w:val="00863938"/>
    <w:rsid w:val="008646FB"/>
    <w:rsid w:val="008674D7"/>
    <w:rsid w:val="00873631"/>
    <w:rsid w:val="00874852"/>
    <w:rsid w:val="00877F70"/>
    <w:rsid w:val="008818FD"/>
    <w:rsid w:val="00881CAA"/>
    <w:rsid w:val="00892756"/>
    <w:rsid w:val="008977C4"/>
    <w:rsid w:val="008A55E6"/>
    <w:rsid w:val="008A7D8C"/>
    <w:rsid w:val="008B02EC"/>
    <w:rsid w:val="008B0BDD"/>
    <w:rsid w:val="008B5179"/>
    <w:rsid w:val="008B6290"/>
    <w:rsid w:val="008C09DF"/>
    <w:rsid w:val="008C1AB7"/>
    <w:rsid w:val="008C630A"/>
    <w:rsid w:val="008D4D1E"/>
    <w:rsid w:val="008D64BC"/>
    <w:rsid w:val="008E0C8A"/>
    <w:rsid w:val="008E257A"/>
    <w:rsid w:val="008F3FC9"/>
    <w:rsid w:val="009004F0"/>
    <w:rsid w:val="00902DDD"/>
    <w:rsid w:val="00904F52"/>
    <w:rsid w:val="009118CC"/>
    <w:rsid w:val="00912292"/>
    <w:rsid w:val="00912EB5"/>
    <w:rsid w:val="009132AC"/>
    <w:rsid w:val="0091758D"/>
    <w:rsid w:val="009213B9"/>
    <w:rsid w:val="009269D6"/>
    <w:rsid w:val="00931B1E"/>
    <w:rsid w:val="009323EB"/>
    <w:rsid w:val="00932CAC"/>
    <w:rsid w:val="00934A99"/>
    <w:rsid w:val="009358DF"/>
    <w:rsid w:val="009368CB"/>
    <w:rsid w:val="00947BCF"/>
    <w:rsid w:val="009527EE"/>
    <w:rsid w:val="0095564E"/>
    <w:rsid w:val="0095673F"/>
    <w:rsid w:val="00971F5C"/>
    <w:rsid w:val="00976CCC"/>
    <w:rsid w:val="009817D1"/>
    <w:rsid w:val="00983BF1"/>
    <w:rsid w:val="00990760"/>
    <w:rsid w:val="00991DEE"/>
    <w:rsid w:val="00992D9A"/>
    <w:rsid w:val="00995306"/>
    <w:rsid w:val="009A0636"/>
    <w:rsid w:val="009A3258"/>
    <w:rsid w:val="009B04DF"/>
    <w:rsid w:val="009B2453"/>
    <w:rsid w:val="009B2C24"/>
    <w:rsid w:val="009B6755"/>
    <w:rsid w:val="009B74CD"/>
    <w:rsid w:val="009C3525"/>
    <w:rsid w:val="009C3BEE"/>
    <w:rsid w:val="009C5FE9"/>
    <w:rsid w:val="009D3C10"/>
    <w:rsid w:val="009E13C6"/>
    <w:rsid w:val="009E59B1"/>
    <w:rsid w:val="009E7277"/>
    <w:rsid w:val="009F7B0C"/>
    <w:rsid w:val="00A046D5"/>
    <w:rsid w:val="00A1212F"/>
    <w:rsid w:val="00A16535"/>
    <w:rsid w:val="00A165AB"/>
    <w:rsid w:val="00A17236"/>
    <w:rsid w:val="00A26FF0"/>
    <w:rsid w:val="00A3007D"/>
    <w:rsid w:val="00A307E2"/>
    <w:rsid w:val="00A33DF3"/>
    <w:rsid w:val="00A35A56"/>
    <w:rsid w:val="00A4262B"/>
    <w:rsid w:val="00A45323"/>
    <w:rsid w:val="00A45784"/>
    <w:rsid w:val="00A516AB"/>
    <w:rsid w:val="00A53F28"/>
    <w:rsid w:val="00A56CF7"/>
    <w:rsid w:val="00A60011"/>
    <w:rsid w:val="00A63DB8"/>
    <w:rsid w:val="00A6587A"/>
    <w:rsid w:val="00A67FE0"/>
    <w:rsid w:val="00A75BDB"/>
    <w:rsid w:val="00A84F83"/>
    <w:rsid w:val="00A87752"/>
    <w:rsid w:val="00A92CFE"/>
    <w:rsid w:val="00A95927"/>
    <w:rsid w:val="00A96987"/>
    <w:rsid w:val="00AA5559"/>
    <w:rsid w:val="00AB191E"/>
    <w:rsid w:val="00AB474F"/>
    <w:rsid w:val="00AB5CDF"/>
    <w:rsid w:val="00AB5D68"/>
    <w:rsid w:val="00AB7EA6"/>
    <w:rsid w:val="00AC41B5"/>
    <w:rsid w:val="00AC5D07"/>
    <w:rsid w:val="00AC7416"/>
    <w:rsid w:val="00AD1C8B"/>
    <w:rsid w:val="00AD6DC1"/>
    <w:rsid w:val="00AE164D"/>
    <w:rsid w:val="00AF1F3F"/>
    <w:rsid w:val="00AF4E6D"/>
    <w:rsid w:val="00B00712"/>
    <w:rsid w:val="00B009DC"/>
    <w:rsid w:val="00B05AF9"/>
    <w:rsid w:val="00B06B88"/>
    <w:rsid w:val="00B100F0"/>
    <w:rsid w:val="00B14112"/>
    <w:rsid w:val="00B17926"/>
    <w:rsid w:val="00B2008C"/>
    <w:rsid w:val="00B23DC8"/>
    <w:rsid w:val="00B269B3"/>
    <w:rsid w:val="00B33470"/>
    <w:rsid w:val="00B37786"/>
    <w:rsid w:val="00B40ACD"/>
    <w:rsid w:val="00B4413D"/>
    <w:rsid w:val="00B5033C"/>
    <w:rsid w:val="00B505E7"/>
    <w:rsid w:val="00B510D3"/>
    <w:rsid w:val="00B534D4"/>
    <w:rsid w:val="00B61708"/>
    <w:rsid w:val="00B61A46"/>
    <w:rsid w:val="00B63454"/>
    <w:rsid w:val="00B63595"/>
    <w:rsid w:val="00B63EF8"/>
    <w:rsid w:val="00B64249"/>
    <w:rsid w:val="00B648BA"/>
    <w:rsid w:val="00B65C0D"/>
    <w:rsid w:val="00B711FD"/>
    <w:rsid w:val="00B73353"/>
    <w:rsid w:val="00B75DBF"/>
    <w:rsid w:val="00B770E2"/>
    <w:rsid w:val="00B82ACC"/>
    <w:rsid w:val="00B83EBA"/>
    <w:rsid w:val="00B84EE8"/>
    <w:rsid w:val="00B9136F"/>
    <w:rsid w:val="00B93C24"/>
    <w:rsid w:val="00B9648C"/>
    <w:rsid w:val="00BA1B6C"/>
    <w:rsid w:val="00BA4511"/>
    <w:rsid w:val="00BB219E"/>
    <w:rsid w:val="00BC02CA"/>
    <w:rsid w:val="00BC0E35"/>
    <w:rsid w:val="00BD0BAA"/>
    <w:rsid w:val="00BD225D"/>
    <w:rsid w:val="00BD541D"/>
    <w:rsid w:val="00BE2093"/>
    <w:rsid w:val="00BE5482"/>
    <w:rsid w:val="00BF4E09"/>
    <w:rsid w:val="00C01B9F"/>
    <w:rsid w:val="00C06C2F"/>
    <w:rsid w:val="00C13060"/>
    <w:rsid w:val="00C1392B"/>
    <w:rsid w:val="00C1563E"/>
    <w:rsid w:val="00C16587"/>
    <w:rsid w:val="00C177FD"/>
    <w:rsid w:val="00C20154"/>
    <w:rsid w:val="00C212F1"/>
    <w:rsid w:val="00C2220A"/>
    <w:rsid w:val="00C225D1"/>
    <w:rsid w:val="00C23F2C"/>
    <w:rsid w:val="00C25348"/>
    <w:rsid w:val="00C276EA"/>
    <w:rsid w:val="00C37116"/>
    <w:rsid w:val="00C377B4"/>
    <w:rsid w:val="00C37D23"/>
    <w:rsid w:val="00C4054B"/>
    <w:rsid w:val="00C40F0F"/>
    <w:rsid w:val="00C447F0"/>
    <w:rsid w:val="00C459E6"/>
    <w:rsid w:val="00C46E36"/>
    <w:rsid w:val="00C52F8A"/>
    <w:rsid w:val="00C55D72"/>
    <w:rsid w:val="00C56863"/>
    <w:rsid w:val="00C604AE"/>
    <w:rsid w:val="00C60889"/>
    <w:rsid w:val="00C61945"/>
    <w:rsid w:val="00C61FC4"/>
    <w:rsid w:val="00C65539"/>
    <w:rsid w:val="00C67E94"/>
    <w:rsid w:val="00C7188A"/>
    <w:rsid w:val="00C816E1"/>
    <w:rsid w:val="00C837E8"/>
    <w:rsid w:val="00C8706B"/>
    <w:rsid w:val="00C90EB8"/>
    <w:rsid w:val="00C91F2D"/>
    <w:rsid w:val="00C94B69"/>
    <w:rsid w:val="00CA110F"/>
    <w:rsid w:val="00CA1387"/>
    <w:rsid w:val="00CB4054"/>
    <w:rsid w:val="00CB425C"/>
    <w:rsid w:val="00CB5C3E"/>
    <w:rsid w:val="00CC6152"/>
    <w:rsid w:val="00CD1643"/>
    <w:rsid w:val="00CD1F2F"/>
    <w:rsid w:val="00CD3462"/>
    <w:rsid w:val="00CD3EF5"/>
    <w:rsid w:val="00CD43DA"/>
    <w:rsid w:val="00CE2CD1"/>
    <w:rsid w:val="00CE4E81"/>
    <w:rsid w:val="00CE6268"/>
    <w:rsid w:val="00CE6E42"/>
    <w:rsid w:val="00CF33EF"/>
    <w:rsid w:val="00D03907"/>
    <w:rsid w:val="00D04B0B"/>
    <w:rsid w:val="00D0579F"/>
    <w:rsid w:val="00D07504"/>
    <w:rsid w:val="00D12E04"/>
    <w:rsid w:val="00D16EDB"/>
    <w:rsid w:val="00D17C14"/>
    <w:rsid w:val="00D22D13"/>
    <w:rsid w:val="00D22FF7"/>
    <w:rsid w:val="00D3100A"/>
    <w:rsid w:val="00D3215A"/>
    <w:rsid w:val="00D34542"/>
    <w:rsid w:val="00D40D63"/>
    <w:rsid w:val="00D4425F"/>
    <w:rsid w:val="00D46494"/>
    <w:rsid w:val="00D67CC0"/>
    <w:rsid w:val="00D71B12"/>
    <w:rsid w:val="00D768AA"/>
    <w:rsid w:val="00D82709"/>
    <w:rsid w:val="00D85764"/>
    <w:rsid w:val="00D91D19"/>
    <w:rsid w:val="00D94881"/>
    <w:rsid w:val="00D96605"/>
    <w:rsid w:val="00DA3435"/>
    <w:rsid w:val="00DB3CB1"/>
    <w:rsid w:val="00DB433F"/>
    <w:rsid w:val="00DC2220"/>
    <w:rsid w:val="00DC3667"/>
    <w:rsid w:val="00DC67F0"/>
    <w:rsid w:val="00DD2E8C"/>
    <w:rsid w:val="00DD4C88"/>
    <w:rsid w:val="00DF0BFF"/>
    <w:rsid w:val="00DF2002"/>
    <w:rsid w:val="00DF278F"/>
    <w:rsid w:val="00DF4522"/>
    <w:rsid w:val="00E004FF"/>
    <w:rsid w:val="00E01747"/>
    <w:rsid w:val="00E01B14"/>
    <w:rsid w:val="00E02661"/>
    <w:rsid w:val="00E02BDD"/>
    <w:rsid w:val="00E074E1"/>
    <w:rsid w:val="00E07C5D"/>
    <w:rsid w:val="00E13FD2"/>
    <w:rsid w:val="00E159D1"/>
    <w:rsid w:val="00E16829"/>
    <w:rsid w:val="00E17309"/>
    <w:rsid w:val="00E24B69"/>
    <w:rsid w:val="00E32906"/>
    <w:rsid w:val="00E32B77"/>
    <w:rsid w:val="00E337DA"/>
    <w:rsid w:val="00E35EC4"/>
    <w:rsid w:val="00E368F6"/>
    <w:rsid w:val="00E37086"/>
    <w:rsid w:val="00E415C6"/>
    <w:rsid w:val="00E44860"/>
    <w:rsid w:val="00E45662"/>
    <w:rsid w:val="00E47CCC"/>
    <w:rsid w:val="00E500BD"/>
    <w:rsid w:val="00E528CF"/>
    <w:rsid w:val="00E533A9"/>
    <w:rsid w:val="00E57EEC"/>
    <w:rsid w:val="00E60628"/>
    <w:rsid w:val="00E60EEE"/>
    <w:rsid w:val="00E626DD"/>
    <w:rsid w:val="00E62A5A"/>
    <w:rsid w:val="00E66F7F"/>
    <w:rsid w:val="00E75297"/>
    <w:rsid w:val="00E8508E"/>
    <w:rsid w:val="00E87190"/>
    <w:rsid w:val="00E87A22"/>
    <w:rsid w:val="00E92794"/>
    <w:rsid w:val="00E92951"/>
    <w:rsid w:val="00E93E97"/>
    <w:rsid w:val="00EA1E3D"/>
    <w:rsid w:val="00EB3953"/>
    <w:rsid w:val="00EB7A30"/>
    <w:rsid w:val="00EC6BCB"/>
    <w:rsid w:val="00ED33D7"/>
    <w:rsid w:val="00ED467D"/>
    <w:rsid w:val="00ED49D7"/>
    <w:rsid w:val="00ED6236"/>
    <w:rsid w:val="00EE4532"/>
    <w:rsid w:val="00EE54AE"/>
    <w:rsid w:val="00EF0510"/>
    <w:rsid w:val="00EF09C8"/>
    <w:rsid w:val="00EF22A1"/>
    <w:rsid w:val="00F019D8"/>
    <w:rsid w:val="00F02C70"/>
    <w:rsid w:val="00F03D75"/>
    <w:rsid w:val="00F105CB"/>
    <w:rsid w:val="00F11505"/>
    <w:rsid w:val="00F16546"/>
    <w:rsid w:val="00F16802"/>
    <w:rsid w:val="00F201A7"/>
    <w:rsid w:val="00F20FF3"/>
    <w:rsid w:val="00F25371"/>
    <w:rsid w:val="00F272E8"/>
    <w:rsid w:val="00F27748"/>
    <w:rsid w:val="00F4094E"/>
    <w:rsid w:val="00F40FDD"/>
    <w:rsid w:val="00F43D11"/>
    <w:rsid w:val="00F441E5"/>
    <w:rsid w:val="00F466FB"/>
    <w:rsid w:val="00F46F83"/>
    <w:rsid w:val="00F50D3B"/>
    <w:rsid w:val="00F516AE"/>
    <w:rsid w:val="00F52513"/>
    <w:rsid w:val="00F54C5F"/>
    <w:rsid w:val="00F54CC9"/>
    <w:rsid w:val="00F6170A"/>
    <w:rsid w:val="00F6342E"/>
    <w:rsid w:val="00F71A25"/>
    <w:rsid w:val="00F72172"/>
    <w:rsid w:val="00F72DEF"/>
    <w:rsid w:val="00F739B5"/>
    <w:rsid w:val="00F756A8"/>
    <w:rsid w:val="00F8123C"/>
    <w:rsid w:val="00F82595"/>
    <w:rsid w:val="00F833D2"/>
    <w:rsid w:val="00F84845"/>
    <w:rsid w:val="00F8725A"/>
    <w:rsid w:val="00F90400"/>
    <w:rsid w:val="00F95E97"/>
    <w:rsid w:val="00F96115"/>
    <w:rsid w:val="00F97EE2"/>
    <w:rsid w:val="00FA1CBD"/>
    <w:rsid w:val="00FA4B26"/>
    <w:rsid w:val="00FB02B9"/>
    <w:rsid w:val="00FC045F"/>
    <w:rsid w:val="00FC508E"/>
    <w:rsid w:val="00FD03BE"/>
    <w:rsid w:val="00FD2F1E"/>
    <w:rsid w:val="00FD3267"/>
    <w:rsid w:val="00FD32BD"/>
    <w:rsid w:val="00FE0404"/>
    <w:rsid w:val="00FE0897"/>
    <w:rsid w:val="00FE6722"/>
    <w:rsid w:val="00FE67E7"/>
    <w:rsid w:val="00FF72C6"/>
    <w:rsid w:val="00FF7BAD"/>
    <w:rsid w:val="02637B99"/>
    <w:rsid w:val="02AF62B9"/>
    <w:rsid w:val="02E8172F"/>
    <w:rsid w:val="031722B8"/>
    <w:rsid w:val="05C01151"/>
    <w:rsid w:val="06E724B1"/>
    <w:rsid w:val="072A47A2"/>
    <w:rsid w:val="07786177"/>
    <w:rsid w:val="087E0EB2"/>
    <w:rsid w:val="08E649F8"/>
    <w:rsid w:val="09B2147E"/>
    <w:rsid w:val="09B26C54"/>
    <w:rsid w:val="09F36B39"/>
    <w:rsid w:val="0A5B5CDF"/>
    <w:rsid w:val="0C4A7131"/>
    <w:rsid w:val="0D5E331B"/>
    <w:rsid w:val="0DD425EB"/>
    <w:rsid w:val="0E4C7F43"/>
    <w:rsid w:val="0E614DE0"/>
    <w:rsid w:val="11007E13"/>
    <w:rsid w:val="11B240A4"/>
    <w:rsid w:val="13D86E0A"/>
    <w:rsid w:val="142C0FA3"/>
    <w:rsid w:val="14637D4C"/>
    <w:rsid w:val="1570008D"/>
    <w:rsid w:val="178F09A6"/>
    <w:rsid w:val="19AA060B"/>
    <w:rsid w:val="1A2A6A90"/>
    <w:rsid w:val="1CB02A96"/>
    <w:rsid w:val="1D34203F"/>
    <w:rsid w:val="1DE42FEA"/>
    <w:rsid w:val="1E00788A"/>
    <w:rsid w:val="1E8D2790"/>
    <w:rsid w:val="2184208D"/>
    <w:rsid w:val="225E74E2"/>
    <w:rsid w:val="23F71C3D"/>
    <w:rsid w:val="24C35C69"/>
    <w:rsid w:val="25073F79"/>
    <w:rsid w:val="267D1349"/>
    <w:rsid w:val="296A434A"/>
    <w:rsid w:val="2ADF0B9D"/>
    <w:rsid w:val="2BA263DB"/>
    <w:rsid w:val="2BFE49ED"/>
    <w:rsid w:val="2DC977FE"/>
    <w:rsid w:val="2FC11C55"/>
    <w:rsid w:val="30363C96"/>
    <w:rsid w:val="30B57373"/>
    <w:rsid w:val="32EC787B"/>
    <w:rsid w:val="33F55966"/>
    <w:rsid w:val="35B8417F"/>
    <w:rsid w:val="36755E4B"/>
    <w:rsid w:val="36D83582"/>
    <w:rsid w:val="3800597E"/>
    <w:rsid w:val="38202660"/>
    <w:rsid w:val="387827A5"/>
    <w:rsid w:val="39B12AF7"/>
    <w:rsid w:val="39CD6898"/>
    <w:rsid w:val="3ACB53EA"/>
    <w:rsid w:val="3BD540FB"/>
    <w:rsid w:val="3BF151D5"/>
    <w:rsid w:val="3C760ED2"/>
    <w:rsid w:val="3CE41519"/>
    <w:rsid w:val="3EA97CCD"/>
    <w:rsid w:val="3EC66872"/>
    <w:rsid w:val="3EDD1829"/>
    <w:rsid w:val="400C2BA4"/>
    <w:rsid w:val="41371C12"/>
    <w:rsid w:val="415D3266"/>
    <w:rsid w:val="42A67B62"/>
    <w:rsid w:val="438753F4"/>
    <w:rsid w:val="44236AB0"/>
    <w:rsid w:val="4567370F"/>
    <w:rsid w:val="479125C2"/>
    <w:rsid w:val="47EE05AE"/>
    <w:rsid w:val="492D2A09"/>
    <w:rsid w:val="49B6709B"/>
    <w:rsid w:val="4C624D91"/>
    <w:rsid w:val="510627C3"/>
    <w:rsid w:val="542E7809"/>
    <w:rsid w:val="544B089F"/>
    <w:rsid w:val="545F138D"/>
    <w:rsid w:val="54C77C80"/>
    <w:rsid w:val="55306E57"/>
    <w:rsid w:val="55F00EE2"/>
    <w:rsid w:val="56E46271"/>
    <w:rsid w:val="58DF060E"/>
    <w:rsid w:val="591E4056"/>
    <w:rsid w:val="5A751448"/>
    <w:rsid w:val="5CA367B3"/>
    <w:rsid w:val="5CD82E96"/>
    <w:rsid w:val="5CF80131"/>
    <w:rsid w:val="5ED7782D"/>
    <w:rsid w:val="606C7EB6"/>
    <w:rsid w:val="611C26A3"/>
    <w:rsid w:val="61AD3500"/>
    <w:rsid w:val="621D341D"/>
    <w:rsid w:val="62CE12EE"/>
    <w:rsid w:val="6343708D"/>
    <w:rsid w:val="64897324"/>
    <w:rsid w:val="64911364"/>
    <w:rsid w:val="65FD0FAE"/>
    <w:rsid w:val="66172438"/>
    <w:rsid w:val="66CB7C58"/>
    <w:rsid w:val="6743435E"/>
    <w:rsid w:val="67573434"/>
    <w:rsid w:val="6AD4260F"/>
    <w:rsid w:val="6C48787B"/>
    <w:rsid w:val="6C5676A5"/>
    <w:rsid w:val="6E3201B7"/>
    <w:rsid w:val="6E9C16AB"/>
    <w:rsid w:val="70195170"/>
    <w:rsid w:val="712D7AC2"/>
    <w:rsid w:val="725A7104"/>
    <w:rsid w:val="728C34AB"/>
    <w:rsid w:val="733803DC"/>
    <w:rsid w:val="73D375F7"/>
    <w:rsid w:val="73E4675E"/>
    <w:rsid w:val="75131191"/>
    <w:rsid w:val="75667DB4"/>
    <w:rsid w:val="75D7115A"/>
    <w:rsid w:val="75D94550"/>
    <w:rsid w:val="7A1B4B2A"/>
    <w:rsid w:val="7BEE11E4"/>
    <w:rsid w:val="7CFF2990"/>
    <w:rsid w:val="7D484BA5"/>
    <w:rsid w:val="7D7242AA"/>
    <w:rsid w:val="7E577F71"/>
    <w:rsid w:val="7EBB5A8A"/>
    <w:rsid w:val="7EC1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qFormat/>
    <w:uiPriority w:val="9"/>
    <w:pPr>
      <w:keepNext/>
      <w:keepLines/>
      <w:spacing w:after="80" w:line="360" w:lineRule="auto"/>
      <w:outlineLvl w:val="0"/>
    </w:pPr>
    <w:rPr>
      <w:rFonts w:ascii="Times New Roman" w:hAnsi="Times New Roman" w:eastAsia="宋体"/>
      <w:b/>
      <w:bCs/>
      <w:kern w:val="2"/>
      <w:sz w:val="24"/>
      <w:szCs w:val="44"/>
    </w:rPr>
  </w:style>
  <w:style w:type="paragraph" w:styleId="4">
    <w:name w:val="heading 2"/>
    <w:basedOn w:val="1"/>
    <w:next w:val="1"/>
    <w:link w:val="38"/>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5">
    <w:name w:val="List 3"/>
    <w:basedOn w:val="1"/>
    <w:next w:val="1"/>
    <w:qFormat/>
    <w:uiPriority w:val="0"/>
    <w:pPr>
      <w:ind w:left="100" w:leftChars="400" w:hanging="200" w:hangingChars="200"/>
      <w:contextualSpacing/>
    </w:pPr>
    <w:rPr>
      <w:szCs w:val="24"/>
    </w:rPr>
  </w:style>
  <w:style w:type="paragraph" w:styleId="6">
    <w:name w:val="Normal Indent"/>
    <w:basedOn w:val="1"/>
    <w:next w:val="1"/>
    <w:qFormat/>
    <w:uiPriority w:val="0"/>
    <w:pPr>
      <w:ind w:firstLine="420" w:firstLineChars="200"/>
    </w:pPr>
  </w:style>
  <w:style w:type="paragraph" w:styleId="7">
    <w:name w:val="annotation text"/>
    <w:basedOn w:val="1"/>
    <w:link w:val="43"/>
    <w:qFormat/>
    <w:uiPriority w:val="99"/>
    <w:rPr>
      <w:rFonts w:eastAsia="宋体"/>
      <w:sz w:val="20"/>
      <w:szCs w:val="20"/>
    </w:rPr>
  </w:style>
  <w:style w:type="paragraph" w:styleId="8">
    <w:name w:val="Body Text"/>
    <w:basedOn w:val="1"/>
    <w:link w:val="62"/>
    <w:qFormat/>
    <w:uiPriority w:val="0"/>
    <w:pPr>
      <w:widowControl w:val="0"/>
      <w:adjustRightInd/>
      <w:snapToGrid/>
      <w:spacing w:after="0"/>
      <w:jc w:val="both"/>
    </w:pPr>
    <w:rPr>
      <w:rFonts w:ascii="Times New Roman" w:hAnsi="Times New Roman" w:eastAsia="宋体"/>
      <w:kern w:val="2"/>
      <w:sz w:val="18"/>
      <w:szCs w:val="20"/>
    </w:rPr>
  </w:style>
  <w:style w:type="paragraph" w:styleId="9">
    <w:name w:val="Body Text Indent"/>
    <w:basedOn w:val="1"/>
    <w:qFormat/>
    <w:uiPriority w:val="99"/>
    <w:pPr>
      <w:spacing w:line="400" w:lineRule="exact"/>
      <w:ind w:firstLine="520" w:firstLineChars="200"/>
    </w:pPr>
    <w:rPr>
      <w:rFonts w:ascii="宋体" w:hAnsi="宋体"/>
      <w:spacing w:val="10"/>
      <w:kern w:val="28"/>
      <w:sz w:val="24"/>
      <w:szCs w:val="24"/>
    </w:rPr>
  </w:style>
  <w:style w:type="paragraph" w:styleId="10">
    <w:name w:val="Block Text"/>
    <w:basedOn w:val="1"/>
    <w:qFormat/>
    <w:uiPriority w:val="0"/>
    <w:pPr>
      <w:spacing w:line="432" w:lineRule="auto"/>
      <w:ind w:left="13" w:leftChars="6" w:right="-3" w:firstLine="360" w:firstLineChars="150"/>
    </w:pPr>
    <w:rPr>
      <w:sz w:val="24"/>
      <w:szCs w:val="20"/>
    </w:rPr>
  </w:style>
  <w:style w:type="paragraph" w:styleId="11">
    <w:name w:val="Balloon Text"/>
    <w:basedOn w:val="1"/>
    <w:link w:val="54"/>
    <w:qFormat/>
    <w:uiPriority w:val="0"/>
    <w:pPr>
      <w:spacing w:after="0"/>
    </w:pPr>
    <w:rPr>
      <w:rFonts w:eastAsia="宋体"/>
      <w:sz w:val="18"/>
      <w:szCs w:val="18"/>
    </w:rPr>
  </w:style>
  <w:style w:type="paragraph" w:styleId="12">
    <w:name w:val="footer"/>
    <w:basedOn w:val="1"/>
    <w:link w:val="53"/>
    <w:qFormat/>
    <w:uiPriority w:val="0"/>
    <w:pPr>
      <w:tabs>
        <w:tab w:val="center" w:pos="4153"/>
        <w:tab w:val="right" w:pos="8306"/>
      </w:tabs>
    </w:pPr>
    <w:rPr>
      <w:rFonts w:eastAsia="宋体"/>
      <w:sz w:val="18"/>
      <w:szCs w:val="18"/>
    </w:rPr>
  </w:style>
  <w:style w:type="paragraph" w:styleId="13">
    <w:name w:val="header"/>
    <w:basedOn w:val="1"/>
    <w:link w:val="48"/>
    <w:qFormat/>
    <w:uiPriority w:val="0"/>
    <w:pPr>
      <w:pBdr>
        <w:bottom w:val="single" w:color="auto" w:sz="6" w:space="1"/>
      </w:pBdr>
      <w:tabs>
        <w:tab w:val="center" w:pos="4153"/>
        <w:tab w:val="right" w:pos="8306"/>
      </w:tabs>
      <w:jc w:val="center"/>
    </w:pPr>
    <w:rPr>
      <w:rFonts w:eastAsia="宋体"/>
      <w:sz w:val="18"/>
      <w:szCs w:val="18"/>
    </w:rPr>
  </w:style>
  <w:style w:type="paragraph" w:styleId="14">
    <w:name w:val="Subtitle"/>
    <w:basedOn w:val="15"/>
    <w:next w:val="1"/>
    <w:qFormat/>
    <w:uiPriority w:val="11"/>
    <w:pPr>
      <w:spacing w:line="500" w:lineRule="exact"/>
      <w:outlineLvl w:val="1"/>
    </w:pPr>
    <w:rPr>
      <w:rFonts w:cs="Times New Roman"/>
      <w:b/>
      <w:bCs/>
      <w:kern w:val="28"/>
      <w:szCs w:val="32"/>
    </w:rPr>
  </w:style>
  <w:style w:type="paragraph" w:customStyle="1" w:styleId="15">
    <w:name w:val="表格文字"/>
    <w:basedOn w:val="1"/>
    <w:next w:val="1"/>
    <w:qFormat/>
    <w:uiPriority w:val="0"/>
    <w:pPr>
      <w:spacing w:line="300" w:lineRule="exact"/>
      <w:jc w:val="center"/>
    </w:pPr>
    <w:rPr>
      <w:snapToGrid w:val="0"/>
      <w:color w:val="000000"/>
      <w:kern w:val="24"/>
      <w:szCs w:val="20"/>
    </w:rPr>
  </w:style>
  <w:style w:type="paragraph" w:styleId="16">
    <w:name w:val="Body Text 2"/>
    <w:basedOn w:val="1"/>
    <w:next w:val="1"/>
    <w:qFormat/>
    <w:uiPriority w:val="0"/>
    <w:pPr>
      <w:widowControl/>
      <w:spacing w:after="120" w:line="480" w:lineRule="auto"/>
      <w:jc w:val="left"/>
    </w:pPr>
    <w:rPr>
      <w:kern w:val="0"/>
      <w:sz w:val="24"/>
    </w:r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annotation subject"/>
    <w:basedOn w:val="7"/>
    <w:next w:val="7"/>
    <w:link w:val="55"/>
    <w:qFormat/>
    <w:uiPriority w:val="0"/>
    <w:rPr>
      <w:b/>
      <w:bCs/>
    </w:rPr>
  </w:style>
  <w:style w:type="paragraph" w:styleId="19">
    <w:name w:val="Body Text First Indent"/>
    <w:basedOn w:val="8"/>
    <w:qFormat/>
    <w:uiPriority w:val="0"/>
    <w:pPr>
      <w:autoSpaceDE w:val="0"/>
      <w:autoSpaceDN w:val="0"/>
      <w:adjustRightInd w:val="0"/>
      <w:spacing w:line="360" w:lineRule="auto"/>
      <w:ind w:firstLine="420" w:firstLineChars="100"/>
      <w:textAlignment w:val="baseline"/>
    </w:pPr>
    <w:rPr>
      <w:rFonts w:ascii="Calibri" w:hAnsi="Calibri"/>
      <w:kern w:val="0"/>
      <w:sz w:val="24"/>
      <w:szCs w:val="20"/>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bCs/>
    </w:rPr>
  </w:style>
  <w:style w:type="character" w:styleId="24">
    <w:name w:val="page number"/>
    <w:basedOn w:val="22"/>
    <w:qFormat/>
    <w:uiPriority w:val="0"/>
  </w:style>
  <w:style w:type="character" w:styleId="25">
    <w:name w:val="FollowedHyperlink"/>
    <w:basedOn w:val="22"/>
    <w:semiHidden/>
    <w:unhideWhenUsed/>
    <w:qFormat/>
    <w:uiPriority w:val="99"/>
    <w:rPr>
      <w:color w:val="337AB7"/>
      <w:u w:val="none"/>
    </w:rPr>
  </w:style>
  <w:style w:type="character" w:styleId="26">
    <w:name w:val="HTML Definition"/>
    <w:basedOn w:val="22"/>
    <w:semiHidden/>
    <w:unhideWhenUsed/>
    <w:qFormat/>
    <w:uiPriority w:val="99"/>
    <w:rPr>
      <w:i/>
      <w:iCs/>
    </w:rPr>
  </w:style>
  <w:style w:type="character" w:styleId="27">
    <w:name w:val="Hyperlink"/>
    <w:qFormat/>
    <w:uiPriority w:val="99"/>
    <w:rPr>
      <w:color w:val="0000FF"/>
      <w:u w:val="single"/>
    </w:rPr>
  </w:style>
  <w:style w:type="character" w:styleId="28">
    <w:name w:val="HTML Code"/>
    <w:basedOn w:val="22"/>
    <w:semiHidden/>
    <w:unhideWhenUsed/>
    <w:qFormat/>
    <w:uiPriority w:val="99"/>
    <w:rPr>
      <w:rFonts w:hint="default" w:ascii="Consolas" w:hAnsi="Consolas" w:eastAsia="Consolas" w:cs="Consolas"/>
      <w:color w:val="C7254E"/>
      <w:sz w:val="21"/>
      <w:szCs w:val="21"/>
      <w:shd w:val="clear" w:fill="F9F2F4"/>
    </w:rPr>
  </w:style>
  <w:style w:type="character" w:styleId="29">
    <w:name w:val="annotation reference"/>
    <w:qFormat/>
    <w:uiPriority w:val="0"/>
    <w:rPr>
      <w:sz w:val="21"/>
      <w:szCs w:val="21"/>
    </w:rPr>
  </w:style>
  <w:style w:type="character" w:styleId="30">
    <w:name w:val="HTML Keyboard"/>
    <w:basedOn w:val="22"/>
    <w:semiHidden/>
    <w:unhideWhenUsed/>
    <w:qFormat/>
    <w:uiPriority w:val="99"/>
    <w:rPr>
      <w:rFonts w:ascii="Consolas" w:hAnsi="Consolas" w:eastAsia="Consolas" w:cs="Consolas"/>
      <w:color w:val="FFFFFF"/>
      <w:sz w:val="21"/>
      <w:szCs w:val="21"/>
      <w:shd w:val="clear" w:fill="333333"/>
    </w:rPr>
  </w:style>
  <w:style w:type="character" w:styleId="31">
    <w:name w:val="HTML Sample"/>
    <w:basedOn w:val="22"/>
    <w:semiHidden/>
    <w:unhideWhenUsed/>
    <w:qFormat/>
    <w:uiPriority w:val="99"/>
    <w:rPr>
      <w:rFonts w:hint="default" w:ascii="Consolas" w:hAnsi="Consolas" w:eastAsia="Consolas" w:cs="Consolas"/>
      <w:sz w:val="21"/>
      <w:szCs w:val="21"/>
    </w:rPr>
  </w:style>
  <w:style w:type="paragraph" w:customStyle="1" w:styleId="32">
    <w:name w:val="Default"/>
    <w:next w:val="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3">
    <w:name w:val="正文（缩进）"/>
    <w:basedOn w:val="1"/>
    <w:qFormat/>
    <w:uiPriority w:val="99"/>
    <w:pPr>
      <w:spacing w:line="360" w:lineRule="auto"/>
      <w:ind w:firstLine="480" w:firstLineChars="200"/>
    </w:pPr>
    <w:rPr>
      <w:sz w:val="24"/>
    </w:rPr>
  </w:style>
  <w:style w:type="paragraph" w:customStyle="1" w:styleId="34">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5">
    <w:name w:val="批注引用1"/>
    <w:qFormat/>
    <w:uiPriority w:val="0"/>
    <w:rPr>
      <w:sz w:val="21"/>
      <w:szCs w:val="21"/>
    </w:rPr>
  </w:style>
  <w:style w:type="character" w:customStyle="1" w:styleId="36">
    <w:name w:val="文档结构图 Char"/>
    <w:link w:val="37"/>
    <w:qFormat/>
    <w:uiPriority w:val="0"/>
    <w:rPr>
      <w:rFonts w:ascii="宋体" w:hAnsi="Tahoma" w:eastAsia="宋体"/>
      <w:sz w:val="18"/>
      <w:szCs w:val="18"/>
    </w:rPr>
  </w:style>
  <w:style w:type="paragraph" w:customStyle="1" w:styleId="37">
    <w:name w:val="文档结构图1"/>
    <w:basedOn w:val="1"/>
    <w:link w:val="36"/>
    <w:qFormat/>
    <w:uiPriority w:val="0"/>
    <w:rPr>
      <w:rFonts w:ascii="宋体" w:eastAsia="宋体"/>
      <w:sz w:val="18"/>
      <w:szCs w:val="18"/>
    </w:rPr>
  </w:style>
  <w:style w:type="character" w:customStyle="1" w:styleId="38">
    <w:name w:val="标题 2 Char"/>
    <w:link w:val="4"/>
    <w:qFormat/>
    <w:uiPriority w:val="0"/>
    <w:rPr>
      <w:rFonts w:ascii="Times New Roman" w:hAnsi="Times New Roman" w:eastAsia="宋体" w:cs="Times New Roman"/>
      <w:bCs/>
      <w:kern w:val="2"/>
      <w:sz w:val="21"/>
      <w:szCs w:val="32"/>
    </w:rPr>
  </w:style>
  <w:style w:type="character" w:customStyle="1" w:styleId="39">
    <w:name w:val="正文文本缩进 2 Char"/>
    <w:link w:val="40"/>
    <w:qFormat/>
    <w:uiPriority w:val="0"/>
    <w:rPr>
      <w:rFonts w:ascii="Times New Roman" w:hAnsi="Times New Roman" w:eastAsia="仿宋_GB2312" w:cs="Times New Roman"/>
      <w:sz w:val="28"/>
      <w:szCs w:val="20"/>
    </w:rPr>
  </w:style>
  <w:style w:type="paragraph" w:customStyle="1" w:styleId="40">
    <w:name w:val="正文文本缩进 21"/>
    <w:basedOn w:val="1"/>
    <w:link w:val="39"/>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character" w:customStyle="1" w:styleId="41">
    <w:name w:val="纯文本 Char1"/>
    <w:link w:val="42"/>
    <w:qFormat/>
    <w:uiPriority w:val="0"/>
    <w:rPr>
      <w:rFonts w:ascii="宋体" w:hAnsi="Courier New" w:eastAsia="宋体" w:cs="Times New Roman"/>
      <w:kern w:val="2"/>
      <w:sz w:val="21"/>
      <w:szCs w:val="20"/>
    </w:rPr>
  </w:style>
  <w:style w:type="paragraph" w:customStyle="1" w:styleId="42">
    <w:name w:val="纯文本1"/>
    <w:basedOn w:val="1"/>
    <w:link w:val="41"/>
    <w:qFormat/>
    <w:uiPriority w:val="0"/>
    <w:pPr>
      <w:widowControl w:val="0"/>
      <w:adjustRightInd/>
      <w:snapToGrid/>
      <w:spacing w:after="0"/>
      <w:jc w:val="both"/>
    </w:pPr>
    <w:rPr>
      <w:rFonts w:ascii="宋体" w:hAnsi="Courier New" w:eastAsia="宋体"/>
      <w:kern w:val="2"/>
      <w:sz w:val="21"/>
      <w:szCs w:val="20"/>
    </w:rPr>
  </w:style>
  <w:style w:type="character" w:customStyle="1" w:styleId="43">
    <w:name w:val="批注文字 Char"/>
    <w:link w:val="7"/>
    <w:qFormat/>
    <w:uiPriority w:val="99"/>
    <w:rPr>
      <w:rFonts w:ascii="Tahoma" w:hAnsi="Tahoma"/>
    </w:rPr>
  </w:style>
  <w:style w:type="character" w:customStyle="1" w:styleId="44">
    <w:name w:val="日期 Char"/>
    <w:link w:val="45"/>
    <w:qFormat/>
    <w:uiPriority w:val="0"/>
    <w:rPr>
      <w:rFonts w:ascii="Tahoma" w:hAnsi="Tahoma"/>
    </w:rPr>
  </w:style>
  <w:style w:type="paragraph" w:customStyle="1" w:styleId="45">
    <w:name w:val="日期1"/>
    <w:basedOn w:val="1"/>
    <w:next w:val="1"/>
    <w:link w:val="44"/>
    <w:qFormat/>
    <w:uiPriority w:val="0"/>
    <w:pPr>
      <w:ind w:left="100" w:leftChars="2500"/>
    </w:pPr>
    <w:rPr>
      <w:rFonts w:eastAsia="宋体"/>
      <w:sz w:val="20"/>
      <w:szCs w:val="20"/>
    </w:rPr>
  </w:style>
  <w:style w:type="character" w:customStyle="1" w:styleId="46">
    <w:name w:val="批注主题 Char"/>
    <w:link w:val="47"/>
    <w:qFormat/>
    <w:uiPriority w:val="0"/>
    <w:rPr>
      <w:rFonts w:ascii="Tahoma" w:hAnsi="Tahoma"/>
      <w:b/>
      <w:bCs/>
    </w:rPr>
  </w:style>
  <w:style w:type="paragraph" w:customStyle="1" w:styleId="47">
    <w:name w:val="批注主题1"/>
    <w:basedOn w:val="7"/>
    <w:next w:val="7"/>
    <w:link w:val="46"/>
    <w:qFormat/>
    <w:uiPriority w:val="0"/>
    <w:rPr>
      <w:b/>
      <w:bCs/>
    </w:rPr>
  </w:style>
  <w:style w:type="character" w:customStyle="1" w:styleId="48">
    <w:name w:val="页眉 Char"/>
    <w:link w:val="13"/>
    <w:qFormat/>
    <w:uiPriority w:val="0"/>
    <w:rPr>
      <w:rFonts w:ascii="Tahoma" w:hAnsi="Tahoma"/>
      <w:sz w:val="18"/>
      <w:szCs w:val="18"/>
    </w:rPr>
  </w:style>
  <w:style w:type="character" w:customStyle="1" w:styleId="49">
    <w:name w:val="正文文本缩进 Char"/>
    <w:link w:val="50"/>
    <w:qFormat/>
    <w:uiPriority w:val="0"/>
    <w:rPr>
      <w:rFonts w:ascii="仿宋_GB2312" w:hAnsi="Times New Roman" w:eastAsia="仿宋_GB2312" w:cs="Times New Roman"/>
      <w:sz w:val="28"/>
      <w:szCs w:val="20"/>
    </w:rPr>
  </w:style>
  <w:style w:type="paragraph" w:customStyle="1" w:styleId="50">
    <w:name w:val="正文文本缩进1"/>
    <w:basedOn w:val="1"/>
    <w:link w:val="49"/>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character" w:customStyle="1" w:styleId="51">
    <w:name w:val="纯文本 Char"/>
    <w:qFormat/>
    <w:uiPriority w:val="0"/>
    <w:rPr>
      <w:rFonts w:ascii="宋体" w:hAnsi="Courier New" w:eastAsia="宋体" w:cs="Courier New"/>
      <w:sz w:val="21"/>
      <w:szCs w:val="21"/>
    </w:rPr>
  </w:style>
  <w:style w:type="character" w:customStyle="1" w:styleId="52">
    <w:name w:val="页码1"/>
    <w:basedOn w:val="22"/>
    <w:qFormat/>
    <w:uiPriority w:val="0"/>
  </w:style>
  <w:style w:type="character" w:customStyle="1" w:styleId="53">
    <w:name w:val="页脚 Char"/>
    <w:link w:val="12"/>
    <w:qFormat/>
    <w:uiPriority w:val="0"/>
    <w:rPr>
      <w:rFonts w:ascii="Tahoma" w:hAnsi="Tahoma"/>
      <w:sz w:val="18"/>
      <w:szCs w:val="18"/>
    </w:rPr>
  </w:style>
  <w:style w:type="character" w:customStyle="1" w:styleId="54">
    <w:name w:val="批注框文本 Char"/>
    <w:link w:val="11"/>
    <w:qFormat/>
    <w:uiPriority w:val="0"/>
    <w:rPr>
      <w:rFonts w:ascii="Tahoma" w:hAnsi="Tahoma"/>
      <w:sz w:val="18"/>
      <w:szCs w:val="18"/>
    </w:rPr>
  </w:style>
  <w:style w:type="character" w:customStyle="1" w:styleId="55">
    <w:name w:val="批注主题 Char1"/>
    <w:link w:val="18"/>
    <w:qFormat/>
    <w:uiPriority w:val="0"/>
    <w:rPr>
      <w:rFonts w:ascii="Tahoma" w:hAnsi="Tahoma" w:eastAsia="微软雅黑"/>
      <w:b/>
      <w:bCs/>
      <w:sz w:val="22"/>
      <w:szCs w:val="22"/>
    </w:rPr>
  </w:style>
  <w:style w:type="paragraph" w:styleId="56">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57">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58">
    <w:name w:val="列出段落1"/>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59">
    <w:name w:val="普通(网站)11"/>
    <w:basedOn w:val="1"/>
    <w:qFormat/>
    <w:uiPriority w:val="0"/>
    <w:pPr>
      <w:adjustRightInd/>
      <w:snapToGrid/>
      <w:spacing w:before="100" w:beforeAutospacing="1" w:after="100" w:afterAutospacing="1"/>
    </w:pPr>
    <w:rPr>
      <w:rFonts w:hint="eastAsia" w:ascii="宋体" w:hAnsi="宋体" w:eastAsia="宋体"/>
      <w:sz w:val="24"/>
    </w:rPr>
  </w:style>
  <w:style w:type="paragraph" w:customStyle="1" w:styleId="60">
    <w:name w:val="表头"/>
    <w:basedOn w:val="1"/>
    <w:link w:val="61"/>
    <w:qFormat/>
    <w:uiPriority w:val="0"/>
    <w:pPr>
      <w:widowControl w:val="0"/>
      <w:adjustRightInd/>
      <w:snapToGrid/>
      <w:spacing w:after="0"/>
      <w:ind w:firstLine="200" w:firstLineChars="200"/>
      <w:jc w:val="both"/>
    </w:pPr>
    <w:rPr>
      <w:rFonts w:ascii="Times New Roman" w:hAnsi="Times New Roman" w:eastAsia="宋体"/>
      <w:kern w:val="2"/>
      <w:sz w:val="24"/>
      <w:szCs w:val="20"/>
    </w:rPr>
  </w:style>
  <w:style w:type="character" w:customStyle="1" w:styleId="61">
    <w:name w:val="表头 Char"/>
    <w:link w:val="60"/>
    <w:qFormat/>
    <w:uiPriority w:val="0"/>
    <w:rPr>
      <w:rFonts w:cs="宋体"/>
      <w:kern w:val="2"/>
      <w:sz w:val="24"/>
    </w:rPr>
  </w:style>
  <w:style w:type="character" w:customStyle="1" w:styleId="62">
    <w:name w:val="正文文本 Char"/>
    <w:basedOn w:val="22"/>
    <w:link w:val="8"/>
    <w:qFormat/>
    <w:uiPriority w:val="0"/>
    <w:rPr>
      <w:kern w:val="2"/>
      <w:sz w:val="18"/>
    </w:rPr>
  </w:style>
  <w:style w:type="paragraph" w:customStyle="1" w:styleId="63">
    <w:name w:val="表格"/>
    <w:basedOn w:val="1"/>
    <w:next w:val="1"/>
    <w:qFormat/>
    <w:uiPriority w:val="0"/>
    <w:pPr>
      <w:widowControl w:val="0"/>
      <w:adjustRightInd/>
      <w:snapToGrid/>
      <w:spacing w:after="0"/>
      <w:jc w:val="center"/>
    </w:pPr>
    <w:rPr>
      <w:rFonts w:ascii="Times New Roman" w:hAnsi="Times New Roman" w:eastAsia="宋体"/>
      <w:kern w:val="2"/>
      <w:sz w:val="21"/>
      <w:szCs w:val="24"/>
    </w:rPr>
  </w:style>
  <w:style w:type="paragraph" w:customStyle="1" w:styleId="64">
    <w:name w:val="Body Text 22"/>
    <w:basedOn w:val="1"/>
    <w:qFormat/>
    <w:uiPriority w:val="0"/>
    <w:pPr>
      <w:widowControl w:val="0"/>
      <w:snapToGrid/>
      <w:spacing w:after="0" w:line="440" w:lineRule="atLeast"/>
      <w:ind w:firstLine="480"/>
      <w:jc w:val="both"/>
      <w:textAlignment w:val="baseline"/>
    </w:pPr>
    <w:rPr>
      <w:rFonts w:ascii="Times New Roman" w:hAnsi="Times New Roman" w:eastAsia="仿宋_GB2312"/>
      <w:kern w:val="2"/>
      <w:sz w:val="24"/>
      <w:szCs w:val="20"/>
    </w:rPr>
  </w:style>
  <w:style w:type="paragraph" w:customStyle="1" w:styleId="65">
    <w:name w:val="bw1"/>
    <w:basedOn w:val="1"/>
    <w:qFormat/>
    <w:uiPriority w:val="0"/>
    <w:pPr>
      <w:widowControl w:val="0"/>
      <w:spacing w:after="0" w:line="240" w:lineRule="atLeast"/>
      <w:ind w:left="6" w:right="6"/>
      <w:jc w:val="center"/>
    </w:pPr>
    <w:rPr>
      <w:rFonts w:ascii="Arial Narrow" w:hAnsi="Arial Narrow" w:eastAsia="楷体_GB2312"/>
      <w:color w:val="000000"/>
      <w:spacing w:val="-2"/>
      <w:w w:val="90"/>
      <w:kern w:val="2"/>
      <w:sz w:val="20"/>
      <w:szCs w:val="18"/>
    </w:rPr>
  </w:style>
  <w:style w:type="paragraph" w:customStyle="1" w:styleId="66">
    <w:name w:val="表格1"/>
    <w:basedOn w:val="67"/>
    <w:qFormat/>
    <w:uiPriority w:val="0"/>
    <w:pPr>
      <w:jc w:val="center"/>
    </w:pPr>
    <w:rPr>
      <w:rFonts w:cs="Times New Roman"/>
      <w:b/>
      <w:color w:val="000000"/>
      <w:szCs w:val="22"/>
    </w:rPr>
  </w:style>
  <w:style w:type="paragraph" w:customStyle="1" w:styleId="67">
    <w:name w:val="表格格式"/>
    <w:basedOn w:val="1"/>
    <w:qFormat/>
    <w:uiPriority w:val="0"/>
    <w:pPr>
      <w:spacing w:line="240" w:lineRule="auto"/>
      <w:ind w:firstLine="0" w:firstLineChars="0"/>
      <w:jc w:val="center"/>
    </w:pPr>
    <w:rPr>
      <w:sz w:val="21"/>
    </w:rPr>
  </w:style>
  <w:style w:type="paragraph" w:customStyle="1" w:styleId="68">
    <w:name w:val="表格格式1-2"/>
    <w:basedOn w:val="1"/>
    <w:qFormat/>
    <w:uiPriority w:val="0"/>
    <w:pPr>
      <w:jc w:val="center"/>
    </w:pPr>
    <w:rPr>
      <w:rFonts w:ascii="Times New Roman" w:hAnsi="Times New Roman"/>
      <w:szCs w:val="21"/>
    </w:rPr>
  </w:style>
  <w:style w:type="paragraph" w:customStyle="1" w:styleId="69">
    <w:name w:val="表格样式"/>
    <w:basedOn w:val="1"/>
    <w:qFormat/>
    <w:uiPriority w:val="0"/>
    <w:pPr>
      <w:spacing w:line="320" w:lineRule="exact"/>
      <w:contextualSpacing/>
    </w:pPr>
    <w:rPr>
      <w:sz w:val="22"/>
      <w:szCs w:val="24"/>
    </w:rPr>
  </w:style>
  <w:style w:type="paragraph" w:customStyle="1" w:styleId="70">
    <w:name w:val="正"/>
    <w:qFormat/>
    <w:uiPriority w:val="0"/>
    <w:pPr>
      <w:spacing w:line="360" w:lineRule="auto"/>
      <w:ind w:firstLine="551" w:firstLineChars="196"/>
      <w:jc w:val="both"/>
    </w:pPr>
    <w:rPr>
      <w:rFonts w:ascii="Times New Roman" w:hAnsi="Times New Roman" w:eastAsia="宋体" w:cs="Times New Roman"/>
      <w:kern w:val="2"/>
      <w:sz w:val="24"/>
      <w:szCs w:val="24"/>
      <w:lang w:val="en-US" w:eastAsia="zh-CN" w:bidi="ar-SA"/>
    </w:rPr>
  </w:style>
  <w:style w:type="paragraph" w:customStyle="1" w:styleId="71">
    <w:name w:val="表格中的文字"/>
    <w:basedOn w:val="1"/>
    <w:qFormat/>
    <w:uiPriority w:val="0"/>
    <w:pPr>
      <w:snapToGrid w:val="0"/>
      <w:jc w:val="center"/>
    </w:pPr>
  </w:style>
  <w:style w:type="paragraph" w:customStyle="1" w:styleId="72">
    <w:name w:val="表蕊"/>
    <w:basedOn w:val="1"/>
    <w:qFormat/>
    <w:uiPriority w:val="0"/>
    <w:pPr>
      <w:adjustRightInd w:val="0"/>
      <w:spacing w:line="320" w:lineRule="atLeast"/>
      <w:jc w:val="left"/>
      <w:textAlignment w:val="baseline"/>
    </w:pPr>
    <w:rPr>
      <w:rFonts w:eastAsia="楷体_GB2312"/>
      <w:spacing w:val="-10"/>
      <w:kern w:val="0"/>
      <w:szCs w:val="21"/>
    </w:rPr>
  </w:style>
  <w:style w:type="paragraph" w:customStyle="1" w:styleId="73">
    <w:name w:val="报告书表格"/>
    <w:basedOn w:val="1"/>
    <w:qFormat/>
    <w:uiPriority w:val="0"/>
    <w:pPr>
      <w:adjustRightInd w:val="0"/>
      <w:spacing w:before="60" w:after="60" w:line="240" w:lineRule="atLeast"/>
      <w:jc w:val="center"/>
    </w:pPr>
    <w:rPr>
      <w:kern w:val="0"/>
      <w:szCs w:val="20"/>
    </w:rPr>
  </w:style>
  <w:style w:type="paragraph" w:customStyle="1" w:styleId="74">
    <w:name w:val="Table Paragraph"/>
    <w:basedOn w:val="1"/>
    <w:qFormat/>
    <w:uiPriority w:val="1"/>
    <w:rPr>
      <w:rFonts w:ascii="宋体" w:hAnsi="宋体" w:eastAsia="宋体" w:cs="宋体"/>
      <w:lang w:val="zh-CN" w:eastAsia="zh-CN" w:bidi="zh-CN"/>
    </w:rPr>
  </w:style>
  <w:style w:type="paragraph" w:customStyle="1" w:styleId="75">
    <w:name w:val="张_gege的表头和图号"/>
    <w:next w:val="1"/>
    <w:qFormat/>
    <w:uiPriority w:val="99"/>
    <w:pPr>
      <w:spacing w:before="120" w:beforeLines="50"/>
      <w:jc w:val="center"/>
    </w:pPr>
    <w:rPr>
      <w:rFonts w:ascii="Times New Roman" w:hAnsi="Times New Roman" w:eastAsia="宋体" w:cs="Arial"/>
      <w:b/>
      <w:kern w:val="2"/>
      <w:sz w:val="21"/>
      <w:szCs w:val="24"/>
      <w:lang w:val="en-US" w:eastAsia="zh-CN" w:bidi="ar-SA"/>
    </w:rPr>
  </w:style>
  <w:style w:type="character" w:customStyle="1" w:styleId="76">
    <w:name w:val="input-icon"/>
    <w:basedOn w:val="22"/>
    <w:qFormat/>
    <w:uiPriority w:val="0"/>
  </w:style>
  <w:style w:type="character" w:customStyle="1" w:styleId="77">
    <w:name w:val="before"/>
    <w:basedOn w:val="22"/>
    <w:qFormat/>
    <w:uiPriority w:val="0"/>
    <w:rPr>
      <w:rFonts w:hint="default" w:ascii="FontAwesome" w:hAnsi="FontAwesome" w:eastAsia="FontAwesome" w:cs="FontAwesome"/>
      <w:color w:val="888888"/>
      <w:sz w:val="18"/>
      <w:szCs w:val="18"/>
    </w:rPr>
  </w:style>
  <w:style w:type="character" w:customStyle="1" w:styleId="78">
    <w:name w:val="before1"/>
    <w:basedOn w:val="22"/>
    <w:qFormat/>
    <w:uiPriority w:val="0"/>
    <w:rPr>
      <w:rFonts w:hint="default" w:ascii="FontAwesome" w:hAnsi="FontAwesome" w:eastAsia="FontAwesome" w:cs="FontAwesome"/>
      <w:color w:val="888888"/>
      <w:sz w:val="18"/>
      <w:szCs w:val="18"/>
    </w:rPr>
  </w:style>
  <w:style w:type="character" w:customStyle="1" w:styleId="79">
    <w:name w:val="ui-icon10"/>
    <w:basedOn w:val="22"/>
    <w:qFormat/>
    <w:uiPriority w:val="0"/>
  </w:style>
  <w:style w:type="character" w:customStyle="1" w:styleId="80">
    <w:name w:val="ui-jqgrid-resize"/>
    <w:basedOn w:val="22"/>
    <w:qFormat/>
    <w:uiPriority w:val="0"/>
  </w:style>
  <w:style w:type="character" w:customStyle="1" w:styleId="81">
    <w:name w:val="ui-jqgrid-resize1"/>
    <w:basedOn w:val="22"/>
    <w:qFormat/>
    <w:uiPriority w:val="0"/>
  </w:style>
  <w:style w:type="character" w:customStyle="1" w:styleId="82">
    <w:name w:val="checkbox6"/>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CA0C14-5D55-44B2-88B3-E50ABFCCF6C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40</Pages>
  <Words>16176</Words>
  <Characters>20710</Characters>
  <Lines>121</Lines>
  <Paragraphs>34</Paragraphs>
  <TotalTime>9</TotalTime>
  <ScaleCrop>false</ScaleCrop>
  <LinksUpToDate>false</LinksUpToDate>
  <CharactersWithSpaces>21123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2019-03-25T11:01:00Z</dcterms:created>
  <dc:creator>Administrator</dc:creator>
  <cp:lastModifiedBy>柳慧敏</cp:lastModifiedBy>
  <cp:lastPrinted>2023-07-27T09:29:00Z</cp:lastPrinted>
  <dcterms:modified xsi:type="dcterms:W3CDTF">2023-08-07T06:23:32Z</dcterms:modified>
  <dc:title>超越</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E991323518934EA59B301E180BE88B15</vt:lpwstr>
  </property>
</Properties>
</file>