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eastAsiaTheme="minorEastAsia"/>
          <w:color w:val="000000" w:themeColor="text1"/>
          <w:sz w:val="28"/>
          <w14:textFill>
            <w14:solidFill>
              <w14:schemeClr w14:val="tx1"/>
            </w14:solidFill>
          </w14:textFill>
        </w:rPr>
      </w:pPr>
    </w:p>
    <w:p>
      <w:pPr>
        <w:pStyle w:val="9"/>
      </w:pPr>
    </w:p>
    <w:p>
      <w:pPr>
        <w:jc w:val="center"/>
        <w:rPr>
          <w:rFonts w:cs="Times New Roman" w:eastAsiaTheme="minorEastAsia"/>
          <w:color w:val="000000" w:themeColor="text1"/>
          <w:sz w:val="28"/>
          <w14:textFill>
            <w14:solidFill>
              <w14:schemeClr w14:val="tx1"/>
            </w14:solidFill>
          </w14:textFill>
        </w:rPr>
      </w:pP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重庆象征科技有限公司</w:t>
      </w:r>
    </w:p>
    <w:p>
      <w:pPr>
        <w:jc w:val="center"/>
        <w:rPr>
          <w:rFonts w:hint="eastAsia" w:ascii="宋体" w:hAnsi="宋体" w:eastAsia="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年产4000万片2.5D/3D手机、笔电消费电子玻璃盖板项目（一阶段）</w:t>
      </w:r>
    </w:p>
    <w:p>
      <w:pPr>
        <w:jc w:val="center"/>
        <w:rPr>
          <w:rFonts w:ascii="宋体" w:hAnsi="宋体" w:cs="宋体"/>
          <w:b/>
          <w:sz w:val="48"/>
          <w:szCs w:val="48"/>
        </w:rPr>
      </w:pPr>
      <w:r>
        <w:rPr>
          <w:rFonts w:ascii="宋体" w:hAnsi="宋体" w:cs="宋体"/>
          <w:b/>
          <w:color w:val="000000" w:themeColor="text1"/>
          <w:spacing w:val="-6"/>
          <w:kern w:val="2"/>
          <w:sz w:val="48"/>
          <w:szCs w:val="48"/>
          <w14:textFill>
            <w14:solidFill>
              <w14:schemeClr w14:val="tx1"/>
            </w14:solidFill>
          </w14:textFill>
        </w:rPr>
        <w:t>竣工环境保护验收监测报告</w:t>
      </w:r>
    </w:p>
    <w:p>
      <w:pPr>
        <w:jc w:val="cente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ind w:firstLine="1400" w:firstLineChars="500"/>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ind w:firstLine="1400" w:firstLineChars="500"/>
        <w:rPr>
          <w:rFonts w:cs="Times New Roman" w:eastAsiaTheme="minorEastAsia"/>
          <w:color w:val="000000" w:themeColor="text1"/>
          <w:sz w:val="28"/>
          <w14:textFill>
            <w14:solidFill>
              <w14:schemeClr w14:val="tx1"/>
            </w14:solidFill>
          </w14:textFill>
        </w:rPr>
      </w:pPr>
    </w:p>
    <w:p>
      <w:pPr>
        <w:ind w:firstLine="1405" w:firstLineChars="500"/>
        <w:rPr>
          <w:rFonts w:cs="Times New Roman" w:eastAsiaTheme="minorEastAsia"/>
          <w:b/>
          <w:bCs/>
          <w:color w:val="000000" w:themeColor="text1"/>
          <w:sz w:val="28"/>
          <w14:textFill>
            <w14:solidFill>
              <w14:schemeClr w14:val="tx1"/>
            </w14:solidFill>
          </w14:textFill>
        </w:rPr>
      </w:pPr>
    </w:p>
    <w:p>
      <w:pPr>
        <w:pStyle w:val="30"/>
        <w:rPr>
          <w:rFonts w:cs="Times New Roman" w:eastAsiaTheme="minorEastAsia"/>
          <w:b/>
          <w:bCs/>
          <w:color w:val="000000" w:themeColor="text1"/>
          <w:sz w:val="28"/>
          <w14:textFill>
            <w14:solidFill>
              <w14:schemeClr w14:val="tx1"/>
            </w14:solidFill>
          </w14:textFill>
        </w:rPr>
      </w:pPr>
    </w:p>
    <w:p>
      <w:pPr>
        <w:pStyle w:val="30"/>
        <w:rPr>
          <w:rFonts w:cs="Times New Roman" w:eastAsiaTheme="minorEastAsia"/>
          <w:b/>
          <w:bCs/>
          <w:color w:val="000000" w:themeColor="text1"/>
          <w:sz w:val="28"/>
          <w14:textFill>
            <w14:solidFill>
              <w14:schemeClr w14:val="tx1"/>
            </w14:solidFill>
          </w14:textFill>
        </w:rPr>
      </w:pPr>
    </w:p>
    <w:tbl>
      <w:tblPr>
        <w:tblStyle w:val="24"/>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3"/>
        <w:gridCol w:w="5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建设单位：</w:t>
            </w:r>
          </w:p>
        </w:tc>
        <w:tc>
          <w:tcPr>
            <w:tcW w:w="5728" w:type="dxa"/>
            <w:vAlign w:val="center"/>
          </w:tcPr>
          <w:p>
            <w:pPr>
              <w:widowControl w:val="0"/>
              <w:jc w:val="both"/>
              <w:rPr>
                <w:rFonts w:hint="default" w:ascii="宋体" w:hAnsi="宋体" w:eastAsia="宋体" w:cs="宋体"/>
                <w:b/>
                <w:color w:val="000000" w:themeColor="text1"/>
                <w:kern w:val="2"/>
                <w:sz w:val="32"/>
                <w:szCs w:val="24"/>
                <w:lang w:val="en-US"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重庆象征科技有限公司</w:t>
            </w:r>
            <w:r>
              <w:rPr>
                <w:rFonts w:hint="eastAsia" w:ascii="宋体" w:hAnsi="宋体" w:cs="宋体"/>
                <w:b/>
                <w:color w:val="000000" w:themeColor="text1"/>
                <w:kern w:val="2"/>
                <w:sz w:val="32"/>
                <w:szCs w:val="24"/>
                <w:lang w:val="en-US" w:eastAsia="zh-CN"/>
                <w14:textFill>
                  <w14:solidFill>
                    <w14:schemeClr w14:val="tx1"/>
                  </w14:solidFill>
                </w14:textFill>
              </w:rPr>
              <w:t xml:space="preserve">      </w:t>
            </w:r>
          </w:p>
        </w:tc>
      </w:tr>
    </w:tbl>
    <w:p>
      <w:pPr>
        <w:ind w:firstLine="1405" w:firstLineChars="500"/>
        <w:rPr>
          <w:rFonts w:cs="Times New Roman" w:eastAsiaTheme="minorEastAsia"/>
          <w:b/>
          <w:bCs/>
          <w:color w:val="000000" w:themeColor="text1"/>
          <w:sz w:val="28"/>
          <w14:textFill>
            <w14:solidFill>
              <w14:schemeClr w14:val="tx1"/>
            </w14:solidFill>
          </w14:textFill>
        </w:rPr>
      </w:pPr>
    </w:p>
    <w:p>
      <w:pPr>
        <w:ind w:firstLine="2891" w:firstLineChars="900"/>
        <w:jc w:val="both"/>
        <w:rPr>
          <w:rFonts w:ascii="宋体" w:hAnsi="宋体" w:cs="宋体"/>
          <w:b/>
          <w:color w:val="000000" w:themeColor="text1"/>
          <w:kern w:val="2"/>
          <w:sz w:val="32"/>
          <w:szCs w:val="24"/>
          <w14:textFill>
            <w14:solidFill>
              <w14:schemeClr w14:val="tx1"/>
            </w14:solidFill>
          </w14:textFill>
        </w:rPr>
      </w:pPr>
      <w:r>
        <w:rPr>
          <w:rFonts w:ascii="宋体" w:hAnsi="宋体" w:cs="宋体"/>
          <w:b/>
          <w:color w:val="000000" w:themeColor="text1"/>
          <w:kern w:val="2"/>
          <w:sz w:val="32"/>
          <w:szCs w:val="24"/>
          <w14:textFill>
            <w14:solidFill>
              <w14:schemeClr w14:val="tx1"/>
            </w14:solidFill>
          </w14:textFill>
        </w:rPr>
        <w:t>二〇二</w:t>
      </w:r>
      <w:r>
        <w:rPr>
          <w:rFonts w:hint="eastAsia" w:ascii="宋体" w:hAnsi="宋体" w:cs="宋体"/>
          <w:b/>
          <w:color w:val="000000" w:themeColor="text1"/>
          <w:kern w:val="2"/>
          <w:sz w:val="32"/>
          <w:szCs w:val="24"/>
          <w:lang w:val="en-US" w:eastAsia="zh-CN"/>
          <w14:textFill>
            <w14:solidFill>
              <w14:schemeClr w14:val="tx1"/>
            </w14:solidFill>
          </w14:textFill>
        </w:rPr>
        <w:t>三</w:t>
      </w:r>
      <w:r>
        <w:rPr>
          <w:rFonts w:ascii="宋体" w:hAnsi="宋体" w:cs="宋体"/>
          <w:b/>
          <w:color w:val="000000" w:themeColor="text1"/>
          <w:kern w:val="2"/>
          <w:sz w:val="32"/>
          <w:szCs w:val="24"/>
          <w14:textFill>
            <w14:solidFill>
              <w14:schemeClr w14:val="tx1"/>
            </w14:solidFill>
          </w14:textFill>
        </w:rPr>
        <w:t>年</w:t>
      </w:r>
      <w:r>
        <w:rPr>
          <w:rFonts w:hint="eastAsia" w:ascii="宋体" w:hAnsi="宋体" w:cs="宋体"/>
          <w:b/>
          <w:color w:val="000000" w:themeColor="text1"/>
          <w:kern w:val="2"/>
          <w:sz w:val="32"/>
          <w:szCs w:val="24"/>
          <w:lang w:eastAsia="zh-CN"/>
          <w14:textFill>
            <w14:solidFill>
              <w14:schemeClr w14:val="tx1"/>
            </w14:solidFill>
          </w14:textFill>
        </w:rPr>
        <w:t>十二</w:t>
      </w:r>
      <w:r>
        <w:rPr>
          <w:rFonts w:ascii="宋体" w:hAnsi="宋体" w:cs="宋体"/>
          <w:b/>
          <w:color w:val="000000" w:themeColor="text1"/>
          <w:kern w:val="2"/>
          <w:sz w:val="32"/>
          <w:szCs w:val="24"/>
          <w14:textFill>
            <w14:solidFill>
              <w14:schemeClr w14:val="tx1"/>
            </w14:solidFill>
          </w14:textFill>
        </w:rPr>
        <w:t>月</w:t>
      </w:r>
    </w:p>
    <w:p>
      <w:pPr>
        <w:jc w:val="both"/>
        <w:rPr>
          <w:rFonts w:ascii="宋体" w:hAnsi="宋体" w:cs="宋体"/>
          <w:b/>
          <w:color w:val="000000" w:themeColor="text1"/>
          <w:kern w:val="2"/>
          <w:sz w:val="32"/>
          <w:szCs w:val="24"/>
          <w14:textFill>
            <w14:solidFill>
              <w14:schemeClr w14:val="tx1"/>
            </w14:solidFill>
          </w14:textFill>
        </w:rPr>
      </w:pPr>
    </w:p>
    <w:p>
      <w:pPr>
        <w:spacing w:line="480" w:lineRule="auto"/>
        <w:jc w:val="left"/>
        <w:rPr>
          <w:rFonts w:hint="eastAsia" w:cs="Times New Roman" w:eastAsiaTheme="minorEastAsia"/>
          <w:b/>
          <w:bCs/>
          <w:color w:val="000000" w:themeColor="text1"/>
          <w:sz w:val="28"/>
          <w:szCs w:val="28"/>
          <w14:textFill>
            <w14:solidFill>
              <w14:schemeClr w14:val="tx1"/>
            </w14:solidFill>
          </w14:textFill>
        </w:rPr>
      </w:pPr>
    </w:p>
    <w:p>
      <w:pPr>
        <w:spacing w:line="480" w:lineRule="auto"/>
        <w:jc w:val="left"/>
        <w:rPr>
          <w:rFonts w:hint="eastAsia" w:cs="Times New Roman" w:eastAsiaTheme="minorEastAsia"/>
          <w:b/>
          <w:bCs/>
          <w:color w:val="000000" w:themeColor="text1"/>
          <w:sz w:val="28"/>
          <w:szCs w:val="28"/>
          <w14:textFill>
            <w14:solidFill>
              <w14:schemeClr w14:val="tx1"/>
            </w14:solidFill>
          </w14:textFill>
        </w:rPr>
      </w:pPr>
    </w:p>
    <w:p>
      <w:pPr>
        <w:spacing w:line="480" w:lineRule="auto"/>
        <w:jc w:val="left"/>
        <w:rPr>
          <w:rFonts w:hint="eastAsia" w:cs="Times New Roman" w:eastAsiaTheme="minorEastAsia"/>
          <w:b/>
          <w:bCs/>
          <w:color w:val="000000" w:themeColor="text1"/>
          <w:sz w:val="28"/>
          <w:szCs w:val="28"/>
          <w:lang w:eastAsia="zh-CN"/>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建</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设</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单</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位：</w:t>
      </w:r>
      <w:r>
        <w:rPr>
          <w:rFonts w:hint="eastAsia" w:cs="Times New Roman" w:eastAsiaTheme="minorEastAsia"/>
          <w:b/>
          <w:bCs/>
          <w:color w:val="000000" w:themeColor="text1"/>
          <w:sz w:val="28"/>
          <w:szCs w:val="28"/>
          <w:lang w:eastAsia="zh-CN"/>
          <w14:textFill>
            <w14:solidFill>
              <w14:schemeClr w14:val="tx1"/>
            </w14:solidFill>
          </w14:textFill>
        </w:rPr>
        <w:t>重庆象征科技有限公司</w:t>
      </w:r>
    </w:p>
    <w:p>
      <w:pPr>
        <w:spacing w:line="480" w:lineRule="auto"/>
        <w:jc w:val="left"/>
        <w:rPr>
          <w:rFonts w:cs="Times New Roman" w:eastAsiaTheme="minorEastAsia"/>
          <w:color w:val="000000" w:themeColor="text1"/>
          <w:sz w:val="32"/>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法</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人</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代</w:t>
      </w:r>
      <w:r>
        <w:rPr>
          <w:rFonts w:hint="eastAsia" w:cs="Times New Roman" w:eastAsiaTheme="minorEastAsia"/>
          <w:b/>
          <w:bCs/>
          <w:color w:val="000000" w:themeColor="text1"/>
          <w:sz w:val="28"/>
          <w:szCs w:val="28"/>
          <w:lang w:val="en-US" w:eastAsia="zh-CN"/>
          <w14:textFill>
            <w14:solidFill>
              <w14:schemeClr w14:val="tx1"/>
            </w14:solidFill>
          </w14:textFill>
        </w:rPr>
        <w:t xml:space="preserve"> </w:t>
      </w:r>
      <w:r>
        <w:rPr>
          <w:rFonts w:hint="eastAsia" w:cs="Times New Roman" w:eastAsiaTheme="minorEastAsia"/>
          <w:b/>
          <w:bCs/>
          <w:color w:val="000000" w:themeColor="text1"/>
          <w:sz w:val="28"/>
          <w:szCs w:val="28"/>
          <w14:textFill>
            <w14:solidFill>
              <w14:schemeClr w14:val="tx1"/>
            </w14:solidFill>
          </w14:textFill>
        </w:rPr>
        <w:t>表：</w:t>
      </w:r>
      <w:r>
        <w:rPr>
          <w:rFonts w:hint="eastAsia" w:cs="Times New Roman" w:eastAsiaTheme="minorEastAsia"/>
          <w:b/>
          <w:bCs/>
          <w:color w:val="000000" w:themeColor="text1"/>
          <w:sz w:val="28"/>
          <w:szCs w:val="28"/>
          <w:lang w:eastAsia="zh-CN"/>
          <w14:textFill>
            <w14:solidFill>
              <w14:schemeClr w14:val="tx1"/>
            </w14:solidFill>
          </w14:textFill>
        </w:rPr>
        <w:t>向中华</w:t>
      </w:r>
    </w:p>
    <w:p>
      <w:pPr>
        <w:spacing w:line="480" w:lineRule="auto"/>
        <w:jc w:val="left"/>
        <w:rPr>
          <w:rFonts w:hint="eastAsia"/>
          <w:b/>
          <w:bCs/>
          <w:sz w:val="28"/>
          <w:szCs w:val="28"/>
          <w:lang w:val="en-US" w:eastAsia="zh-CN"/>
        </w:rPr>
      </w:pPr>
      <w:r>
        <w:rPr>
          <w:rFonts w:hint="eastAsia"/>
          <w:b/>
          <w:bCs/>
          <w:sz w:val="28"/>
          <w:szCs w:val="28"/>
        </w:rPr>
        <w:t>项目负责人：</w:t>
      </w:r>
      <w:r>
        <w:rPr>
          <w:rFonts w:hint="eastAsia"/>
          <w:b/>
          <w:bCs/>
          <w:sz w:val="28"/>
          <w:szCs w:val="28"/>
          <w:lang w:val="en-US" w:eastAsia="zh-CN"/>
        </w:rPr>
        <w:t>向阳</w:t>
      </w:r>
    </w:p>
    <w:p>
      <w:pPr>
        <w:pStyle w:val="30"/>
        <w:rPr>
          <w:rFonts w:hint="eastAsia"/>
          <w:b/>
          <w:bCs/>
          <w:sz w:val="28"/>
          <w:szCs w:val="28"/>
          <w:lang w:val="en-US" w:eastAsia="zh-CN"/>
        </w:rPr>
      </w:pPr>
    </w:p>
    <w:p>
      <w:pPr>
        <w:pStyle w:val="6"/>
        <w:rPr>
          <w:rFonts w:hint="eastAsia"/>
          <w:lang w:eastAsia="zh-CN"/>
        </w:rPr>
      </w:pPr>
    </w:p>
    <w:p>
      <w:pPr>
        <w:rPr>
          <w:rFonts w:cs="Times New Roman" w:eastAsiaTheme="minorEastAsia"/>
          <w:b/>
          <w:color w:val="000000" w:themeColor="text1"/>
          <w:sz w:val="28"/>
          <w14:textFill>
            <w14:solidFill>
              <w14:schemeClr w14:val="tx1"/>
            </w14:solidFill>
          </w14:textFill>
        </w:rPr>
      </w:pPr>
    </w:p>
    <w:p>
      <w:pPr>
        <w:rPr>
          <w:rFonts w:cs="Times New Roman" w:eastAsiaTheme="minorEastAsia"/>
          <w:b/>
          <w:color w:val="000000" w:themeColor="text1"/>
          <w:sz w:val="28"/>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14"/>
        <w:numPr>
          <w:ilvl w:val="0"/>
          <w:numId w:val="0"/>
        </w:numPr>
        <w:adjustRightInd w:val="0"/>
        <w:snapToGrid w:val="0"/>
        <w:spacing w:line="360" w:lineRule="auto"/>
        <w:rPr>
          <w:rFonts w:cs="Times New Roman" w:eastAsiaTheme="minorEastAsia"/>
          <w:color w:val="000000" w:themeColor="text1"/>
          <w:sz w:val="26"/>
          <w:szCs w:val="26"/>
          <w14:textFill>
            <w14:solidFill>
              <w14:schemeClr w14:val="tx1"/>
            </w14:solidFill>
          </w14:textFill>
        </w:rPr>
      </w:pPr>
    </w:p>
    <w:p>
      <w:pPr>
        <w:pStyle w:val="14"/>
        <w:numPr>
          <w:ilvl w:val="0"/>
          <w:numId w:val="0"/>
        </w:numPr>
        <w:adjustRightInd w:val="0"/>
        <w:snapToGrid w:val="0"/>
        <w:spacing w:line="360" w:lineRule="auto"/>
        <w:rPr>
          <w:rFonts w:cs="Times New Roman" w:eastAsiaTheme="minorEastAsia"/>
          <w:color w:val="000000" w:themeColor="text1"/>
          <w:sz w:val="26"/>
          <w:szCs w:val="26"/>
          <w14:textFill>
            <w14:solidFill>
              <w14:schemeClr w14:val="tx1"/>
            </w14:solidFill>
          </w14:textFill>
        </w:rPr>
      </w:pPr>
    </w:p>
    <w:p>
      <w:pPr>
        <w:pStyle w:val="14"/>
        <w:numPr>
          <w:ilvl w:val="0"/>
          <w:numId w:val="0"/>
        </w:numPr>
        <w:adjustRightInd w:val="0"/>
        <w:snapToGrid w:val="0"/>
        <w:spacing w:line="360" w:lineRule="auto"/>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tbl>
      <w:tblPr>
        <w:tblStyle w:val="23"/>
        <w:tblW w:w="5014" w:type="pct"/>
        <w:tblInd w:w="0" w:type="dxa"/>
        <w:tblLayout w:type="autofit"/>
        <w:tblCellMar>
          <w:top w:w="0" w:type="dxa"/>
          <w:left w:w="108" w:type="dxa"/>
          <w:bottom w:w="0" w:type="dxa"/>
          <w:right w:w="108" w:type="dxa"/>
        </w:tblCellMar>
      </w:tblPr>
      <w:tblGrid>
        <w:gridCol w:w="8974"/>
      </w:tblGrid>
      <w:tr>
        <w:tblPrEx>
          <w:tblCellMar>
            <w:top w:w="0" w:type="dxa"/>
            <w:left w:w="108" w:type="dxa"/>
            <w:bottom w:w="0" w:type="dxa"/>
            <w:right w:w="108" w:type="dxa"/>
          </w:tblCellMar>
        </w:tblPrEx>
        <w:trPr>
          <w:trHeight w:val="680" w:hRule="atLeast"/>
        </w:trPr>
        <w:tc>
          <w:tcPr>
            <w:tcW w:w="5000" w:type="pct"/>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Cs w:val="24"/>
                <w:lang w:eastAsia="zh-CN"/>
              </w:rPr>
              <w:t>重庆象征科技有限公司（盖章）</w:t>
            </w:r>
          </w:p>
        </w:tc>
      </w:tr>
      <w:tr>
        <w:tblPrEx>
          <w:tblCellMar>
            <w:top w:w="0" w:type="dxa"/>
            <w:left w:w="108" w:type="dxa"/>
            <w:bottom w:w="0" w:type="dxa"/>
            <w:right w:w="108" w:type="dxa"/>
          </w:tblCellMar>
        </w:tblPrEx>
        <w:trPr>
          <w:trHeight w:val="680" w:hRule="atLeast"/>
        </w:trPr>
        <w:tc>
          <w:tcPr>
            <w:tcW w:w="5000" w:type="pct"/>
            <w:noWrap w:val="0"/>
            <w:vAlign w:val="center"/>
          </w:tcPr>
          <w:p>
            <w:pPr>
              <w:spacing w:line="500" w:lineRule="exact"/>
              <w:ind w:right="120"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eastAsia" w:cs="Times New Roman"/>
                <w:color w:val="auto"/>
                <w:sz w:val="24"/>
                <w:szCs w:val="24"/>
                <w:lang w:val="en-US" w:eastAsia="zh-CN"/>
              </w:rPr>
              <w:t>13798148763</w:t>
            </w:r>
          </w:p>
        </w:tc>
      </w:tr>
      <w:tr>
        <w:tblPrEx>
          <w:tblCellMar>
            <w:top w:w="0" w:type="dxa"/>
            <w:left w:w="108" w:type="dxa"/>
            <w:bottom w:w="0" w:type="dxa"/>
            <w:right w:w="108" w:type="dxa"/>
          </w:tblCellMar>
        </w:tblPrEx>
        <w:trPr>
          <w:trHeight w:val="680" w:hRule="atLeast"/>
        </w:trPr>
        <w:tc>
          <w:tcPr>
            <w:tcW w:w="5000" w:type="pct"/>
            <w:noWrap w:val="0"/>
            <w:vAlign w:val="center"/>
          </w:tcPr>
          <w:p>
            <w:pPr>
              <w:spacing w:line="500" w:lineRule="exact"/>
              <w:rPr>
                <w:rFonts w:ascii="宋体" w:hAnsi="宋体" w:eastAsia="宋体"/>
                <w:sz w:val="24"/>
                <w:szCs w:val="24"/>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bCs/>
              </w:rPr>
              <w:t>40</w:t>
            </w:r>
            <w:r>
              <w:rPr>
                <w:rFonts w:hint="eastAsia"/>
                <w:bCs/>
                <w:lang w:val="en-US" w:eastAsia="zh-CN"/>
              </w:rPr>
              <w:t>40</w:t>
            </w:r>
            <w:r>
              <w:rPr>
                <w:rFonts w:hint="default"/>
                <w:bCs/>
              </w:rPr>
              <w:t>00</w:t>
            </w:r>
          </w:p>
        </w:tc>
      </w:tr>
      <w:tr>
        <w:tblPrEx>
          <w:tblCellMar>
            <w:top w:w="0" w:type="dxa"/>
            <w:left w:w="108" w:type="dxa"/>
            <w:bottom w:w="0" w:type="dxa"/>
            <w:right w:w="108" w:type="dxa"/>
          </w:tblCellMar>
        </w:tblPrEx>
        <w:trPr>
          <w:trHeight w:val="680" w:hRule="atLeast"/>
        </w:trPr>
        <w:tc>
          <w:tcPr>
            <w:tcW w:w="5000" w:type="pct"/>
            <w:noWrap w:val="0"/>
            <w:vAlign w:val="top"/>
          </w:tcPr>
          <w:p>
            <w:pPr>
              <w:spacing w:line="500" w:lineRule="exact"/>
              <w:ind w:left="1101" w:hanging="1106" w:hangingChars="459"/>
              <w:rPr>
                <w:rFonts w:hint="eastAsia"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cs="Times New Roman"/>
                <w:color w:val="auto"/>
                <w:sz w:val="24"/>
                <w:szCs w:val="24"/>
                <w:lang w:eastAsia="zh-CN"/>
              </w:rPr>
              <w:t>重庆市万州区经开区联合路1号</w:t>
            </w:r>
          </w:p>
        </w:tc>
      </w:tr>
    </w:tbl>
    <w:p>
      <w:pPr>
        <w:ind w:firstLine="520" w:firstLineChars="200"/>
        <w:jc w:val="both"/>
        <w:rPr>
          <w:rFonts w:cs="Times New Roman" w:eastAsiaTheme="minorEastAsia"/>
          <w:color w:val="000000" w:themeColor="text1"/>
          <w:sz w:val="26"/>
          <w:szCs w:val="26"/>
          <w14:textFill>
            <w14:solidFill>
              <w14:schemeClr w14:val="tx1"/>
            </w14:solidFill>
          </w14:textFill>
        </w:rPr>
      </w:pPr>
    </w:p>
    <w:p>
      <w:pPr>
        <w:rPr>
          <w:rFonts w:cs="Times New Roman" w:eastAsiaTheme="minorEastAsia"/>
          <w:b/>
          <w:color w:val="000000" w:themeColor="text1"/>
          <w:sz w:val="21"/>
          <w:szCs w:val="21"/>
          <w14:textFill>
            <w14:solidFill>
              <w14:schemeClr w14:val="tx1"/>
            </w14:solidFill>
          </w14:textFill>
        </w:rPr>
        <w:sectPr>
          <w:headerReference r:id="rId5" w:type="default"/>
          <w:footerReference r:id="rId6" w:type="default"/>
          <w:footerReference r:id="rId7" w:type="even"/>
          <w:pgSz w:w="11907" w:h="16840"/>
          <w:pgMar w:top="1701" w:right="1587" w:bottom="1587" w:left="1587" w:header="284" w:footer="851" w:gutter="0"/>
          <w:pgBorders>
            <w:top w:val="none" w:sz="0" w:space="0"/>
            <w:left w:val="none" w:sz="0" w:space="0"/>
            <w:bottom w:val="none" w:sz="0" w:space="0"/>
            <w:right w:val="none" w:sz="0" w:space="0"/>
          </w:pgBorders>
          <w:pgNumType w:start="2"/>
          <w:cols w:space="720" w:num="1"/>
          <w:docGrid w:linePitch="299" w:charSpace="0"/>
        </w:sectPr>
      </w:pPr>
    </w:p>
    <w:p>
      <w:pPr>
        <w:pStyle w:val="18"/>
        <w:tabs>
          <w:tab w:val="right" w:leader="dot" w:pos="9680"/>
        </w:tabs>
        <w:ind w:firstLine="522"/>
        <w:jc w:val="center"/>
        <w:rPr>
          <w:rFonts w:ascii="Times New Roman" w:hAnsi="Times New Roman" w:cs="Times New Roman" w:eastAsiaTheme="minorEastAsia"/>
          <w:b/>
          <w:color w:val="000000" w:themeColor="text1"/>
          <w:sz w:val="26"/>
          <w:szCs w:val="26"/>
          <w14:textFill>
            <w14:solidFill>
              <w14:schemeClr w14:val="tx1"/>
            </w14:solidFill>
          </w14:textFill>
        </w:rPr>
      </w:pPr>
      <w:r>
        <w:rPr>
          <w:rFonts w:ascii="Times New Roman" w:hAnsi="Times New Roman" w:cs="Times New Roman" w:eastAsiaTheme="minorEastAsia"/>
          <w:b/>
          <w:color w:val="000000" w:themeColor="text1"/>
          <w:sz w:val="26"/>
          <w:szCs w:val="26"/>
          <w14:textFill>
            <w14:solidFill>
              <w14:schemeClr w14:val="tx1"/>
            </w14:solidFill>
          </w14:textFill>
        </w:rPr>
        <w:t>目  录</w:t>
      </w:r>
    </w:p>
    <w:p>
      <w:pPr>
        <w:pStyle w:val="18"/>
        <w:tabs>
          <w:tab w:val="right" w:leader="dot" w:pos="8788"/>
        </w:tabs>
      </w:pP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begin"/>
      </w:r>
      <w:r>
        <w:rPr>
          <w:rFonts w:hint="eastAsia" w:asciiTheme="majorEastAsia" w:hAnsiTheme="majorEastAsia" w:eastAsiaTheme="majorEastAsia" w:cstheme="majorEastAsia"/>
          <w:color w:val="000000" w:themeColor="text1"/>
          <w:sz w:val="28"/>
          <w:szCs w:val="28"/>
          <w14:textFill>
            <w14:solidFill>
              <w14:schemeClr w14:val="tx1"/>
            </w14:solidFill>
          </w14:textFill>
        </w:rPr>
        <w:instrText xml:space="preserve"> TOC \o "1-2" \h \z \u </w:instrText>
      </w: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separate"/>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_Toc9568 </w:instrText>
      </w:r>
      <w:r>
        <w:rPr>
          <w:rFonts w:hint="eastAsia" w:asciiTheme="majorEastAsia" w:hAnsiTheme="majorEastAsia" w:eastAsiaTheme="majorEastAsia" w:cstheme="majorEastAsia"/>
          <w:szCs w:val="28"/>
        </w:rPr>
        <w:fldChar w:fldCharType="separate"/>
      </w:r>
      <w:r>
        <w:t>1 项目概况</w:t>
      </w:r>
      <w:r>
        <w:tab/>
      </w:r>
      <w:r>
        <w:fldChar w:fldCharType="begin"/>
      </w:r>
      <w:r>
        <w:instrText xml:space="preserve"> PAGEREF _Toc9568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_Toc24818 </w:instrText>
      </w:r>
      <w:r>
        <w:rPr>
          <w:rFonts w:hint="eastAsia" w:asciiTheme="majorEastAsia" w:hAnsiTheme="majorEastAsia" w:eastAsiaTheme="majorEastAsia" w:cstheme="majorEastAsia"/>
          <w:szCs w:val="28"/>
        </w:rPr>
        <w:fldChar w:fldCharType="separate"/>
      </w:r>
      <w:r>
        <w:rPr>
          <w:rFonts w:hint="default"/>
        </w:rPr>
        <w:t xml:space="preserve">1.1 </w:t>
      </w:r>
      <w:r>
        <w:t>项目基本情况</w:t>
      </w:r>
      <w:r>
        <w:tab/>
      </w:r>
      <w:r>
        <w:fldChar w:fldCharType="begin"/>
      </w:r>
      <w:r>
        <w:instrText xml:space="preserve"> PAGEREF _Toc24818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_Toc3231 </w:instrText>
      </w:r>
      <w:r>
        <w:rPr>
          <w:rFonts w:hint="eastAsia" w:asciiTheme="majorEastAsia" w:hAnsiTheme="majorEastAsia" w:eastAsiaTheme="majorEastAsia" w:cstheme="majorEastAsia"/>
          <w:szCs w:val="28"/>
        </w:rPr>
        <w:fldChar w:fldCharType="separate"/>
      </w:r>
      <w:r>
        <w:rPr>
          <w:rFonts w:hint="default" w:cs="Times New Roman" w:eastAsiaTheme="minorEastAsia"/>
          <w:snapToGrid w:val="0"/>
          <w:szCs w:val="24"/>
        </w:rPr>
        <w:t xml:space="preserve">1.2 </w:t>
      </w:r>
      <w:r>
        <w:rPr>
          <w:rFonts w:hint="eastAsia"/>
          <w:szCs w:val="24"/>
        </w:rPr>
        <w:t>验收工作由来及工作程序</w:t>
      </w:r>
      <w:r>
        <w:tab/>
      </w:r>
      <w:r>
        <w:fldChar w:fldCharType="begin"/>
      </w:r>
      <w:r>
        <w:instrText xml:space="preserve"> PAGEREF _Toc3231 \h </w:instrText>
      </w:r>
      <w:r>
        <w:fldChar w:fldCharType="separate"/>
      </w:r>
      <w:r>
        <w:t>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_Toc18974 </w:instrText>
      </w:r>
      <w:r>
        <w:rPr>
          <w:rFonts w:hint="eastAsia" w:asciiTheme="majorEastAsia" w:hAnsiTheme="majorEastAsia" w:eastAsiaTheme="majorEastAsia" w:cstheme="majorEastAsia"/>
          <w:szCs w:val="28"/>
        </w:rPr>
        <w:fldChar w:fldCharType="separate"/>
      </w:r>
      <w:r>
        <w:rPr>
          <w:rFonts w:hint="default"/>
        </w:rPr>
        <w:t xml:space="preserve">1.3 </w:t>
      </w:r>
      <w:r>
        <w:rPr>
          <w:rFonts w:hint="eastAsia"/>
        </w:rPr>
        <w:t>验收范围与内容</w:t>
      </w:r>
      <w:r>
        <w:tab/>
      </w:r>
      <w:r>
        <w:fldChar w:fldCharType="begin"/>
      </w:r>
      <w:r>
        <w:instrText xml:space="preserve"> PAGEREF _Toc18974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_Toc31997 </w:instrText>
      </w:r>
      <w:r>
        <w:rPr>
          <w:rFonts w:hint="eastAsia" w:asciiTheme="majorEastAsia" w:hAnsiTheme="majorEastAsia" w:eastAsiaTheme="majorEastAsia" w:cstheme="majorEastAsia"/>
          <w:szCs w:val="28"/>
        </w:rPr>
        <w:fldChar w:fldCharType="separate"/>
      </w:r>
      <w:r>
        <w:rPr>
          <w:rFonts w:hint="default"/>
        </w:rPr>
        <w:t xml:space="preserve">1.4 </w:t>
      </w:r>
      <w:r>
        <w:rPr>
          <w:rFonts w:hint="eastAsia"/>
        </w:rPr>
        <w:t>致谢</w:t>
      </w:r>
      <w:r>
        <w:tab/>
      </w:r>
      <w:r>
        <w:fldChar w:fldCharType="begin"/>
      </w:r>
      <w:r>
        <w:instrText xml:space="preserve"> PAGEREF _Toc31997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_Toc23419 </w:instrText>
      </w:r>
      <w:r>
        <w:rPr>
          <w:rFonts w:hint="eastAsia" w:asciiTheme="majorEastAsia" w:hAnsiTheme="majorEastAsia" w:eastAsiaTheme="majorEastAsia" w:cstheme="majorEastAsia"/>
          <w:szCs w:val="28"/>
        </w:rPr>
        <w:fldChar w:fldCharType="separate"/>
      </w:r>
      <w:r>
        <w:t>2 验收依据</w:t>
      </w:r>
      <w:r>
        <w:tab/>
      </w:r>
      <w:r>
        <w:fldChar w:fldCharType="begin"/>
      </w:r>
      <w:r>
        <w:instrText xml:space="preserve"> PAGEREF _Toc23419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_Toc28451 </w:instrText>
      </w:r>
      <w:r>
        <w:rPr>
          <w:rFonts w:hint="eastAsia" w:asciiTheme="majorEastAsia" w:hAnsiTheme="majorEastAsia" w:eastAsiaTheme="majorEastAsia" w:cstheme="majorEastAsia"/>
          <w:szCs w:val="28"/>
        </w:rPr>
        <w:fldChar w:fldCharType="separate"/>
      </w:r>
      <w:r>
        <w:t xml:space="preserve">2.1 </w:t>
      </w:r>
      <w:r>
        <w:rPr>
          <w:rFonts w:hint="eastAsia"/>
        </w:rPr>
        <w:t>环境保护有关法规、政策</w:t>
      </w:r>
      <w:r>
        <w:tab/>
      </w:r>
      <w:r>
        <w:fldChar w:fldCharType="begin"/>
      </w:r>
      <w:r>
        <w:instrText xml:space="preserve"> PAGEREF _Toc28451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_Toc10616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2.</w:t>
      </w:r>
      <w:r>
        <w:rPr>
          <w:rFonts w:hint="eastAsia" w:cs="Times New Roman" w:eastAsiaTheme="minorEastAsia"/>
          <w:snapToGrid w:val="0"/>
          <w:lang w:val="en-US" w:eastAsia="zh-CN"/>
        </w:rPr>
        <w:t>2</w:t>
      </w:r>
      <w:r>
        <w:rPr>
          <w:rFonts w:cs="Times New Roman" w:eastAsiaTheme="minorEastAsia"/>
          <w:snapToGrid w:val="0"/>
        </w:rPr>
        <w:t xml:space="preserve"> </w:t>
      </w:r>
      <w:r>
        <w:rPr>
          <w:rFonts w:hint="eastAsia" w:cs="Times New Roman" w:eastAsiaTheme="minorEastAsia"/>
          <w:snapToGrid w:val="0"/>
        </w:rPr>
        <w:t>建设项目竣工环境保护验收技术规范</w:t>
      </w:r>
      <w:r>
        <w:tab/>
      </w:r>
      <w:r>
        <w:fldChar w:fldCharType="begin"/>
      </w:r>
      <w:r>
        <w:instrText xml:space="preserve"> PAGEREF _Toc10616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_Toc21121 </w:instrText>
      </w:r>
      <w:r>
        <w:rPr>
          <w:rFonts w:hint="eastAsia" w:asciiTheme="majorEastAsia" w:hAnsiTheme="majorEastAsia" w:eastAsiaTheme="majorEastAsia" w:cstheme="majorEastAsia"/>
          <w:szCs w:val="28"/>
        </w:rPr>
        <w:fldChar w:fldCharType="separate"/>
      </w:r>
      <w:r>
        <w:rPr>
          <w:rFonts w:ascii="Times New Roman" w:hAnsi="Times New Roman" w:cs="Times New Roman" w:eastAsiaTheme="minorEastAsia"/>
          <w:snapToGrid w:val="0"/>
        </w:rPr>
        <w:t>2.</w:t>
      </w:r>
      <w:r>
        <w:rPr>
          <w:rFonts w:hint="eastAsia" w:ascii="Times New Roman" w:hAnsi="Times New Roman" w:cs="Times New Roman" w:eastAsiaTheme="minorEastAsia"/>
          <w:snapToGrid w:val="0"/>
          <w:lang w:val="en-US" w:eastAsia="zh-CN"/>
        </w:rPr>
        <w:t>3</w:t>
      </w:r>
      <w:r>
        <w:rPr>
          <w:rFonts w:ascii="Times New Roman" w:hAnsi="Times New Roman" w:cs="Times New Roman" w:eastAsiaTheme="minorEastAsia"/>
          <w:snapToGrid w:val="0"/>
        </w:rPr>
        <w:t xml:space="preserve"> 建设项目</w:t>
      </w:r>
      <w:r>
        <w:rPr>
          <w:rFonts w:hint="eastAsia" w:ascii="Times New Roman" w:hAnsi="Times New Roman" w:cs="Times New Roman" w:eastAsiaTheme="minorEastAsia"/>
          <w:snapToGrid w:val="0"/>
        </w:rPr>
        <w:t>环境影响报告表</w:t>
      </w:r>
      <w:r>
        <w:rPr>
          <w:rFonts w:ascii="Times New Roman" w:hAnsi="Times New Roman" w:cs="Times New Roman" w:eastAsiaTheme="minorEastAsia"/>
          <w:snapToGrid w:val="0"/>
        </w:rPr>
        <w:t>及审批部门审批决定</w:t>
      </w:r>
      <w:r>
        <w:tab/>
      </w:r>
      <w:r>
        <w:fldChar w:fldCharType="begin"/>
      </w:r>
      <w:r>
        <w:instrText xml:space="preserve"> PAGEREF _Toc21121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_Toc26492 </w:instrText>
      </w:r>
      <w:r>
        <w:rPr>
          <w:rFonts w:hint="eastAsia" w:asciiTheme="majorEastAsia" w:hAnsiTheme="majorEastAsia" w:eastAsiaTheme="majorEastAsia" w:cstheme="majorEastAsia"/>
          <w:szCs w:val="28"/>
        </w:rPr>
        <w:fldChar w:fldCharType="separate"/>
      </w:r>
      <w:r>
        <w:t>3 项目建设情况</w:t>
      </w:r>
      <w:r>
        <w:tab/>
      </w:r>
      <w:r>
        <w:fldChar w:fldCharType="begin"/>
      </w:r>
      <w:r>
        <w:instrText xml:space="preserve"> PAGEREF _Toc26492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_Toc28599 </w:instrText>
      </w:r>
      <w:r>
        <w:rPr>
          <w:rFonts w:hint="eastAsia" w:asciiTheme="majorEastAsia" w:hAnsiTheme="majorEastAsia" w:eastAsiaTheme="majorEastAsia" w:cstheme="majorEastAsia"/>
          <w:szCs w:val="28"/>
        </w:rPr>
        <w:fldChar w:fldCharType="separate"/>
      </w:r>
      <w:r>
        <w:t>3.1 地理位置及平面布置</w:t>
      </w:r>
      <w:r>
        <w:tab/>
      </w:r>
      <w:r>
        <w:fldChar w:fldCharType="begin"/>
      </w:r>
      <w:r>
        <w:instrText xml:space="preserve"> PAGEREF _Toc28599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_Toc13947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3.2 建设内容基本情况</w:t>
      </w:r>
      <w:r>
        <w:tab/>
      </w:r>
      <w:r>
        <w:fldChar w:fldCharType="begin"/>
      </w:r>
      <w:r>
        <w:instrText xml:space="preserve"> PAGEREF _Toc13947 \h </w:instrText>
      </w:r>
      <w:r>
        <w:fldChar w:fldCharType="separate"/>
      </w:r>
      <w:r>
        <w:t>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_Toc16483 </w:instrText>
      </w:r>
      <w:r>
        <w:rPr>
          <w:rFonts w:hint="eastAsia" w:asciiTheme="majorEastAsia" w:hAnsiTheme="majorEastAsia" w:eastAsiaTheme="majorEastAsia" w:cstheme="majorEastAsia"/>
          <w:szCs w:val="28"/>
        </w:rPr>
        <w:fldChar w:fldCharType="separate"/>
      </w:r>
      <w:r>
        <w:t>3.3 主要原辅材料</w:t>
      </w:r>
      <w:r>
        <w:tab/>
      </w:r>
      <w:r>
        <w:fldChar w:fldCharType="begin"/>
      </w:r>
      <w:r>
        <w:instrText xml:space="preserve"> PAGEREF _Toc16483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_Toc9231 </w:instrText>
      </w:r>
      <w:r>
        <w:rPr>
          <w:rFonts w:hint="eastAsia" w:asciiTheme="majorEastAsia" w:hAnsiTheme="majorEastAsia" w:eastAsiaTheme="majorEastAsia" w:cstheme="majorEastAsia"/>
          <w:szCs w:val="28"/>
        </w:rPr>
        <w:fldChar w:fldCharType="separate"/>
      </w:r>
      <w:r>
        <w:t>3.4 主要生产设备</w:t>
      </w:r>
      <w:r>
        <w:tab/>
      </w:r>
      <w:r>
        <w:fldChar w:fldCharType="begin"/>
      </w:r>
      <w:r>
        <w:instrText xml:space="preserve"> PAGEREF _Toc9231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_Toc22612 </w:instrText>
      </w:r>
      <w:r>
        <w:rPr>
          <w:rFonts w:hint="eastAsia" w:asciiTheme="majorEastAsia" w:hAnsiTheme="majorEastAsia" w:eastAsiaTheme="majorEastAsia" w:cstheme="majorEastAsia"/>
          <w:szCs w:val="28"/>
        </w:rPr>
        <w:fldChar w:fldCharType="separate"/>
      </w:r>
      <w:r>
        <w:rPr>
          <w:rFonts w:hint="eastAsia"/>
        </w:rPr>
        <w:t>3.5水平衡及物料平衡分析</w:t>
      </w:r>
      <w:r>
        <w:tab/>
      </w:r>
      <w:r>
        <w:fldChar w:fldCharType="begin"/>
      </w:r>
      <w:r>
        <w:instrText xml:space="preserve"> PAGEREF _Toc22612 \h </w:instrText>
      </w:r>
      <w:r>
        <w:fldChar w:fldCharType="separate"/>
      </w:r>
      <w:r>
        <w:t>11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_Toc13143 </w:instrText>
      </w:r>
      <w:r>
        <w:rPr>
          <w:rFonts w:hint="eastAsia" w:asciiTheme="majorEastAsia" w:hAnsiTheme="majorEastAsia" w:eastAsiaTheme="majorEastAsia" w:cstheme="majorEastAsia"/>
          <w:szCs w:val="28"/>
        </w:rPr>
        <w:fldChar w:fldCharType="separate"/>
      </w:r>
      <w:r>
        <w:t>3.</w:t>
      </w:r>
      <w:r>
        <w:rPr>
          <w:rFonts w:hint="eastAsia"/>
        </w:rPr>
        <w:t>6</w:t>
      </w:r>
      <w:r>
        <w:t xml:space="preserve"> 生产工艺</w:t>
      </w:r>
      <w:r>
        <w:tab/>
      </w:r>
      <w:r>
        <w:fldChar w:fldCharType="begin"/>
      </w:r>
      <w:r>
        <w:instrText xml:space="preserve"> PAGEREF _Toc13143 \h </w:instrText>
      </w:r>
      <w:r>
        <w:fldChar w:fldCharType="separate"/>
      </w:r>
      <w:r>
        <w:t>12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_Toc14790 </w:instrText>
      </w:r>
      <w:r>
        <w:rPr>
          <w:rFonts w:hint="eastAsia" w:asciiTheme="majorEastAsia" w:hAnsiTheme="majorEastAsia" w:eastAsiaTheme="majorEastAsia" w:cstheme="majorEastAsia"/>
          <w:szCs w:val="28"/>
        </w:rPr>
        <w:fldChar w:fldCharType="separate"/>
      </w:r>
      <w:r>
        <w:rPr>
          <w:rFonts w:hint="eastAsia"/>
        </w:rPr>
        <w:t>3.7 项目变动情况</w:t>
      </w:r>
      <w:r>
        <w:tab/>
      </w:r>
      <w:r>
        <w:fldChar w:fldCharType="begin"/>
      </w:r>
      <w:r>
        <w:instrText xml:space="preserve"> PAGEREF _Toc14790 \h </w:instrText>
      </w:r>
      <w:r>
        <w:fldChar w:fldCharType="separate"/>
      </w:r>
      <w:r>
        <w:t>15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_Toc9027 </w:instrText>
      </w:r>
      <w:r>
        <w:rPr>
          <w:rFonts w:hint="eastAsia" w:asciiTheme="majorEastAsia" w:hAnsiTheme="majorEastAsia" w:eastAsiaTheme="majorEastAsia" w:cstheme="majorEastAsia"/>
          <w:szCs w:val="28"/>
        </w:rPr>
        <w:fldChar w:fldCharType="separate"/>
      </w:r>
      <w:r>
        <w:t>4  环境保护设施</w:t>
      </w:r>
      <w:r>
        <w:tab/>
      </w:r>
      <w:r>
        <w:fldChar w:fldCharType="begin"/>
      </w:r>
      <w:r>
        <w:instrText xml:space="preserve"> PAGEREF _Toc9027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_Toc26334 </w:instrText>
      </w:r>
      <w:r>
        <w:rPr>
          <w:rFonts w:hint="eastAsia" w:asciiTheme="majorEastAsia" w:hAnsiTheme="majorEastAsia" w:eastAsiaTheme="majorEastAsia" w:cstheme="majorEastAsia"/>
          <w:szCs w:val="28"/>
        </w:rPr>
        <w:fldChar w:fldCharType="separate"/>
      </w:r>
      <w:r>
        <w:t>4.1 污染物治理/处置设施</w:t>
      </w:r>
      <w:r>
        <w:tab/>
      </w:r>
      <w:r>
        <w:fldChar w:fldCharType="begin"/>
      </w:r>
      <w:r>
        <w:instrText xml:space="preserve"> PAGEREF _Toc26334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_Toc7256 </w:instrText>
      </w:r>
      <w:r>
        <w:rPr>
          <w:rFonts w:hint="eastAsia" w:asciiTheme="majorEastAsia" w:hAnsiTheme="majorEastAsia" w:eastAsiaTheme="majorEastAsia" w:cstheme="majorEastAsia"/>
          <w:szCs w:val="28"/>
        </w:rPr>
        <w:fldChar w:fldCharType="separate"/>
      </w:r>
      <w:r>
        <w:t>4.2 其他环保措施</w:t>
      </w:r>
      <w:r>
        <w:tab/>
      </w:r>
      <w:r>
        <w:fldChar w:fldCharType="begin"/>
      </w:r>
      <w:r>
        <w:instrText xml:space="preserve"> PAGEREF _Toc7256 \h </w:instrText>
      </w:r>
      <w:r>
        <w:fldChar w:fldCharType="separate"/>
      </w:r>
      <w:r>
        <w:t>17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_Toc27443 </w:instrText>
      </w:r>
      <w:r>
        <w:rPr>
          <w:rFonts w:hint="eastAsia" w:asciiTheme="majorEastAsia" w:hAnsiTheme="majorEastAsia" w:eastAsiaTheme="majorEastAsia" w:cstheme="majorEastAsia"/>
          <w:szCs w:val="28"/>
        </w:rPr>
        <w:fldChar w:fldCharType="separate"/>
      </w:r>
      <w:r>
        <w:t>4.3环保设施投资及“三同时”落实情况</w:t>
      </w:r>
      <w:r>
        <w:tab/>
      </w:r>
      <w:r>
        <w:fldChar w:fldCharType="begin"/>
      </w:r>
      <w:r>
        <w:instrText xml:space="preserve"> PAGEREF _Toc27443 \h </w:instrText>
      </w:r>
      <w:r>
        <w:fldChar w:fldCharType="separate"/>
      </w:r>
      <w:r>
        <w:t>18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_Toc17209 </w:instrText>
      </w:r>
      <w:r>
        <w:rPr>
          <w:rFonts w:hint="eastAsia" w:asciiTheme="majorEastAsia" w:hAnsiTheme="majorEastAsia" w:eastAsiaTheme="majorEastAsia" w:cstheme="majorEastAsia"/>
          <w:szCs w:val="28"/>
        </w:rPr>
        <w:fldChar w:fldCharType="separate"/>
      </w:r>
      <w:r>
        <w:t>5 建设项目环评报告书的主要结论与建议及审批部门决定</w:t>
      </w:r>
      <w:r>
        <w:tab/>
      </w:r>
      <w:r>
        <w:fldChar w:fldCharType="begin"/>
      </w:r>
      <w:r>
        <w:instrText xml:space="preserve"> PAGEREF _Toc17209 \h </w:instrText>
      </w:r>
      <w:r>
        <w:fldChar w:fldCharType="separate"/>
      </w:r>
      <w:r>
        <w:t>20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_Toc15764 </w:instrText>
      </w:r>
      <w:r>
        <w:rPr>
          <w:rFonts w:hint="eastAsia" w:asciiTheme="majorEastAsia" w:hAnsiTheme="majorEastAsia" w:eastAsiaTheme="majorEastAsia" w:cstheme="majorEastAsia"/>
          <w:szCs w:val="28"/>
        </w:rPr>
        <w:fldChar w:fldCharType="separate"/>
      </w:r>
      <w:r>
        <w:t>5.1 建设项目环评报告书</w:t>
      </w:r>
      <w:r>
        <w:rPr>
          <w:rFonts w:hint="eastAsia"/>
          <w:lang w:eastAsia="zh-CN"/>
        </w:rPr>
        <w:t>（表）</w:t>
      </w:r>
      <w:r>
        <w:t>的主要结论与建议</w:t>
      </w:r>
      <w:r>
        <w:tab/>
      </w:r>
      <w:r>
        <w:fldChar w:fldCharType="begin"/>
      </w:r>
      <w:r>
        <w:instrText xml:space="preserve"> PAGEREF _Toc15764 \h </w:instrText>
      </w:r>
      <w:r>
        <w:fldChar w:fldCharType="separate"/>
      </w:r>
      <w:r>
        <w:t>20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_Toc5804 </w:instrText>
      </w:r>
      <w:r>
        <w:rPr>
          <w:rFonts w:hint="eastAsia" w:asciiTheme="majorEastAsia" w:hAnsiTheme="majorEastAsia" w:eastAsiaTheme="majorEastAsia" w:cstheme="majorEastAsia"/>
          <w:szCs w:val="28"/>
        </w:rPr>
        <w:fldChar w:fldCharType="separate"/>
      </w:r>
      <w:r>
        <w:t>5.2 审批部门审批决定</w:t>
      </w:r>
      <w:r>
        <w:tab/>
      </w:r>
      <w:r>
        <w:fldChar w:fldCharType="begin"/>
      </w:r>
      <w:r>
        <w:instrText xml:space="preserve"> PAGEREF _Toc5804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_Toc1177 </w:instrText>
      </w:r>
      <w:r>
        <w:rPr>
          <w:rFonts w:hint="eastAsia" w:asciiTheme="majorEastAsia" w:hAnsiTheme="majorEastAsia" w:eastAsiaTheme="majorEastAsia" w:cstheme="majorEastAsia"/>
          <w:szCs w:val="28"/>
        </w:rPr>
        <w:fldChar w:fldCharType="separate"/>
      </w:r>
      <w:r>
        <w:t>6 验收执行标准</w:t>
      </w:r>
      <w:r>
        <w:tab/>
      </w:r>
      <w:r>
        <w:fldChar w:fldCharType="begin"/>
      </w:r>
      <w:r>
        <w:instrText xml:space="preserve"> PAGEREF _Toc1177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_Toc6689 </w:instrText>
      </w:r>
      <w:r>
        <w:rPr>
          <w:rFonts w:hint="eastAsia" w:asciiTheme="majorEastAsia" w:hAnsiTheme="majorEastAsia" w:eastAsiaTheme="majorEastAsia" w:cstheme="majorEastAsia"/>
          <w:szCs w:val="28"/>
        </w:rPr>
        <w:fldChar w:fldCharType="separate"/>
      </w:r>
      <w:r>
        <w:t>6.1 废气排放执行标准</w:t>
      </w:r>
      <w:r>
        <w:tab/>
      </w:r>
      <w:r>
        <w:fldChar w:fldCharType="begin"/>
      </w:r>
      <w:r>
        <w:instrText xml:space="preserve"> PAGEREF _Toc6689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_Toc6862 </w:instrText>
      </w:r>
      <w:r>
        <w:rPr>
          <w:rFonts w:hint="eastAsia" w:asciiTheme="majorEastAsia" w:hAnsiTheme="majorEastAsia" w:eastAsiaTheme="majorEastAsia" w:cstheme="majorEastAsia"/>
          <w:szCs w:val="28"/>
        </w:rPr>
        <w:fldChar w:fldCharType="separate"/>
      </w:r>
      <w:r>
        <w:rPr>
          <w:rFonts w:hint="eastAsia" w:ascii="Times New Roman" w:hAnsi="Times New Roman" w:eastAsia="宋体"/>
          <w:lang w:val="en-US" w:eastAsia="zh-CN"/>
        </w:rPr>
        <w:t>6.2</w:t>
      </w:r>
      <w:r>
        <w:rPr>
          <w:rFonts w:hint="eastAsia" w:ascii="Times New Roman" w:hAnsi="Times New Roman" w:eastAsia="宋体"/>
        </w:rPr>
        <w:t>废水排放控制标准</w:t>
      </w:r>
      <w:r>
        <w:tab/>
      </w:r>
      <w:r>
        <w:fldChar w:fldCharType="begin"/>
      </w:r>
      <w:r>
        <w:instrText xml:space="preserve"> PAGEREF _Toc6862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_Toc7792 </w:instrText>
      </w:r>
      <w:r>
        <w:rPr>
          <w:rFonts w:hint="eastAsia" w:asciiTheme="majorEastAsia" w:hAnsiTheme="majorEastAsia" w:eastAsiaTheme="majorEastAsia" w:cstheme="majorEastAsia"/>
          <w:szCs w:val="28"/>
        </w:rPr>
        <w:fldChar w:fldCharType="separate"/>
      </w:r>
      <w:r>
        <w:t>6.</w:t>
      </w:r>
      <w:r>
        <w:rPr>
          <w:rFonts w:hint="eastAsia"/>
          <w:lang w:val="en-US" w:eastAsia="zh-CN"/>
        </w:rPr>
        <w:t>3</w:t>
      </w:r>
      <w:r>
        <w:t xml:space="preserve"> 噪声执行标准</w:t>
      </w:r>
      <w:r>
        <w:tab/>
      </w:r>
      <w:r>
        <w:fldChar w:fldCharType="begin"/>
      </w:r>
      <w:r>
        <w:instrText xml:space="preserve"> PAGEREF _Toc7792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_Toc10440 </w:instrText>
      </w:r>
      <w:r>
        <w:rPr>
          <w:rFonts w:hint="eastAsia" w:asciiTheme="majorEastAsia" w:hAnsiTheme="majorEastAsia" w:eastAsiaTheme="majorEastAsia" w:cstheme="majorEastAsia"/>
          <w:szCs w:val="28"/>
        </w:rPr>
        <w:fldChar w:fldCharType="separate"/>
      </w:r>
      <w:r>
        <w:rPr>
          <w:rFonts w:hint="eastAsia"/>
        </w:rPr>
        <w:t>6.</w:t>
      </w:r>
      <w:r>
        <w:rPr>
          <w:rFonts w:hint="eastAsia"/>
          <w:lang w:val="en-US" w:eastAsia="zh-CN"/>
        </w:rPr>
        <w:t>4</w:t>
      </w:r>
      <w:r>
        <w:rPr>
          <w:rFonts w:hint="eastAsia"/>
        </w:rPr>
        <w:t>固体废物污染管控标准要求</w:t>
      </w:r>
      <w:r>
        <w:tab/>
      </w:r>
      <w:r>
        <w:fldChar w:fldCharType="begin"/>
      </w:r>
      <w:r>
        <w:instrText xml:space="preserve"> PAGEREF _Toc10440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_Toc10651 </w:instrText>
      </w:r>
      <w:r>
        <w:rPr>
          <w:rFonts w:hint="eastAsia" w:asciiTheme="majorEastAsia" w:hAnsiTheme="majorEastAsia" w:eastAsiaTheme="majorEastAsia" w:cstheme="majorEastAsia"/>
          <w:szCs w:val="28"/>
        </w:rPr>
        <w:fldChar w:fldCharType="separate"/>
      </w:r>
      <w:r>
        <w:t>7 验收监测内容</w:t>
      </w:r>
      <w:r>
        <w:tab/>
      </w:r>
      <w:r>
        <w:fldChar w:fldCharType="begin"/>
      </w:r>
      <w:r>
        <w:instrText xml:space="preserve"> PAGEREF _Toc10651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_Toc11520 </w:instrText>
      </w:r>
      <w:r>
        <w:rPr>
          <w:rFonts w:hint="eastAsia" w:asciiTheme="majorEastAsia" w:hAnsiTheme="majorEastAsia" w:eastAsiaTheme="majorEastAsia" w:cstheme="majorEastAsia"/>
          <w:szCs w:val="28"/>
        </w:rPr>
        <w:fldChar w:fldCharType="separate"/>
      </w:r>
      <w:r>
        <w:rPr>
          <w:rFonts w:hint="eastAsia"/>
        </w:rPr>
        <w:t>7.1验收监测内容</w:t>
      </w:r>
      <w:r>
        <w:tab/>
      </w:r>
      <w:r>
        <w:fldChar w:fldCharType="begin"/>
      </w:r>
      <w:r>
        <w:instrText xml:space="preserve"> PAGEREF _Toc11520 \h </w:instrText>
      </w:r>
      <w:r>
        <w:fldChar w:fldCharType="separate"/>
      </w:r>
      <w:r>
        <w:t>27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_Toc8417 </w:instrText>
      </w:r>
      <w:r>
        <w:rPr>
          <w:rFonts w:hint="eastAsia" w:asciiTheme="majorEastAsia" w:hAnsiTheme="majorEastAsia" w:eastAsiaTheme="majorEastAsia" w:cstheme="majorEastAsia"/>
          <w:szCs w:val="28"/>
        </w:rPr>
        <w:fldChar w:fldCharType="separate"/>
      </w:r>
      <w:r>
        <w:t>8 质量保证及质量控制</w:t>
      </w:r>
      <w:r>
        <w:tab/>
      </w:r>
      <w:r>
        <w:fldChar w:fldCharType="begin"/>
      </w:r>
      <w:r>
        <w:instrText xml:space="preserve"> PAGEREF _Toc8417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_Toc23552 </w:instrText>
      </w:r>
      <w:r>
        <w:rPr>
          <w:rFonts w:hint="eastAsia" w:asciiTheme="majorEastAsia" w:hAnsiTheme="majorEastAsia" w:eastAsiaTheme="majorEastAsia" w:cstheme="majorEastAsia"/>
          <w:szCs w:val="28"/>
        </w:rPr>
        <w:fldChar w:fldCharType="separate"/>
      </w:r>
      <w:r>
        <w:t>8.1</w:t>
      </w:r>
      <w:r>
        <w:rPr>
          <w:rFonts w:hint="eastAsia"/>
        </w:rPr>
        <w:t>检测分析方法及仪器设备</w:t>
      </w:r>
      <w:r>
        <w:tab/>
      </w:r>
      <w:r>
        <w:fldChar w:fldCharType="begin"/>
      </w:r>
      <w:r>
        <w:instrText xml:space="preserve"> PAGEREF _Toc23552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_Toc29582 </w:instrText>
      </w:r>
      <w:r>
        <w:rPr>
          <w:rFonts w:hint="eastAsia" w:asciiTheme="majorEastAsia" w:hAnsiTheme="majorEastAsia" w:eastAsiaTheme="majorEastAsia" w:cstheme="majorEastAsia"/>
          <w:szCs w:val="28"/>
        </w:rPr>
        <w:fldChar w:fldCharType="separate"/>
      </w:r>
      <w:r>
        <w:rPr>
          <w:rFonts w:hint="eastAsia"/>
        </w:rPr>
        <w:t>8.</w:t>
      </w:r>
      <w:r>
        <w:rPr>
          <w:rFonts w:hint="eastAsia"/>
          <w:lang w:val="en-US" w:eastAsia="zh-CN"/>
        </w:rPr>
        <w:t>2</w:t>
      </w:r>
      <w:r>
        <w:rPr>
          <w:rFonts w:hint="eastAsia"/>
        </w:rPr>
        <w:t xml:space="preserve"> 质量保证</w:t>
      </w:r>
      <w:r>
        <w:tab/>
      </w:r>
      <w:r>
        <w:fldChar w:fldCharType="begin"/>
      </w:r>
      <w:r>
        <w:instrText xml:space="preserve"> PAGEREF _Toc29582 \h </w:instrText>
      </w:r>
      <w:r>
        <w:fldChar w:fldCharType="separate"/>
      </w:r>
      <w:r>
        <w:t>29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_Toc21504 </w:instrText>
      </w:r>
      <w:r>
        <w:rPr>
          <w:rFonts w:hint="eastAsia" w:asciiTheme="majorEastAsia" w:hAnsiTheme="majorEastAsia" w:eastAsiaTheme="majorEastAsia" w:cstheme="majorEastAsia"/>
          <w:szCs w:val="28"/>
        </w:rPr>
        <w:fldChar w:fldCharType="separate"/>
      </w:r>
      <w:r>
        <w:t>9 验收监测结果</w:t>
      </w:r>
      <w:r>
        <w:tab/>
      </w:r>
      <w:r>
        <w:fldChar w:fldCharType="begin"/>
      </w:r>
      <w:r>
        <w:instrText xml:space="preserve"> PAGEREF _Toc21504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_Toc24288 </w:instrText>
      </w:r>
      <w:r>
        <w:rPr>
          <w:rFonts w:hint="eastAsia" w:asciiTheme="majorEastAsia" w:hAnsiTheme="majorEastAsia" w:eastAsiaTheme="majorEastAsia" w:cstheme="majorEastAsia"/>
          <w:szCs w:val="28"/>
        </w:rPr>
        <w:fldChar w:fldCharType="separate"/>
      </w:r>
      <w:r>
        <w:t>9.1生产工况</w:t>
      </w:r>
      <w:r>
        <w:tab/>
      </w:r>
      <w:r>
        <w:fldChar w:fldCharType="begin"/>
      </w:r>
      <w:r>
        <w:instrText xml:space="preserve"> PAGEREF _Toc24288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_Toc30361 </w:instrText>
      </w:r>
      <w:r>
        <w:rPr>
          <w:rFonts w:hint="eastAsia" w:asciiTheme="majorEastAsia" w:hAnsiTheme="majorEastAsia" w:eastAsiaTheme="majorEastAsia" w:cstheme="majorEastAsia"/>
          <w:szCs w:val="28"/>
        </w:rPr>
        <w:fldChar w:fldCharType="separate"/>
      </w:r>
      <w:r>
        <w:t>9.2 环境保护设施调试效果</w:t>
      </w:r>
      <w:r>
        <w:tab/>
      </w:r>
      <w:r>
        <w:fldChar w:fldCharType="begin"/>
      </w:r>
      <w:r>
        <w:instrText xml:space="preserve"> PAGEREF _Toc30361 \h </w:instrText>
      </w:r>
      <w:r>
        <w:fldChar w:fldCharType="separate"/>
      </w:r>
      <w:r>
        <w:t>31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_Toc7506 </w:instrText>
      </w:r>
      <w:r>
        <w:rPr>
          <w:rFonts w:hint="eastAsia" w:asciiTheme="majorEastAsia" w:hAnsiTheme="majorEastAsia" w:eastAsiaTheme="majorEastAsia" w:cstheme="majorEastAsia"/>
          <w:szCs w:val="28"/>
        </w:rPr>
        <w:fldChar w:fldCharType="separate"/>
      </w:r>
      <w:r>
        <w:rPr>
          <w:rFonts w:hint="eastAsia"/>
        </w:rPr>
        <w:t>10验收监测结论</w:t>
      </w:r>
      <w:r>
        <w:tab/>
      </w:r>
      <w:r>
        <w:fldChar w:fldCharType="begin"/>
      </w:r>
      <w:r>
        <w:instrText xml:space="preserve"> PAGEREF _Toc7506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_Toc23207 </w:instrText>
      </w:r>
      <w:r>
        <w:rPr>
          <w:rFonts w:hint="eastAsia" w:asciiTheme="majorEastAsia" w:hAnsiTheme="majorEastAsia" w:eastAsiaTheme="majorEastAsia" w:cstheme="majorEastAsia"/>
          <w:szCs w:val="28"/>
        </w:rPr>
        <w:fldChar w:fldCharType="separate"/>
      </w:r>
      <w:r>
        <w:t>10.1 环境保护设施调试效果</w:t>
      </w:r>
      <w:r>
        <w:tab/>
      </w:r>
      <w:r>
        <w:fldChar w:fldCharType="begin"/>
      </w:r>
      <w:r>
        <w:instrText xml:space="preserve"> PAGEREF _Toc23207 \h </w:instrText>
      </w:r>
      <w:r>
        <w:fldChar w:fldCharType="separate"/>
      </w:r>
      <w:r>
        <w:t>34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_Toc23702 </w:instrText>
      </w:r>
      <w:r>
        <w:rPr>
          <w:rFonts w:hint="eastAsia" w:asciiTheme="majorEastAsia" w:hAnsiTheme="majorEastAsia" w:eastAsiaTheme="majorEastAsia" w:cstheme="majorEastAsia"/>
          <w:szCs w:val="28"/>
        </w:rPr>
        <w:fldChar w:fldCharType="separate"/>
      </w:r>
      <w:r>
        <w:t>10.2环境管理检查</w:t>
      </w:r>
      <w:r>
        <w:tab/>
      </w:r>
      <w:r>
        <w:fldChar w:fldCharType="begin"/>
      </w:r>
      <w:r>
        <w:instrText xml:space="preserve"> PAGEREF _Toc23702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_Toc32178 </w:instrText>
      </w:r>
      <w:r>
        <w:rPr>
          <w:rFonts w:hint="eastAsia" w:asciiTheme="majorEastAsia" w:hAnsiTheme="majorEastAsia" w:eastAsiaTheme="majorEastAsia" w:cstheme="majorEastAsia"/>
          <w:szCs w:val="28"/>
        </w:rPr>
        <w:fldChar w:fldCharType="separate"/>
      </w:r>
      <w:r>
        <w:t>10.</w:t>
      </w:r>
      <w:r>
        <w:rPr>
          <w:rFonts w:hint="eastAsia"/>
          <w:lang w:val="en-US" w:eastAsia="zh-CN"/>
        </w:rPr>
        <w:t>3</w:t>
      </w:r>
      <w:r>
        <w:t xml:space="preserve"> 综合结论</w:t>
      </w:r>
      <w:r>
        <w:tab/>
      </w:r>
      <w:r>
        <w:fldChar w:fldCharType="begin"/>
      </w:r>
      <w:r>
        <w:instrText xml:space="preserve"> PAGEREF _Toc32178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9"/>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_Toc26520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建议与要求</w:t>
      </w:r>
      <w:r>
        <w:tab/>
      </w:r>
      <w:r>
        <w:fldChar w:fldCharType="begin"/>
      </w:r>
      <w:r>
        <w:instrText xml:space="preserve"> PAGEREF _Toc26520 \h </w:instrText>
      </w:r>
      <w:r>
        <w:fldChar w:fldCharType="separate"/>
      </w:r>
      <w:r>
        <w:t>35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_Toc15467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 xml:space="preserve">1 </w:t>
      </w:r>
      <w:r>
        <w:t>附图附件</w:t>
      </w:r>
      <w:r>
        <w:tab/>
      </w:r>
      <w:r>
        <w:fldChar w:fldCharType="begin"/>
      </w:r>
      <w:r>
        <w:instrText xml:space="preserve"> PAGEREF _Toc15467 \h </w:instrText>
      </w:r>
      <w:r>
        <w:fldChar w:fldCharType="separate"/>
      </w:r>
      <w:r>
        <w:t>36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rPr>
          <w:rFonts w:hint="eastAsia" w:asciiTheme="majorEastAsia" w:hAnsiTheme="majorEastAsia" w:eastAsiaTheme="majorEastAsia" w:cstheme="majorEastAsia"/>
          <w:color w:val="000000" w:themeColor="text1"/>
          <w:sz w:val="24"/>
          <w:szCs w:val="28"/>
          <w:lang w:val="en-US" w:eastAsia="zh-CN" w:bidi="ar-SA"/>
          <w14:textFill>
            <w14:solidFill>
              <w14:schemeClr w14:val="tx1"/>
            </w14:solidFill>
          </w14:textFill>
        </w:rPr>
        <w:sectPr>
          <w:headerReference r:id="rId10" w:type="first"/>
          <w:footerReference r:id="rId13" w:type="first"/>
          <w:headerReference r:id="rId8" w:type="default"/>
          <w:footerReference r:id="rId11" w:type="default"/>
          <w:headerReference r:id="rId9" w:type="even"/>
          <w:footerReference r:id="rId12" w:type="even"/>
          <w:pgSz w:w="11850" w:h="16783"/>
          <w:pgMar w:top="1440" w:right="1531" w:bottom="1440" w:left="1531" w:header="851" w:footer="992" w:gutter="0"/>
          <w:pgBorders>
            <w:top w:val="none" w:sz="0" w:space="0"/>
            <w:left w:val="none" w:sz="0" w:space="0"/>
            <w:bottom w:val="none" w:sz="0" w:space="0"/>
            <w:right w:val="none" w:sz="0" w:space="0"/>
          </w:pgBorders>
          <w:pgNumType w:start="1"/>
          <w:cols w:space="0" w:num="1"/>
          <w:docGrid w:type="lines" w:linePitch="355" w:charSpace="0"/>
        </w:sectPr>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r>
        <w:rPr>
          <w:rFonts w:hint="eastAsia" w:asciiTheme="majorEastAsia" w:hAnsiTheme="majorEastAsia" w:eastAsiaTheme="majorEastAsia" w:cstheme="majorEastAsia"/>
          <w:color w:val="000000" w:themeColor="text1"/>
          <w:szCs w:val="28"/>
          <w:lang w:val="en-US" w:eastAsia="zh-CN"/>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8"/>
          <w:lang w:val="en-US" w:eastAsia="zh-CN" w:bidi="ar-SA"/>
          <w14:textFill>
            <w14:solidFill>
              <w14:schemeClr w14:val="tx1"/>
            </w14:solidFill>
          </w14:textFill>
        </w:rPr>
        <w:t>建设项目工程竣工环境保护“三同时”验收登记表</w:t>
      </w:r>
    </w:p>
    <w:p>
      <w:pPr>
        <w:pStyle w:val="2"/>
      </w:pPr>
      <w:bookmarkStart w:id="0" w:name="_Toc497833555"/>
      <w:bookmarkStart w:id="1" w:name="_Toc9568"/>
      <w:bookmarkStart w:id="2" w:name="_Toc367196739"/>
      <w:r>
        <w:t xml:space="preserve">1 </w:t>
      </w:r>
      <w:bookmarkEnd w:id="0"/>
      <w:r>
        <w:t>项目概况</w:t>
      </w:r>
      <w:bookmarkEnd w:id="1"/>
    </w:p>
    <w:bookmarkEnd w:id="2"/>
    <w:p>
      <w:pPr>
        <w:pStyle w:val="3"/>
        <w:numPr>
          <w:ilvl w:val="1"/>
          <w:numId w:val="3"/>
        </w:numPr>
      </w:pPr>
      <w:bookmarkStart w:id="3" w:name="_Toc24818"/>
      <w:bookmarkStart w:id="4" w:name="_Toc367196741"/>
      <w:r>
        <w:t>项目基本情况</w:t>
      </w:r>
      <w:bookmarkEnd w:id="3"/>
    </w:p>
    <w:p>
      <w:pPr>
        <w:spacing w:line="360" w:lineRule="auto"/>
        <w:ind w:firstLine="480" w:firstLineChars="200"/>
        <w:rPr>
          <w:rFonts w:hint="default" w:ascii="Times New Roman" w:hAnsi="Times New Roman" w:cs="Times New Roman"/>
          <w:color w:val="auto"/>
          <w:sz w:val="24"/>
          <w:lang w:val="en-US" w:eastAsia="zh-CN"/>
        </w:rPr>
      </w:pPr>
      <w:r>
        <w:rPr>
          <w:rFonts w:hint="eastAsia" w:cs="Times New Roman"/>
          <w:color w:val="auto"/>
          <w:sz w:val="24"/>
          <w:lang w:val="en-US" w:eastAsia="zh-CN"/>
        </w:rPr>
        <w:t>重庆象征科技有限公司</w:t>
      </w:r>
      <w:r>
        <w:rPr>
          <w:rFonts w:hint="default" w:ascii="Times New Roman" w:hAnsi="Times New Roman" w:cs="Times New Roman"/>
          <w:color w:val="auto"/>
          <w:sz w:val="24"/>
          <w:lang w:val="en-US" w:eastAsia="zh-CN"/>
        </w:rPr>
        <w:t>位于</w:t>
      </w:r>
      <w:r>
        <w:rPr>
          <w:rFonts w:hint="eastAsia" w:cs="Times New Roman"/>
          <w:color w:val="auto"/>
          <w:sz w:val="24"/>
          <w:lang w:val="en-US" w:eastAsia="zh-CN"/>
        </w:rPr>
        <w:t>重庆市万州区经开区联合路1号</w:t>
      </w:r>
      <w:r>
        <w:rPr>
          <w:rFonts w:hint="default" w:ascii="Times New Roman" w:hAnsi="Times New Roman" w:cs="Times New Roman"/>
          <w:color w:val="auto"/>
          <w:sz w:val="24"/>
          <w:lang w:val="en-US" w:eastAsia="zh-CN"/>
        </w:rPr>
        <w:t>，项目租赁标准厂房，建筑面积1.6万m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，建设2.5D玻璃盖板生产线，年产量4000万片。</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202</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7</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重庆象征科技有限公司</w:t>
      </w:r>
      <w:r>
        <w:rPr>
          <w:rFonts w:hint="default" w:ascii="Times New Roman" w:hAnsi="Times New Roman" w:cs="Times New Roman"/>
          <w:color w:val="auto"/>
          <w:sz w:val="24"/>
          <w:lang w:val="en-US" w:eastAsia="zh-CN"/>
        </w:rPr>
        <w:t>委托</w:t>
      </w:r>
      <w:r>
        <w:rPr>
          <w:rFonts w:hint="eastAsia" w:cs="Times New Roman"/>
          <w:color w:val="auto"/>
          <w:sz w:val="24"/>
          <w:lang w:val="en-US" w:eastAsia="zh-CN"/>
        </w:rPr>
        <w:t>成都元页环保科技有限公司</w:t>
      </w:r>
      <w:r>
        <w:rPr>
          <w:rFonts w:hint="default" w:ascii="Times New Roman" w:hAnsi="Times New Roman" w:cs="Times New Roman"/>
          <w:color w:val="auto"/>
          <w:sz w:val="24"/>
          <w:lang w:val="en-US" w:eastAsia="zh-CN"/>
        </w:rPr>
        <w:t>编制完成了《</w:t>
      </w:r>
      <w:r>
        <w:rPr>
          <w:rFonts w:hint="eastAsia" w:cs="Times New Roman"/>
          <w:color w:val="auto"/>
          <w:sz w:val="24"/>
          <w:lang w:val="en-US" w:eastAsia="zh-CN"/>
        </w:rPr>
        <w:t>重庆象征科技有限公司年产4000万片2.5D/3D手机、笔电消费电子玻璃盖板项目</w:t>
      </w:r>
      <w:r>
        <w:rPr>
          <w:rFonts w:hint="default" w:ascii="Times New Roman" w:hAnsi="Times New Roman" w:cs="Times New Roman"/>
          <w:color w:val="auto"/>
          <w:sz w:val="24"/>
          <w:lang w:val="en-US" w:eastAsia="zh-CN"/>
        </w:rPr>
        <w:t>环境影响报告表》。202</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08</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24</w:t>
      </w:r>
      <w:r>
        <w:rPr>
          <w:rFonts w:hint="default" w:ascii="Times New Roman" w:hAnsi="Times New Roman" w:cs="Times New Roman"/>
          <w:color w:val="auto"/>
          <w:sz w:val="24"/>
          <w:lang w:val="en-US" w:eastAsia="zh-CN"/>
        </w:rPr>
        <w:t>日，重庆市万州区生态环境局以</w:t>
      </w:r>
      <w:r>
        <w:rPr>
          <w:rFonts w:hint="eastAsia" w:cs="Times New Roman"/>
          <w:color w:val="auto"/>
          <w:sz w:val="24"/>
          <w:lang w:val="en-US" w:eastAsia="zh-CN"/>
        </w:rPr>
        <w:t>渝（万）环准[2021]86号</w:t>
      </w:r>
      <w:r>
        <w:rPr>
          <w:rFonts w:hint="default" w:ascii="Times New Roman" w:hAnsi="Times New Roman" w:cs="Times New Roman"/>
          <w:color w:val="auto"/>
          <w:sz w:val="24"/>
          <w:lang w:val="en-US" w:eastAsia="zh-CN"/>
        </w:rPr>
        <w:t>文对该项目环境影响报告表进行批复。</w:t>
      </w:r>
    </w:p>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重庆象征科技有限公司年产4000万片2.5D/3D手机、笔电消费电子玻璃盖板项目</w:t>
      </w:r>
      <w:r>
        <w:rPr>
          <w:rFonts w:hint="default" w:ascii="Times New Roman" w:hAnsi="Times New Roman" w:eastAsia="宋体" w:cs="Times New Roman"/>
          <w:color w:val="auto"/>
          <w:sz w:val="24"/>
          <w:lang w:val="en-US" w:eastAsia="zh-CN"/>
        </w:rPr>
        <w:t>于20</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年0</w:t>
      </w:r>
      <w:r>
        <w:rPr>
          <w:rFonts w:hint="eastAsia" w:cs="Times New Roman"/>
          <w:color w:val="auto"/>
          <w:sz w:val="24"/>
          <w:lang w:val="en-US" w:eastAsia="zh-CN"/>
        </w:rPr>
        <w:t>9</w:t>
      </w:r>
      <w:r>
        <w:rPr>
          <w:rFonts w:hint="default" w:ascii="Times New Roman" w:hAnsi="Times New Roman" w:eastAsia="宋体" w:cs="Times New Roman"/>
          <w:color w:val="auto"/>
          <w:sz w:val="24"/>
          <w:lang w:val="en-US" w:eastAsia="zh-CN"/>
        </w:rPr>
        <w:t>月开工建设，202</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11</w:t>
      </w:r>
      <w:r>
        <w:rPr>
          <w:rFonts w:hint="default" w:ascii="Times New Roman" w:hAnsi="Times New Roman" w:eastAsia="宋体" w:cs="Times New Roman"/>
          <w:color w:val="auto"/>
          <w:sz w:val="24"/>
          <w:lang w:val="en-US" w:eastAsia="zh-CN"/>
        </w:rPr>
        <w:t>月竣工。</w:t>
      </w:r>
    </w:p>
    <w:p>
      <w:pPr>
        <w:spacing w:line="360" w:lineRule="auto"/>
        <w:ind w:firstLine="480" w:firstLineChars="200"/>
        <w:rPr>
          <w:rFonts w:hint="default" w:ascii="Times New Roman" w:hAnsi="Times New Roman" w:cs="Times New Roman"/>
          <w:color w:val="auto"/>
          <w:szCs w:val="24"/>
        </w:rPr>
      </w:pPr>
      <w:r>
        <w:rPr>
          <w:rFonts w:hint="default" w:ascii="Times New Roman" w:hAnsi="Times New Roman" w:eastAsia="宋体" w:cs="Times New Roman"/>
          <w:color w:val="auto"/>
          <w:sz w:val="24"/>
          <w:lang w:val="en-US" w:eastAsia="zh-CN"/>
        </w:rPr>
        <w:t>根据《中华人民共和国环境保护法》、《建设项目环境保护管理条例》、《建设项目竣工环境保护验收管理办法》等有关规定，按照环境保护“三同时”制度要求，该建设项目必须进行竣工环境保护验收。为此，</w:t>
      </w:r>
      <w:r>
        <w:rPr>
          <w:rFonts w:hint="eastAsia" w:cs="Times New Roman"/>
          <w:color w:val="auto"/>
          <w:sz w:val="24"/>
          <w:lang w:val="en-US" w:eastAsia="zh-CN"/>
        </w:rPr>
        <w:t>重庆象征科技有限公司</w:t>
      </w:r>
      <w:r>
        <w:rPr>
          <w:rFonts w:hint="default" w:ascii="Times New Roman" w:hAnsi="Times New Roman" w:cs="Times New Roman"/>
          <w:color w:val="auto"/>
          <w:szCs w:val="24"/>
        </w:rPr>
        <w:t>开展</w:t>
      </w:r>
      <w:r>
        <w:rPr>
          <w:rFonts w:hint="eastAsia" w:cs="Times New Roman"/>
          <w:color w:val="auto"/>
          <w:szCs w:val="24"/>
          <w:lang w:eastAsia="zh-CN"/>
        </w:rPr>
        <w:t>项目</w:t>
      </w:r>
      <w:r>
        <w:rPr>
          <w:rFonts w:hint="default" w:ascii="Times New Roman" w:hAnsi="Times New Roman" w:cs="Times New Roman"/>
          <w:color w:val="auto"/>
          <w:szCs w:val="24"/>
        </w:rPr>
        <w:t>竣工环境保护验收工作，并编制完成了《</w:t>
      </w:r>
      <w:r>
        <w:rPr>
          <w:rFonts w:hint="eastAsia" w:cs="Times New Roman"/>
          <w:color w:val="auto"/>
          <w:szCs w:val="24"/>
          <w:lang w:eastAsia="zh-CN"/>
        </w:rPr>
        <w:t>重庆象征科技有限公司年产4000万片2.5D/3D手机、笔电消费电子玻璃盖板项目（一阶段）</w:t>
      </w:r>
      <w:r>
        <w:rPr>
          <w:rFonts w:hint="default" w:ascii="Times New Roman" w:hAnsi="Times New Roman" w:cs="Times New Roman"/>
          <w:color w:val="auto"/>
          <w:szCs w:val="24"/>
        </w:rPr>
        <w:t>竣工环境保护验收监测报告》。</w:t>
      </w:r>
    </w:p>
    <w:p>
      <w:pPr>
        <w:pStyle w:val="11"/>
      </w:pPr>
    </w:p>
    <w:p>
      <w:pPr>
        <w:pStyle w:val="11"/>
      </w:pPr>
    </w:p>
    <w:p>
      <w:pPr>
        <w:pStyle w:val="11"/>
      </w:pPr>
    </w:p>
    <w:p>
      <w:pPr>
        <w:pStyle w:val="11"/>
      </w:pPr>
    </w:p>
    <w:p>
      <w:pPr>
        <w:pStyle w:val="11"/>
      </w:pPr>
    </w:p>
    <w:p>
      <w:pPr>
        <w:pStyle w:val="11"/>
        <w:keepNext w:val="0"/>
        <w:keepLines w:val="0"/>
        <w:pageBreakBefore/>
        <w:widowControl/>
        <w:kinsoku/>
        <w:wordWrap/>
        <w:overflowPunct/>
        <w:topLinePunct w:val="0"/>
        <w:autoSpaceDE/>
        <w:autoSpaceDN/>
        <w:bidi w:val="0"/>
        <w:adjustRightInd w:val="0"/>
        <w:snapToGrid w:val="0"/>
        <w:textAlignment w:val="baseline"/>
      </w:pPr>
    </w:p>
    <w:p>
      <w:pPr>
        <w:ind w:firstLine="480" w:firstLineChars="200"/>
        <w:jc w:val="both"/>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项目详细情况见表1-1。</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14:textFill>
            <w14:solidFill>
              <w14:schemeClr w14:val="tx1"/>
            </w14:solidFill>
          </w14:textFill>
        </w:rPr>
        <w:t>1-1</w:t>
      </w:r>
      <w:r>
        <w:rPr>
          <w:rFonts w:cs="Times New Roman" w:eastAsiaTheme="minorEastAsia"/>
          <w:b/>
          <w:bCs/>
          <w:color w:val="000000" w:themeColor="text1"/>
          <w:sz w:val="21"/>
          <w:szCs w:val="21"/>
          <w14:textFill>
            <w14:solidFill>
              <w14:schemeClr w14:val="tx1"/>
            </w14:solidFill>
          </w14:textFill>
        </w:rPr>
        <w:t xml:space="preserve">    验收项目</w:t>
      </w:r>
      <w:r>
        <w:rPr>
          <w:rFonts w:hint="eastAsia" w:cs="Times New Roman" w:eastAsiaTheme="minorEastAsia"/>
          <w:b/>
          <w:bCs/>
          <w:color w:val="000000" w:themeColor="text1"/>
          <w:sz w:val="21"/>
          <w:szCs w:val="21"/>
          <w14:textFill>
            <w14:solidFill>
              <w14:schemeClr w14:val="tx1"/>
            </w14:solidFill>
          </w14:textFill>
        </w:rPr>
        <w:t>详细情况一览表</w:t>
      </w:r>
    </w:p>
    <w:tbl>
      <w:tblPr>
        <w:tblStyle w:val="23"/>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建设项目名称</w:t>
            </w:r>
          </w:p>
        </w:tc>
        <w:tc>
          <w:tcPr>
            <w:tcW w:w="7220" w:type="dxa"/>
            <w:gridSpan w:val="8"/>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年产4000万片2.5D/3D手机、笔电消费电子玻璃盖板项目（一阶段）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建设</w:t>
            </w:r>
            <w:r>
              <w:rPr>
                <w:rFonts w:ascii="Times New Roman" w:hAnsi="Times New Roman" w:eastAsiaTheme="minorEastAsia"/>
                <w:kern w:val="2"/>
                <w:sz w:val="21"/>
                <w:szCs w:val="21"/>
              </w:rPr>
              <w:t>单位名称</w:t>
            </w:r>
          </w:p>
        </w:tc>
        <w:tc>
          <w:tcPr>
            <w:tcW w:w="7220" w:type="dxa"/>
            <w:gridSpan w:val="8"/>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重庆象征科技有限公司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建设地点</w:t>
            </w:r>
          </w:p>
        </w:tc>
        <w:tc>
          <w:tcPr>
            <w:tcW w:w="4920" w:type="dxa"/>
            <w:gridSpan w:val="5"/>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eastAsia="zh-CN"/>
              </w:rPr>
              <w:t>重庆市万州区经开区联合路1号</w:t>
            </w:r>
          </w:p>
        </w:tc>
        <w:tc>
          <w:tcPr>
            <w:tcW w:w="739"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邮编</w:t>
            </w:r>
          </w:p>
        </w:tc>
        <w:tc>
          <w:tcPr>
            <w:tcW w:w="1561" w:type="dxa"/>
            <w:gridSpan w:val="2"/>
            <w:vAlign w:val="center"/>
          </w:tcPr>
          <w:p>
            <w:pPr>
              <w:pStyle w:val="40"/>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404000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联系人</w:t>
            </w:r>
          </w:p>
        </w:tc>
        <w:tc>
          <w:tcPr>
            <w:tcW w:w="2595" w:type="dxa"/>
            <w:gridSpan w:val="3"/>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向阳</w:t>
            </w:r>
          </w:p>
        </w:tc>
        <w:tc>
          <w:tcPr>
            <w:tcW w:w="2325" w:type="dxa"/>
            <w:gridSpan w:val="2"/>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联系电话</w:t>
            </w:r>
          </w:p>
        </w:tc>
        <w:tc>
          <w:tcPr>
            <w:tcW w:w="2300" w:type="dxa"/>
            <w:gridSpan w:val="3"/>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手机：13798148763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建设项目性质</w:t>
            </w:r>
          </w:p>
        </w:tc>
        <w:tc>
          <w:tcPr>
            <w:tcW w:w="7220" w:type="dxa"/>
            <w:gridSpan w:val="8"/>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新建√     改扩建       技术改造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44"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环评报告审批部门</w:t>
            </w:r>
          </w:p>
        </w:tc>
        <w:tc>
          <w:tcPr>
            <w:tcW w:w="1768" w:type="dxa"/>
            <w:gridSpan w:val="2"/>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重庆市万州区生态环境局</w:t>
            </w:r>
          </w:p>
        </w:tc>
        <w:tc>
          <w:tcPr>
            <w:tcW w:w="827" w:type="dxa"/>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文号</w:t>
            </w:r>
          </w:p>
        </w:tc>
        <w:tc>
          <w:tcPr>
            <w:tcW w:w="2325" w:type="dxa"/>
            <w:gridSpan w:val="2"/>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val="en-US" w:eastAsia="zh-CN"/>
              </w:rPr>
              <w:t>渝（万）环准[2021]86号</w:t>
            </w:r>
          </w:p>
        </w:tc>
        <w:tc>
          <w:tcPr>
            <w:tcW w:w="739" w:type="dxa"/>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时间</w:t>
            </w:r>
          </w:p>
        </w:tc>
        <w:tc>
          <w:tcPr>
            <w:tcW w:w="1561" w:type="dxa"/>
            <w:gridSpan w:val="2"/>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2021年08月24日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hint="eastAsia" w:ascii="Times New Roman" w:hAnsi="Times New Roman" w:eastAsiaTheme="minorEastAsia"/>
                <w:kern w:val="2"/>
                <w:sz w:val="21"/>
                <w:szCs w:val="21"/>
                <w:lang w:eastAsia="zh-CN"/>
              </w:rPr>
            </w:pPr>
            <w:r>
              <w:rPr>
                <w:rFonts w:ascii="Times New Roman" w:hAnsi="Times New Roman" w:eastAsiaTheme="minorEastAsia"/>
                <w:kern w:val="2"/>
                <w:sz w:val="21"/>
                <w:szCs w:val="21"/>
              </w:rPr>
              <w:t>环评报告</w:t>
            </w:r>
            <w:r>
              <w:rPr>
                <w:rFonts w:hint="eastAsia" w:ascii="Times New Roman" w:hAnsi="Times New Roman" w:eastAsiaTheme="minorEastAsia"/>
                <w:kern w:val="2"/>
                <w:sz w:val="21"/>
                <w:szCs w:val="21"/>
                <w:lang w:eastAsia="zh-CN"/>
              </w:rPr>
              <w:t>表</w:t>
            </w:r>
          </w:p>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编制单位</w:t>
            </w:r>
          </w:p>
        </w:tc>
        <w:tc>
          <w:tcPr>
            <w:tcW w:w="2595" w:type="dxa"/>
            <w:gridSpan w:val="3"/>
            <w:vAlign w:val="center"/>
          </w:tcPr>
          <w:p>
            <w:pPr>
              <w:pStyle w:val="40"/>
              <w:rPr>
                <w:rFonts w:hint="eastAsia" w:ascii="Times New Roman" w:hAnsi="Times New Roman" w:eastAsiaTheme="minorEastAsia"/>
                <w:kern w:val="2"/>
                <w:sz w:val="21"/>
                <w:szCs w:val="21"/>
                <w:lang w:eastAsia="zh-CN"/>
              </w:rPr>
            </w:pPr>
            <w:r>
              <w:rPr>
                <w:rFonts w:hint="eastAsia" w:ascii="Times New Roman" w:hAnsi="Times New Roman" w:eastAsiaTheme="minorEastAsia"/>
                <w:kern w:val="2"/>
                <w:sz w:val="21"/>
                <w:szCs w:val="21"/>
                <w:lang w:eastAsia="zh-CN"/>
              </w:rPr>
              <w:t>成都元页环保科技有限公司</w:t>
            </w:r>
          </w:p>
        </w:tc>
        <w:tc>
          <w:tcPr>
            <w:tcW w:w="2325" w:type="dxa"/>
            <w:gridSpan w:val="2"/>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环境监理单位</w:t>
            </w:r>
          </w:p>
        </w:tc>
        <w:tc>
          <w:tcPr>
            <w:tcW w:w="2300" w:type="dxa"/>
            <w:gridSpan w:val="3"/>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开工建设时间</w:t>
            </w:r>
          </w:p>
        </w:tc>
        <w:tc>
          <w:tcPr>
            <w:tcW w:w="2595" w:type="dxa"/>
            <w:gridSpan w:val="3"/>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rPr>
              <w:t>20</w:t>
            </w:r>
            <w:r>
              <w:rPr>
                <w:rFonts w:hint="eastAsia" w:ascii="Times New Roman" w:hAnsi="Times New Roman" w:eastAsiaTheme="minorEastAsia"/>
                <w:kern w:val="2"/>
                <w:sz w:val="21"/>
                <w:szCs w:val="21"/>
                <w:lang w:val="en-US" w:eastAsia="zh-CN"/>
              </w:rPr>
              <w:t>21</w:t>
            </w:r>
            <w:r>
              <w:rPr>
                <w:rFonts w:hint="eastAsia" w:ascii="Times New Roman" w:hAnsi="Times New Roman" w:eastAsiaTheme="minorEastAsia"/>
                <w:kern w:val="2"/>
                <w:sz w:val="21"/>
                <w:szCs w:val="21"/>
              </w:rPr>
              <w:t>年</w:t>
            </w:r>
            <w:r>
              <w:rPr>
                <w:rFonts w:hint="eastAsia" w:ascii="Times New Roman" w:hAnsi="Times New Roman" w:eastAsiaTheme="minorEastAsia"/>
                <w:kern w:val="2"/>
                <w:sz w:val="21"/>
                <w:szCs w:val="21"/>
                <w:lang w:val="en-US" w:eastAsia="zh-CN"/>
              </w:rPr>
              <w:t>09</w:t>
            </w:r>
            <w:r>
              <w:rPr>
                <w:rFonts w:hint="eastAsia" w:ascii="Times New Roman" w:hAnsi="Times New Roman" w:eastAsiaTheme="minorEastAsia"/>
                <w:kern w:val="2"/>
                <w:sz w:val="21"/>
                <w:szCs w:val="21"/>
              </w:rPr>
              <w:t>月</w:t>
            </w:r>
          </w:p>
        </w:tc>
        <w:tc>
          <w:tcPr>
            <w:tcW w:w="2325" w:type="dxa"/>
            <w:gridSpan w:val="2"/>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投入试生产时间</w:t>
            </w:r>
          </w:p>
        </w:tc>
        <w:tc>
          <w:tcPr>
            <w:tcW w:w="2300" w:type="dxa"/>
            <w:gridSpan w:val="3"/>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color w:val="auto"/>
                <w:kern w:val="2"/>
                <w:sz w:val="21"/>
                <w:szCs w:val="21"/>
              </w:rPr>
              <w:t>20</w:t>
            </w:r>
            <w:r>
              <w:rPr>
                <w:rFonts w:hint="eastAsia" w:ascii="Times New Roman" w:hAnsi="Times New Roman" w:eastAsiaTheme="minorEastAsia"/>
                <w:color w:val="auto"/>
                <w:kern w:val="2"/>
                <w:sz w:val="21"/>
                <w:szCs w:val="21"/>
                <w:lang w:val="en-US" w:eastAsia="zh-CN"/>
              </w:rPr>
              <w:t>23</w:t>
            </w:r>
            <w:r>
              <w:rPr>
                <w:rFonts w:hint="eastAsia" w:ascii="Times New Roman" w:hAnsi="Times New Roman" w:eastAsiaTheme="minorEastAsia"/>
                <w:color w:val="auto"/>
                <w:kern w:val="2"/>
                <w:sz w:val="21"/>
                <w:szCs w:val="21"/>
              </w:rPr>
              <w:t>年</w:t>
            </w:r>
            <w:r>
              <w:rPr>
                <w:rFonts w:hint="eastAsia" w:ascii="Times New Roman" w:hAnsi="Times New Roman" w:eastAsiaTheme="minorEastAsia"/>
                <w:color w:val="auto"/>
                <w:kern w:val="2"/>
                <w:sz w:val="21"/>
                <w:szCs w:val="21"/>
                <w:lang w:val="en-US" w:eastAsia="zh-CN"/>
              </w:rPr>
              <w:t>11</w:t>
            </w:r>
            <w:r>
              <w:rPr>
                <w:rFonts w:hint="eastAsia" w:ascii="Times New Roman" w:hAnsi="Times New Roman" w:eastAsiaTheme="minorEastAsia"/>
                <w:color w:val="auto"/>
                <w:kern w:val="2"/>
                <w:sz w:val="21"/>
                <w:szCs w:val="21"/>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环保设施设计单位</w:t>
            </w:r>
          </w:p>
        </w:tc>
        <w:tc>
          <w:tcPr>
            <w:tcW w:w="2595" w:type="dxa"/>
            <w:gridSpan w:val="3"/>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eastAsia="zh-CN"/>
              </w:rPr>
              <w:t>重庆象征科技有限公司</w:t>
            </w:r>
          </w:p>
        </w:tc>
        <w:tc>
          <w:tcPr>
            <w:tcW w:w="2325" w:type="dxa"/>
            <w:gridSpan w:val="2"/>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环保设施施工单位</w:t>
            </w:r>
          </w:p>
        </w:tc>
        <w:tc>
          <w:tcPr>
            <w:tcW w:w="2300" w:type="dxa"/>
            <w:gridSpan w:val="3"/>
            <w:vAlign w:val="center"/>
          </w:tcPr>
          <w:p>
            <w:pPr>
              <w:pStyle w:val="40"/>
              <w:rPr>
                <w:rFonts w:ascii="Times New Roman" w:hAnsi="Times New Roman" w:eastAsiaTheme="minorEastAsia"/>
                <w:color w:val="FF0000"/>
                <w:kern w:val="2"/>
                <w:sz w:val="21"/>
                <w:szCs w:val="21"/>
              </w:rPr>
            </w:pPr>
            <w:r>
              <w:rPr>
                <w:rFonts w:hint="eastAsia" w:ascii="Times New Roman" w:hAnsi="Times New Roman" w:eastAsiaTheme="minorEastAsia"/>
                <w:kern w:val="2"/>
                <w:sz w:val="21"/>
                <w:szCs w:val="21"/>
                <w:lang w:eastAsia="zh-CN"/>
              </w:rPr>
              <w:t>重庆象征科技有限公司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环评设计生产能力</w:t>
            </w:r>
          </w:p>
        </w:tc>
        <w:tc>
          <w:tcPr>
            <w:tcW w:w="7220" w:type="dxa"/>
            <w:gridSpan w:val="8"/>
            <w:vAlign w:val="center"/>
          </w:tcPr>
          <w:p>
            <w:pPr>
              <w:pStyle w:val="40"/>
              <w:rPr>
                <w:rFonts w:hint="default" w:ascii="Times New Roman" w:hAnsi="Times New Roman" w:cs="Times New Roman" w:eastAsiaTheme="minorEastAsia"/>
                <w:kern w:val="2"/>
                <w:sz w:val="21"/>
                <w:szCs w:val="21"/>
                <w:lang w:eastAsia="zh-CN"/>
              </w:rPr>
            </w:pPr>
            <w:r>
              <w:rPr>
                <w:rFonts w:hint="default" w:ascii="Times New Roman" w:hAnsi="Times New Roman" w:cs="Times New Roman"/>
                <w:color w:val="000000" w:themeColor="text1"/>
                <w:lang w:val="en-US" w:eastAsia="zh-CN"/>
                <w14:textFill>
                  <w14:solidFill>
                    <w14:schemeClr w14:val="tx1"/>
                  </w14:solidFill>
                </w14:textFill>
              </w:rPr>
              <w:t>建设2.5D玻璃盖板生产线，年产量4000万片。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37"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实际建设生产能力</w:t>
            </w:r>
          </w:p>
        </w:tc>
        <w:tc>
          <w:tcPr>
            <w:tcW w:w="7220" w:type="dxa"/>
            <w:gridSpan w:val="8"/>
            <w:vAlign w:val="center"/>
          </w:tcPr>
          <w:p>
            <w:pPr>
              <w:pStyle w:val="40"/>
              <w:rPr>
                <w:rFonts w:hint="default" w:ascii="Times New Roman" w:hAnsi="Times New Roman" w:cs="Times New Roman" w:eastAsiaTheme="minorEastAsia"/>
                <w:kern w:val="2"/>
                <w:sz w:val="21"/>
                <w:szCs w:val="21"/>
                <w:lang w:eastAsia="zh-CN"/>
              </w:rPr>
            </w:pPr>
            <w:r>
              <w:rPr>
                <w:rFonts w:hint="default" w:ascii="Times New Roman" w:hAnsi="Times New Roman" w:cs="Times New Roman"/>
                <w:color w:val="000000" w:themeColor="text1"/>
                <w:lang w:val="en-US" w:eastAsia="zh-CN"/>
                <w14:textFill>
                  <w14:solidFill>
                    <w14:schemeClr w14:val="tx1"/>
                  </w14:solidFill>
                </w14:textFill>
              </w:rPr>
              <w:t>建设2.5D玻璃盖板生产线，年产量</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lang w:val="en-US" w:eastAsia="zh-CN"/>
                <w14:textFill>
                  <w14:solidFill>
                    <w14:schemeClr w14:val="tx1"/>
                  </w14:solidFill>
                </w14:textFill>
              </w:rPr>
              <w:t>00万片。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概算</w:t>
            </w:r>
          </w:p>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总投资</w:t>
            </w:r>
          </w:p>
        </w:tc>
        <w:tc>
          <w:tcPr>
            <w:tcW w:w="1693" w:type="dxa"/>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16000万元</w:t>
            </w:r>
          </w:p>
        </w:tc>
        <w:tc>
          <w:tcPr>
            <w:tcW w:w="1813" w:type="dxa"/>
            <w:gridSpan w:val="3"/>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其中环保投资</w:t>
            </w:r>
          </w:p>
        </w:tc>
        <w:tc>
          <w:tcPr>
            <w:tcW w:w="1414" w:type="dxa"/>
            <w:vAlign w:val="center"/>
          </w:tcPr>
          <w:p>
            <w:pPr>
              <w:pStyle w:val="40"/>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206万元</w:t>
            </w:r>
          </w:p>
        </w:tc>
        <w:tc>
          <w:tcPr>
            <w:tcW w:w="1361" w:type="dxa"/>
            <w:gridSpan w:val="2"/>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比例</w:t>
            </w:r>
          </w:p>
        </w:tc>
        <w:tc>
          <w:tcPr>
            <w:tcW w:w="939" w:type="dxa"/>
            <w:vAlign w:val="center"/>
          </w:tcPr>
          <w:p>
            <w:pPr>
              <w:pStyle w:val="40"/>
              <w:rPr>
                <w:rFonts w:hint="eastAsia"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1.28%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1746" w:type="dxa"/>
            <w:vAlign w:val="center"/>
          </w:tcPr>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实际</w:t>
            </w:r>
          </w:p>
          <w:p>
            <w:pPr>
              <w:pStyle w:val="40"/>
              <w:rPr>
                <w:rFonts w:ascii="Times New Roman" w:hAnsi="Times New Roman" w:eastAsiaTheme="minorEastAsia"/>
                <w:kern w:val="2"/>
                <w:sz w:val="21"/>
                <w:szCs w:val="21"/>
              </w:rPr>
            </w:pPr>
            <w:r>
              <w:rPr>
                <w:rFonts w:ascii="Times New Roman" w:hAnsi="Times New Roman" w:eastAsiaTheme="minorEastAsia"/>
                <w:kern w:val="2"/>
                <w:sz w:val="21"/>
                <w:szCs w:val="21"/>
              </w:rPr>
              <w:t>总投资</w:t>
            </w:r>
          </w:p>
        </w:tc>
        <w:tc>
          <w:tcPr>
            <w:tcW w:w="1693" w:type="dxa"/>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10000</w:t>
            </w:r>
            <w:r>
              <w:rPr>
                <w:rFonts w:hint="eastAsia" w:ascii="Times New Roman" w:hAnsi="Times New Roman" w:eastAsiaTheme="minorEastAsia"/>
                <w:kern w:val="2"/>
                <w:sz w:val="21"/>
                <w:szCs w:val="21"/>
              </w:rPr>
              <w:t>万元</w:t>
            </w:r>
          </w:p>
        </w:tc>
        <w:tc>
          <w:tcPr>
            <w:tcW w:w="1813" w:type="dxa"/>
            <w:gridSpan w:val="3"/>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其中环保投资</w:t>
            </w:r>
          </w:p>
        </w:tc>
        <w:tc>
          <w:tcPr>
            <w:tcW w:w="1414" w:type="dxa"/>
            <w:vAlign w:val="center"/>
          </w:tcPr>
          <w:p>
            <w:pPr>
              <w:pStyle w:val="40"/>
              <w:rPr>
                <w:rFonts w:hint="default" w:ascii="Times New Roman" w:hAnsi="Times New Roman" w:eastAsiaTheme="minorEastAsia"/>
                <w:kern w:val="2"/>
                <w:sz w:val="21"/>
                <w:szCs w:val="21"/>
                <w:lang w:val="en-US" w:eastAsia="zh-CN"/>
              </w:rPr>
            </w:pPr>
            <w:r>
              <w:rPr>
                <w:rFonts w:hint="eastAsia" w:ascii="Times New Roman" w:hAnsi="Times New Roman" w:eastAsiaTheme="minorEastAsia"/>
                <w:kern w:val="2"/>
                <w:sz w:val="21"/>
                <w:szCs w:val="21"/>
                <w:lang w:val="en-US" w:eastAsia="zh-CN"/>
              </w:rPr>
              <w:t>180万元</w:t>
            </w:r>
          </w:p>
        </w:tc>
        <w:tc>
          <w:tcPr>
            <w:tcW w:w="1361" w:type="dxa"/>
            <w:gridSpan w:val="2"/>
            <w:vAlign w:val="center"/>
          </w:tcPr>
          <w:p>
            <w:pPr>
              <w:pStyle w:val="40"/>
              <w:rPr>
                <w:rFonts w:hint="eastAsia" w:ascii="Times New Roman" w:hAnsi="Times New Roman" w:eastAsiaTheme="minorEastAsia"/>
                <w:kern w:val="2"/>
                <w:sz w:val="21"/>
                <w:szCs w:val="21"/>
              </w:rPr>
            </w:pPr>
            <w:r>
              <w:rPr>
                <w:rFonts w:hint="eastAsia" w:ascii="Times New Roman" w:hAnsi="Times New Roman" w:eastAsiaTheme="minorEastAsia"/>
                <w:kern w:val="2"/>
                <w:sz w:val="21"/>
                <w:szCs w:val="21"/>
              </w:rPr>
              <w:t>比例</w:t>
            </w:r>
          </w:p>
        </w:tc>
        <w:tc>
          <w:tcPr>
            <w:tcW w:w="939" w:type="dxa"/>
            <w:vAlign w:val="center"/>
          </w:tcPr>
          <w:p>
            <w:pPr>
              <w:pStyle w:val="40"/>
              <w:rPr>
                <w:rFonts w:ascii="Times New Roman" w:hAnsi="Times New Roman" w:eastAsiaTheme="minorEastAsia"/>
                <w:kern w:val="2"/>
                <w:sz w:val="21"/>
                <w:szCs w:val="21"/>
              </w:rPr>
            </w:pPr>
            <w:r>
              <w:rPr>
                <w:rFonts w:hint="eastAsia" w:ascii="Times New Roman" w:hAnsi="Times New Roman" w:eastAsiaTheme="minorEastAsia"/>
                <w:kern w:val="2"/>
                <w:sz w:val="21"/>
                <w:szCs w:val="21"/>
                <w:lang w:val="en-US" w:eastAsia="zh-CN"/>
              </w:rPr>
              <w:t>1.8</w:t>
            </w:r>
            <w:r>
              <w:rPr>
                <w:rFonts w:hint="eastAsia" w:ascii="Times New Roman" w:hAnsi="Times New Roman" w:eastAsiaTheme="minorEastAsia"/>
                <w:kern w:val="2"/>
                <w:sz w:val="21"/>
                <w:szCs w:val="21"/>
              </w:rPr>
              <w:t>%</w:t>
            </w:r>
          </w:p>
        </w:tc>
      </w:tr>
    </w:tbl>
    <w:p>
      <w:pPr>
        <w:pStyle w:val="3"/>
        <w:numPr>
          <w:ilvl w:val="1"/>
          <w:numId w:val="3"/>
        </w:numPr>
        <w:rPr>
          <w:rFonts w:cs="Times New Roman" w:eastAsiaTheme="minorEastAsia"/>
          <w:snapToGrid w:val="0"/>
          <w:color w:val="000000" w:themeColor="text1"/>
          <w:sz w:val="24"/>
          <w:szCs w:val="24"/>
          <w14:textFill>
            <w14:solidFill>
              <w14:schemeClr w14:val="tx1"/>
            </w14:solidFill>
          </w14:textFill>
        </w:rPr>
      </w:pPr>
      <w:bookmarkStart w:id="5" w:name="_Toc6234419"/>
      <w:bookmarkStart w:id="6" w:name="_Toc3231"/>
      <w:r>
        <w:rPr>
          <w:rFonts w:hint="eastAsia"/>
          <w:sz w:val="24"/>
          <w:szCs w:val="24"/>
        </w:rPr>
        <w:t>验收工作由来及工作程序</w:t>
      </w:r>
      <w:bookmarkEnd w:id="5"/>
      <w:bookmarkEnd w:id="6"/>
    </w:p>
    <w:p>
      <w:pPr>
        <w:ind w:firstLine="480" w:firstLineChars="200"/>
        <w:jc w:val="both"/>
        <w:rPr>
          <w:rFonts w:cs="Times New Roman" w:eastAsiaTheme="minorEastAsia"/>
          <w:color w:val="000000" w:themeColor="text1"/>
          <w:szCs w:val="24"/>
          <w14:textFill>
            <w14:solidFill>
              <w14:schemeClr w14:val="tx1"/>
            </w14:solidFill>
          </w14:textFill>
        </w:rPr>
      </w:pPr>
      <w:r>
        <w:rPr>
          <w:rFonts w:cs="Times New Roman" w:eastAsiaTheme="minorEastAsia"/>
          <w:color w:val="000000" w:themeColor="text1"/>
          <w:szCs w:val="24"/>
          <w14:textFill>
            <w14:solidFill>
              <w14:schemeClr w14:val="tx1"/>
            </w14:solidFill>
          </w14:textFill>
        </w:rPr>
        <w:t>根据《建设项目竣工环境保护验收暂行办法》（国环规环评[2017]4号）的规定</w:t>
      </w:r>
      <w:r>
        <w:rPr>
          <w:rFonts w:cs="Times New Roman" w:eastAsiaTheme="minorEastAsia"/>
          <w:szCs w:val="24"/>
        </w:rPr>
        <w:t>，</w:t>
      </w:r>
      <w:r>
        <w:rPr>
          <w:rFonts w:hint="eastAsia" w:cs="Times New Roman" w:eastAsiaTheme="minorEastAsia"/>
          <w:szCs w:val="24"/>
        </w:rPr>
        <w:t>该项目应开展</w:t>
      </w:r>
      <w:r>
        <w:rPr>
          <w:rFonts w:cs="Times New Roman" w:eastAsiaTheme="minorEastAsia"/>
          <w:szCs w:val="24"/>
        </w:rPr>
        <w:t>竣工环境保护验收</w:t>
      </w:r>
      <w:r>
        <w:rPr>
          <w:rFonts w:hint="eastAsia" w:cs="Times New Roman" w:eastAsiaTheme="minorEastAsia"/>
          <w:szCs w:val="24"/>
        </w:rPr>
        <w:t>，</w:t>
      </w:r>
      <w:r>
        <w:rPr>
          <w:rFonts w:hint="eastAsia" w:cs="Times New Roman" w:eastAsiaTheme="minorEastAsia"/>
          <w:szCs w:val="24"/>
          <w:lang w:eastAsia="zh-CN"/>
        </w:rPr>
        <w:t>重庆象征科技有限公司</w:t>
      </w:r>
      <w:r>
        <w:rPr>
          <w:rFonts w:cs="Times New Roman" w:eastAsiaTheme="minorEastAsia"/>
          <w:szCs w:val="24"/>
        </w:rPr>
        <w:t>对</w:t>
      </w:r>
      <w:r>
        <w:rPr>
          <w:rFonts w:hint="eastAsia" w:cs="Times New Roman" w:eastAsiaTheme="minorEastAsia"/>
          <w:szCs w:val="24"/>
        </w:rPr>
        <w:t>“</w:t>
      </w:r>
      <w:r>
        <w:rPr>
          <w:rFonts w:hint="eastAsia" w:cs="Times New Roman" w:eastAsiaTheme="minorEastAsia"/>
          <w:szCs w:val="24"/>
          <w:lang w:eastAsia="zh-CN"/>
        </w:rPr>
        <w:t>重庆象征科技有限公司年产4000万片2.5D/3D手机、笔电消费电子玻璃盖板项目（一阶段）</w:t>
      </w:r>
      <w:r>
        <w:rPr>
          <w:rFonts w:hint="eastAsia" w:cs="Times New Roman" w:eastAsiaTheme="minorEastAsia"/>
          <w:color w:val="000000" w:themeColor="text1"/>
          <w:szCs w:val="24"/>
          <w14:textFill>
            <w14:solidFill>
              <w14:schemeClr w14:val="tx1"/>
            </w14:solidFill>
          </w14:textFill>
        </w:rPr>
        <w:t>”</w:t>
      </w:r>
      <w:r>
        <w:rPr>
          <w:rFonts w:cs="Times New Roman" w:eastAsiaTheme="minorEastAsia"/>
          <w:color w:val="000000" w:themeColor="text1"/>
          <w:szCs w:val="24"/>
          <w14:textFill>
            <w14:solidFill>
              <w14:schemeClr w14:val="tx1"/>
            </w14:solidFill>
          </w14:textFill>
        </w:rPr>
        <w:t>开展工程竣工环境保护验收报告编制工作。接受委托后，我公司组织专业技术人员对该项目进行了现场踏勘和资料调研工作，结合《</w:t>
      </w:r>
      <w:r>
        <w:rPr>
          <w:rFonts w:hint="eastAsia" w:cs="Times New Roman" w:eastAsiaTheme="minorEastAsia"/>
          <w:color w:val="000000" w:themeColor="text1"/>
          <w:szCs w:val="24"/>
          <w:lang w:eastAsia="zh-CN"/>
          <w14:textFill>
            <w14:solidFill>
              <w14:schemeClr w14:val="tx1"/>
            </w14:solidFill>
          </w14:textFill>
        </w:rPr>
        <w:t>重庆象征科技有限公司年产4000万片2.5D/3D手机、笔电消费电子玻璃盖板项目</w:t>
      </w:r>
      <w:r>
        <w:rPr>
          <w:rFonts w:cs="Times New Roman" w:eastAsiaTheme="minorEastAsia"/>
          <w:color w:val="000000" w:themeColor="text1"/>
          <w:szCs w:val="24"/>
          <w14:textFill>
            <w14:solidFill>
              <w14:schemeClr w14:val="tx1"/>
            </w14:solidFill>
          </w14:textFill>
        </w:rPr>
        <w:t>项目环境影响报告</w:t>
      </w:r>
      <w:r>
        <w:rPr>
          <w:rFonts w:hint="eastAsia" w:cs="Times New Roman" w:eastAsiaTheme="minorEastAsia"/>
          <w:color w:val="000000" w:themeColor="text1"/>
          <w:szCs w:val="24"/>
          <w14:textFill>
            <w14:solidFill>
              <w14:schemeClr w14:val="tx1"/>
            </w14:solidFill>
          </w14:textFill>
        </w:rPr>
        <w:t>表</w:t>
      </w:r>
      <w:r>
        <w:rPr>
          <w:rFonts w:cs="Times New Roman" w:eastAsiaTheme="minorEastAsia"/>
          <w:color w:val="000000" w:themeColor="text1"/>
          <w:szCs w:val="24"/>
          <w14:textFill>
            <w14:solidFill>
              <w14:schemeClr w14:val="tx1"/>
            </w14:solidFill>
          </w14:textFill>
        </w:rPr>
        <w:t>》、</w:t>
      </w:r>
      <w:r>
        <w:rPr>
          <w:rFonts w:hint="eastAsia" w:cs="Times New Roman" w:eastAsiaTheme="minorEastAsia"/>
          <w:color w:val="000000" w:themeColor="text1"/>
          <w:szCs w:val="24"/>
          <w:lang w:eastAsia="zh-CN"/>
          <w14:textFill>
            <w14:solidFill>
              <w14:schemeClr w14:val="tx1"/>
            </w14:solidFill>
          </w14:textFill>
        </w:rPr>
        <w:t>渝（万）环准[2021]86号</w:t>
      </w:r>
      <w:r>
        <w:rPr>
          <w:rFonts w:cs="Times New Roman" w:eastAsiaTheme="minorEastAsia"/>
          <w:color w:val="000000" w:themeColor="text1"/>
          <w:szCs w:val="24"/>
          <w14:textFill>
            <w14:solidFill>
              <w14:schemeClr w14:val="tx1"/>
            </w14:solidFill>
          </w14:textFill>
        </w:rPr>
        <w:t>文，及相关文件、标准</w:t>
      </w:r>
      <w:r>
        <w:rPr>
          <w:rFonts w:hint="eastAsia" w:cs="Times New Roman" w:eastAsiaTheme="minorEastAsia"/>
          <w:color w:val="000000" w:themeColor="text1"/>
          <w:szCs w:val="24"/>
          <w14:textFill>
            <w14:solidFill>
              <w14:schemeClr w14:val="tx1"/>
            </w14:solidFill>
          </w14:textFill>
        </w:rPr>
        <w:t>和</w:t>
      </w:r>
      <w:r>
        <w:rPr>
          <w:rFonts w:cs="Times New Roman" w:eastAsiaTheme="minorEastAsia"/>
          <w:color w:val="000000" w:themeColor="text1"/>
          <w:szCs w:val="24"/>
          <w14:textFill>
            <w14:solidFill>
              <w14:schemeClr w14:val="tx1"/>
            </w14:solidFill>
          </w14:textFill>
        </w:rPr>
        <w:t>技术规范的要求</w:t>
      </w:r>
      <w:r>
        <w:rPr>
          <w:rFonts w:hint="eastAsia" w:cs="Times New Roman" w:eastAsiaTheme="minorEastAsia"/>
          <w:color w:val="000000" w:themeColor="text1"/>
          <w:szCs w:val="24"/>
          <w:lang w:eastAsia="zh-CN"/>
          <w14:textFill>
            <w14:solidFill>
              <w14:schemeClr w14:val="tx1"/>
            </w14:solidFill>
          </w14:textFill>
        </w:rPr>
        <w:t>，于20</w:t>
      </w:r>
      <w:r>
        <w:rPr>
          <w:rFonts w:hint="eastAsia" w:cs="Times New Roman" w:eastAsiaTheme="minorEastAsia"/>
          <w:color w:val="000000" w:themeColor="text1"/>
          <w:szCs w:val="24"/>
          <w:lang w:val="en-US" w:eastAsia="zh-CN"/>
          <w14:textFill>
            <w14:solidFill>
              <w14:schemeClr w14:val="tx1"/>
            </w14:solidFill>
          </w14:textFill>
        </w:rPr>
        <w:t>23</w:t>
      </w:r>
      <w:r>
        <w:rPr>
          <w:rFonts w:hint="eastAsia" w:cs="Times New Roman" w:eastAsiaTheme="minorEastAsia"/>
          <w:color w:val="000000" w:themeColor="text1"/>
          <w:szCs w:val="24"/>
          <w:lang w:eastAsia="zh-CN"/>
          <w14:textFill>
            <w14:solidFill>
              <w14:schemeClr w14:val="tx1"/>
            </w14:solidFill>
          </w14:textFill>
        </w:rPr>
        <w:t>年</w:t>
      </w:r>
      <w:r>
        <w:rPr>
          <w:rFonts w:hint="eastAsia" w:cs="Times New Roman" w:eastAsiaTheme="minorEastAsia"/>
          <w:color w:val="000000" w:themeColor="text1"/>
          <w:szCs w:val="24"/>
          <w:lang w:val="en-US" w:eastAsia="zh-CN"/>
          <w14:textFill>
            <w14:solidFill>
              <w14:schemeClr w14:val="tx1"/>
            </w14:solidFill>
          </w14:textFill>
        </w:rPr>
        <w:t>11</w:t>
      </w:r>
      <w:r>
        <w:rPr>
          <w:rFonts w:hint="eastAsia" w:cs="Times New Roman" w:eastAsiaTheme="minorEastAsia"/>
          <w:color w:val="000000" w:themeColor="text1"/>
          <w:szCs w:val="24"/>
          <w:lang w:eastAsia="zh-CN"/>
          <w14:textFill>
            <w14:solidFill>
              <w14:schemeClr w14:val="tx1"/>
            </w14:solidFill>
          </w14:textFill>
        </w:rPr>
        <w:t>月编制完成了项目验收监测方案，并委</w:t>
      </w:r>
      <w:r>
        <w:rPr>
          <w:rFonts w:hint="eastAsia" w:cs="Times New Roman" w:eastAsiaTheme="minorEastAsia"/>
          <w:color w:val="000000" w:themeColor="text1"/>
          <w:szCs w:val="24"/>
          <w:lang w:val="en-US" w:eastAsia="zh-CN"/>
          <w14:textFill>
            <w14:solidFill>
              <w14:schemeClr w14:val="tx1"/>
            </w14:solidFill>
          </w14:textFill>
        </w:rPr>
        <w:t>托重庆新晨环境监测有限公司对</w:t>
      </w:r>
      <w:r>
        <w:rPr>
          <w:rFonts w:hint="eastAsia" w:cs="Times New Roman" w:eastAsiaTheme="minorEastAsia"/>
          <w:color w:val="000000" w:themeColor="text1"/>
          <w:szCs w:val="24"/>
          <w:lang w:eastAsia="zh-CN"/>
          <w14:textFill>
            <w14:solidFill>
              <w14:schemeClr w14:val="tx1"/>
            </w14:solidFill>
          </w14:textFill>
        </w:rPr>
        <w:t>该项目实施了竣工环保验收监测，最终根</w:t>
      </w:r>
      <w:r>
        <w:rPr>
          <w:rFonts w:cs="Times New Roman" w:eastAsiaTheme="minorEastAsia"/>
          <w:color w:val="000000" w:themeColor="text1"/>
          <w:szCs w:val="24"/>
          <w14:textFill>
            <w14:solidFill>
              <w14:schemeClr w14:val="tx1"/>
            </w14:solidFill>
          </w14:textFill>
        </w:rPr>
        <w:t>据企业提供的资料、现场踏勘情况、竣工验收监测结果、验收技术规范、环评报告、批复等相关要求，编制完成了《</w:t>
      </w:r>
      <w:r>
        <w:rPr>
          <w:rFonts w:hint="eastAsia" w:cs="Times New Roman" w:eastAsiaTheme="minorEastAsia"/>
          <w:color w:val="000000" w:themeColor="text1"/>
          <w:szCs w:val="24"/>
          <w:lang w:eastAsia="zh-CN"/>
          <w14:textFill>
            <w14:solidFill>
              <w14:schemeClr w14:val="tx1"/>
            </w14:solidFill>
          </w14:textFill>
        </w:rPr>
        <w:t>重庆象征科技有限公司年产4000万片2.5D/3D手机、笔电消费电子玻璃盖板项目（一阶段）</w:t>
      </w:r>
      <w:r>
        <w:rPr>
          <w:rFonts w:cs="Times New Roman" w:eastAsiaTheme="minorEastAsia"/>
          <w:color w:val="000000" w:themeColor="text1"/>
          <w:szCs w:val="24"/>
          <w14:textFill>
            <w14:solidFill>
              <w14:schemeClr w14:val="tx1"/>
            </w14:solidFill>
          </w14:textFill>
        </w:rPr>
        <w:t>竣工环境保护验收监测报告》</w:t>
      </w:r>
      <w:r>
        <w:rPr>
          <w:rFonts w:hint="eastAsia" w:cs="Times New Roman" w:eastAsiaTheme="minorEastAsia"/>
          <w:color w:val="000000" w:themeColor="text1"/>
          <w:szCs w:val="24"/>
          <w14:textFill>
            <w14:solidFill>
              <w14:schemeClr w14:val="tx1"/>
            </w14:solidFill>
          </w14:textFill>
        </w:rPr>
        <w:t>。</w:t>
      </w:r>
    </w:p>
    <w:p>
      <w:pPr>
        <w:ind w:firstLine="480" w:firstLineChars="200"/>
        <w:jc w:val="both"/>
        <w:rPr>
          <w:rFonts w:cs="Times New Roman" w:eastAsiaTheme="minorEastAsia"/>
          <w:szCs w:val="24"/>
        </w:rPr>
      </w:pPr>
      <w:r>
        <w:rPr>
          <w:rFonts w:cs="Times New Roman" w:eastAsiaTheme="minorEastAsia"/>
          <w:szCs w:val="24"/>
        </w:rPr>
        <w:t>本次验收报告编制的工作程序见图</w:t>
      </w:r>
      <w:r>
        <w:rPr>
          <w:rFonts w:hint="eastAsia" w:cs="Times New Roman" w:eastAsiaTheme="minorEastAsia"/>
          <w:szCs w:val="24"/>
        </w:rPr>
        <w:t>1.1。</w:t>
      </w:r>
    </w:p>
    <w:p/>
    <w:p>
      <w:pPr>
        <w:rPr>
          <w:rFonts w:cs="Times New Roman" w:eastAsiaTheme="minorEastAsia"/>
          <w:color w:val="000000" w:themeColor="text1"/>
          <w:szCs w:val="26"/>
          <w14:textFill>
            <w14:solidFill>
              <w14:schemeClr w14:val="tx1"/>
            </w14:solidFill>
          </w14:textFill>
        </w:rPr>
      </w:pPr>
      <w:r>
        <w:drawing>
          <wp:inline distT="0" distB="0" distL="0" distR="0">
            <wp:extent cx="5555615" cy="5815965"/>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cstate="print"/>
                    <a:stretch>
                      <a:fillRect/>
                    </a:stretch>
                  </pic:blipFill>
                  <pic:spPr>
                    <a:xfrm>
                      <a:off x="0" y="0"/>
                      <a:ext cx="5555615" cy="5815965"/>
                    </a:xfrm>
                    <a:prstGeom prst="rect">
                      <a:avLst/>
                    </a:prstGeom>
                  </pic:spPr>
                </pic:pic>
              </a:graphicData>
            </a:graphic>
          </wp:inline>
        </w:drawing>
      </w:r>
    </w:p>
    <w:p>
      <w:pPr>
        <w:bidi w:val="0"/>
      </w:pPr>
    </w:p>
    <w:p>
      <w:pPr>
        <w:bidi w:val="0"/>
      </w:pPr>
    </w:p>
    <w:p>
      <w:r>
        <w:drawing>
          <wp:inline distT="0" distB="0" distL="0" distR="0">
            <wp:extent cx="5615305" cy="5521960"/>
            <wp:effectExtent l="0" t="0" r="825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stretch>
                      <a:fillRect/>
                    </a:stretch>
                  </pic:blipFill>
                  <pic:spPr>
                    <a:xfrm>
                      <a:off x="0" y="0"/>
                      <a:ext cx="5615305" cy="5521960"/>
                    </a:xfrm>
                    <a:prstGeom prst="rect">
                      <a:avLst/>
                    </a:prstGeom>
                  </pic:spPr>
                </pic:pic>
              </a:graphicData>
            </a:graphic>
          </wp:inline>
        </w:drawing>
      </w:r>
    </w:p>
    <w:p>
      <w:pPr>
        <w:spacing w:line="240" w:lineRule="auto"/>
        <w:jc w:val="center"/>
        <w:rPr>
          <w:b/>
          <w:bCs/>
          <w:sz w:val="21"/>
          <w:szCs w:val="21"/>
        </w:rPr>
      </w:pPr>
      <w:r>
        <w:rPr>
          <w:b/>
          <w:bCs/>
          <w:sz w:val="21"/>
          <w:szCs w:val="21"/>
        </w:rPr>
        <w:t>图1.1    验收报告编制的工作程序图</w:t>
      </w:r>
    </w:p>
    <w:p>
      <w:pPr>
        <w:pStyle w:val="3"/>
        <w:numPr>
          <w:ilvl w:val="1"/>
          <w:numId w:val="3"/>
        </w:numPr>
      </w:pPr>
      <w:bookmarkStart w:id="7" w:name="_Toc6234420"/>
      <w:r>
        <w:rPr>
          <w:rFonts w:hint="eastAsia"/>
        </w:rPr>
        <w:t xml:space="preserve"> </w:t>
      </w:r>
      <w:bookmarkStart w:id="8" w:name="_Toc18974"/>
      <w:r>
        <w:rPr>
          <w:rFonts w:hint="eastAsia"/>
        </w:rPr>
        <w:t>验收范围与内容</w:t>
      </w:r>
      <w:bookmarkEnd w:id="7"/>
      <w:bookmarkEnd w:id="8"/>
    </w:p>
    <w:p>
      <w:pPr>
        <w:ind w:firstLine="480" w:firstLineChars="200"/>
        <w:jc w:val="both"/>
        <w:rPr>
          <w:rFonts w:cs="Times New Roman" w:eastAsiaTheme="minorEastAsia"/>
          <w:szCs w:val="24"/>
        </w:rPr>
      </w:pPr>
      <w:r>
        <w:rPr>
          <w:rFonts w:hint="eastAsia" w:cs="Times New Roman" w:eastAsiaTheme="minorEastAsia"/>
          <w:szCs w:val="24"/>
        </w:rPr>
        <w:t>本次竣工环境保护验收范围为《</w:t>
      </w:r>
      <w:r>
        <w:rPr>
          <w:rFonts w:hint="eastAsia" w:cs="Times New Roman" w:eastAsiaTheme="minorEastAsia"/>
          <w:szCs w:val="24"/>
          <w:lang w:eastAsia="zh-CN"/>
        </w:rPr>
        <w:t>重庆象征科技有限公司年产4000万片2.5D/3D手机、笔电消费电子玻璃盖板项目</w:t>
      </w:r>
      <w:r>
        <w:rPr>
          <w:rFonts w:hint="eastAsia" w:cs="Times New Roman" w:eastAsiaTheme="minorEastAsia"/>
          <w:szCs w:val="24"/>
        </w:rPr>
        <w:t>环境影响报告表》</w:t>
      </w:r>
      <w:r>
        <w:rPr>
          <w:rFonts w:hint="eastAsia" w:cs="Times New Roman" w:eastAsiaTheme="minorEastAsia"/>
          <w:szCs w:val="24"/>
          <w:lang w:eastAsia="zh-CN"/>
        </w:rPr>
        <w:t>一阶段</w:t>
      </w:r>
      <w:r>
        <w:rPr>
          <w:rFonts w:hint="eastAsia" w:cs="Times New Roman" w:eastAsiaTheme="minorEastAsia"/>
          <w:szCs w:val="24"/>
        </w:rPr>
        <w:t>建设工程内容</w:t>
      </w:r>
      <w:r>
        <w:rPr>
          <w:rFonts w:cs="Times New Roman" w:eastAsiaTheme="minorEastAsia"/>
          <w:szCs w:val="24"/>
        </w:rPr>
        <w:t>。</w:t>
      </w:r>
    </w:p>
    <w:p>
      <w:pPr>
        <w:pStyle w:val="3"/>
        <w:numPr>
          <w:ilvl w:val="1"/>
          <w:numId w:val="3"/>
        </w:numPr>
      </w:pPr>
      <w:bookmarkStart w:id="9" w:name="_Toc6234421"/>
      <w:bookmarkStart w:id="10" w:name="_Toc31997"/>
      <w:bookmarkStart w:id="11" w:name="_Toc427855234"/>
      <w:bookmarkStart w:id="12" w:name="_Toc427855133"/>
      <w:r>
        <w:rPr>
          <w:rFonts w:hint="eastAsia"/>
        </w:rPr>
        <w:t>致谢</w:t>
      </w:r>
      <w:bookmarkEnd w:id="9"/>
      <w:bookmarkEnd w:id="10"/>
    </w:p>
    <w:bookmarkEnd w:id="11"/>
    <w:bookmarkEnd w:id="12"/>
    <w:p>
      <w:pPr>
        <w:ind w:firstLine="480" w:firstLineChars="200"/>
        <w:jc w:val="both"/>
        <w:rPr>
          <w:rFonts w:cs="Times New Roman" w:eastAsiaTheme="minorEastAsia"/>
          <w:sz w:val="26"/>
          <w:szCs w:val="26"/>
        </w:rPr>
      </w:pPr>
      <w:r>
        <w:rPr>
          <w:rFonts w:hint="eastAsia" w:cs="Times New Roman" w:eastAsiaTheme="minorEastAsia"/>
          <w:szCs w:val="24"/>
        </w:rPr>
        <w:t>该报告在编制过程中得到了</w:t>
      </w:r>
      <w:r>
        <w:rPr>
          <w:rFonts w:hint="eastAsia" w:cs="Times New Roman" w:eastAsiaTheme="minorEastAsia"/>
          <w:szCs w:val="24"/>
          <w:lang w:eastAsia="zh-CN"/>
        </w:rPr>
        <w:t>重庆市万州区生态环境局</w:t>
      </w:r>
      <w:r>
        <w:rPr>
          <w:rFonts w:hint="eastAsia" w:cs="Times New Roman" w:eastAsiaTheme="minorEastAsia"/>
          <w:szCs w:val="24"/>
        </w:rPr>
        <w:t>的大力支持，以及</w:t>
      </w:r>
      <w:r>
        <w:rPr>
          <w:rFonts w:hint="eastAsia" w:cs="Times New Roman" w:eastAsiaTheme="minorEastAsia"/>
          <w:szCs w:val="24"/>
          <w:lang w:eastAsia="zh-CN"/>
        </w:rPr>
        <w:t>重庆象征科技有限公司</w:t>
      </w:r>
      <w:r>
        <w:rPr>
          <w:rFonts w:hint="eastAsia" w:cs="Times New Roman" w:eastAsiaTheme="minorEastAsia"/>
          <w:szCs w:val="24"/>
        </w:rPr>
        <w:t>的密切配合，在此一并表示诚挚的谢意。</w:t>
      </w: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widowControl w:val="0"/>
        <w:jc w:val="both"/>
        <w:rPr>
          <w:rFonts w:cs="Times New Roman" w:eastAsiaTheme="minorEastAsia"/>
          <w:color w:val="000000" w:themeColor="text1"/>
          <w:sz w:val="26"/>
          <w:szCs w:val="26"/>
          <w14:textFill>
            <w14:solidFill>
              <w14:schemeClr w14:val="tx1"/>
            </w14:solidFill>
          </w14:textFill>
        </w:rPr>
        <w:sectPr>
          <w:headerReference r:id="rId14" w:type="default"/>
          <w:footerReference r:id="rId15" w:type="default"/>
          <w:pgSz w:w="11906" w:h="16838"/>
          <w:pgMar w:top="1440" w:right="1531" w:bottom="1440" w:left="1531" w:header="1134" w:footer="992" w:gutter="0"/>
          <w:pgBorders>
            <w:top w:val="none" w:sz="0" w:space="0"/>
            <w:left w:val="none" w:sz="0" w:space="0"/>
            <w:bottom w:val="none" w:sz="0" w:space="0"/>
            <w:right w:val="none" w:sz="0" w:space="0"/>
          </w:pgBorders>
          <w:pgNumType w:start="1"/>
          <w:cols w:space="720" w:num="1"/>
          <w:docGrid w:linePitch="312" w:charSpace="0"/>
        </w:sectPr>
      </w:pPr>
    </w:p>
    <w:bookmarkEnd w:id="4"/>
    <w:p>
      <w:pPr>
        <w:pStyle w:val="2"/>
      </w:pPr>
      <w:bookmarkStart w:id="13" w:name="_Toc23419"/>
      <w:r>
        <w:t>2 验收依据</w:t>
      </w:r>
      <w:bookmarkEnd w:id="13"/>
    </w:p>
    <w:p>
      <w:pPr>
        <w:pStyle w:val="3"/>
      </w:pPr>
      <w:bookmarkStart w:id="14" w:name="_Toc534643335"/>
      <w:bookmarkStart w:id="15" w:name="_Toc25088"/>
      <w:bookmarkStart w:id="16" w:name="_Toc28451"/>
      <w:bookmarkStart w:id="17" w:name="_Toc8017"/>
      <w:r>
        <w:t xml:space="preserve">2.1 </w:t>
      </w:r>
      <w:bookmarkEnd w:id="14"/>
      <w:bookmarkEnd w:id="15"/>
      <w:r>
        <w:rPr>
          <w:rFonts w:hint="eastAsia"/>
        </w:rPr>
        <w:t>环境保护有关法规、政策</w:t>
      </w:r>
      <w:bookmarkEnd w:id="16"/>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cs="Tahoma"/>
          <w:color w:val="000000" w:themeColor="text1"/>
          <w:kern w:val="2"/>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（6）《中华人民共和国噪声污染防治法》（</w:t>
      </w:r>
      <w:r>
        <w:rPr>
          <w:rFonts w:hint="eastAsia" w:ascii="Times New Roman" w:hAnsi="Times New Roman" w:eastAsia="宋体" w:cs="Times New Roman"/>
          <w:color w:val="000000" w:themeColor="text1"/>
          <w:sz w:val="24"/>
          <w:szCs w:val="24"/>
          <w14:textFill>
            <w14:solidFill>
              <w14:schemeClr w14:val="tx1"/>
            </w14:solidFill>
          </w14:textFill>
        </w:rPr>
        <w:t>20</w:t>
      </w:r>
      <w:r>
        <w:rPr>
          <w:rFonts w:hint="eastAsia" w:cs="Times New Roman"/>
          <w:color w:val="000000" w:themeColor="text1"/>
          <w:sz w:val="24"/>
          <w:szCs w:val="24"/>
          <w:lang w:val="en-US" w:eastAsia="zh-CN"/>
          <w14:textFill>
            <w14:solidFill>
              <w14:schemeClr w14:val="tx1"/>
            </w14:solidFill>
          </w14:textFill>
        </w:rPr>
        <w:t>22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cs="Tahoma"/>
          <w:color w:val="000000" w:themeColor="text1"/>
          <w:kern w:val="2"/>
          <w:szCs w:val="24"/>
          <w14:textFill>
            <w14:solidFill>
              <w14:schemeClr w14:val="tx1"/>
            </w14:solidFill>
          </w14:textFill>
        </w:rPr>
        <w:t>。</w:t>
      </w:r>
    </w:p>
    <w:bookmarkEnd w:id="17"/>
    <w:p>
      <w:pPr>
        <w:pStyle w:val="3"/>
        <w:widowControl w:val="0"/>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18" w:name="_Toc10616"/>
      <w:r>
        <w:rPr>
          <w:rFonts w:cs="Times New Roman" w:eastAsiaTheme="minorEastAsia"/>
          <w:snapToGrid w:val="0"/>
          <w:color w:val="000000" w:themeColor="text1"/>
          <w:sz w:val="26"/>
          <w14:textFill>
            <w14:solidFill>
              <w14:schemeClr w14:val="tx1"/>
            </w14:solidFill>
          </w14:textFill>
        </w:rPr>
        <w:t>2.</w:t>
      </w:r>
      <w:r>
        <w:rPr>
          <w:rFonts w:hint="eastAsia" w:cs="Times New Roman" w:eastAsiaTheme="minorEastAsia"/>
          <w:snapToGrid w:val="0"/>
          <w:color w:val="000000" w:themeColor="text1"/>
          <w:sz w:val="26"/>
          <w:lang w:val="en-US" w:eastAsia="zh-CN"/>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w:t>
      </w:r>
      <w:r>
        <w:rPr>
          <w:rFonts w:hint="eastAsia" w:cs="Times New Roman" w:eastAsiaTheme="minorEastAsia"/>
          <w:snapToGrid w:val="0"/>
          <w:color w:val="000000" w:themeColor="text1"/>
          <w:sz w:val="26"/>
          <w14:textFill>
            <w14:solidFill>
              <w14:schemeClr w14:val="tx1"/>
            </w14:solidFill>
          </w14:textFill>
        </w:rPr>
        <w:t>建设项目竣工环境保护验收技术规范</w:t>
      </w:r>
      <w:bookmarkEnd w:id="18"/>
    </w:p>
    <w:p>
      <w:pPr>
        <w:ind w:firstLine="480" w:firstLineChars="200"/>
        <w:rPr>
          <w:rFonts w:hint="eastAsia"/>
        </w:rPr>
      </w:pPr>
      <w:r>
        <w:rPr>
          <w:rFonts w:hint="eastAsia"/>
        </w:rPr>
        <w:t>（1）《建设项目环境保护管理条例》（国务院令第</w:t>
      </w:r>
      <w:r>
        <w:rPr>
          <w:rFonts w:hint="eastAsia"/>
          <w:lang w:val="en-US" w:eastAsia="zh-CN"/>
        </w:rPr>
        <w:t>682</w:t>
      </w:r>
      <w:r>
        <w:rPr>
          <w:rFonts w:hint="eastAsia"/>
        </w:rPr>
        <w:t>号）；</w:t>
      </w:r>
    </w:p>
    <w:p>
      <w:pPr>
        <w:ind w:firstLine="480" w:firstLineChars="200"/>
        <w:rPr>
          <w:rFonts w:hint="eastAsia"/>
        </w:rPr>
      </w:pPr>
      <w:r>
        <w:rPr>
          <w:rFonts w:hint="eastAsia"/>
        </w:rPr>
        <w:t>（2）《建设项目竣工环境保护验收暂行办法》</w:t>
      </w:r>
      <w:r>
        <w:rPr>
          <w:rFonts w:hint="eastAsia"/>
          <w:lang w:eastAsia="zh-CN"/>
        </w:rPr>
        <w:t>（</w:t>
      </w:r>
      <w:r>
        <w:rPr>
          <w:rFonts w:hint="eastAsia"/>
        </w:rPr>
        <w:t>国环规环评〔2017〕4号</w:t>
      </w:r>
      <w:r>
        <w:rPr>
          <w:rFonts w:hint="eastAsia"/>
          <w:lang w:eastAsia="zh-CN"/>
        </w:rPr>
        <w:t>）</w:t>
      </w:r>
      <w:r>
        <w:rPr>
          <w:rFonts w:hint="eastAsia"/>
        </w:rPr>
        <w:t>；</w:t>
      </w:r>
    </w:p>
    <w:p>
      <w:pPr>
        <w:ind w:firstLine="480" w:firstLineChars="200"/>
        <w:rPr>
          <w:rFonts w:hint="eastAsia"/>
        </w:rPr>
      </w:pPr>
      <w:r>
        <w:rPr>
          <w:rFonts w:hint="eastAsia"/>
        </w:rPr>
        <w:t>（3）《建设项目环境影响评价分类管理名录》（2021年版）；</w:t>
      </w:r>
    </w:p>
    <w:p>
      <w:pPr>
        <w:ind w:firstLine="480" w:firstLineChars="200"/>
        <w:rPr>
          <w:rFonts w:hint="eastAsia"/>
        </w:rPr>
      </w:pPr>
      <w:r>
        <w:rPr>
          <w:rFonts w:hint="eastAsia"/>
        </w:rPr>
        <w:t>（4）《突发环境事件应急预案管理暂行办法》环发[2010]113号；</w:t>
      </w:r>
    </w:p>
    <w:p>
      <w:pPr>
        <w:ind w:firstLine="480" w:firstLineChars="200"/>
        <w:rPr>
          <w:rFonts w:hint="eastAsia"/>
        </w:rPr>
      </w:pPr>
      <w:r>
        <w:rPr>
          <w:rFonts w:hint="eastAsia"/>
        </w:rPr>
        <w:t>（5）《国务院关于印发水污染防治行动计划的通知》（国发[2015]17号）；</w:t>
      </w:r>
    </w:p>
    <w:p>
      <w:pPr>
        <w:ind w:firstLine="480" w:firstLineChars="200"/>
        <w:rPr>
          <w:rFonts w:hint="eastAsia"/>
        </w:rPr>
      </w:pPr>
      <w:r>
        <w:rPr>
          <w:rFonts w:hint="eastAsia"/>
        </w:rPr>
        <w:t>（6） 《建设项目竣工环境保护验收技术指南 污染影响类》</w:t>
      </w:r>
      <w:r>
        <w:rPr>
          <w:rFonts w:hint="eastAsia"/>
          <w:lang w:eastAsia="zh-CN"/>
        </w:rPr>
        <w:t>（</w:t>
      </w:r>
      <w:r>
        <w:rPr>
          <w:rFonts w:hint="eastAsia"/>
        </w:rPr>
        <w:t>生态环境部公告2018年 第9号</w:t>
      </w:r>
      <w:r>
        <w:rPr>
          <w:rFonts w:hint="eastAsia"/>
          <w:lang w:eastAsia="zh-CN"/>
        </w:rPr>
        <w:t>）</w:t>
      </w:r>
      <w:r>
        <w:rPr>
          <w:rFonts w:hint="eastAsia"/>
        </w:rPr>
        <w:t>。</w:t>
      </w:r>
    </w:p>
    <w:p>
      <w:pPr>
        <w:ind w:firstLine="480" w:firstLineChars="200"/>
        <w:rPr>
          <w:rFonts w:hint="eastAsia"/>
        </w:rPr>
      </w:pPr>
      <w:r>
        <w:rPr>
          <w:rFonts w:hint="eastAsia"/>
        </w:rPr>
        <w:t>（7）重庆市人民代表大会常务委员会公告[2010]第22号《重庆市环境保护条例》</w:t>
      </w:r>
      <w:r>
        <w:rPr>
          <w:rFonts w:hint="eastAsia"/>
          <w:lang w:eastAsia="zh-CN"/>
        </w:rPr>
        <w:t>（</w:t>
      </w:r>
      <w:r>
        <w:rPr>
          <w:rFonts w:hint="eastAsia"/>
        </w:rPr>
        <w:t>修正</w:t>
      </w:r>
      <w:r>
        <w:rPr>
          <w:rFonts w:hint="eastAsia"/>
          <w:lang w:eastAsia="zh-CN"/>
        </w:rPr>
        <w:t>）</w:t>
      </w:r>
      <w:r>
        <w:rPr>
          <w:rFonts w:hint="eastAsia"/>
        </w:rPr>
        <w:t>；</w:t>
      </w:r>
    </w:p>
    <w:p>
      <w:pPr>
        <w:ind w:firstLine="480" w:firstLineChars="200"/>
      </w:pPr>
      <w:r>
        <w:rPr>
          <w:rFonts w:hint="eastAsia"/>
        </w:rPr>
        <w:t>（8）重庆市人民政府第270号《重庆市环境噪声污染防治办法》</w:t>
      </w:r>
      <w:r>
        <w:t>。</w:t>
      </w:r>
    </w:p>
    <w:p>
      <w:pPr>
        <w:pStyle w:val="3"/>
        <w:widowControl w:val="0"/>
        <w:numPr>
          <w:ilvl w:val="1"/>
          <w:numId w:val="0"/>
        </w:numPr>
        <w:adjustRightInd/>
        <w:snapToGrid/>
        <w:textAlignment w:val="baseline"/>
        <w:rPr>
          <w:rFonts w:ascii="Times New Roman" w:hAnsi="Times New Roman" w:cs="Times New Roman" w:eastAsiaTheme="minorEastAsia"/>
          <w:snapToGrid w:val="0"/>
          <w:color w:val="000000" w:themeColor="text1"/>
          <w:sz w:val="26"/>
          <w14:textFill>
            <w14:solidFill>
              <w14:schemeClr w14:val="tx1"/>
            </w14:solidFill>
          </w14:textFill>
        </w:rPr>
      </w:pPr>
      <w:bookmarkStart w:id="19" w:name="_Toc21121"/>
      <w:r>
        <w:rPr>
          <w:rFonts w:ascii="Times New Roman" w:hAnsi="Times New Roman" w:cs="Times New Roman" w:eastAsiaTheme="minorEastAsia"/>
          <w:snapToGrid w:val="0"/>
          <w:color w:val="000000" w:themeColor="text1"/>
          <w:sz w:val="26"/>
          <w14:textFill>
            <w14:solidFill>
              <w14:schemeClr w14:val="tx1"/>
            </w14:solidFill>
          </w14:textFill>
        </w:rPr>
        <w:t>2.</w:t>
      </w:r>
      <w:r>
        <w:rPr>
          <w:rFonts w:hint="eastAsia" w:ascii="Times New Roman" w:hAnsi="Times New Roman" w:cs="Times New Roman" w:eastAsiaTheme="minorEastAsia"/>
          <w:snapToGrid w:val="0"/>
          <w:color w:val="000000" w:themeColor="text1"/>
          <w:sz w:val="26"/>
          <w:lang w:val="en-US" w:eastAsia="zh-CN"/>
          <w14:textFill>
            <w14:solidFill>
              <w14:schemeClr w14:val="tx1"/>
            </w14:solidFill>
          </w14:textFill>
        </w:rPr>
        <w:t>3</w:t>
      </w:r>
      <w:r>
        <w:rPr>
          <w:rFonts w:ascii="Times New Roman" w:hAnsi="Times New Roman" w:cs="Times New Roman" w:eastAsiaTheme="minorEastAsia"/>
          <w:snapToGrid w:val="0"/>
          <w:color w:val="000000" w:themeColor="text1"/>
          <w:sz w:val="26"/>
          <w14:textFill>
            <w14:solidFill>
              <w14:schemeClr w14:val="tx1"/>
            </w14:solidFill>
          </w14:textFill>
        </w:rPr>
        <w:t xml:space="preserve"> 建设项目</w:t>
      </w:r>
      <w:r>
        <w:rPr>
          <w:rFonts w:hint="eastAsia" w:ascii="Times New Roman" w:hAnsi="Times New Roman" w:cs="Times New Roman" w:eastAsiaTheme="minorEastAsia"/>
          <w:snapToGrid w:val="0"/>
          <w:color w:val="000000" w:themeColor="text1"/>
          <w:sz w:val="26"/>
          <w14:textFill>
            <w14:solidFill>
              <w14:schemeClr w14:val="tx1"/>
            </w14:solidFill>
          </w14:textFill>
        </w:rPr>
        <w:t>环境影响报告表</w:t>
      </w:r>
      <w:r>
        <w:rPr>
          <w:rFonts w:ascii="Times New Roman" w:hAnsi="Times New Roman" w:cs="Times New Roman" w:eastAsiaTheme="minorEastAsia"/>
          <w:snapToGrid w:val="0"/>
          <w:color w:val="000000" w:themeColor="text1"/>
          <w:sz w:val="26"/>
          <w14:textFill>
            <w14:solidFill>
              <w14:schemeClr w14:val="tx1"/>
            </w14:solidFill>
          </w14:textFill>
        </w:rPr>
        <w:t>及审批部门审批决定</w:t>
      </w:r>
      <w:bookmarkEnd w:id="19"/>
    </w:p>
    <w:p>
      <w:pPr>
        <w:ind w:firstLine="480" w:firstLineChars="200"/>
      </w:pPr>
      <w:r>
        <w:t>（1）《</w:t>
      </w:r>
      <w:r>
        <w:rPr>
          <w:rFonts w:hint="eastAsia"/>
          <w:lang w:eastAsia="zh-CN"/>
        </w:rPr>
        <w:t>重庆象征科技有限公司年产4000万片2.5D/3D手机、笔电消费电子玻璃盖板项目</w:t>
      </w:r>
      <w:r>
        <w:t>环境影响报告</w:t>
      </w:r>
      <w:r>
        <w:rPr>
          <w:rFonts w:hint="eastAsia"/>
        </w:rPr>
        <w:t>表</w:t>
      </w:r>
      <w:r>
        <w:t>》（</w:t>
      </w:r>
      <w:r>
        <w:rPr>
          <w:rFonts w:hint="eastAsia"/>
          <w:lang w:eastAsia="zh-CN"/>
        </w:rPr>
        <w:t>成都元页环保科技有限公司</w:t>
      </w:r>
      <w:r>
        <w:t>，</w:t>
      </w:r>
      <w:r>
        <w:rPr>
          <w:rFonts w:hint="eastAsia"/>
          <w:lang w:eastAsia="zh-CN"/>
        </w:rPr>
        <w:t>20</w:t>
      </w:r>
      <w:r>
        <w:rPr>
          <w:rFonts w:hint="eastAsia"/>
          <w:lang w:val="en-US" w:eastAsia="zh-CN"/>
        </w:rPr>
        <w:t>21</w:t>
      </w:r>
      <w:r>
        <w:rPr>
          <w:rFonts w:hint="eastAsia"/>
          <w:lang w:eastAsia="zh-CN"/>
        </w:rPr>
        <w:t>年</w:t>
      </w:r>
      <w:r>
        <w:rPr>
          <w:rFonts w:hint="eastAsia"/>
          <w:lang w:val="en-US" w:eastAsia="zh-CN"/>
        </w:rPr>
        <w:t>7</w:t>
      </w:r>
      <w:r>
        <w:rPr>
          <w:rFonts w:hint="eastAsia"/>
          <w:lang w:eastAsia="zh-CN"/>
        </w:rPr>
        <w:t>月</w:t>
      </w:r>
      <w:r>
        <w:t>）；</w:t>
      </w:r>
    </w:p>
    <w:p>
      <w:pPr>
        <w:ind w:firstLine="480" w:firstLineChars="200"/>
        <w:rPr>
          <w:rFonts w:hint="eastAsia" w:eastAsia="宋体"/>
          <w:lang w:eastAsia="zh-CN"/>
        </w:rPr>
      </w:pPr>
      <w:r>
        <w:t>（2）《重庆市建设项目环境影响评价文件批准书》（</w:t>
      </w:r>
      <w:r>
        <w:rPr>
          <w:rFonts w:hint="eastAsia"/>
          <w:lang w:eastAsia="zh-CN"/>
        </w:rPr>
        <w:t>渝（万）环准[2021]86号</w:t>
      </w:r>
      <w:r>
        <w:rPr>
          <w:rFonts w:hint="eastAsia"/>
        </w:rPr>
        <w:t>，</w:t>
      </w:r>
      <w:r>
        <w:rPr>
          <w:rFonts w:hint="eastAsia"/>
          <w:lang w:eastAsia="zh-CN"/>
        </w:rPr>
        <w:t>20</w:t>
      </w:r>
      <w:r>
        <w:rPr>
          <w:rFonts w:hint="eastAsia"/>
          <w:lang w:val="en-US" w:eastAsia="zh-CN"/>
        </w:rPr>
        <w:t>21</w:t>
      </w:r>
      <w:r>
        <w:rPr>
          <w:rFonts w:hint="eastAsia"/>
          <w:lang w:eastAsia="zh-CN"/>
        </w:rPr>
        <w:t>年</w:t>
      </w:r>
      <w:r>
        <w:rPr>
          <w:rFonts w:hint="eastAsia"/>
          <w:lang w:val="en-US" w:eastAsia="zh-CN"/>
        </w:rPr>
        <w:t>08</w:t>
      </w:r>
      <w:r>
        <w:rPr>
          <w:rFonts w:hint="eastAsia"/>
          <w:lang w:eastAsia="zh-CN"/>
        </w:rPr>
        <w:t>月</w:t>
      </w:r>
      <w:r>
        <w:rPr>
          <w:rFonts w:hint="eastAsia"/>
          <w:lang w:val="en-US" w:eastAsia="zh-CN"/>
        </w:rPr>
        <w:t>24</w:t>
      </w:r>
      <w:r>
        <w:rPr>
          <w:rFonts w:hint="eastAsia"/>
          <w:lang w:eastAsia="zh-CN"/>
        </w:rPr>
        <w:t>日</w:t>
      </w:r>
      <w:r>
        <w:t>）</w:t>
      </w:r>
      <w:r>
        <w:rPr>
          <w:rFonts w:hint="eastAsia"/>
          <w:lang w:eastAsia="zh-CN"/>
        </w:rPr>
        <w:t>；</w:t>
      </w:r>
    </w:p>
    <w:p>
      <w:pPr>
        <w:ind w:firstLine="480" w:firstLineChars="200"/>
      </w:pPr>
      <w:r>
        <w:t>（</w:t>
      </w:r>
      <w:r>
        <w:rPr>
          <w:rFonts w:hint="eastAsia"/>
          <w:lang w:val="en-US" w:eastAsia="zh-CN"/>
        </w:rPr>
        <w:t>3</w:t>
      </w:r>
      <w:r>
        <w:t>）</w:t>
      </w:r>
      <w:r>
        <w:rPr>
          <w:rFonts w:hint="eastAsia"/>
        </w:rPr>
        <w:t>建设单位提供的其他相关资料</w:t>
      </w:r>
      <w:r>
        <w:t>。</w:t>
      </w:r>
    </w:p>
    <w:p>
      <w:pPr>
        <w:widowControl w:val="0"/>
        <w:tabs>
          <w:tab w:val="left" w:pos="300"/>
          <w:tab w:val="left" w:pos="423"/>
          <w:tab w:val="left" w:pos="525"/>
        </w:tabs>
        <w:ind w:firstLine="520"/>
        <w:rPr>
          <w:rFonts w:cs="Times New Roman" w:eastAsiaTheme="minorEastAsia"/>
          <w:color w:val="000000" w:themeColor="text1"/>
          <w:szCs w:val="24"/>
          <w14:textFill>
            <w14:solidFill>
              <w14:schemeClr w14:val="tx1"/>
            </w14:solidFill>
          </w14:textFill>
        </w:rPr>
        <w:sectPr>
          <w:pgSz w:w="11906" w:h="16838"/>
          <w:pgMar w:top="1440" w:right="1531" w:bottom="1440" w:left="1531" w:header="851" w:footer="992" w:gutter="0"/>
          <w:pgBorders>
            <w:top w:val="none" w:sz="0" w:space="0"/>
            <w:left w:val="none" w:sz="0" w:space="0"/>
            <w:bottom w:val="none" w:sz="0" w:space="0"/>
            <w:right w:val="none" w:sz="0" w:space="0"/>
          </w:pgBorders>
          <w:cols w:space="720" w:num="1"/>
          <w:docGrid w:linePitch="312" w:charSpace="0"/>
        </w:sectPr>
      </w:pPr>
    </w:p>
    <w:p>
      <w:pPr>
        <w:pStyle w:val="2"/>
      </w:pPr>
      <w:bookmarkStart w:id="20" w:name="_Toc26492"/>
      <w:bookmarkStart w:id="21" w:name="_Toc497833569"/>
      <w:bookmarkStart w:id="22" w:name="_Toc367196750"/>
      <w:r>
        <w:t>3 项目建设情况</w:t>
      </w:r>
      <w:bookmarkEnd w:id="20"/>
    </w:p>
    <w:p>
      <w:pPr>
        <w:pStyle w:val="3"/>
      </w:pPr>
      <w:bookmarkStart w:id="23" w:name="_Toc28599"/>
      <w:r>
        <w:t>3.1 地理位置及平面布置</w:t>
      </w:r>
      <w:bookmarkEnd w:id="23"/>
    </w:p>
    <w:bookmarkEnd w:id="21"/>
    <w:p>
      <w:pPr>
        <w:pStyle w:val="4"/>
      </w:pPr>
      <w:r>
        <w:t>3.1.1 项目地理位置</w:t>
      </w:r>
    </w:p>
    <w:p>
      <w:pPr>
        <w:ind w:firstLine="480"/>
        <w:rPr>
          <w:color w:val="000000"/>
        </w:rPr>
      </w:pPr>
      <w:r>
        <w:rPr>
          <w:color w:val="000000"/>
        </w:rPr>
        <w:t>重庆市万州区位于重庆市东部，三峡库区腹心地带。长江自西南向东北横贯该区，万州区东邻云阳县，西连忠县和梁平</w:t>
      </w:r>
      <w:r>
        <w:rPr>
          <w:rFonts w:hint="eastAsia"/>
          <w:color w:val="000000"/>
        </w:rPr>
        <w:t>区</w:t>
      </w:r>
      <w:r>
        <w:rPr>
          <w:color w:val="000000"/>
        </w:rPr>
        <w:t>，南靠石柱县和湖北省利川县，北依开江县和开</w:t>
      </w:r>
      <w:r>
        <w:rPr>
          <w:rFonts w:hint="eastAsia"/>
          <w:color w:val="000000"/>
        </w:rPr>
        <w:t>州区</w:t>
      </w:r>
      <w:r>
        <w:rPr>
          <w:color w:val="000000"/>
        </w:rPr>
        <w:t>。位于北纬30˚23ˊ～31˚20ˊ，东经107˚52ˊ～108˚53ˊ。万州区是长江上游和川东地区的交通枢纽，万州港是长江的十大港口之一，上距重庆327km，下至宜昌321km。</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本项目位于重庆市万州区经开区联合路1号，具体地理位置见附图1。</w:t>
      </w:r>
    </w:p>
    <w:p>
      <w:pPr>
        <w:pStyle w:val="4"/>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平面布局</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本项目位于本项目位于重庆市万州区经开区联合路1号，租用园区标准厂房。</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厂房所在地块呈东西向的长方形，东侧为办公区，西侧为生产区。地块4周各设置1各大门。厂房共2座，分别位于地块南北2侧。</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北侧为1号厂房，分为南北2侧。1#厂房北侧为辅料仓库、化学品仓库、泵区、动力车间等辅助工程。1#厂房南侧从东向西依次布置为：原料存放区、玻璃开料区、CNC区域、扫光平磨区、超声波清洗区、玻璃钢化区等。</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南侧为2号厂房：从东向西依次布置为：成品存放区、丝印区、清洗区等。</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办公区位于2座厂房东侧。门卫室位于办公区北侧。项目总平面布置见附图3。</w:t>
      </w:r>
    </w:p>
    <w:p>
      <w:pPr>
        <w:pStyle w:val="4"/>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3</w:t>
      </w:r>
      <w:r>
        <w:rPr>
          <w:rFonts w:cs="Times New Roman" w:eastAsiaTheme="minorEastAsia"/>
          <w:snapToGrid w:val="0"/>
          <w:color w:val="000000" w:themeColor="text1"/>
          <w:sz w:val="26"/>
          <w14:textFill>
            <w14:solidFill>
              <w14:schemeClr w14:val="tx1"/>
            </w14:solidFill>
          </w14:textFill>
        </w:rPr>
        <w:t xml:space="preserve"> 项目外环境及环境保护目标分布</w:t>
      </w:r>
    </w:p>
    <w:p>
      <w:pPr>
        <w:ind w:firstLine="480" w:firstLineChars="200"/>
        <w:jc w:val="both"/>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重庆市万州区经开区联合路1号（三峡光电科技产业园内），外环境关系如下：东北侧55-550m范围内为高峰税务所，东侧65-365m范围内为厂房，东南侧170-460m范围内为香山缘住户，南侧15-110m范围内为万州区招商投资局，南侧15m处为施耐德公司及朗逸迪公司，西南侧300-650m范围内为联合村厂房，西北侧245-320m范围内为联合坝公租房，北侧45m范围内为重庆平湖川村精密铜管有限公司。</w:t>
      </w:r>
    </w:p>
    <w:p>
      <w:pPr>
        <w:ind w:firstLine="480" w:firstLineChars="200"/>
        <w:jc w:val="both"/>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项目用水均依托园区给水管网，项目区内无居民将井泉作为饮用水水源，周边居民生活用水全部来自自来水。同时，位于项目南侧约330m的五桥溪水域功能为Ⅳ类水域，项目西侧约1.3km的长江段水域功能为Ⅲ类水域。全段无饮用水源保护区，项目评价范围内不涉及集中式引用水源保护地。此外，项目评价范围内不涉及自然保护区、世界文化和自然遗产地、风景名胜区、森林公园、重要湿地等敏感区域。本次验收主要环境保护目标分布情况具体见表3-1。</w:t>
      </w:r>
    </w:p>
    <w:p>
      <w:pPr>
        <w:adjustRightInd w:val="0"/>
        <w:snapToGrid w:val="0"/>
        <w:jc w:val="center"/>
        <w:rPr>
          <w:rFonts w:hint="default" w:ascii="Times New Roman" w:hAnsi="Times New Roman" w:eastAsia="宋体" w:cs="Times New Roman"/>
          <w:b/>
          <w:bCs/>
          <w:color w:val="auto"/>
          <w:sz w:val="21"/>
          <w:szCs w:val="21"/>
          <w:highlight w:val="none"/>
        </w:rPr>
      </w:pPr>
      <w:r>
        <w:rPr>
          <w:rFonts w:cs="Times New Roman" w:eastAsiaTheme="minorEastAsia"/>
          <w:b/>
          <w:bCs/>
          <w:sz w:val="21"/>
          <w:szCs w:val="21"/>
        </w:rPr>
        <w:t xml:space="preserve">表3-1 </w:t>
      </w:r>
      <w:r>
        <w:rPr>
          <w:rFonts w:hint="eastAsia" w:cs="Times New Roman" w:eastAsiaTheme="minorEastAsia"/>
          <w:b/>
          <w:bCs/>
          <w:sz w:val="21"/>
          <w:szCs w:val="21"/>
        </w:rPr>
        <w:t>外环境关系分布情况一览表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20"/>
        <w:gridCol w:w="1230"/>
        <w:gridCol w:w="945"/>
        <w:gridCol w:w="1215"/>
        <w:gridCol w:w="1620"/>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宋体" w:cs="Times New Roman"/>
                <w:b/>
                <w:bCs/>
                <w:color w:val="auto"/>
                <w:sz w:val="21"/>
                <w:szCs w:val="21"/>
              </w:rPr>
              <w:t>序号</w:t>
            </w:r>
          </w:p>
        </w:tc>
        <w:tc>
          <w:tcPr>
            <w:tcW w:w="1620" w:type="dxa"/>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宋体" w:cs="Times New Roman"/>
                <w:b/>
                <w:bCs/>
                <w:color w:val="auto"/>
                <w:kern w:val="0"/>
                <w:sz w:val="21"/>
                <w:szCs w:val="21"/>
              </w:rPr>
              <w:t>名称</w:t>
            </w:r>
          </w:p>
        </w:tc>
        <w:tc>
          <w:tcPr>
            <w:tcW w:w="1230" w:type="dxa"/>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b/>
                <w:bCs/>
                <w:color w:val="auto"/>
                <w:kern w:val="0"/>
                <w:sz w:val="21"/>
                <w:szCs w:val="21"/>
                <w:lang w:val="en-US" w:eastAsia="zh-CN"/>
              </w:rPr>
              <w:t>性质</w:t>
            </w:r>
          </w:p>
        </w:tc>
        <w:tc>
          <w:tcPr>
            <w:tcW w:w="945" w:type="dxa"/>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宋体" w:cs="Times New Roman"/>
                <w:b/>
                <w:bCs/>
                <w:color w:val="auto"/>
                <w:kern w:val="0"/>
                <w:sz w:val="21"/>
                <w:szCs w:val="21"/>
              </w:rPr>
              <w:t>方位</w:t>
            </w:r>
          </w:p>
        </w:tc>
        <w:tc>
          <w:tcPr>
            <w:tcW w:w="1215" w:type="dxa"/>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宋体" w:cs="Times New Roman"/>
                <w:b/>
                <w:bCs/>
                <w:color w:val="auto"/>
                <w:kern w:val="0"/>
                <w:sz w:val="21"/>
                <w:szCs w:val="21"/>
              </w:rPr>
              <w:t>距离</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lang w:val="en-US" w:eastAsia="zh-CN"/>
              </w:rPr>
              <w:t>m</w:t>
            </w:r>
            <w:r>
              <w:rPr>
                <w:rFonts w:hint="default" w:ascii="Times New Roman" w:hAnsi="Times New Roman" w:eastAsia="宋体" w:cs="Times New Roman"/>
                <w:b/>
                <w:bCs/>
                <w:color w:val="auto"/>
                <w:kern w:val="0"/>
                <w:sz w:val="21"/>
                <w:szCs w:val="21"/>
                <w:lang w:eastAsia="zh-CN"/>
              </w:rPr>
              <w:t>）</w:t>
            </w:r>
          </w:p>
        </w:tc>
        <w:tc>
          <w:tcPr>
            <w:tcW w:w="1620" w:type="dxa"/>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规模</w:t>
            </w:r>
          </w:p>
        </w:tc>
        <w:tc>
          <w:tcPr>
            <w:tcW w:w="1886" w:type="dxa"/>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环境要素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24" w:name="_Toc23350"/>
            <w:r>
              <w:rPr>
                <w:rFonts w:hint="default" w:ascii="Times New Roman" w:hAnsi="Times New Roman" w:eastAsia="宋体" w:cs="Times New Roman"/>
                <w:color w:val="auto"/>
                <w:kern w:val="2"/>
                <w:sz w:val="21"/>
                <w:szCs w:val="21"/>
                <w:lang w:val="en-US" w:eastAsia="zh-CN" w:bidi="ar-SA"/>
              </w:rPr>
              <w:t>1</w:t>
            </w:r>
            <w:bookmarkEnd w:id="24"/>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color w:val="auto"/>
                <w:kern w:val="2"/>
                <w:sz w:val="21"/>
                <w:szCs w:val="21"/>
                <w:lang w:val="en-US" w:eastAsia="zh-CN" w:bidi="ar-SA"/>
              </w:rPr>
              <w:t>高峰税务所</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bCs/>
                <w:color w:val="000000"/>
                <w:sz w:val="21"/>
                <w:szCs w:val="21"/>
                <w:lang w:val="en-US" w:eastAsia="zh-CN"/>
              </w:rPr>
              <w:t>居住、办公</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东北侧</w:t>
            </w:r>
          </w:p>
        </w:tc>
        <w:tc>
          <w:tcPr>
            <w:tcW w:w="12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color w:val="auto"/>
                <w:kern w:val="2"/>
                <w:sz w:val="21"/>
                <w:szCs w:val="21"/>
                <w:lang w:val="en-US" w:eastAsia="zh-CN" w:bidi="ar-SA"/>
              </w:rPr>
              <w:t>55-550</w:t>
            </w:r>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000000"/>
                <w:sz w:val="21"/>
                <w:szCs w:val="21"/>
                <w:lang w:val="en-US" w:eastAsia="zh-CN"/>
              </w:rPr>
              <w:t>约</w:t>
            </w:r>
            <w:r>
              <w:rPr>
                <w:rFonts w:hint="eastAsia" w:ascii="Times New Roman" w:hAnsi="Times New Roman" w:eastAsia="宋体" w:cs="Times New Roman"/>
                <w:bCs/>
                <w:color w:val="000000"/>
                <w:sz w:val="21"/>
                <w:szCs w:val="21"/>
                <w:lang w:val="en-US" w:eastAsia="zh-CN"/>
              </w:rPr>
              <w:t>300</w:t>
            </w:r>
            <w:r>
              <w:rPr>
                <w:rFonts w:hint="default" w:ascii="Times New Roman" w:hAnsi="Times New Roman" w:eastAsia="宋体" w:cs="Times New Roman"/>
                <w:bCs/>
                <w:color w:val="000000"/>
                <w:sz w:val="21"/>
                <w:szCs w:val="21"/>
              </w:rPr>
              <w:t>人</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声环境3类区</w:t>
            </w:r>
            <w:r>
              <w:rPr>
                <w:rFonts w:hint="eastAsia" w:ascii="Times New Roman" w:hAnsi="Times New Roman" w:eastAsia="宋体" w:cs="Times New Roman"/>
                <w:color w:val="auto"/>
                <w:sz w:val="21"/>
                <w:szCs w:val="21"/>
                <w:lang w:val="en-US" w:eastAsia="zh-CN"/>
              </w:rPr>
              <w:t>、环境空气2类区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25" w:name="_Toc16152"/>
            <w:r>
              <w:rPr>
                <w:rFonts w:hint="default" w:ascii="Times New Roman" w:hAnsi="Times New Roman" w:eastAsia="宋体" w:cs="Times New Roman"/>
                <w:color w:val="auto"/>
                <w:kern w:val="2"/>
                <w:sz w:val="21"/>
                <w:szCs w:val="21"/>
                <w:lang w:val="en-US" w:eastAsia="zh-CN" w:bidi="ar-SA"/>
              </w:rPr>
              <w:t>2</w:t>
            </w:r>
            <w:bookmarkEnd w:id="25"/>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bCs/>
                <w:color w:val="000000"/>
                <w:sz w:val="21"/>
                <w:szCs w:val="21"/>
                <w:lang w:val="en-US" w:eastAsia="zh-CN"/>
              </w:rPr>
              <w:t>香山缘住房</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bCs/>
                <w:color w:val="000000"/>
                <w:sz w:val="21"/>
                <w:szCs w:val="21"/>
                <w:lang w:val="en-US" w:eastAsia="zh-CN"/>
              </w:rPr>
              <w:t>居住</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东南侧</w:t>
            </w:r>
          </w:p>
        </w:tc>
        <w:tc>
          <w:tcPr>
            <w:tcW w:w="12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color w:val="auto"/>
                <w:kern w:val="2"/>
                <w:sz w:val="21"/>
                <w:szCs w:val="21"/>
                <w:lang w:val="en-US" w:eastAsia="zh-CN" w:bidi="ar-SA"/>
              </w:rPr>
              <w:t>170-460</w:t>
            </w:r>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000000"/>
                <w:sz w:val="21"/>
                <w:szCs w:val="21"/>
                <w:lang w:val="en-US" w:eastAsia="zh-CN"/>
              </w:rPr>
              <w:t>约</w:t>
            </w:r>
            <w:r>
              <w:rPr>
                <w:rFonts w:hint="eastAsia" w:ascii="Times New Roman" w:hAnsi="Times New Roman" w:eastAsia="宋体" w:cs="Times New Roman"/>
                <w:bCs/>
                <w:color w:val="000000"/>
                <w:sz w:val="21"/>
                <w:szCs w:val="21"/>
                <w:lang w:val="en-US" w:eastAsia="zh-CN"/>
              </w:rPr>
              <w:t>500</w:t>
            </w:r>
            <w:r>
              <w:rPr>
                <w:rFonts w:hint="default" w:ascii="Times New Roman" w:hAnsi="Times New Roman" w:eastAsia="宋体" w:cs="Times New Roman"/>
                <w:bCs/>
                <w:color w:val="000000"/>
                <w:sz w:val="21"/>
                <w:szCs w:val="21"/>
              </w:rPr>
              <w:t>人</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声环境3类区</w:t>
            </w:r>
            <w:r>
              <w:rPr>
                <w:rFonts w:hint="eastAsia" w:ascii="Times New Roman" w:hAnsi="Times New Roman" w:eastAsia="宋体" w:cs="Times New Roman"/>
                <w:color w:val="auto"/>
                <w:sz w:val="21"/>
                <w:szCs w:val="21"/>
                <w:lang w:val="en-US" w:eastAsia="zh-CN"/>
              </w:rPr>
              <w:t>、环境空气2类区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bookmarkStart w:id="26" w:name="_Toc18304"/>
            <w:r>
              <w:rPr>
                <w:rFonts w:hint="default" w:ascii="Times New Roman" w:hAnsi="Times New Roman" w:eastAsia="宋体" w:cs="Times New Roman"/>
                <w:color w:val="auto"/>
                <w:kern w:val="2"/>
                <w:sz w:val="21"/>
                <w:szCs w:val="21"/>
                <w:lang w:val="en-US" w:eastAsia="zh-CN" w:bidi="ar-SA"/>
              </w:rPr>
              <w:t>3</w:t>
            </w:r>
            <w:bookmarkEnd w:id="26"/>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bCs/>
                <w:color w:val="000000"/>
                <w:sz w:val="21"/>
                <w:szCs w:val="21"/>
                <w:lang w:val="en-US" w:eastAsia="zh-CN"/>
              </w:rPr>
              <w:t>万州区招商投资局</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bCs/>
                <w:color w:val="000000"/>
                <w:sz w:val="21"/>
                <w:szCs w:val="21"/>
                <w:lang w:val="en-US" w:eastAsia="zh-CN"/>
              </w:rPr>
              <w:t>办公</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lang w:val="en-US" w:eastAsia="zh-CN"/>
              </w:rPr>
              <w:t>南侧</w:t>
            </w:r>
          </w:p>
        </w:tc>
        <w:tc>
          <w:tcPr>
            <w:tcW w:w="12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color w:val="auto"/>
                <w:kern w:val="2"/>
                <w:sz w:val="21"/>
                <w:szCs w:val="21"/>
                <w:lang w:val="en-US" w:eastAsia="zh-CN" w:bidi="ar-SA"/>
              </w:rPr>
              <w:t>15-110</w:t>
            </w:r>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000000"/>
                <w:sz w:val="21"/>
                <w:szCs w:val="21"/>
                <w:lang w:val="en-US" w:eastAsia="zh-CN"/>
              </w:rPr>
              <w:t>约</w:t>
            </w:r>
            <w:r>
              <w:rPr>
                <w:rFonts w:hint="eastAsia" w:ascii="Times New Roman" w:hAnsi="Times New Roman" w:eastAsia="宋体" w:cs="Times New Roman"/>
                <w:bCs/>
                <w:color w:val="000000"/>
                <w:sz w:val="21"/>
                <w:szCs w:val="21"/>
                <w:lang w:val="en-US" w:eastAsia="zh-CN"/>
              </w:rPr>
              <w:t>80</w:t>
            </w:r>
            <w:r>
              <w:rPr>
                <w:rFonts w:hint="default" w:ascii="Times New Roman" w:hAnsi="Times New Roman" w:eastAsia="宋体" w:cs="Times New Roman"/>
                <w:bCs/>
                <w:color w:val="000000"/>
                <w:sz w:val="21"/>
                <w:szCs w:val="21"/>
                <w:lang w:val="en-US" w:eastAsia="zh-CN"/>
              </w:rPr>
              <w:t>人</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声环境3类区</w:t>
            </w:r>
            <w:r>
              <w:rPr>
                <w:rFonts w:hint="eastAsia" w:ascii="Times New Roman" w:hAnsi="Times New Roman" w:eastAsia="宋体" w:cs="Times New Roman"/>
                <w:color w:val="auto"/>
                <w:sz w:val="21"/>
                <w:szCs w:val="21"/>
                <w:lang w:val="en-US" w:eastAsia="zh-CN"/>
              </w:rPr>
              <w:t>、环境空气2类区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bookmarkStart w:id="27" w:name="_Toc23689"/>
            <w:r>
              <w:rPr>
                <w:rFonts w:hint="eastAsia" w:ascii="Times New Roman" w:hAnsi="Times New Roman" w:eastAsia="宋体" w:cs="Times New Roman"/>
                <w:color w:val="auto"/>
                <w:sz w:val="21"/>
                <w:szCs w:val="21"/>
                <w:lang w:val="en-US" w:eastAsia="zh-CN"/>
              </w:rPr>
              <w:t>4</w:t>
            </w:r>
            <w:bookmarkEnd w:id="27"/>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bCs/>
                <w:color w:val="000000"/>
                <w:kern w:val="2"/>
                <w:sz w:val="21"/>
                <w:szCs w:val="21"/>
                <w:lang w:val="en-US" w:eastAsia="zh-CN" w:bidi="ar-SA"/>
              </w:rPr>
              <w:t>联合村公租房</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bCs/>
                <w:color w:val="000000"/>
                <w:kern w:val="2"/>
                <w:sz w:val="21"/>
                <w:szCs w:val="21"/>
                <w:lang w:val="en-US" w:eastAsia="zh-CN" w:bidi="ar-SA"/>
              </w:rPr>
              <w:t>居住</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西北侧</w:t>
            </w:r>
          </w:p>
        </w:tc>
        <w:tc>
          <w:tcPr>
            <w:tcW w:w="12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宋体" w:cs="Times New Roman"/>
                <w:color w:val="auto"/>
                <w:kern w:val="2"/>
                <w:sz w:val="21"/>
                <w:szCs w:val="21"/>
                <w:lang w:val="en-US" w:eastAsia="zh-CN" w:bidi="ar-SA"/>
              </w:rPr>
              <w:t>245-325</w:t>
            </w:r>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约</w:t>
            </w:r>
            <w:r>
              <w:rPr>
                <w:rFonts w:hint="eastAsia" w:ascii="Times New Roman" w:hAnsi="Times New Roman" w:eastAsia="宋体" w:cs="Times New Roman"/>
                <w:bCs/>
                <w:color w:val="000000"/>
                <w:kern w:val="2"/>
                <w:sz w:val="21"/>
                <w:szCs w:val="21"/>
                <w:lang w:val="en-US" w:eastAsia="zh-CN" w:bidi="ar-SA"/>
              </w:rPr>
              <w:t>2</w:t>
            </w:r>
            <w:r>
              <w:rPr>
                <w:rFonts w:hint="default" w:ascii="Times New Roman" w:hAnsi="Times New Roman" w:eastAsia="宋体" w:cs="Times New Roman"/>
                <w:bCs/>
                <w:color w:val="000000"/>
                <w:kern w:val="2"/>
                <w:sz w:val="21"/>
                <w:szCs w:val="21"/>
                <w:lang w:val="en-US" w:eastAsia="zh-CN" w:bidi="ar-SA"/>
              </w:rPr>
              <w:t>00人</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声环境3类区</w:t>
            </w:r>
            <w:r>
              <w:rPr>
                <w:rFonts w:hint="eastAsia" w:ascii="Times New Roman" w:hAnsi="Times New Roman" w:eastAsia="宋体" w:cs="Times New Roman"/>
                <w:color w:val="auto"/>
                <w:sz w:val="21"/>
                <w:szCs w:val="21"/>
                <w:lang w:val="en-US" w:eastAsia="zh-CN"/>
              </w:rPr>
              <w:t>、环境空气2类区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4" w:type="dxa"/>
            <w:gridSpan w:val="7"/>
            <w:noWrap w:val="0"/>
            <w:vAlign w:val="center"/>
          </w:tcPr>
          <w:p>
            <w:pPr>
              <w:pStyle w:val="10"/>
              <w:keepNext w:val="0"/>
              <w:keepLines w:val="0"/>
              <w:pageBreakBefore w:val="0"/>
              <w:widowControl w:val="0"/>
              <w:tabs>
                <w:tab w:val="left" w:pos="5445"/>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地表水环境保护目标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28" w:name="_Toc29533"/>
            <w:bookmarkStart w:id="29" w:name="_Toc497833573"/>
            <w:r>
              <w:rPr>
                <w:rFonts w:hint="default" w:ascii="Times New Roman" w:hAnsi="Times New Roman" w:eastAsia="宋体" w:cs="Times New Roman"/>
                <w:color w:val="auto"/>
                <w:sz w:val="21"/>
                <w:szCs w:val="21"/>
                <w:lang w:val="en-US" w:eastAsia="zh-CN"/>
              </w:rPr>
              <w:t>1</w:t>
            </w:r>
            <w:bookmarkEnd w:id="28"/>
          </w:p>
        </w:tc>
        <w:tc>
          <w:tcPr>
            <w:tcW w:w="2850" w:type="dxa"/>
            <w:gridSpan w:val="2"/>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30" w:name="_Toc19204"/>
            <w:r>
              <w:rPr>
                <w:rFonts w:hint="eastAsia" w:ascii="Times New Roman" w:hAnsi="Times New Roman" w:eastAsia="宋体" w:cs="Times New Roman"/>
                <w:color w:val="auto"/>
                <w:sz w:val="21"/>
                <w:szCs w:val="21"/>
                <w:lang w:val="en-US" w:eastAsia="zh-CN"/>
              </w:rPr>
              <w:t>五桥溪</w:t>
            </w:r>
            <w:bookmarkEnd w:id="30"/>
          </w:p>
        </w:tc>
        <w:tc>
          <w:tcPr>
            <w:tcW w:w="945"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31" w:name="_Toc21972"/>
            <w:r>
              <w:rPr>
                <w:rFonts w:hint="eastAsia" w:ascii="Times New Roman" w:hAnsi="Times New Roman" w:eastAsia="宋体" w:cs="Times New Roman"/>
                <w:color w:val="auto"/>
                <w:kern w:val="0"/>
                <w:sz w:val="21"/>
                <w:szCs w:val="21"/>
                <w:lang w:val="en-US" w:eastAsia="zh-CN"/>
              </w:rPr>
              <w:t>南侧</w:t>
            </w:r>
            <w:bookmarkEnd w:id="31"/>
          </w:p>
        </w:tc>
        <w:tc>
          <w:tcPr>
            <w:tcW w:w="1215"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32" w:name="_Toc3464"/>
            <w:r>
              <w:rPr>
                <w:rFonts w:hint="eastAsia" w:ascii="Times New Roman" w:hAnsi="Times New Roman" w:eastAsia="宋体" w:cs="Times New Roman"/>
                <w:color w:val="auto"/>
                <w:sz w:val="21"/>
                <w:szCs w:val="21"/>
                <w:lang w:val="en-US" w:eastAsia="zh-CN"/>
              </w:rPr>
              <w:t>330</w:t>
            </w:r>
            <w:bookmarkEnd w:id="32"/>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000000"/>
                <w:sz w:val="21"/>
                <w:szCs w:val="21"/>
                <w:lang w:val="en-US" w:eastAsia="zh-CN"/>
              </w:rPr>
              <w:t>长江</w:t>
            </w:r>
            <w:r>
              <w:rPr>
                <w:rFonts w:hint="default" w:ascii="Times New Roman" w:hAnsi="Times New Roman" w:eastAsia="宋体" w:cs="Times New Roman"/>
                <w:bCs/>
                <w:color w:val="000000"/>
                <w:sz w:val="21"/>
                <w:szCs w:val="21"/>
                <w:lang w:val="en-US" w:eastAsia="zh-CN"/>
              </w:rPr>
              <w:t>支流，Ⅳ类水域</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Ⅳ类水域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33" w:name="_Toc30134"/>
            <w:r>
              <w:rPr>
                <w:rFonts w:hint="eastAsia" w:ascii="Times New Roman" w:hAnsi="Times New Roman" w:eastAsia="宋体" w:cs="Times New Roman"/>
                <w:color w:val="auto"/>
                <w:sz w:val="21"/>
                <w:szCs w:val="21"/>
                <w:lang w:val="en-US" w:eastAsia="zh-CN"/>
              </w:rPr>
              <w:t>2</w:t>
            </w:r>
            <w:bookmarkEnd w:id="33"/>
          </w:p>
        </w:tc>
        <w:tc>
          <w:tcPr>
            <w:tcW w:w="2850" w:type="dxa"/>
            <w:gridSpan w:val="2"/>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34" w:name="_Toc2112"/>
            <w:r>
              <w:rPr>
                <w:rFonts w:hint="eastAsia" w:ascii="Times New Roman" w:hAnsi="Times New Roman" w:eastAsia="宋体" w:cs="Times New Roman"/>
                <w:color w:val="auto"/>
                <w:sz w:val="21"/>
                <w:szCs w:val="21"/>
                <w:lang w:val="en-US" w:eastAsia="zh-CN"/>
              </w:rPr>
              <w:t>长江</w:t>
            </w:r>
            <w:bookmarkEnd w:id="34"/>
          </w:p>
        </w:tc>
        <w:tc>
          <w:tcPr>
            <w:tcW w:w="945"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35" w:name="_Toc17558"/>
            <w:r>
              <w:rPr>
                <w:rFonts w:hint="eastAsia" w:ascii="Times New Roman" w:hAnsi="Times New Roman" w:eastAsia="宋体" w:cs="Times New Roman"/>
                <w:color w:val="auto"/>
                <w:kern w:val="0"/>
                <w:sz w:val="21"/>
                <w:szCs w:val="21"/>
                <w:lang w:val="en-US" w:eastAsia="zh-CN"/>
              </w:rPr>
              <w:t>西侧</w:t>
            </w:r>
            <w:bookmarkEnd w:id="35"/>
          </w:p>
        </w:tc>
        <w:tc>
          <w:tcPr>
            <w:tcW w:w="1215" w:type="dxa"/>
            <w:noWrap w:val="0"/>
            <w:vAlign w:val="center"/>
          </w:tcPr>
          <w:p>
            <w:pPr>
              <w:pStyle w:val="9"/>
              <w:keepNext w:val="0"/>
              <w:keepLines w:val="0"/>
              <w:pageBreakBefore w:val="0"/>
              <w:widowControl w:val="0"/>
              <w:kinsoku/>
              <w:wordWrap/>
              <w:overflowPunct/>
              <w:topLinePunct w:val="0"/>
              <w:autoSpaceDE/>
              <w:autoSpaceDN/>
              <w:bidi w:val="0"/>
              <w:spacing w:after="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kern w:val="2"/>
                <w:lang w:val="en-US" w:eastAsia="zh-CN"/>
                <w14:textFill>
                  <w14:solidFill>
                    <w14:schemeClr w14:val="tx1"/>
                  </w14:solidFill>
                </w14:textFill>
              </w:rPr>
            </w:pPr>
            <w:bookmarkStart w:id="36" w:name="_Toc29732"/>
            <w:r>
              <w:rPr>
                <w:rFonts w:hint="eastAsia" w:ascii="Times New Roman" w:hAnsi="Times New Roman" w:eastAsia="宋体" w:cs="Times New Roman"/>
                <w:color w:val="auto"/>
                <w:sz w:val="21"/>
                <w:szCs w:val="21"/>
                <w:lang w:val="en-US" w:eastAsia="zh-CN"/>
              </w:rPr>
              <w:t>1300</w:t>
            </w:r>
            <w:bookmarkEnd w:id="36"/>
          </w:p>
        </w:tc>
        <w:tc>
          <w:tcPr>
            <w:tcW w:w="16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长江，Ⅲ类水域</w:t>
            </w:r>
          </w:p>
        </w:tc>
        <w:tc>
          <w:tcPr>
            <w:tcW w:w="18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Ⅲ类水域</w:t>
            </w:r>
          </w:p>
        </w:tc>
      </w:tr>
    </w:tbl>
    <w:p>
      <w:pPr>
        <w:pStyle w:val="3"/>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37" w:name="_Toc13947"/>
      <w:r>
        <w:rPr>
          <w:rFonts w:cs="Times New Roman" w:eastAsiaTheme="minorEastAsia"/>
          <w:snapToGrid w:val="0"/>
          <w:color w:val="000000" w:themeColor="text1"/>
          <w:sz w:val="26"/>
          <w14:textFill>
            <w14:solidFill>
              <w14:schemeClr w14:val="tx1"/>
            </w14:solidFill>
          </w14:textFill>
        </w:rPr>
        <w:t>3.2 建设内容</w:t>
      </w:r>
      <w:bookmarkEnd w:id="29"/>
      <w:r>
        <w:rPr>
          <w:rFonts w:cs="Times New Roman" w:eastAsiaTheme="minorEastAsia"/>
          <w:snapToGrid w:val="0"/>
          <w:color w:val="000000" w:themeColor="text1"/>
          <w:sz w:val="26"/>
          <w14:textFill>
            <w14:solidFill>
              <w14:schemeClr w14:val="tx1"/>
            </w14:solidFill>
          </w14:textFill>
        </w:rPr>
        <w:t>基本情况</w:t>
      </w:r>
      <w:bookmarkEnd w:id="37"/>
    </w:p>
    <w:p>
      <w:pPr>
        <w:ind w:firstLine="480" w:firstLineChars="200"/>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14:textFill>
            <w14:solidFill>
              <w14:schemeClr w14:val="tx1"/>
            </w14:solidFill>
          </w14:textFill>
        </w:rPr>
        <w:t>（1）建设内容</w:t>
      </w:r>
    </w:p>
    <w:p>
      <w:pPr>
        <w:ind w:firstLine="480" w:firstLineChars="200"/>
        <w:jc w:val="both"/>
        <w:rPr>
          <w:rFonts w:cs="Times New Roman" w:eastAsiaTheme="minorEastAsia"/>
          <w:color w:val="000000" w:themeColor="text1"/>
          <w:szCs w:val="24"/>
          <w14:textFill>
            <w14:solidFill>
              <w14:schemeClr w14:val="tx1"/>
            </w14:solidFill>
          </w14:textFill>
        </w:rPr>
      </w:pPr>
      <w:r>
        <w:rPr>
          <w:rFonts w:hint="eastAsia" w:cs="Times New Roman"/>
          <w:b w:val="0"/>
          <w:bCs/>
          <w:color w:val="auto"/>
          <w:kern w:val="0"/>
          <w:sz w:val="24"/>
          <w:szCs w:val="24"/>
          <w:lang w:val="en-US" w:eastAsia="zh-CN" w:bidi="ar-SA"/>
        </w:rPr>
        <w:t>本项目租用重庆市万州区经开区联合路1号的标准厂房，项目所在标准厂房共1层，建筑面积共计1.6万m</w:t>
      </w:r>
      <w:r>
        <w:rPr>
          <w:rFonts w:hint="eastAsia" w:cs="Times New Roman"/>
          <w:b w:val="0"/>
          <w:bCs/>
          <w:color w:val="auto"/>
          <w:kern w:val="0"/>
          <w:sz w:val="24"/>
          <w:szCs w:val="24"/>
          <w:vertAlign w:val="superscript"/>
          <w:lang w:val="en-US" w:eastAsia="zh-CN" w:bidi="ar-SA"/>
        </w:rPr>
        <w:t>2</w:t>
      </w:r>
      <w:r>
        <w:rPr>
          <w:rFonts w:hint="eastAsia" w:cs="Times New Roman"/>
          <w:b w:val="0"/>
          <w:bCs/>
          <w:color w:val="auto"/>
          <w:kern w:val="0"/>
          <w:sz w:val="24"/>
          <w:szCs w:val="24"/>
          <w:lang w:val="en-US" w:eastAsia="zh-CN" w:bidi="ar-SA"/>
        </w:rPr>
        <w:t>，</w:t>
      </w:r>
      <w:r>
        <w:rPr>
          <w:rFonts w:hint="eastAsia" w:ascii="Times New Roman" w:hAnsi="Times New Roman" w:cs="Times New Roman"/>
          <w:bCs/>
          <w:color w:val="auto"/>
          <w:sz w:val="24"/>
        </w:rPr>
        <w:t>项目区内不设置食堂和宿舍，就餐依托周边餐馆，已接通市政给排水管网，供水、供电等状态良好。</w:t>
      </w:r>
      <w:r>
        <w:rPr>
          <w:rFonts w:hint="eastAsia" w:cs="Times New Roman" w:eastAsiaTheme="minorEastAsia"/>
          <w:color w:val="000000" w:themeColor="text1"/>
          <w:szCs w:val="24"/>
          <w:lang w:val="en-US" w:eastAsia="zh-CN"/>
          <w14:textFill>
            <w14:solidFill>
              <w14:schemeClr w14:val="tx1"/>
            </w14:solidFill>
          </w14:textFill>
        </w:rPr>
        <w:t>项目建设内容包括主体工程、辅助工程、公用工程和环保工程</w:t>
      </w:r>
      <w:r>
        <w:rPr>
          <w:rFonts w:cs="Times New Roman" w:eastAsiaTheme="minorEastAsia"/>
          <w:color w:val="000000" w:themeColor="text1"/>
          <w:szCs w:val="24"/>
          <w14:textFill>
            <w14:solidFill>
              <w14:schemeClr w14:val="tx1"/>
            </w14:solidFill>
          </w14:textFill>
        </w:rPr>
        <w:t>。项目建设内容见下表3-</w:t>
      </w:r>
      <w:r>
        <w:rPr>
          <w:rFonts w:hint="eastAsia" w:cs="Times New Roman" w:eastAsiaTheme="minorEastAsia"/>
          <w:color w:val="000000" w:themeColor="text1"/>
          <w:szCs w:val="24"/>
          <w14:textFill>
            <w14:solidFill>
              <w14:schemeClr w14:val="tx1"/>
            </w14:solidFill>
          </w14:textFill>
        </w:rPr>
        <w:t>2</w:t>
      </w:r>
      <w:r>
        <w:rPr>
          <w:rFonts w:cs="Times New Roman" w:eastAsiaTheme="minorEastAsia"/>
          <w:color w:val="000000" w:themeColor="text1"/>
          <w:szCs w:val="24"/>
          <w14:textFill>
            <w14:solidFill>
              <w14:schemeClr w14:val="tx1"/>
            </w14:solidFill>
          </w14:textFill>
        </w:rPr>
        <w:t>。</w:t>
      </w:r>
    </w:p>
    <w:p>
      <w:pPr>
        <w:pStyle w:val="11"/>
        <w:jc w:val="center"/>
        <w:rPr>
          <w:rFonts w:cs="Times New Roman" w:eastAsiaTheme="minorEastAsia"/>
          <w:b/>
          <w:bCs/>
          <w:sz w:val="21"/>
          <w:szCs w:val="21"/>
        </w:rPr>
      </w:pPr>
      <w:r>
        <w:rPr>
          <w:rFonts w:cs="Times New Roman" w:eastAsiaTheme="minorEastAsia"/>
          <w:b/>
          <w:bCs/>
          <w:sz w:val="21"/>
          <w:szCs w:val="21"/>
        </w:rPr>
        <w:t>表3-2    项目组成及建设内容</w:t>
      </w:r>
    </w:p>
    <w:tbl>
      <w:tblPr>
        <w:tblStyle w:val="23"/>
        <w:tblW w:w="506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52"/>
        <w:gridCol w:w="1275"/>
        <w:gridCol w:w="716"/>
        <w:gridCol w:w="3754"/>
        <w:gridCol w:w="296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tcBorders>
              <w:right w:val="single" w:color="auto" w:sz="4" w:space="0"/>
            </w:tcBorders>
            <w:noWrap w:val="0"/>
            <w:vAlign w:val="center"/>
          </w:tcPr>
          <w:p>
            <w:pPr>
              <w:pStyle w:val="40"/>
              <w:rPr>
                <w:rFonts w:hint="eastAsia" w:ascii="Times New Roman" w:hAnsi="Times New Roman" w:eastAsiaTheme="minorEastAsia"/>
                <w:b/>
                <w:bCs/>
                <w:color w:val="000000" w:themeColor="text1"/>
                <w:kern w:val="2"/>
                <w14:textFill>
                  <w14:solidFill>
                    <w14:schemeClr w14:val="tx1"/>
                  </w14:solidFill>
                </w14:textFill>
              </w:rPr>
            </w:pPr>
            <w:r>
              <w:rPr>
                <w:rFonts w:hint="default" w:ascii="Times New Roman" w:hAnsi="Times New Roman" w:eastAsiaTheme="minorEastAsia"/>
                <w:b/>
                <w:bCs/>
                <w:color w:val="000000" w:themeColor="text1"/>
                <w:kern w:val="2"/>
                <w14:textFill>
                  <w14:solidFill>
                    <w14:schemeClr w14:val="tx1"/>
                  </w14:solidFill>
                </w14:textFill>
              </w:rPr>
              <w:t>工程分类</w:t>
            </w:r>
          </w:p>
        </w:tc>
        <w:tc>
          <w:tcPr>
            <w:tcW w:w="1275" w:type="dxa"/>
            <w:tcBorders>
              <w:left w:val="single" w:color="auto" w:sz="4" w:space="0"/>
              <w:right w:val="single" w:color="auto" w:sz="4" w:space="0"/>
            </w:tcBorders>
            <w:noWrap w:val="0"/>
            <w:vAlign w:val="center"/>
          </w:tcPr>
          <w:p>
            <w:pPr>
              <w:pStyle w:val="40"/>
              <w:rPr>
                <w:rFonts w:hint="eastAsia" w:ascii="Times New Roman" w:hAnsi="Times New Roman" w:eastAsiaTheme="minorEastAsia"/>
                <w:b/>
                <w:bCs/>
                <w:color w:val="000000" w:themeColor="text1"/>
                <w:kern w:val="2"/>
                <w:lang w:eastAsia="zh-CN"/>
                <w14:textFill>
                  <w14:solidFill>
                    <w14:schemeClr w14:val="tx1"/>
                  </w14:solidFill>
                </w14:textFill>
              </w:rPr>
            </w:pPr>
            <w:r>
              <w:rPr>
                <w:rFonts w:hint="default" w:ascii="Times New Roman" w:hAnsi="Times New Roman" w:eastAsiaTheme="minorEastAsia"/>
                <w:b/>
                <w:bCs/>
                <w:color w:val="000000" w:themeColor="text1"/>
                <w:kern w:val="2"/>
                <w14:textFill>
                  <w14:solidFill>
                    <w14:schemeClr w14:val="tx1"/>
                  </w14:solidFill>
                </w14:textFill>
              </w:rPr>
              <w:t>项目组成</w:t>
            </w:r>
          </w:p>
        </w:tc>
        <w:tc>
          <w:tcPr>
            <w:tcW w:w="4470" w:type="dxa"/>
            <w:gridSpan w:val="2"/>
            <w:tcBorders>
              <w:top w:val="single" w:color="auto" w:sz="4" w:space="0"/>
              <w:left w:val="single" w:color="auto" w:sz="4" w:space="0"/>
            </w:tcBorders>
            <w:noWrap w:val="0"/>
            <w:vAlign w:val="center"/>
          </w:tcPr>
          <w:p>
            <w:pPr>
              <w:pStyle w:val="40"/>
              <w:rPr>
                <w:rFonts w:hint="eastAsia" w:ascii="Times New Roman" w:hAnsi="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eastAsiaTheme="minorEastAsia"/>
                <w:b/>
                <w:bCs/>
                <w:color w:val="000000" w:themeColor="text1"/>
                <w:kern w:val="2"/>
                <w14:textFill>
                  <w14:solidFill>
                    <w14:schemeClr w14:val="tx1"/>
                  </w14:solidFill>
                </w14:textFill>
              </w:rPr>
              <w:t>主要建设内容</w:t>
            </w:r>
          </w:p>
        </w:tc>
        <w:tc>
          <w:tcPr>
            <w:tcW w:w="2968" w:type="dxa"/>
            <w:tcBorders>
              <w:top w:val="single" w:color="auto" w:sz="4" w:space="0"/>
              <w:left w:val="single" w:color="auto" w:sz="4" w:space="0"/>
            </w:tcBorders>
            <w:noWrap w:val="0"/>
            <w:vAlign w:val="center"/>
          </w:tcPr>
          <w:p>
            <w:pPr>
              <w:pStyle w:val="40"/>
              <w:rPr>
                <w:rFonts w:hint="default" w:ascii="Times New Roman" w:hAnsi="Times New Roman" w:cs="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2"/>
                <w:lang w:val="en-US" w:eastAsia="zh-CN"/>
                <w14:textFill>
                  <w14:solidFill>
                    <w14:schemeClr w14:val="tx1"/>
                  </w14:solidFill>
                </w14:textFill>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restart"/>
            <w:tcBorders>
              <w:top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主体工程</w:t>
            </w:r>
          </w:p>
        </w:tc>
        <w:tc>
          <w:tcPr>
            <w:tcW w:w="1275" w:type="dxa"/>
            <w:vMerge w:val="restart"/>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1#厂房</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1#厂房占地面积6677.6m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，长×宽×高为196.4m×34m×10m，1F，框架彩钢棚结构。</w:t>
            </w:r>
          </w:p>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主要设置有：开料区、CNC设备区、扫光清洗区、扫光磨平区、钢化前清洗车间、钢化前全检车间、钢化车间、物料周转区、辅料仓库、CNC备品间、化学品仓库、泵区、动力车间、物料周转区、原片玻璃放置区等。</w:t>
            </w:r>
          </w:p>
        </w:tc>
        <w:tc>
          <w:tcPr>
            <w:tcW w:w="2968" w:type="dxa"/>
            <w:tcBorders>
              <w:top w:val="single" w:color="auto" w:sz="4" w:space="0"/>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default" w:ascii="Times New Roman" w:hAnsi="Times New Roman" w:eastAsiaTheme="minorEastAsia"/>
                <w:color w:val="000000" w:themeColor="text1"/>
                <w:kern w:val="2"/>
                <w14:textFill>
                  <w14:solidFill>
                    <w14:schemeClr w14:val="tx1"/>
                  </w14:solidFill>
                </w14:textFill>
              </w:rPr>
            </w:pPr>
          </w:p>
        </w:tc>
        <w:tc>
          <w:tcPr>
            <w:tcW w:w="1275" w:type="dxa"/>
            <w:vMerge w:val="continue"/>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top w:val="single" w:color="auto" w:sz="4" w:space="0"/>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开料区：长×宽9m×24m，主要布设</w:t>
            </w:r>
            <w:r>
              <w:rPr>
                <w:rFonts w:hint="default" w:ascii="Times New Roman" w:hAnsi="Times New Roman" w:eastAsiaTheme="minorEastAsia"/>
                <w:color w:val="000000" w:themeColor="text1"/>
                <w:kern w:val="2"/>
                <w:lang w:val="en-US" w:eastAsia="zh-CN"/>
                <w14:textFill>
                  <w14:solidFill>
                    <w14:schemeClr w14:val="tx1"/>
                  </w14:solidFill>
                </w14:textFill>
              </w:rPr>
              <w:t>全自动玻璃切割机</w:t>
            </w:r>
            <w:r>
              <w:rPr>
                <w:rFonts w:hint="eastAsia" w:ascii="Times New Roman" w:hAnsi="Times New Roman" w:eastAsiaTheme="minorEastAsia"/>
                <w:color w:val="000000" w:themeColor="text1"/>
                <w:kern w:val="2"/>
                <w:lang w:val="en-US" w:eastAsia="zh-CN"/>
                <w14:textFill>
                  <w14:solidFill>
                    <w14:schemeClr w14:val="tx1"/>
                  </w14:solidFill>
                </w14:textFill>
              </w:rPr>
              <w:t>10台。</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开料区布设</w:t>
            </w:r>
            <w:r>
              <w:rPr>
                <w:rFonts w:hint="default" w:ascii="Times New Roman" w:hAnsi="Times New Roman" w:eastAsiaTheme="minorEastAsia"/>
                <w:color w:val="000000" w:themeColor="text1"/>
                <w:kern w:val="2"/>
                <w:lang w:val="en-US" w:eastAsia="zh-CN"/>
                <w14:textFill>
                  <w14:solidFill>
                    <w14:schemeClr w14:val="tx1"/>
                  </w14:solidFill>
                </w14:textFill>
              </w:rPr>
              <w:t>全自动玻璃切割机</w:t>
            </w:r>
            <w:r>
              <w:rPr>
                <w:rFonts w:hint="eastAsia" w:ascii="Times New Roman" w:hAnsi="Times New Roman" w:eastAsiaTheme="minorEastAsia"/>
                <w:color w:val="000000" w:themeColor="text1"/>
                <w:kern w:val="2"/>
                <w:lang w:val="en-US" w:eastAsia="zh-CN"/>
                <w14:textFill>
                  <w14:solidFill>
                    <w14:schemeClr w14:val="tx1"/>
                  </w14:solidFill>
                </w14:textFill>
              </w:rPr>
              <w:t>1台。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CNC设备区：长×宽20.325m×24m，主要布设数控机床300台，用于精雕工序。</w:t>
            </w:r>
          </w:p>
        </w:tc>
        <w:tc>
          <w:tcPr>
            <w:tcW w:w="2968" w:type="dxa"/>
            <w:tcBorders>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CNC设备区布设数控机床40台，用于精雕工序。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清洗区：长×宽10.5m×24m，布设超声波清洗清洗机4台。</w:t>
            </w:r>
          </w:p>
        </w:tc>
        <w:tc>
          <w:tcPr>
            <w:tcW w:w="2968" w:type="dxa"/>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清洗区布设超声波清洗清洗机1台。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扫平磨光区：长×宽31m×24m，主要布设扫光机160台，平磨机130台，用于扫光平磨工序。</w:t>
            </w:r>
          </w:p>
        </w:tc>
        <w:tc>
          <w:tcPr>
            <w:tcW w:w="2968" w:type="dxa"/>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扫平磨光区布设扫光平磨机6台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钢化前全检车间：长×宽19.9m×15.1m，布设检查设备28台。</w:t>
            </w:r>
          </w:p>
        </w:tc>
        <w:tc>
          <w:tcPr>
            <w:tcW w:w="2968" w:type="dxa"/>
            <w:tcBorders>
              <w:bottom w:val="single" w:color="auto" w:sz="4" w:space="0"/>
            </w:tcBorders>
            <w:noWrap w:val="0"/>
            <w:vAlign w:val="center"/>
          </w:tcPr>
          <w:p>
            <w:pPr>
              <w:pStyle w:val="40"/>
              <w:rPr>
                <w:rFonts w:hint="eastAsia" w:ascii="Times New Roman" w:hAnsi="Times New Roman" w:eastAsia="宋体" w:cs="Times New Roman"/>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钢化车间：长×宽16m×34m，布设钢化炉4台。</w:t>
            </w:r>
          </w:p>
        </w:tc>
        <w:tc>
          <w:tcPr>
            <w:tcW w:w="2968" w:type="dxa"/>
            <w:tcBorders>
              <w:bottom w:val="single" w:color="auto" w:sz="4" w:space="0"/>
            </w:tcBorders>
            <w:noWrap w:val="0"/>
            <w:vAlign w:val="center"/>
          </w:tcPr>
          <w:p>
            <w:pPr>
              <w:pStyle w:val="4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restart"/>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2#厂房</w:t>
            </w:r>
          </w:p>
        </w:tc>
        <w:tc>
          <w:tcPr>
            <w:tcW w:w="4470" w:type="dxa"/>
            <w:gridSpan w:val="2"/>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2#厂房占地面积5871.25m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，长×宽×高为192.5m×30.5m×10m，1F，框架彩钢棚结构。</w:t>
            </w:r>
          </w:p>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主要设置有：实验室、检测室、网板房、丝印车间、成品仓库等。</w:t>
            </w:r>
          </w:p>
        </w:tc>
        <w:tc>
          <w:tcPr>
            <w:tcW w:w="2968" w:type="dxa"/>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实验室：16m×10.525m，主要为实验区。</w:t>
            </w:r>
          </w:p>
        </w:tc>
        <w:tc>
          <w:tcPr>
            <w:tcW w:w="2968" w:type="dxa"/>
            <w:tcBorders>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tcBorders>
              <w:top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top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检测室：8.0m×5.5m，主要进行检测工序。</w:t>
            </w:r>
          </w:p>
        </w:tc>
        <w:tc>
          <w:tcPr>
            <w:tcW w:w="2968" w:type="dxa"/>
            <w:tcBorders>
              <w:top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top w:val="single" w:color="auto" w:sz="4" w:space="0"/>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网板房：8.0m×5.5m，布设晒网机2台，网板烤箱2台，洗网柜1台，主要进行网板工序</w:t>
            </w:r>
          </w:p>
        </w:tc>
        <w:tc>
          <w:tcPr>
            <w:tcW w:w="2968" w:type="dxa"/>
            <w:tcBorders>
              <w:top w:val="single" w:color="auto" w:sz="4" w:space="0"/>
              <w:bottom w:val="single" w:color="auto" w:sz="4" w:space="0"/>
            </w:tcBorders>
            <w:noWrap w:val="0"/>
            <w:vAlign w:val="center"/>
          </w:tcPr>
          <w:p>
            <w:pPr>
              <w:pStyle w:val="40"/>
              <w:rPr>
                <w:rFonts w:hint="default"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top w:val="single" w:color="auto" w:sz="4" w:space="0"/>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top w:val="single" w:color="auto" w:sz="4" w:space="0"/>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百级车间：24.8m×11.7m。</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top w:val="single" w:color="auto" w:sz="4" w:space="0"/>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top w:val="single" w:color="auto" w:sz="4" w:space="0"/>
              <w:bottom w:val="single" w:color="auto" w:sz="4" w:space="0"/>
            </w:tcBorders>
            <w:noWrap w:val="0"/>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成品全检车间：15.88m×19.85m，布设全检桌54台。</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成品全检车间布设全检桌26台。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bookmarkStart w:id="38" w:name="_Toc497833574"/>
          </w:p>
        </w:tc>
        <w:tc>
          <w:tcPr>
            <w:tcW w:w="1275" w:type="dxa"/>
            <w:vMerge w:val="continue"/>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丝印车间：42.925m×53.6m，布设18台全自动丝印机及表干隧道炉，丝印前全检设备48台，超声波清洗机2台。</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丝印工序现阶段未上，待后续验收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restart"/>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公用工程</w:t>
            </w: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供电</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园区电网</w:t>
            </w:r>
            <w:r>
              <w:rPr>
                <w:rFonts w:hint="default" w:ascii="Times New Roman" w:hAnsi="Times New Roman" w:eastAsiaTheme="minorEastAsia"/>
                <w:color w:val="000000" w:themeColor="text1"/>
                <w:kern w:val="2"/>
                <w14:textFill>
                  <w14:solidFill>
                    <w14:schemeClr w14:val="tx1"/>
                  </w14:solidFill>
                </w14:textFill>
              </w:rPr>
              <w:t>供电，可满足本项目用电需求。</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供水</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由</w:t>
            </w:r>
            <w:r>
              <w:rPr>
                <w:rFonts w:hint="eastAsia" w:ascii="Times New Roman" w:hAnsi="Times New Roman" w:eastAsiaTheme="minorEastAsia"/>
                <w:color w:val="000000" w:themeColor="text1"/>
                <w:kern w:val="2"/>
                <w:lang w:val="en-US" w:eastAsia="zh-CN"/>
                <w14:textFill>
                  <w14:solidFill>
                    <w14:schemeClr w14:val="tx1"/>
                  </w14:solidFill>
                </w14:textFill>
              </w:rPr>
              <w:t>园区</w:t>
            </w:r>
            <w:r>
              <w:rPr>
                <w:rFonts w:hint="default" w:ascii="Times New Roman" w:hAnsi="Times New Roman" w:eastAsiaTheme="minorEastAsia"/>
                <w:color w:val="000000" w:themeColor="text1"/>
                <w:kern w:val="2"/>
                <w14:textFill>
                  <w14:solidFill>
                    <w14:schemeClr w14:val="tx1"/>
                  </w14:solidFill>
                </w14:textFill>
              </w:rPr>
              <w:t>供水管网供给。</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8"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排水</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采用雨污分流制，雨水顺着屋檐排入路边雨水沟。本项目建成后拟设置1套污水处理设备，处理能力50m³/d，采用</w:t>
            </w:r>
            <w:r>
              <w:rPr>
                <w:rFonts w:hint="eastAsia" w:ascii="Times New Roman" w:hAnsi="Times New Roman" w:eastAsiaTheme="minorEastAsia"/>
                <w:color w:val="000000" w:themeColor="text1"/>
                <w:kern w:val="2"/>
                <w:lang w:eastAsia="zh-CN"/>
                <w14:textFill>
                  <w14:solidFill>
                    <w14:schemeClr w14:val="tx1"/>
                  </w14:solidFill>
                </w14:textFill>
              </w:rPr>
              <w:t>“</w:t>
            </w:r>
            <w:r>
              <w:rPr>
                <w:rFonts w:hint="default" w:ascii="Times New Roman" w:hAnsi="Times New Roman" w:eastAsiaTheme="minorEastAsia"/>
                <w:color w:val="000000" w:themeColor="text1"/>
                <w:kern w:val="2"/>
                <w14:textFill>
                  <w14:solidFill>
                    <w14:schemeClr w14:val="tx1"/>
                  </w14:solidFill>
                </w14:textFill>
              </w:rPr>
              <w:t>格栅+调节池+絮凝气浮+沉淀</w:t>
            </w:r>
            <w:r>
              <w:rPr>
                <w:rFonts w:hint="eastAsia" w:ascii="Times New Roman" w:hAnsi="Times New Roman" w:eastAsiaTheme="minorEastAsia"/>
                <w:color w:val="000000" w:themeColor="text1"/>
                <w:kern w:val="2"/>
                <w:lang w:eastAsia="zh-CN"/>
                <w14:textFill>
                  <w14:solidFill>
                    <w14:schemeClr w14:val="tx1"/>
                  </w14:solidFill>
                </w14:textFill>
              </w:rPr>
              <w:t>”</w:t>
            </w:r>
            <w:r>
              <w:rPr>
                <w:rFonts w:hint="default" w:ascii="Times New Roman" w:hAnsi="Times New Roman" w:eastAsiaTheme="minorEastAsia"/>
                <w:color w:val="000000" w:themeColor="text1"/>
                <w:kern w:val="2"/>
                <w14:textFill>
                  <w14:solidFill>
                    <w14:schemeClr w14:val="tx1"/>
                  </w14:solidFill>
                </w14:textFill>
              </w:rPr>
              <w:t>工艺，污水经处理达《污水综合排放标准》（GB8978-1996）三级标准后排入园区市政管网。之后进入沱口污水处理厂进一步处理达《城镇污水处理厂污染物排放标准》（GB18918-2002）一级A标准后排入长江。</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污水处理设备</w:t>
            </w:r>
            <w:r>
              <w:rPr>
                <w:rFonts w:hint="default" w:ascii="Times New Roman" w:hAnsi="Times New Roman" w:eastAsiaTheme="minorEastAsia"/>
                <w:color w:val="000000" w:themeColor="text1"/>
                <w:kern w:val="2"/>
                <w:lang w:val="en-US" w:eastAsia="zh-CN"/>
                <w14:textFill>
                  <w14:solidFill>
                    <w14:schemeClr w14:val="tx1"/>
                  </w14:solidFill>
                </w14:textFill>
              </w:rPr>
              <w:t>处理能力</w:t>
            </w:r>
            <w:r>
              <w:rPr>
                <w:rFonts w:hint="eastAsia" w:ascii="Times New Roman" w:hAnsi="Times New Roman" w:eastAsiaTheme="minorEastAsia"/>
                <w:color w:val="000000" w:themeColor="text1"/>
                <w:kern w:val="2"/>
                <w:lang w:val="en-US" w:eastAsia="zh-CN"/>
                <w14:textFill>
                  <w14:solidFill>
                    <w14:schemeClr w14:val="tx1"/>
                  </w14:solidFill>
                </w14:textFill>
              </w:rPr>
              <w:t>1</w:t>
            </w:r>
            <w:r>
              <w:rPr>
                <w:rFonts w:hint="default" w:ascii="Times New Roman" w:hAnsi="Times New Roman" w:eastAsiaTheme="minorEastAsia"/>
                <w:color w:val="000000" w:themeColor="text1"/>
                <w:kern w:val="2"/>
                <w:lang w:val="en-US" w:eastAsia="zh-CN"/>
                <w14:textFill>
                  <w14:solidFill>
                    <w14:schemeClr w14:val="tx1"/>
                  </w14:solidFill>
                </w14:textFill>
              </w:rPr>
              <w:t>0m³/d</w:t>
            </w:r>
            <w:r>
              <w:rPr>
                <w:rFonts w:hint="eastAsia" w:ascii="Times New Roman" w:hAnsi="Times New Roman" w:eastAsiaTheme="minorEastAsia"/>
                <w:color w:val="000000" w:themeColor="text1"/>
                <w:kern w:val="2"/>
                <w:lang w:val="en-US" w:eastAsia="zh-CN"/>
                <w14:textFill>
                  <w14:solidFill>
                    <w14:schemeClr w14:val="tx1"/>
                  </w14:solidFill>
                </w14:textFill>
              </w:rPr>
              <w:t>，</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由于生产能力缩减，及部分工序取消，生产废水相应减少。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restart"/>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辅助工程</w:t>
            </w: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办公区</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位于厂房西侧，占地面积约1045.6m</w:t>
            </w:r>
            <w:r>
              <w:rPr>
                <w:rFonts w:hint="eastAsia"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eastAsia" w:ascii="Times New Roman" w:hAnsi="Times New Roman" w:eastAsiaTheme="minorEastAsia"/>
                <w:color w:val="000000" w:themeColor="text1"/>
                <w:kern w:val="2"/>
                <w:lang w:val="en-US" w:eastAsia="zh-CN"/>
                <w14:textFill>
                  <w14:solidFill>
                    <w14:schemeClr w14:val="tx1"/>
                  </w14:solidFill>
                </w14:textFill>
              </w:rPr>
              <w:t>，长×宽为44.1m×23.71m。</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产品展示区</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位于办公区北侧，长×宽为24.55m×12.13m，主要用于产品展示。</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保安室</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1间，长×宽为3.18m×9.994m，位于产品展示区北侧。</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卫生间</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2间，长×宽均为7.875m×6.9m，1#厂房、2#厂房各1间。</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换鞋处</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2间，长×宽为11.95m×6.9m，1#厂房、2#厂房各1间。</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更衣室</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1间，长×宽为8.0m×10.525m。</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员工休息区</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1间，长×宽为83.5m×5.5m。</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通风系统</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2间厂房各采用1套通风系统，洁净级别为千级。无尘车间空气净化采用FFU 高效过滤器过滤。</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纯水制备</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设置2台1t级的纯水制备机，纯水制备率为60%~80%</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消防系统</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依托园区标准厂房配套消防设施。</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真空系统</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布置有空气压缩机和真空负压站，位于1#厂房内北侧。</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restart"/>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仓储及其他</w:t>
            </w: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辅料仓库</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1间，位于1#厂房北侧东部，长×宽为20.525m×10m。</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CNC备品间</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1间，位于1#厂房北侧东部，长×宽为8m×10m。</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化学品仓库</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1间，位于1#厂房北侧中部，长×宽为16m×10m，主要用于暂存油墨、硝酸钾等化学品。</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泵区</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1间，位于1#厂房北侧中部，长×宽为36.525m×10m。</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动力车间</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1间，位于1#厂房北侧西部，长×宽为51.1m×10m。</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物料周转区</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1间，位于1#厂房北侧西部，长×宽16m×34m，主要用于各物料周转。</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原片玻璃放置区</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1间，位于1#厂房北侧东部，长×宽为20.6m×24m，主要用于原料暂存。</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成品仓库</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1间，位于2#厂房北侧东部，长×宽为49.18m×30.5m，主要用于成品暂存。</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restart"/>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环保工程</w:t>
            </w: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废水</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本项目建成后拟设置1套污水处理设备，处理能力50m³/d，采用</w:t>
            </w:r>
            <w:r>
              <w:rPr>
                <w:rFonts w:hint="eastAsia" w:ascii="Times New Roman" w:hAnsi="Times New Roman" w:eastAsiaTheme="minorEastAsia"/>
                <w:color w:val="000000" w:themeColor="text1"/>
                <w:kern w:val="2"/>
                <w:lang w:val="en-US" w:eastAsia="zh-CN"/>
                <w14:textFill>
                  <w14:solidFill>
                    <w14:schemeClr w14:val="tx1"/>
                  </w14:solidFill>
                </w14:textFill>
              </w:rPr>
              <w:t>“</w:t>
            </w:r>
            <w:r>
              <w:rPr>
                <w:rFonts w:hint="default" w:ascii="Times New Roman" w:hAnsi="Times New Roman" w:eastAsiaTheme="minorEastAsia"/>
                <w:color w:val="000000" w:themeColor="text1"/>
                <w:kern w:val="2"/>
                <w:lang w:val="en-US" w:eastAsia="zh-CN"/>
                <w14:textFill>
                  <w14:solidFill>
                    <w14:schemeClr w14:val="tx1"/>
                  </w14:solidFill>
                </w14:textFill>
              </w:rPr>
              <w:t>格栅+调节池+絮凝气浮+沉淀</w:t>
            </w:r>
            <w:r>
              <w:rPr>
                <w:rFonts w:hint="eastAsia" w:ascii="Times New Roman" w:hAnsi="Times New Roman" w:eastAsiaTheme="minorEastAsia"/>
                <w:color w:val="000000" w:themeColor="text1"/>
                <w:kern w:val="2"/>
                <w:lang w:val="en-US" w:eastAsia="zh-CN"/>
                <w14:textFill>
                  <w14:solidFill>
                    <w14:schemeClr w14:val="tx1"/>
                  </w14:solidFill>
                </w14:textFill>
              </w:rPr>
              <w:t>”</w:t>
            </w:r>
            <w:r>
              <w:rPr>
                <w:rFonts w:hint="default" w:ascii="Times New Roman" w:hAnsi="Times New Roman" w:eastAsiaTheme="minorEastAsia"/>
                <w:color w:val="000000" w:themeColor="text1"/>
                <w:kern w:val="2"/>
                <w:lang w:val="en-US" w:eastAsia="zh-CN"/>
                <w14:textFill>
                  <w14:solidFill>
                    <w14:schemeClr w14:val="tx1"/>
                  </w14:solidFill>
                </w14:textFill>
              </w:rPr>
              <w:t>工艺，污水经处理达《污水综合排放标准》（GB8978-1996）三级标准后排入园区市政管网。之后进入沱口污水处理厂进一步处理达《城镇污水处理厂污染物排放标准》（GB18918-2002）一级A标准后排入长江。</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污水处理设备</w:t>
            </w:r>
            <w:r>
              <w:rPr>
                <w:rFonts w:hint="default" w:ascii="Times New Roman" w:hAnsi="Times New Roman" w:eastAsiaTheme="minorEastAsia"/>
                <w:color w:val="000000" w:themeColor="text1"/>
                <w:kern w:val="2"/>
                <w:lang w:val="en-US" w:eastAsia="zh-CN"/>
                <w14:textFill>
                  <w14:solidFill>
                    <w14:schemeClr w14:val="tx1"/>
                  </w14:solidFill>
                </w14:textFill>
              </w:rPr>
              <w:t>处理能力</w:t>
            </w:r>
            <w:r>
              <w:rPr>
                <w:rFonts w:hint="eastAsia" w:ascii="Times New Roman" w:hAnsi="Times New Roman" w:eastAsiaTheme="minorEastAsia"/>
                <w:color w:val="000000" w:themeColor="text1"/>
                <w:kern w:val="2"/>
                <w:lang w:val="en-US" w:eastAsia="zh-CN"/>
                <w14:textFill>
                  <w14:solidFill>
                    <w14:schemeClr w14:val="tx1"/>
                  </w14:solidFill>
                </w14:textFill>
              </w:rPr>
              <w:t>1</w:t>
            </w:r>
            <w:r>
              <w:rPr>
                <w:rFonts w:hint="default" w:ascii="Times New Roman" w:hAnsi="Times New Roman" w:eastAsiaTheme="minorEastAsia"/>
                <w:color w:val="000000" w:themeColor="text1"/>
                <w:kern w:val="2"/>
                <w:lang w:val="en-US" w:eastAsia="zh-CN"/>
                <w14:textFill>
                  <w14:solidFill>
                    <w14:schemeClr w14:val="tx1"/>
                  </w14:solidFill>
                </w14:textFill>
              </w:rPr>
              <w:t>0m³/d</w:t>
            </w:r>
            <w:r>
              <w:rPr>
                <w:rFonts w:hint="eastAsia" w:ascii="Times New Roman" w:hAnsi="Times New Roman" w:eastAsiaTheme="minorEastAsia"/>
                <w:color w:val="000000" w:themeColor="text1"/>
                <w:kern w:val="2"/>
                <w:lang w:val="en-US" w:eastAsia="zh-CN"/>
                <w14:textFill>
                  <w14:solidFill>
                    <w14:schemeClr w14:val="tx1"/>
                  </w14:solidFill>
                </w14:textFill>
              </w:rPr>
              <w:t>，</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由于生产能力缩减，及部分工序取消，生产废水相应减少。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废气</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有机废气</w:t>
            </w:r>
            <w:r>
              <w:rPr>
                <w:rFonts w:hint="eastAsia" w:ascii="Times New Roman" w:hAnsi="Times New Roman" w:eastAsiaTheme="minorEastAsia"/>
                <w:color w:val="000000" w:themeColor="text1"/>
                <w:kern w:val="2"/>
                <w:lang w:val="en-US" w:eastAsia="zh-CN"/>
                <w14:textFill>
                  <w14:solidFill>
                    <w14:schemeClr w14:val="tx1"/>
                  </w14:solidFill>
                </w14:textFill>
              </w:rPr>
              <w:t>：</w:t>
            </w:r>
            <w:r>
              <w:rPr>
                <w:rFonts w:hint="default" w:ascii="Times New Roman" w:hAnsi="Times New Roman" w:eastAsiaTheme="minorEastAsia"/>
                <w:color w:val="000000" w:themeColor="text1"/>
                <w:kern w:val="2"/>
                <w:lang w:val="en-US" w:eastAsia="zh-CN"/>
                <w14:textFill>
                  <w14:solidFill>
                    <w14:schemeClr w14:val="tx1"/>
                  </w14:solidFill>
                </w14:textFill>
              </w:rPr>
              <w:t>集气罩+</w:t>
            </w:r>
            <w:r>
              <w:rPr>
                <w:rFonts w:hint="eastAsia" w:ascii="Times New Roman" w:hAnsi="Times New Roman" w:eastAsiaTheme="minorEastAsia"/>
                <w:color w:val="000000" w:themeColor="text1"/>
                <w:kern w:val="2"/>
                <w:lang w:val="en-US" w:eastAsia="zh-CN"/>
                <w14:textFill>
                  <w14:solidFill>
                    <w14:schemeClr w14:val="tx1"/>
                  </w14:solidFill>
                </w14:textFill>
              </w:rPr>
              <w:t>UV光解+</w:t>
            </w:r>
            <w:r>
              <w:rPr>
                <w:rFonts w:hint="default" w:ascii="Times New Roman" w:hAnsi="Times New Roman" w:eastAsiaTheme="minorEastAsia"/>
                <w:color w:val="000000" w:themeColor="text1"/>
                <w:kern w:val="2"/>
                <w:lang w:val="en-US" w:eastAsia="zh-CN"/>
                <w14:textFill>
                  <w14:solidFill>
                    <w14:schemeClr w14:val="tx1"/>
                  </w14:solidFill>
                </w14:textFill>
              </w:rPr>
              <w:t>活性炭装置+15m高排气筒</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噪声</w:t>
            </w:r>
          </w:p>
        </w:tc>
        <w:tc>
          <w:tcPr>
            <w:tcW w:w="4470" w:type="dxa"/>
            <w:gridSpan w:val="2"/>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选用低噪声设备，经减震、厂房隔声措施降噪。</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restart"/>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固废</w:t>
            </w:r>
          </w:p>
        </w:tc>
        <w:tc>
          <w:tcPr>
            <w:tcW w:w="716"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一般固废间</w:t>
            </w:r>
          </w:p>
        </w:tc>
        <w:tc>
          <w:tcPr>
            <w:tcW w:w="3754"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位于厂区西侧</w:t>
            </w:r>
            <w:r>
              <w:rPr>
                <w:rFonts w:hint="default" w:ascii="Times New Roman" w:hAnsi="Times New Roman" w:eastAsiaTheme="minorEastAsia"/>
                <w:color w:val="000000" w:themeColor="text1"/>
                <w:kern w:val="2"/>
                <w:lang w:val="en-US" w:eastAsia="zh-CN"/>
                <w14:textFill>
                  <w14:solidFill>
                    <w14:schemeClr w14:val="tx1"/>
                  </w14:solidFill>
                </w14:textFill>
              </w:rPr>
              <w:t>，建筑面积约10</w:t>
            </w:r>
            <w:r>
              <w:rPr>
                <w:rFonts w:hint="eastAsia" w:ascii="Times New Roman" w:hAnsi="Times New Roman" w:eastAsiaTheme="minorEastAsia"/>
                <w:color w:val="000000" w:themeColor="text1"/>
                <w:kern w:val="2"/>
                <w:lang w:val="en-US" w:eastAsia="zh-CN"/>
                <w14:textFill>
                  <w14:solidFill>
                    <w14:schemeClr w14:val="tx1"/>
                  </w14:solidFill>
                </w14:textFill>
              </w:rPr>
              <w:t>0</w:t>
            </w:r>
            <w:r>
              <w:rPr>
                <w:rFonts w:hint="default" w:ascii="Times New Roman" w:hAnsi="Times New Roman" w:eastAsiaTheme="minorEastAsia"/>
                <w:color w:val="000000" w:themeColor="text1"/>
                <w:kern w:val="2"/>
                <w:lang w:val="en-US" w:eastAsia="zh-CN"/>
                <w14:textFill>
                  <w14:solidFill>
                    <w14:schemeClr w14:val="tx1"/>
                  </w14:solidFill>
                </w14:textFill>
              </w:rPr>
              <w:t>m</w:t>
            </w:r>
            <w:r>
              <w:rPr>
                <w:rFonts w:hint="default"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default" w:ascii="Times New Roman" w:hAnsi="Times New Roman" w:eastAsiaTheme="minorEastAsia"/>
                <w:color w:val="000000" w:themeColor="text1"/>
                <w:kern w:val="2"/>
                <w:lang w:val="en-US" w:eastAsia="zh-CN"/>
                <w14:textFill>
                  <w14:solidFill>
                    <w14:schemeClr w14:val="tx1"/>
                  </w14:solidFill>
                </w14:textFill>
              </w:rPr>
              <w:t>，用于暂存厂区产生的一般固废。</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52" w:type="dxa"/>
            <w:vMerge w:val="continue"/>
            <w:noWrap w:val="0"/>
            <w:vAlign w:val="center"/>
          </w:tcPr>
          <w:p>
            <w:pPr>
              <w:jc w:val="center"/>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1275" w:type="dxa"/>
            <w:vMerge w:val="continue"/>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p>
        </w:tc>
        <w:tc>
          <w:tcPr>
            <w:tcW w:w="716"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危废间</w:t>
            </w:r>
          </w:p>
        </w:tc>
        <w:tc>
          <w:tcPr>
            <w:tcW w:w="3754" w:type="dxa"/>
            <w:tcBorders>
              <w:top w:val="single" w:color="auto" w:sz="4" w:space="0"/>
              <w:bottom w:val="single" w:color="auto" w:sz="4" w:space="0"/>
            </w:tcBorders>
            <w:noWrap w:val="0"/>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lang w:val="en-US" w:eastAsia="zh-CN"/>
                <w14:textFill>
                  <w14:solidFill>
                    <w14:schemeClr w14:val="tx1"/>
                  </w14:solidFill>
                </w14:textFill>
              </w:rPr>
              <w:t>危废暂存间设置2处。1处设置于1#厂房西北角，占地面积约50m</w:t>
            </w:r>
            <w:r>
              <w:rPr>
                <w:rFonts w:hint="default"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default" w:ascii="Times New Roman" w:hAnsi="Times New Roman" w:eastAsiaTheme="minorEastAsia"/>
                <w:color w:val="000000" w:themeColor="text1"/>
                <w:kern w:val="2"/>
                <w:lang w:val="en-US" w:eastAsia="zh-CN"/>
                <w14:textFill>
                  <w14:solidFill>
                    <w14:schemeClr w14:val="tx1"/>
                  </w14:solidFill>
                </w14:textFill>
              </w:rPr>
              <w:t>。另1处设置于2#厂房西北角，占地面积约50m</w:t>
            </w:r>
            <w:r>
              <w:rPr>
                <w:rFonts w:hint="default" w:ascii="Times New Roman" w:hAnsi="Times New Roman" w:eastAsiaTheme="minorEastAsia"/>
                <w:color w:val="000000" w:themeColor="text1"/>
                <w:kern w:val="2"/>
                <w:vertAlign w:val="superscript"/>
                <w:lang w:val="en-US" w:eastAsia="zh-CN"/>
                <w14:textFill>
                  <w14:solidFill>
                    <w14:schemeClr w14:val="tx1"/>
                  </w14:solidFill>
                </w14:textFill>
              </w:rPr>
              <w:t>2</w:t>
            </w:r>
            <w:r>
              <w:rPr>
                <w:rFonts w:hint="default" w:ascii="Times New Roman" w:hAnsi="Times New Roman" w:eastAsiaTheme="minorEastAsia"/>
                <w:color w:val="000000" w:themeColor="text1"/>
                <w:kern w:val="2"/>
                <w:lang w:val="en-US" w:eastAsia="zh-CN"/>
                <w14:textFill>
                  <w14:solidFill>
                    <w14:schemeClr w14:val="tx1"/>
                  </w14:solidFill>
                </w14:textFill>
              </w:rPr>
              <w:t>。用于暂存厂区产生的危废。</w:t>
            </w:r>
          </w:p>
        </w:tc>
        <w:tc>
          <w:tcPr>
            <w:tcW w:w="2968" w:type="dxa"/>
            <w:tcBorders>
              <w:top w:val="single" w:color="auto" w:sz="4" w:space="0"/>
              <w:bottom w:val="single" w:color="auto" w:sz="4" w:space="0"/>
            </w:tcBorders>
            <w:noWrap w:val="0"/>
            <w:vAlign w:val="center"/>
          </w:tcPr>
          <w:p>
            <w:pPr>
              <w:pStyle w:val="40"/>
              <w:rPr>
                <w:rFonts w:hint="eastAsia" w:ascii="Times New Roman" w:hAnsi="Times New Roman" w:cs="Times New Roman" w:eastAsiaTheme="minorEastAsia"/>
                <w:color w:val="000000" w:themeColor="text1"/>
                <w:kern w:val="2"/>
                <w:lang w:val="en-US" w:eastAsia="zh-CN"/>
                <w14:textFill>
                  <w14:solidFill>
                    <w14:schemeClr w14:val="tx1"/>
                  </w14:solidFill>
                </w14:textFill>
              </w:rPr>
            </w:pP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由于生产能力缩减，危废量缩减，危废暂存间</w:t>
            </w:r>
            <w:r>
              <w:rPr>
                <w:rFonts w:hint="default" w:ascii="Times New Roman" w:hAnsi="Times New Roman" w:eastAsiaTheme="minorEastAsia"/>
                <w:color w:val="000000" w:themeColor="text1"/>
                <w:kern w:val="2"/>
                <w:lang w:val="en-US" w:eastAsia="zh-CN"/>
                <w14:textFill>
                  <w14:solidFill>
                    <w14:schemeClr w14:val="tx1"/>
                  </w14:solidFill>
                </w14:textFill>
              </w:rPr>
              <w:t>设置于2#厂房西北角</w:t>
            </w:r>
            <w:r>
              <w:rPr>
                <w:rFonts w:hint="eastAsia" w:ascii="Times New Roman" w:hAnsi="Times New Roman" w:eastAsiaTheme="minorEastAsia"/>
                <w:color w:val="000000" w:themeColor="text1"/>
                <w:kern w:val="2"/>
                <w:lang w:val="en-US" w:eastAsia="zh-CN"/>
                <w14:textFill>
                  <w14:solidFill>
                    <w14:schemeClr w14:val="tx1"/>
                  </w14:solidFill>
                </w14:textFill>
              </w:rPr>
              <w:t>，</w:t>
            </w:r>
            <w:r>
              <w:rPr>
                <w:rFonts w:hint="default" w:ascii="Times New Roman" w:hAnsi="Times New Roman" w:eastAsiaTheme="minorEastAsia"/>
                <w:color w:val="000000" w:themeColor="text1"/>
                <w:kern w:val="2"/>
                <w:lang w:val="en-US" w:eastAsia="zh-CN"/>
                <w14:textFill>
                  <w14:solidFill>
                    <w14:schemeClr w14:val="tx1"/>
                  </w14:solidFill>
                </w14:textFill>
              </w:rPr>
              <w:t>占地面积约50m</w:t>
            </w:r>
            <w:r>
              <w:rPr>
                <w:rFonts w:hint="default" w:ascii="Times New Roman" w:hAnsi="Times New Roman" w:eastAsiaTheme="minorEastAsia"/>
                <w:color w:val="000000" w:themeColor="text1"/>
                <w:kern w:val="2"/>
                <w:vertAlign w:val="superscript"/>
                <w:lang w:val="en-US" w:eastAsia="zh-CN"/>
                <w14:textFill>
                  <w14:solidFill>
                    <w14:schemeClr w14:val="tx1"/>
                  </w14:solidFill>
                </w14:textFill>
              </w:rPr>
              <w:t>2</w:t>
            </w:r>
          </w:p>
        </w:tc>
      </w:tr>
    </w:tbl>
    <w:p>
      <w:pPr>
        <w:keepNext w:val="0"/>
        <w:keepLines w:val="0"/>
        <w:pageBreakBefore w:val="0"/>
        <w:widowControl w:val="0"/>
        <w:kinsoku/>
        <w:wordWrap/>
        <w:overflowPunct/>
        <w:topLinePunct w:val="0"/>
        <w:autoSpaceDE/>
        <w:autoSpaceDN/>
        <w:bidi w:val="0"/>
        <w:adjustRightInd w:val="0"/>
        <w:snapToGrid w:val="0"/>
        <w:textAlignment w:val="auto"/>
      </w:pPr>
      <w:r>
        <w:rPr>
          <w:rFonts w:hint="eastAsia"/>
        </w:rPr>
        <w:t>（2）生产制度</w:t>
      </w:r>
    </w:p>
    <w:p>
      <w:pPr>
        <w:ind w:firstLine="480" w:firstLineChars="200"/>
        <w:rPr>
          <w:rFonts w:hint="eastAsia" w:eastAsia="宋体"/>
          <w:lang w:val="en-US" w:eastAsia="zh-CN"/>
        </w:rPr>
      </w:pPr>
      <w:r>
        <w:rPr>
          <w:rFonts w:hint="eastAsia"/>
        </w:rPr>
        <w:t>根据业主提供资料，项目生产制度如下表3-3。</w:t>
      </w:r>
      <w:r>
        <w:rPr>
          <w:rFonts w:hint="eastAsia"/>
          <w:lang w:val="en-US" w:eastAsia="zh-CN"/>
        </w:rPr>
        <w:t xml:space="preserve"> </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表3-3    项目生产制度一览表</w:t>
      </w:r>
    </w:p>
    <w:tbl>
      <w:tblPr>
        <w:tblStyle w:val="23"/>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01"/>
        <w:gridCol w:w="1117"/>
        <w:gridCol w:w="1535"/>
        <w:gridCol w:w="150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序号</w:t>
            </w:r>
          </w:p>
        </w:tc>
        <w:tc>
          <w:tcPr>
            <w:tcW w:w="1601"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生产制度</w:t>
            </w:r>
          </w:p>
        </w:tc>
        <w:tc>
          <w:tcPr>
            <w:tcW w:w="1117"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单位</w:t>
            </w:r>
          </w:p>
        </w:tc>
        <w:tc>
          <w:tcPr>
            <w:tcW w:w="1535"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环评阶段</w:t>
            </w:r>
          </w:p>
        </w:tc>
        <w:tc>
          <w:tcPr>
            <w:tcW w:w="1505"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验收阶段</w:t>
            </w:r>
          </w:p>
        </w:tc>
        <w:tc>
          <w:tcPr>
            <w:tcW w:w="2370" w:type="dxa"/>
            <w:tcBorders>
              <w:tl2br w:val="nil"/>
              <w:tr2bl w:val="nil"/>
            </w:tcBorders>
            <w:vAlign w:val="center"/>
          </w:tcPr>
          <w:p>
            <w:pPr>
              <w:pStyle w:val="40"/>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39" w:name="_Toc16870"/>
            <w:r>
              <w:rPr>
                <w:rFonts w:hint="eastAsia" w:ascii="Times New Roman" w:hAnsi="Times New Roman" w:eastAsiaTheme="minorEastAsia"/>
                <w:color w:val="000000" w:themeColor="text1"/>
                <w:kern w:val="2"/>
                <w14:textFill>
                  <w14:solidFill>
                    <w14:schemeClr w14:val="tx1"/>
                  </w14:solidFill>
                </w14:textFill>
              </w:rPr>
              <w:t>1</w:t>
            </w:r>
          </w:p>
        </w:tc>
        <w:tc>
          <w:tcPr>
            <w:tcW w:w="1601"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年工作日</w:t>
            </w:r>
            <w:bookmarkEnd w:id="39"/>
          </w:p>
        </w:tc>
        <w:tc>
          <w:tcPr>
            <w:tcW w:w="1117"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40" w:name="_Toc15082"/>
            <w:r>
              <w:rPr>
                <w:rFonts w:ascii="Times New Roman" w:hAnsi="Times New Roman" w:eastAsiaTheme="minorEastAsia"/>
                <w:color w:val="000000" w:themeColor="text1"/>
                <w:kern w:val="2"/>
                <w14:textFill>
                  <w14:solidFill>
                    <w14:schemeClr w14:val="tx1"/>
                  </w14:solidFill>
                </w14:textFill>
              </w:rPr>
              <w:t>天</w:t>
            </w:r>
            <w:bookmarkEnd w:id="40"/>
          </w:p>
        </w:tc>
        <w:tc>
          <w:tcPr>
            <w:tcW w:w="1535" w:type="dxa"/>
            <w:tcBorders>
              <w:tl2br w:val="nil"/>
              <w:tr2bl w:val="nil"/>
            </w:tcBorders>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1505" w:type="dxa"/>
            <w:tcBorders>
              <w:tl2br w:val="nil"/>
              <w:tr2bl w:val="nil"/>
            </w:tcBorders>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300</w:t>
            </w:r>
          </w:p>
        </w:tc>
        <w:tc>
          <w:tcPr>
            <w:tcW w:w="2370"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41" w:name="_Toc4951"/>
            <w:r>
              <w:rPr>
                <w:rFonts w:hint="eastAsia" w:ascii="Times New Roman" w:hAnsi="Times New Roman" w:eastAsiaTheme="minorEastAsia"/>
                <w:color w:val="000000" w:themeColor="text1"/>
                <w:kern w:val="2"/>
                <w14:textFill>
                  <w14:solidFill>
                    <w14:schemeClr w14:val="tx1"/>
                  </w14:solidFill>
                </w14:textFill>
              </w:rPr>
              <w:t>与环评一致</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42" w:name="_Toc20322"/>
            <w:r>
              <w:rPr>
                <w:rFonts w:hint="eastAsia" w:ascii="Times New Roman" w:hAnsi="Times New Roman" w:eastAsiaTheme="minorEastAsia"/>
                <w:color w:val="000000" w:themeColor="text1"/>
                <w:kern w:val="2"/>
                <w14:textFill>
                  <w14:solidFill>
                    <w14:schemeClr w14:val="tx1"/>
                  </w14:solidFill>
                </w14:textFill>
              </w:rPr>
              <w:t>2</w:t>
            </w:r>
          </w:p>
        </w:tc>
        <w:tc>
          <w:tcPr>
            <w:tcW w:w="1601"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工作制度</w:t>
            </w:r>
            <w:bookmarkEnd w:id="42"/>
          </w:p>
        </w:tc>
        <w:tc>
          <w:tcPr>
            <w:tcW w:w="1117"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43" w:name="_Toc31424"/>
            <w:r>
              <w:rPr>
                <w:rFonts w:ascii="Times New Roman" w:hAnsi="Times New Roman" w:eastAsiaTheme="minorEastAsia"/>
                <w:color w:val="000000" w:themeColor="text1"/>
                <w:kern w:val="2"/>
                <w14:textFill>
                  <w14:solidFill>
                    <w14:schemeClr w14:val="tx1"/>
                  </w14:solidFill>
                </w14:textFill>
              </w:rPr>
              <w:t>/</w:t>
            </w:r>
            <w:bookmarkEnd w:id="43"/>
          </w:p>
        </w:tc>
        <w:tc>
          <w:tcPr>
            <w:tcW w:w="1535"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1505"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2370"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44" w:name="_Toc4683"/>
            <w:r>
              <w:rPr>
                <w:rFonts w:hint="eastAsia" w:ascii="Times New Roman" w:hAnsi="Times New Roman" w:eastAsiaTheme="minorEastAsia"/>
                <w:color w:val="000000" w:themeColor="text1"/>
                <w:kern w:val="2"/>
                <w14:textFill>
                  <w14:solidFill>
                    <w14:schemeClr w14:val="tx1"/>
                  </w14:solidFill>
                </w14:textFill>
              </w:rPr>
              <w:t>与环评一致</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45" w:name="_Toc23108"/>
            <w:r>
              <w:rPr>
                <w:rFonts w:hint="eastAsia" w:ascii="Times New Roman" w:hAnsi="Times New Roman" w:eastAsiaTheme="minorEastAsia"/>
                <w:color w:val="000000" w:themeColor="text1"/>
                <w:kern w:val="2"/>
                <w14:textFill>
                  <w14:solidFill>
                    <w14:schemeClr w14:val="tx1"/>
                  </w14:solidFill>
                </w14:textFill>
              </w:rPr>
              <w:t>3</w:t>
            </w:r>
          </w:p>
        </w:tc>
        <w:tc>
          <w:tcPr>
            <w:tcW w:w="1601"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劳动定员</w:t>
            </w:r>
            <w:bookmarkEnd w:id="45"/>
          </w:p>
        </w:tc>
        <w:tc>
          <w:tcPr>
            <w:tcW w:w="1117" w:type="dxa"/>
            <w:tcBorders>
              <w:tl2br w:val="nil"/>
              <w:tr2bl w:val="nil"/>
            </w:tcBorders>
            <w:vAlign w:val="center"/>
          </w:tcPr>
          <w:p>
            <w:pPr>
              <w:pStyle w:val="40"/>
              <w:rPr>
                <w:rFonts w:ascii="Times New Roman" w:hAnsi="Times New Roman" w:eastAsiaTheme="minorEastAsia"/>
                <w:color w:val="000000" w:themeColor="text1"/>
                <w:kern w:val="2"/>
                <w14:textFill>
                  <w14:solidFill>
                    <w14:schemeClr w14:val="tx1"/>
                  </w14:solidFill>
                </w14:textFill>
              </w:rPr>
            </w:pPr>
            <w:bookmarkStart w:id="46" w:name="_Toc12921"/>
            <w:r>
              <w:rPr>
                <w:rFonts w:ascii="Times New Roman" w:hAnsi="Times New Roman" w:eastAsiaTheme="minorEastAsia"/>
                <w:color w:val="000000" w:themeColor="text1"/>
                <w:kern w:val="2"/>
                <w14:textFill>
                  <w14:solidFill>
                    <w14:schemeClr w14:val="tx1"/>
                  </w14:solidFill>
                </w14:textFill>
              </w:rPr>
              <w:t>人</w:t>
            </w:r>
            <w:bookmarkEnd w:id="46"/>
          </w:p>
        </w:tc>
        <w:tc>
          <w:tcPr>
            <w:tcW w:w="1535" w:type="dxa"/>
            <w:tcBorders>
              <w:tl2br w:val="nil"/>
              <w:tr2bl w:val="nil"/>
            </w:tcBorders>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100</w:t>
            </w:r>
          </w:p>
        </w:tc>
        <w:tc>
          <w:tcPr>
            <w:tcW w:w="1505" w:type="dxa"/>
            <w:tcBorders>
              <w:tl2br w:val="nil"/>
              <w:tr2bl w:val="nil"/>
            </w:tcBorders>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60</w:t>
            </w:r>
          </w:p>
        </w:tc>
        <w:tc>
          <w:tcPr>
            <w:tcW w:w="2370" w:type="dxa"/>
            <w:tcBorders>
              <w:tl2br w:val="nil"/>
              <w:tr2bl w:val="nil"/>
            </w:tcBorders>
            <w:vAlign w:val="center"/>
          </w:tcPr>
          <w:p>
            <w:pPr>
              <w:pStyle w:val="40"/>
              <w:rPr>
                <w:rFonts w:hint="eastAsia" w:ascii="Times New Roman" w:hAnsi="Times New Roman" w:eastAsiaTheme="minorEastAsia"/>
                <w:color w:val="000000" w:themeColor="text1"/>
                <w:kern w:val="2"/>
                <w:lang w:eastAsia="zh-CN"/>
                <w14:textFill>
                  <w14:solidFill>
                    <w14:schemeClr w14:val="tx1"/>
                  </w14:solidFill>
                </w14:textFill>
              </w:rPr>
            </w:pPr>
            <w:r>
              <w:rPr>
                <w:rFonts w:hint="eastAsia" w:ascii="Times New Roman" w:hAnsi="Times New Roman" w:eastAsiaTheme="minorEastAsia"/>
                <w:color w:val="000000" w:themeColor="text1"/>
                <w:kern w:val="2"/>
                <w:lang w:eastAsia="zh-CN"/>
                <w14:textFill>
                  <w14:solidFill>
                    <w14:schemeClr w14:val="tx1"/>
                  </w14:solidFill>
                </w14:textFill>
              </w:rPr>
              <w:t>减少</w:t>
            </w:r>
          </w:p>
        </w:tc>
      </w:tr>
    </w:tbl>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rPr>
        <w:t>（</w:t>
      </w:r>
      <w:r>
        <w:rPr>
          <w:rFonts w:hint="eastAsia"/>
          <w:lang w:val="en-US" w:eastAsia="zh-CN"/>
        </w:rPr>
        <w:t>3</w:t>
      </w:r>
      <w:r>
        <w:rPr>
          <w:rFonts w:hint="eastAsia"/>
        </w:rPr>
        <w:t>）</w:t>
      </w:r>
      <w:r>
        <w:rPr>
          <w:rFonts w:hint="eastAsia"/>
          <w:lang w:eastAsia="zh-CN"/>
        </w:rPr>
        <w:t>产品方案</w:t>
      </w:r>
    </w:p>
    <w:p>
      <w:pPr>
        <w:ind w:firstLine="480" w:firstLineChars="200"/>
        <w:rPr>
          <w:rFonts w:hint="eastAsia"/>
        </w:rPr>
      </w:pPr>
      <w:r>
        <w:rPr>
          <w:rFonts w:hint="eastAsia"/>
        </w:rPr>
        <w:t>本项目主要产品方案详见表</w:t>
      </w:r>
      <w:r>
        <w:rPr>
          <w:rFonts w:hint="eastAsia"/>
          <w:lang w:val="en-US" w:eastAsia="zh-CN"/>
        </w:rPr>
        <w:t>3-4</w:t>
      </w:r>
      <w:r>
        <w:rPr>
          <w:rFonts w:hint="eastAsia"/>
        </w:rPr>
        <w:t>。</w:t>
      </w:r>
    </w:p>
    <w:p>
      <w:pPr>
        <w:spacing w:line="240" w:lineRule="auto"/>
        <w:jc w:val="center"/>
        <w:rPr>
          <w:rFonts w:hint="eastAsia"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lang w:val="en-US" w:eastAsia="zh-CN"/>
          <w14:textFill>
            <w14:solidFill>
              <w14:schemeClr w14:val="tx1"/>
            </w14:solidFill>
          </w14:textFill>
        </w:rPr>
        <w:t>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4</w:t>
      </w:r>
      <w:r>
        <w:rPr>
          <w:rFonts w:hint="eastAsia" w:cs="Times New Roman" w:eastAsiaTheme="minorEastAsia"/>
          <w:b/>
          <w:bCs/>
          <w:color w:val="000000" w:themeColor="text1"/>
          <w:sz w:val="21"/>
          <w:szCs w:val="21"/>
          <w14:textFill>
            <w14:solidFill>
              <w14:schemeClr w14:val="tx1"/>
            </w14:solidFill>
          </w14:textFill>
        </w:rPr>
        <w:t xml:space="preserve">  本项目产品方案一览表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796"/>
        <w:gridCol w:w="2611"/>
        <w:gridCol w:w="1042"/>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pPr>
              <w:pStyle w:val="40"/>
              <w:rPr>
                <w:rFonts w:hint="default" w:ascii="Times New Roman" w:hAnsi="Times New Roman" w:eastAsiaTheme="minorEastAsia"/>
                <w:b/>
                <w:bCs/>
                <w:color w:val="000000" w:themeColor="text1"/>
                <w:kern w:val="2"/>
                <w:lang w:val="en-US" w:eastAsia="zh-CN"/>
                <w14:textFill>
                  <w14:solidFill>
                    <w14:schemeClr w14:val="tx1"/>
                  </w14:solidFill>
                </w14:textFill>
              </w:rPr>
            </w:pPr>
            <w:r>
              <w:rPr>
                <w:rFonts w:hint="eastAsia" w:ascii="Times New Roman" w:hAnsi="Times New Roman" w:eastAsiaTheme="minorEastAsia"/>
                <w:b/>
                <w:bCs/>
                <w:color w:val="000000" w:themeColor="text1"/>
                <w:kern w:val="2"/>
                <w:lang w:val="en-US" w:eastAsia="zh-CN"/>
                <w14:textFill>
                  <w14:solidFill>
                    <w14:schemeClr w14:val="tx1"/>
                  </w14:solidFill>
                </w14:textFill>
              </w:rPr>
              <w:t>序号</w:t>
            </w:r>
          </w:p>
        </w:tc>
        <w:tc>
          <w:tcPr>
            <w:tcW w:w="972" w:type="pct"/>
            <w:vAlign w:val="center"/>
          </w:tcPr>
          <w:p>
            <w:pPr>
              <w:pStyle w:val="40"/>
              <w:rPr>
                <w:rFonts w:hint="default" w:ascii="Times New Roman" w:hAnsi="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eastAsiaTheme="minorEastAsia"/>
                <w:b/>
                <w:bCs/>
                <w:color w:val="000000" w:themeColor="text1"/>
                <w:kern w:val="2"/>
                <w14:textFill>
                  <w14:solidFill>
                    <w14:schemeClr w14:val="tx1"/>
                  </w14:solidFill>
                </w14:textFill>
              </w:rPr>
              <w:t>产品名称</w:t>
            </w:r>
          </w:p>
        </w:tc>
        <w:tc>
          <w:tcPr>
            <w:tcW w:w="1413" w:type="pct"/>
            <w:vAlign w:val="center"/>
          </w:tcPr>
          <w:p>
            <w:pPr>
              <w:pStyle w:val="40"/>
              <w:rPr>
                <w:rFonts w:hint="default" w:ascii="Times New Roman" w:hAnsi="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eastAsiaTheme="minorEastAsia"/>
                <w:b/>
                <w:bCs/>
                <w:color w:val="000000" w:themeColor="text1"/>
                <w:kern w:val="2"/>
                <w14:textFill>
                  <w14:solidFill>
                    <w14:schemeClr w14:val="tx1"/>
                  </w14:solidFill>
                </w14:textFill>
              </w:rPr>
              <w:t>产量</w:t>
            </w:r>
          </w:p>
        </w:tc>
        <w:tc>
          <w:tcPr>
            <w:tcW w:w="564" w:type="pct"/>
            <w:vAlign w:val="center"/>
          </w:tcPr>
          <w:p>
            <w:pPr>
              <w:pStyle w:val="40"/>
              <w:rPr>
                <w:rFonts w:hint="default" w:ascii="Times New Roman" w:hAnsi="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eastAsiaTheme="minorEastAsia"/>
                <w:b/>
                <w:bCs/>
                <w:color w:val="000000" w:themeColor="text1"/>
                <w:kern w:val="2"/>
                <w14:textFill>
                  <w14:solidFill>
                    <w14:schemeClr w14:val="tx1"/>
                  </w14:solidFill>
                </w14:textFill>
              </w:rPr>
              <w:t>单位</w:t>
            </w:r>
          </w:p>
        </w:tc>
        <w:tc>
          <w:tcPr>
            <w:tcW w:w="1578" w:type="pct"/>
            <w:vAlign w:val="center"/>
          </w:tcPr>
          <w:p>
            <w:pPr>
              <w:pStyle w:val="40"/>
              <w:rPr>
                <w:rFonts w:hint="default" w:ascii="Times New Roman" w:hAnsi="Times New Roman" w:eastAsiaTheme="minorEastAsia"/>
                <w:b/>
                <w:bCs/>
                <w:color w:val="000000" w:themeColor="text1"/>
                <w:kern w:val="2"/>
                <w:lang w:val="en-US" w:eastAsia="zh-CN"/>
                <w14:textFill>
                  <w14:solidFill>
                    <w14:schemeClr w14:val="tx1"/>
                  </w14:solidFill>
                </w14:textFill>
              </w:rPr>
            </w:pPr>
            <w:r>
              <w:rPr>
                <w:rFonts w:hint="default" w:ascii="Times New Roman" w:hAnsi="Times New Roman" w:eastAsiaTheme="minorEastAsia"/>
                <w:b/>
                <w:bCs/>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1" w:type="pct"/>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w:t>
            </w:r>
          </w:p>
        </w:tc>
        <w:tc>
          <w:tcPr>
            <w:tcW w:w="972" w:type="pct"/>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2.5D玻璃盖板</w:t>
            </w:r>
          </w:p>
        </w:tc>
        <w:tc>
          <w:tcPr>
            <w:tcW w:w="1413" w:type="pct"/>
            <w:vAlign w:val="center"/>
          </w:tcPr>
          <w:p>
            <w:pPr>
              <w:pStyle w:val="40"/>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2400</w:t>
            </w:r>
          </w:p>
        </w:tc>
        <w:tc>
          <w:tcPr>
            <w:tcW w:w="564" w:type="pct"/>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万片</w:t>
            </w:r>
            <w:r>
              <w:rPr>
                <w:rFonts w:hint="default" w:ascii="Times New Roman" w:hAnsi="Times New Roman" w:eastAsiaTheme="minorEastAsia"/>
                <w:color w:val="000000" w:themeColor="text1"/>
                <w:kern w:val="2"/>
                <w14:textFill>
                  <w14:solidFill>
                    <w14:schemeClr w14:val="tx1"/>
                  </w14:solidFill>
                </w14:textFill>
              </w:rPr>
              <w:t>/</w:t>
            </w:r>
            <w:r>
              <w:rPr>
                <w:rFonts w:hint="eastAsia" w:ascii="Times New Roman" w:hAnsi="Times New Roman" w:eastAsiaTheme="minorEastAsia"/>
                <w:color w:val="000000" w:themeColor="text1"/>
                <w:kern w:val="2"/>
                <w:lang w:val="en-US" w:eastAsia="zh-CN"/>
                <w14:textFill>
                  <w14:solidFill>
                    <w14:schemeClr w14:val="tx1"/>
                  </w14:solidFill>
                </w14:textFill>
              </w:rPr>
              <w:t>年</w:t>
            </w:r>
          </w:p>
        </w:tc>
        <w:tc>
          <w:tcPr>
            <w:tcW w:w="1578" w:type="pct"/>
            <w:vAlign w:val="center"/>
          </w:tcPr>
          <w:p>
            <w:pPr>
              <w:pStyle w:val="40"/>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drawing>
                <wp:inline distT="0" distB="0" distL="114300" distR="114300">
                  <wp:extent cx="1713230" cy="1019175"/>
                  <wp:effectExtent l="0" t="0" r="127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1713230" cy="1019175"/>
                          </a:xfrm>
                          <a:prstGeom prst="rect">
                            <a:avLst/>
                          </a:prstGeom>
                          <a:noFill/>
                          <a:ln>
                            <a:noFill/>
                          </a:ln>
                        </pic:spPr>
                      </pic:pic>
                    </a:graphicData>
                  </a:graphic>
                </wp:inline>
              </w:drawing>
            </w:r>
          </w:p>
        </w:tc>
      </w:tr>
    </w:tbl>
    <w:p>
      <w:pPr>
        <w:pStyle w:val="3"/>
      </w:pPr>
      <w:bookmarkStart w:id="47" w:name="_Toc16483"/>
      <w:r>
        <w:t>3.3 主要原辅材料</w:t>
      </w:r>
      <w:bookmarkEnd w:id="38"/>
      <w:bookmarkEnd w:id="47"/>
    </w:p>
    <w:p>
      <w:pPr>
        <w:ind w:firstLine="480" w:firstLineChars="200"/>
      </w:pPr>
      <w:r>
        <w:rPr>
          <w:rFonts w:hint="eastAsia"/>
        </w:rPr>
        <w:t>根据业主提供</w:t>
      </w:r>
      <w:r>
        <w:rPr>
          <w:rFonts w:hint="eastAsia"/>
          <w:lang w:val="en-US" w:eastAsia="zh-CN"/>
        </w:rPr>
        <w:t>该企业运营阶段时的</w:t>
      </w:r>
      <w:r>
        <w:rPr>
          <w:rFonts w:hint="eastAsia"/>
        </w:rPr>
        <w:t>原辅材料消耗情况，实际</w:t>
      </w:r>
      <w:r>
        <w:t>原辅材料消耗</w:t>
      </w:r>
      <w:r>
        <w:rPr>
          <w:rFonts w:hint="eastAsia"/>
        </w:rPr>
        <w:t>量见</w:t>
      </w:r>
      <w:r>
        <w:t>表</w:t>
      </w:r>
      <w:r>
        <w:rPr>
          <w:rFonts w:hint="eastAsia"/>
        </w:rPr>
        <w:t>3-</w:t>
      </w:r>
      <w:r>
        <w:rPr>
          <w:rFonts w:hint="eastAsia"/>
          <w:lang w:val="en-US" w:eastAsia="zh-CN"/>
        </w:rPr>
        <w:t>5</w:t>
      </w:r>
      <w:r>
        <w:t>。</w:t>
      </w:r>
    </w:p>
    <w:p>
      <w:pPr>
        <w:spacing w:line="240" w:lineRule="auto"/>
        <w:jc w:val="center"/>
        <w:rPr>
          <w:rFonts w:cs="Times New Roman" w:eastAsiaTheme="minorEastAsia"/>
          <w:b/>
          <w:bCs/>
          <w:sz w:val="21"/>
          <w:szCs w:val="21"/>
        </w:rPr>
      </w:pPr>
      <w:r>
        <w:rPr>
          <w:rFonts w:cs="Times New Roman" w:eastAsiaTheme="minorEastAsia"/>
          <w:b/>
          <w:bCs/>
          <w:sz w:val="21"/>
          <w:szCs w:val="21"/>
        </w:rPr>
        <w:t>表3</w:t>
      </w:r>
      <w:r>
        <w:rPr>
          <w:rFonts w:hint="eastAsia" w:cs="Times New Roman" w:eastAsiaTheme="minorEastAsia"/>
          <w:b/>
          <w:bCs/>
          <w:sz w:val="21"/>
          <w:szCs w:val="21"/>
        </w:rPr>
        <w:t>-</w:t>
      </w:r>
      <w:r>
        <w:rPr>
          <w:rFonts w:hint="eastAsia" w:cs="Times New Roman" w:eastAsiaTheme="minorEastAsia"/>
          <w:b/>
          <w:bCs/>
          <w:sz w:val="21"/>
          <w:szCs w:val="21"/>
          <w:lang w:val="en-US" w:eastAsia="zh-CN"/>
        </w:rPr>
        <w:t>5</w:t>
      </w:r>
      <w:r>
        <w:rPr>
          <w:rFonts w:cs="Times New Roman" w:eastAsiaTheme="minorEastAsia"/>
          <w:b/>
          <w:bCs/>
          <w:sz w:val="21"/>
          <w:szCs w:val="21"/>
        </w:rPr>
        <w:t xml:space="preserve">    </w:t>
      </w:r>
      <w:r>
        <w:rPr>
          <w:rFonts w:hint="eastAsia" w:cs="Times New Roman" w:eastAsiaTheme="minorEastAsia"/>
          <w:b/>
          <w:bCs/>
          <w:sz w:val="21"/>
          <w:szCs w:val="21"/>
          <w:lang w:val="en-US" w:eastAsia="zh-CN"/>
        </w:rPr>
        <w:t>项目</w:t>
      </w:r>
      <w:r>
        <w:rPr>
          <w:rFonts w:cs="Times New Roman" w:eastAsiaTheme="minorEastAsia"/>
          <w:b/>
          <w:bCs/>
          <w:sz w:val="21"/>
          <w:szCs w:val="21"/>
        </w:rPr>
        <w:t>主要原辅材料消耗一览表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743"/>
        <w:gridCol w:w="1465"/>
        <w:gridCol w:w="1535"/>
        <w:gridCol w:w="1537"/>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44"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793"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年消耗量</w:t>
            </w:r>
          </w:p>
        </w:tc>
        <w:tc>
          <w:tcPr>
            <w:tcW w:w="831"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832" w:type="pct"/>
            <w:tcBorders>
              <w:right w:val="single" w:color="auto" w:sz="4" w:space="0"/>
            </w:tcBorders>
            <w:noWrap w:val="0"/>
            <w:vAlign w:val="top"/>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最大存储量</w:t>
            </w:r>
          </w:p>
        </w:tc>
        <w:tc>
          <w:tcPr>
            <w:tcW w:w="1221"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5000" w:type="pct"/>
            <w:gridSpan w:val="6"/>
            <w:noWrap w:val="0"/>
            <w:vAlign w:val="top"/>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color w:val="auto"/>
                <w:kern w:val="0"/>
                <w:sz w:val="21"/>
                <w:szCs w:val="21"/>
                <w:lang w:bidi="ar"/>
              </w:rPr>
              <w:t>原辅材料消耗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44" w:type="pct"/>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玻璃原片</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1000</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170t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外购，规格1244×1092mm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944" w:type="pct"/>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玻璃保护液</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3</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sz w:val="21"/>
                <w:szCs w:val="21"/>
                <w:lang w:val="en-US" w:eastAsia="zh-CN"/>
              </w:rPr>
            </w:pPr>
            <w:r>
              <w:rPr>
                <w:rFonts w:hint="eastAsia" w:cs="Times New Roman"/>
                <w:color w:val="auto"/>
                <w:sz w:val="21"/>
                <w:szCs w:val="21"/>
                <w:lang w:val="en-US" w:eastAsia="zh-CN"/>
              </w:rPr>
              <w:t>0.5t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外购，</w:t>
            </w:r>
            <w:r>
              <w:rPr>
                <w:rFonts w:hint="default" w:ascii="Times New Roman" w:hAnsi="Times New Roman" w:cs="Times New Roman"/>
                <w:color w:val="auto"/>
                <w:sz w:val="21"/>
                <w:szCs w:val="21"/>
                <w:lang w:val="en-US" w:eastAsia="zh-CN"/>
              </w:rPr>
              <w:t>桶装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清洗剂</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30</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5t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外购，</w:t>
            </w:r>
            <w:r>
              <w:rPr>
                <w:rFonts w:hint="default" w:ascii="Times New Roman" w:hAnsi="Times New Roman" w:cs="Times New Roman"/>
                <w:color w:val="auto"/>
                <w:sz w:val="21"/>
                <w:szCs w:val="21"/>
                <w:lang w:val="en-US" w:eastAsia="zh-CN"/>
              </w:rPr>
              <w:t>桶装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25kg/桶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硝酸钾</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70</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rPr>
            </w:pPr>
            <w:r>
              <w:rPr>
                <w:rFonts w:hint="eastAsia" w:cs="Times New Roman"/>
                <w:bCs/>
                <w:color w:val="auto"/>
                <w:kern w:val="0"/>
                <w:sz w:val="21"/>
                <w:szCs w:val="21"/>
                <w:lang w:val="en-US" w:eastAsia="zh-CN"/>
              </w:rPr>
              <w:t>10t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color w:val="auto"/>
                <w:sz w:val="21"/>
                <w:szCs w:val="21"/>
                <w:lang w:val="en-US" w:eastAsia="zh-CN"/>
              </w:rPr>
              <w:t>外购，</w:t>
            </w:r>
            <w:r>
              <w:rPr>
                <w:rFonts w:hint="eastAsia" w:cs="Times New Roman"/>
                <w:bCs/>
                <w:color w:val="auto"/>
                <w:kern w:val="0"/>
                <w:sz w:val="21"/>
                <w:szCs w:val="21"/>
                <w:lang w:val="en-US" w:eastAsia="zh-CN"/>
              </w:rPr>
              <w:t>袋装，</w:t>
            </w:r>
            <w:r>
              <w:rPr>
                <w:rFonts w:hint="default" w:ascii="Times New Roman" w:hAnsi="Times New Roman" w:cs="Times New Roman"/>
                <w:color w:val="auto"/>
                <w:sz w:val="21"/>
                <w:szCs w:val="21"/>
                <w:lang w:val="en-US" w:eastAsia="zh-CN"/>
              </w:rPr>
              <w:t>25kg/</w:t>
            </w:r>
            <w:r>
              <w:rPr>
                <w:rFonts w:hint="eastAsia" w:cs="Times New Roman"/>
                <w:bCs/>
                <w:color w:val="auto"/>
                <w:kern w:val="0"/>
                <w:sz w:val="21"/>
                <w:szCs w:val="21"/>
                <w:lang w:val="en-US" w:eastAsia="zh-CN"/>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油墨</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6</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外购，罐装，20kg/桶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保护膜</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0.02</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切削液</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120</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10t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外购，桶装，</w:t>
            </w:r>
          </w:p>
          <w:p>
            <w:pPr>
              <w:keepNext w:val="0"/>
              <w:keepLines w:val="0"/>
              <w:pageBreakBefore w:val="0"/>
              <w:widowControl/>
              <w:suppressLineNumbers w:val="0"/>
              <w:wordWrap/>
              <w:topLinePunct w:val="0"/>
              <w:bidi w:val="0"/>
              <w:spacing w:line="240" w:lineRule="auto"/>
              <w:ind w:lef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200L铁桶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扫光粉</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40</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外购，20kg/箱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固定工装</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1200</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套/a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200套</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酒精</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0.2t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外购，10kg/箱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11</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胶带</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1.5</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0.05t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12</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包装袋</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3</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0.05t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13</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纸箱</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18</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3t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leftChars="0"/>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p>
        </w:tc>
        <w:tc>
          <w:tcPr>
            <w:tcW w:w="944" w:type="pct"/>
            <w:noWrap w:val="0"/>
            <w:vAlign w:val="center"/>
          </w:tcPr>
          <w:p>
            <w:pPr>
              <w:pStyle w:val="64"/>
              <w:keepNext w:val="0"/>
              <w:keepLines w:val="0"/>
              <w:pageBreakBefore w:val="0"/>
              <w:kinsoku w:val="0"/>
              <w:wordWrap/>
              <w:overflowPunct w:val="0"/>
              <w:topLinePunct w:val="0"/>
              <w:bidi w:val="0"/>
              <w:spacing w:line="240" w:lineRule="auto"/>
              <w:ind w:left="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润滑油</w:t>
            </w:r>
          </w:p>
        </w:tc>
        <w:tc>
          <w:tcPr>
            <w:tcW w:w="793"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2</w:t>
            </w:r>
          </w:p>
        </w:tc>
        <w:tc>
          <w:tcPr>
            <w:tcW w:w="831"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t/a</w:t>
            </w:r>
          </w:p>
        </w:tc>
        <w:tc>
          <w:tcPr>
            <w:tcW w:w="832" w:type="pct"/>
            <w:tcBorders>
              <w:right w:val="single" w:color="auto" w:sz="4" w:space="0"/>
            </w:tcBorders>
            <w:noWrap w:val="0"/>
            <w:vAlign w:val="center"/>
          </w:tcPr>
          <w:p>
            <w:pPr>
              <w:keepNext w:val="0"/>
              <w:keepLines w:val="0"/>
              <w:pageBreakBefore w:val="0"/>
              <w:wordWrap/>
              <w:topLinePunct w:val="0"/>
              <w:bidi w:val="0"/>
              <w:spacing w:line="240" w:lineRule="auto"/>
              <w:ind w:lef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0.3t</w:t>
            </w:r>
          </w:p>
        </w:tc>
        <w:tc>
          <w:tcPr>
            <w:tcW w:w="1221" w:type="pct"/>
            <w:tcBorders>
              <w:left w:val="single" w:color="auto" w:sz="4" w:space="0"/>
            </w:tcBorders>
            <w:noWrap w:val="0"/>
            <w:vAlign w:val="center"/>
          </w:tcPr>
          <w:p>
            <w:pPr>
              <w:keepNext w:val="0"/>
              <w:keepLines w:val="0"/>
              <w:pageBreakBefore w:val="0"/>
              <w:widowControl/>
              <w:suppressLineNumbers w:val="0"/>
              <w:wordWrap/>
              <w:topLinePunct w:val="0"/>
              <w:bidi w:val="0"/>
              <w:spacing w:line="240" w:lineRule="auto"/>
              <w:ind w:left="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5000" w:type="pct"/>
            <w:gridSpan w:val="6"/>
            <w:noWrap w:val="0"/>
            <w:vAlign w:val="top"/>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44"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793" w:type="pct"/>
            <w:tcBorders>
              <w:righ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万</w:t>
            </w:r>
          </w:p>
        </w:tc>
        <w:tc>
          <w:tcPr>
            <w:tcW w:w="831" w:type="pct"/>
            <w:tcBorders>
              <w:right w:val="single" w:color="auto" w:sz="4" w:space="0"/>
            </w:tcBorders>
            <w:noWrap w:val="0"/>
            <w:vAlign w:val="top"/>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kW.h/a</w:t>
            </w:r>
          </w:p>
        </w:tc>
        <w:tc>
          <w:tcPr>
            <w:tcW w:w="832" w:type="pct"/>
            <w:tcBorders>
              <w:right w:val="single" w:color="auto" w:sz="4" w:space="0"/>
            </w:tcBorders>
            <w:noWrap w:val="0"/>
            <w:vAlign w:val="top"/>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市政供电</w:t>
            </w:r>
          </w:p>
        </w:tc>
        <w:tc>
          <w:tcPr>
            <w:tcW w:w="1221" w:type="pct"/>
            <w:tcBorders>
              <w:left w:val="single" w:color="auto" w:sz="4" w:space="0"/>
            </w:tcBorders>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77"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44"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79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cs="Times New Roman"/>
                <w:sz w:val="21"/>
                <w:szCs w:val="21"/>
                <w:lang w:val="en-US" w:eastAsia="zh-CN"/>
              </w:rPr>
              <w:t>5325.545</w:t>
            </w:r>
          </w:p>
        </w:tc>
        <w:tc>
          <w:tcPr>
            <w:tcW w:w="831" w:type="pct"/>
            <w:tcBorders>
              <w:right w:val="single" w:color="auto" w:sz="6" w:space="0"/>
            </w:tcBorders>
            <w:noWrap w:val="0"/>
            <w:vAlign w:val="top"/>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吨/a</w:t>
            </w:r>
          </w:p>
        </w:tc>
        <w:tc>
          <w:tcPr>
            <w:tcW w:w="832" w:type="pct"/>
            <w:tcBorders>
              <w:right w:val="single" w:color="auto" w:sz="6" w:space="0"/>
            </w:tcBorders>
            <w:noWrap w:val="0"/>
            <w:vAlign w:val="top"/>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市政供水</w:t>
            </w:r>
          </w:p>
        </w:tc>
        <w:tc>
          <w:tcPr>
            <w:tcW w:w="1221" w:type="pct"/>
            <w:tcBorders>
              <w:left w:val="single" w:color="auto" w:sz="6" w:space="0"/>
            </w:tcBorders>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r>
    </w:tbl>
    <w:p>
      <w:pPr>
        <w:pStyle w:val="3"/>
      </w:pPr>
      <w:bookmarkStart w:id="48" w:name="_Toc9231"/>
      <w:r>
        <w:t>3.4 主要生产设备</w:t>
      </w:r>
      <w:bookmarkEnd w:id="48"/>
    </w:p>
    <w:p>
      <w:pPr>
        <w:ind w:firstLine="480" w:firstLineChars="200"/>
      </w:pPr>
      <w:bookmarkStart w:id="49" w:name="_Toc497833575"/>
      <w:r>
        <w:t>主要设备配置情况见表3</w:t>
      </w:r>
      <w:r>
        <w:rPr>
          <w:rFonts w:hint="eastAsia"/>
        </w:rPr>
        <w:t>-</w:t>
      </w:r>
      <w:r>
        <w:rPr>
          <w:rFonts w:hint="eastAsia"/>
          <w:lang w:val="en-US" w:eastAsia="zh-CN"/>
        </w:rPr>
        <w:t>6</w:t>
      </w:r>
      <w: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6</w:t>
      </w:r>
      <w:r>
        <w:rPr>
          <w:rFonts w:cs="Times New Roman" w:eastAsiaTheme="minorEastAsia"/>
          <w:b/>
          <w:bCs/>
          <w:color w:val="000000" w:themeColor="text1"/>
          <w:sz w:val="21"/>
          <w:szCs w:val="21"/>
          <w14:textFill>
            <w14:solidFill>
              <w14:schemeClr w14:val="tx1"/>
            </w14:solidFill>
          </w14:textFill>
        </w:rPr>
        <w:t xml:space="preserve">  项目主要设备表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380"/>
        <w:gridCol w:w="2406"/>
        <w:gridCol w:w="1127"/>
        <w:gridCol w:w="1212"/>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设施（备）名称</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规格、型号</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eastAsia" w:eastAsia="宋体" w:cs="Times New Roman"/>
                <w:color w:val="auto"/>
                <w:sz w:val="21"/>
                <w:szCs w:val="21"/>
                <w:lang w:eastAsia="zh-CN"/>
              </w:rPr>
              <w:t>环评</w:t>
            </w:r>
            <w:r>
              <w:rPr>
                <w:rFonts w:hint="default" w:ascii="Times New Roman" w:hAnsi="Times New Roman" w:eastAsia="宋体" w:cs="Times New Roman"/>
                <w:color w:val="auto"/>
                <w:sz w:val="21"/>
                <w:szCs w:val="21"/>
              </w:rPr>
              <w:t>数量</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验收数量</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对应工序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全自动玻璃切割机</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YXT-CNC20E</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10台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开料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CNC雕刻机</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JD-NK300</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rPr>
              <w:t>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lang w:val="en-US" w:eastAsia="zh-CN"/>
              </w:rPr>
              <w:t>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精雕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扫光机</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ET-1360-001</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扫光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纯水机</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JD-1000L/H-1RE</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纯水制备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超声波清洗机</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BD-1012</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平板清洗机</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GWM-300-3</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检测仪器</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钢化炉</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SJW-HGR850</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钢化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冷却循环系统</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JF--5.5LQ</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2套</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1套</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空压机</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表干隧道炉</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CZ-IR-80-08</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rPr>
              <w:t>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烤箱</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KC0-9-3FS、LBC0-8-3</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rPr>
              <w:t>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c>
          <w:tcPr>
            <w:tcW w:w="1288"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检验桌</w:t>
            </w:r>
          </w:p>
        </w:tc>
        <w:tc>
          <w:tcPr>
            <w:tcW w:w="1302"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10"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26台</w:t>
            </w:r>
          </w:p>
        </w:tc>
        <w:tc>
          <w:tcPr>
            <w:tcW w:w="656" w:type="pct"/>
            <w:noWrap w:val="0"/>
            <w:vAlign w:val="center"/>
          </w:tcPr>
          <w:p>
            <w:pPr>
              <w:pStyle w:val="39"/>
              <w:keepNext w:val="0"/>
              <w:keepLines w:val="0"/>
              <w:pageBreakBefore w:val="0"/>
              <w:wordWrap/>
              <w:topLinePunct w:val="0"/>
              <w:bidi w:val="0"/>
              <w:spacing w:beforeLines="0" w:afterLines="0" w:line="240" w:lineRule="auto"/>
              <w:ind w:lef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26台</w:t>
            </w:r>
          </w:p>
        </w:tc>
        <w:tc>
          <w:tcPr>
            <w:tcW w:w="759" w:type="pct"/>
            <w:noWrap w:val="0"/>
            <w:vAlign w:val="center"/>
          </w:tcPr>
          <w:p>
            <w:pPr>
              <w:pStyle w:val="39"/>
              <w:keepNext w:val="0"/>
              <w:keepLines w:val="0"/>
              <w:pageBreakBefore w:val="0"/>
              <w:wordWrap/>
              <w:topLinePunct w:val="0"/>
              <w:bidi w:val="0"/>
              <w:spacing w:beforeLines="0" w:afterLines="0" w:line="240" w:lineRule="auto"/>
              <w:ind w:lef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检验</w:t>
            </w:r>
          </w:p>
        </w:tc>
      </w:tr>
      <w:bookmarkEnd w:id="49"/>
    </w:tbl>
    <w:p>
      <w:pPr>
        <w:pStyle w:val="3"/>
      </w:pPr>
      <w:bookmarkStart w:id="50" w:name="_Toc22612"/>
      <w:bookmarkStart w:id="51" w:name="_Toc497833576"/>
      <w:r>
        <w:rPr>
          <w:rFonts w:hint="eastAsia"/>
        </w:rPr>
        <w:t>3.5水平衡及物料平衡分析</w:t>
      </w:r>
      <w:bookmarkEnd w:id="50"/>
    </w:p>
    <w:p>
      <w:pPr>
        <w:ind w:firstLine="480" w:firstLineChars="200"/>
        <w:rPr>
          <w:bCs/>
          <w:color w:val="auto"/>
          <w:sz w:val="24"/>
        </w:rPr>
      </w:pPr>
      <w:r>
        <w:rPr>
          <w:rFonts w:hint="eastAsia"/>
          <w:lang w:val="en-US" w:eastAsia="zh-CN"/>
        </w:rPr>
        <w:t>本</w:t>
      </w:r>
      <w:r>
        <w:rPr>
          <w:rFonts w:hint="default"/>
        </w:rPr>
        <w:t>项目运营期</w:t>
      </w:r>
      <w:r>
        <w:rPr>
          <w:rFonts w:hint="eastAsia"/>
          <w:lang w:val="en-US" w:eastAsia="zh-CN"/>
        </w:rPr>
        <w:t>用水主要分为生活用水和生产用水。生活用水主要为员工生活用水，生产用水主要有：切削液制备用水、纯水制备用水、超声波清洗用水（纯水）、扫光液配制用水（纯水）、扫光设备清洗用水、车间清洗用水、绿化用水、冷却循环系统用水等。</w:t>
      </w:r>
      <w:r>
        <w:rPr>
          <w:rFonts w:hint="eastAsia"/>
          <w:bCs/>
          <w:color w:val="auto"/>
          <w:sz w:val="24"/>
          <w:lang w:eastAsia="zh-CN"/>
        </w:rPr>
        <w:t>本项目</w:t>
      </w:r>
      <w:r>
        <w:rPr>
          <w:rFonts w:hint="eastAsia"/>
          <w:bCs/>
          <w:color w:val="auto"/>
          <w:sz w:val="24"/>
        </w:rPr>
        <w:t>用排水情况见表2</w:t>
      </w:r>
      <w:r>
        <w:rPr>
          <w:bCs/>
          <w:color w:val="auto"/>
          <w:sz w:val="24"/>
        </w:rPr>
        <w:t>-5</w:t>
      </w:r>
      <w:r>
        <w:rPr>
          <w:rFonts w:hint="eastAsia"/>
          <w:bCs/>
          <w:color w:val="auto"/>
          <w:sz w:val="24"/>
        </w:rPr>
        <w:t>，水平衡见图2</w:t>
      </w:r>
      <w:r>
        <w:rPr>
          <w:bCs/>
          <w:color w:val="auto"/>
          <w:sz w:val="24"/>
        </w:rPr>
        <w:t>-1</w:t>
      </w:r>
      <w:r>
        <w:rPr>
          <w:rFonts w:hint="eastAsia"/>
          <w:bCs/>
          <w:color w:val="auto"/>
          <w:sz w:val="24"/>
        </w:rPr>
        <w:t>。</w:t>
      </w:r>
    </w:p>
    <w:p>
      <w:pPr>
        <w:snapToGrid w:val="0"/>
        <w:spacing w:line="240" w:lineRule="auto"/>
        <w:jc w:val="center"/>
        <w:rPr>
          <w:b/>
          <w:bCs/>
          <w:color w:val="auto"/>
          <w:sz w:val="24"/>
        </w:rPr>
      </w:pPr>
      <w:r>
        <w:rPr>
          <w:b/>
          <w:bCs/>
          <w:color w:val="auto"/>
          <w:sz w:val="24"/>
        </w:rPr>
        <w:t xml:space="preserve">表2-5   </w:t>
      </w:r>
      <w:r>
        <w:rPr>
          <w:rFonts w:hint="eastAsia"/>
          <w:b/>
          <w:bCs/>
          <w:color w:val="auto"/>
          <w:sz w:val="24"/>
          <w:lang w:eastAsia="zh-CN"/>
        </w:rPr>
        <w:t>本项目</w:t>
      </w:r>
      <w:r>
        <w:rPr>
          <w:b/>
          <w:bCs/>
          <w:color w:val="auto"/>
          <w:sz w:val="24"/>
        </w:rPr>
        <w:t>用排水量一览表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528"/>
        <w:gridCol w:w="1351"/>
        <w:gridCol w:w="1088"/>
        <w:gridCol w:w="1303"/>
        <w:gridCol w:w="1218"/>
        <w:gridCol w:w="1061"/>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noWrap w:val="0"/>
            <w:vAlign w:val="center"/>
          </w:tcPr>
          <w:p>
            <w:pPr>
              <w:spacing w:line="240" w:lineRule="exact"/>
              <w:jc w:val="left"/>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827" w:type="pct"/>
            <w:vMerge w:val="restart"/>
            <w:noWrap w:val="0"/>
            <w:vAlign w:val="center"/>
          </w:tcPr>
          <w:p>
            <w:pPr>
              <w:spacing w:line="240" w:lineRule="exact"/>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  别</w:t>
            </w:r>
          </w:p>
        </w:tc>
        <w:tc>
          <w:tcPr>
            <w:tcW w:w="731" w:type="pct"/>
            <w:vMerge w:val="restart"/>
            <w:noWrap w:val="0"/>
            <w:vAlign w:val="center"/>
          </w:tcPr>
          <w:p>
            <w:pPr>
              <w:spacing w:line="240" w:lineRule="exact"/>
              <w:jc w:val="center"/>
              <w:textAlignment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指标</w:t>
            </w:r>
          </w:p>
        </w:tc>
        <w:tc>
          <w:tcPr>
            <w:tcW w:w="589" w:type="pct"/>
            <w:vMerge w:val="restart"/>
            <w:noWrap w:val="0"/>
            <w:vAlign w:val="center"/>
          </w:tcPr>
          <w:p>
            <w:pPr>
              <w:spacing w:line="240" w:lineRule="exact"/>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用水指标</w:t>
            </w:r>
          </w:p>
        </w:tc>
        <w:tc>
          <w:tcPr>
            <w:tcW w:w="1364" w:type="pct"/>
            <w:gridSpan w:val="2"/>
            <w:noWrap w:val="0"/>
            <w:vAlign w:val="center"/>
          </w:tcPr>
          <w:p>
            <w:pPr>
              <w:spacing w:line="240" w:lineRule="exact"/>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用水量</w:t>
            </w:r>
          </w:p>
        </w:tc>
        <w:tc>
          <w:tcPr>
            <w:tcW w:w="1230" w:type="pct"/>
            <w:gridSpan w:val="2"/>
            <w:noWrap w:val="0"/>
            <w:vAlign w:val="center"/>
          </w:tcPr>
          <w:p>
            <w:pPr>
              <w:spacing w:line="240" w:lineRule="exact"/>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vAlign w:val="center"/>
          </w:tcPr>
          <w:p>
            <w:pPr>
              <w:spacing w:line="240" w:lineRule="exact"/>
              <w:jc w:val="center"/>
              <w:textAlignment w:val="center"/>
              <w:rPr>
                <w:rFonts w:hint="default" w:ascii="Times New Roman" w:hAnsi="Times New Roman" w:eastAsia="宋体" w:cs="Times New Roman"/>
                <w:b/>
                <w:bCs/>
                <w:sz w:val="21"/>
                <w:szCs w:val="21"/>
              </w:rPr>
            </w:pPr>
          </w:p>
        </w:tc>
        <w:tc>
          <w:tcPr>
            <w:tcW w:w="827" w:type="pct"/>
            <w:vMerge w:val="continue"/>
            <w:noWrap w:val="0"/>
            <w:vAlign w:val="center"/>
          </w:tcPr>
          <w:p>
            <w:pPr>
              <w:spacing w:line="240" w:lineRule="exact"/>
              <w:jc w:val="center"/>
              <w:textAlignment w:val="center"/>
              <w:rPr>
                <w:rFonts w:hint="default" w:ascii="Times New Roman" w:hAnsi="Times New Roman" w:eastAsia="宋体" w:cs="Times New Roman"/>
                <w:b/>
                <w:bCs/>
                <w:sz w:val="21"/>
                <w:szCs w:val="21"/>
              </w:rPr>
            </w:pPr>
          </w:p>
        </w:tc>
        <w:tc>
          <w:tcPr>
            <w:tcW w:w="731" w:type="pct"/>
            <w:vMerge w:val="continue"/>
            <w:noWrap w:val="0"/>
            <w:vAlign w:val="center"/>
          </w:tcPr>
          <w:p>
            <w:pPr>
              <w:spacing w:line="240" w:lineRule="exact"/>
              <w:jc w:val="center"/>
              <w:textAlignment w:val="center"/>
              <w:rPr>
                <w:rFonts w:hint="default" w:ascii="Times New Roman" w:hAnsi="Times New Roman" w:eastAsia="宋体" w:cs="Times New Roman"/>
                <w:b/>
                <w:bCs/>
                <w:sz w:val="21"/>
                <w:szCs w:val="21"/>
              </w:rPr>
            </w:pPr>
          </w:p>
        </w:tc>
        <w:tc>
          <w:tcPr>
            <w:tcW w:w="589" w:type="pct"/>
            <w:vMerge w:val="continue"/>
            <w:noWrap w:val="0"/>
            <w:vAlign w:val="center"/>
          </w:tcPr>
          <w:p>
            <w:pPr>
              <w:spacing w:line="240" w:lineRule="exact"/>
              <w:jc w:val="center"/>
              <w:textAlignment w:val="center"/>
              <w:rPr>
                <w:rFonts w:hint="default" w:ascii="Times New Roman" w:hAnsi="Times New Roman" w:eastAsia="宋体" w:cs="Times New Roman"/>
                <w:b/>
                <w:bCs/>
                <w:sz w:val="21"/>
                <w:szCs w:val="21"/>
              </w:rPr>
            </w:pPr>
          </w:p>
        </w:tc>
        <w:tc>
          <w:tcPr>
            <w:tcW w:w="705" w:type="pct"/>
            <w:noWrap w:val="0"/>
            <w:vAlign w:val="center"/>
          </w:tcPr>
          <w:p>
            <w:pPr>
              <w:spacing w:line="240" w:lineRule="exact"/>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/d)</w:t>
            </w:r>
          </w:p>
        </w:tc>
        <w:tc>
          <w:tcPr>
            <w:tcW w:w="658" w:type="pct"/>
            <w:noWrap w:val="0"/>
            <w:vAlign w:val="center"/>
          </w:tcPr>
          <w:p>
            <w:pPr>
              <w:spacing w:line="240" w:lineRule="exact"/>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/a)</w:t>
            </w:r>
          </w:p>
        </w:tc>
        <w:tc>
          <w:tcPr>
            <w:tcW w:w="574" w:type="pct"/>
            <w:noWrap w:val="0"/>
            <w:vAlign w:val="center"/>
          </w:tcPr>
          <w:p>
            <w:pPr>
              <w:spacing w:line="240" w:lineRule="exact"/>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/d)</w:t>
            </w:r>
          </w:p>
        </w:tc>
        <w:tc>
          <w:tcPr>
            <w:tcW w:w="656" w:type="pct"/>
            <w:noWrap w:val="0"/>
            <w:vAlign w:val="center"/>
          </w:tcPr>
          <w:p>
            <w:pPr>
              <w:spacing w:line="240" w:lineRule="exact"/>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827" w:type="pct"/>
            <w:noWrap w:val="0"/>
            <w:vAlign w:val="center"/>
          </w:tcPr>
          <w:p>
            <w:pPr>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生活用水</w:t>
            </w:r>
          </w:p>
        </w:tc>
        <w:tc>
          <w:tcPr>
            <w:tcW w:w="731" w:type="pct"/>
            <w:noWrap w:val="0"/>
            <w:vAlign w:val="center"/>
          </w:tcPr>
          <w:p>
            <w:pPr>
              <w:spacing w:line="240" w:lineRule="exact"/>
              <w:jc w:val="center"/>
              <w:textAlignment w:val="center"/>
              <w:rPr>
                <w:rFonts w:hint="default" w:ascii="Times New Roman" w:hAnsi="Times New Roman" w:eastAsia="宋体" w:cs="Times New Roman"/>
                <w:sz w:val="21"/>
                <w:szCs w:val="21"/>
              </w:rPr>
            </w:pPr>
            <w:r>
              <w:rPr>
                <w:rFonts w:hint="eastAsia" w:cs="Times New Roman"/>
                <w:sz w:val="21"/>
                <w:szCs w:val="21"/>
                <w:lang w:val="en-US" w:eastAsia="zh-CN"/>
              </w:rPr>
              <w:t>60</w:t>
            </w:r>
            <w:r>
              <w:rPr>
                <w:rFonts w:hint="default" w:ascii="Times New Roman" w:hAnsi="Times New Roman" w:eastAsia="宋体" w:cs="Times New Roman"/>
                <w:sz w:val="21"/>
                <w:szCs w:val="21"/>
              </w:rPr>
              <w:t>人</w:t>
            </w:r>
          </w:p>
        </w:tc>
        <w:tc>
          <w:tcPr>
            <w:tcW w:w="589" w:type="pct"/>
            <w:noWrap w:val="0"/>
            <w:vAlign w:val="center"/>
          </w:tcPr>
          <w:p>
            <w:pPr>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100L/人.d</w:t>
            </w:r>
          </w:p>
        </w:tc>
        <w:tc>
          <w:tcPr>
            <w:tcW w:w="705"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w:t>
            </w:r>
          </w:p>
        </w:tc>
        <w:tc>
          <w:tcPr>
            <w:tcW w:w="658"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2400</w:t>
            </w:r>
          </w:p>
        </w:tc>
        <w:tc>
          <w:tcPr>
            <w:tcW w:w="574"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4.8</w:t>
            </w:r>
          </w:p>
        </w:tc>
        <w:tc>
          <w:tcPr>
            <w:tcW w:w="656"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2</w:t>
            </w:r>
          </w:p>
        </w:tc>
        <w:tc>
          <w:tcPr>
            <w:tcW w:w="827"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切削液制备用水</w:t>
            </w:r>
          </w:p>
        </w:tc>
        <w:tc>
          <w:tcPr>
            <w:tcW w:w="731"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w:t>
            </w:r>
          </w:p>
        </w:tc>
        <w:tc>
          <w:tcPr>
            <w:tcW w:w="589" w:type="pct"/>
            <w:noWrap w:val="0"/>
            <w:vAlign w:val="center"/>
          </w:tcPr>
          <w:p>
            <w:pPr>
              <w:spacing w:line="240" w:lineRule="exact"/>
              <w:jc w:val="center"/>
              <w:textAlignment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3.33</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1000</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restar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3</w:t>
            </w:r>
          </w:p>
        </w:tc>
        <w:tc>
          <w:tcPr>
            <w:tcW w:w="827" w:type="pct"/>
            <w:vMerge w:val="restar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纯水制备用水（总）</w:t>
            </w:r>
          </w:p>
        </w:tc>
        <w:tc>
          <w:tcPr>
            <w:tcW w:w="731" w:type="pct"/>
            <w:vMerge w:val="restar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w:t>
            </w:r>
          </w:p>
        </w:tc>
        <w:tc>
          <w:tcPr>
            <w:tcW w:w="589" w:type="pct"/>
            <w:vMerge w:val="restart"/>
            <w:noWrap w:val="0"/>
            <w:vAlign w:val="center"/>
          </w:tcPr>
          <w:p>
            <w:pPr>
              <w:spacing w:line="240" w:lineRule="exact"/>
              <w:jc w:val="center"/>
              <w:textAlignment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2.843</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852.9</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1.638</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491.4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vAlign w:val="center"/>
          </w:tcPr>
          <w:p>
            <w:pPr>
              <w:spacing w:line="240" w:lineRule="exact"/>
              <w:jc w:val="center"/>
              <w:textAlignment w:val="center"/>
              <w:rPr>
                <w:rFonts w:hint="eastAsia" w:cs="Times New Roman"/>
                <w:sz w:val="21"/>
                <w:szCs w:val="21"/>
                <w:lang w:val="en-US" w:eastAsia="zh-CN"/>
              </w:rPr>
            </w:pPr>
          </w:p>
        </w:tc>
        <w:tc>
          <w:tcPr>
            <w:tcW w:w="827" w:type="pct"/>
            <w:vMerge w:val="continue"/>
            <w:noWrap w:val="0"/>
            <w:vAlign w:val="center"/>
          </w:tcPr>
          <w:p>
            <w:pPr>
              <w:spacing w:line="240" w:lineRule="exact"/>
              <w:jc w:val="center"/>
              <w:textAlignment w:val="center"/>
              <w:rPr>
                <w:rFonts w:hint="default" w:cs="Times New Roman"/>
                <w:sz w:val="21"/>
                <w:szCs w:val="21"/>
                <w:lang w:val="en-US" w:eastAsia="zh-CN"/>
              </w:rPr>
            </w:pPr>
          </w:p>
        </w:tc>
        <w:tc>
          <w:tcPr>
            <w:tcW w:w="731" w:type="pct"/>
            <w:vMerge w:val="continue"/>
            <w:noWrap w:val="0"/>
            <w:vAlign w:val="center"/>
          </w:tcPr>
          <w:p>
            <w:pPr>
              <w:spacing w:line="240" w:lineRule="exact"/>
              <w:jc w:val="center"/>
              <w:textAlignment w:val="center"/>
              <w:rPr>
                <w:rFonts w:hint="default" w:cs="Times New Roman"/>
                <w:sz w:val="21"/>
                <w:szCs w:val="21"/>
                <w:lang w:val="en-US" w:eastAsia="zh-CN"/>
              </w:rPr>
            </w:pPr>
          </w:p>
        </w:tc>
        <w:tc>
          <w:tcPr>
            <w:tcW w:w="589" w:type="pct"/>
            <w:vMerge w:val="continue"/>
            <w:noWrap w:val="0"/>
            <w:vAlign w:val="center"/>
          </w:tcPr>
          <w:p>
            <w:pPr>
              <w:spacing w:line="240" w:lineRule="exact"/>
              <w:jc w:val="center"/>
              <w:textAlignment w:val="center"/>
              <w:rPr>
                <w:rFonts w:hint="default" w:cs="Times New Roman"/>
                <w:sz w:val="21"/>
                <w:szCs w:val="21"/>
                <w:lang w:val="en-US" w:eastAsia="zh-CN"/>
              </w:rPr>
            </w:pPr>
          </w:p>
        </w:tc>
        <w:tc>
          <w:tcPr>
            <w:tcW w:w="705" w:type="pct"/>
            <w:noWrap w:val="0"/>
            <w:vAlign w:val="center"/>
          </w:tcPr>
          <w:p>
            <w:pPr>
              <w:spacing w:line="240" w:lineRule="exact"/>
              <w:jc w:val="center"/>
              <w:textAlignment w:val="center"/>
              <w:rPr>
                <w:rFonts w:hint="eastAsia" w:cs="Times New Roman"/>
                <w:sz w:val="21"/>
                <w:szCs w:val="21"/>
                <w:lang w:val="en-US" w:eastAsia="zh-CN"/>
              </w:rPr>
            </w:pPr>
            <w:r>
              <w:rPr>
                <w:rFonts w:hint="eastAsia" w:cs="Times New Roman"/>
                <w:sz w:val="21"/>
                <w:szCs w:val="21"/>
                <w:lang w:val="en-US" w:eastAsia="zh-CN"/>
              </w:rPr>
              <w:t>纯水量</w:t>
            </w:r>
          </w:p>
        </w:tc>
        <w:tc>
          <w:tcPr>
            <w:tcW w:w="658" w:type="pct"/>
            <w:noWrap w:val="0"/>
            <w:vAlign w:val="center"/>
          </w:tcPr>
          <w:p>
            <w:pPr>
              <w:spacing w:line="240" w:lineRule="exact"/>
              <w:jc w:val="center"/>
              <w:textAlignment w:val="center"/>
              <w:rPr>
                <w:rFonts w:hint="eastAsia" w:cs="Times New Roman"/>
                <w:sz w:val="21"/>
                <w:szCs w:val="21"/>
                <w:lang w:val="en-US" w:eastAsia="zh-CN"/>
              </w:rPr>
            </w:pPr>
            <w:r>
              <w:rPr>
                <w:rFonts w:hint="eastAsia" w:cs="Times New Roman"/>
                <w:sz w:val="21"/>
                <w:szCs w:val="21"/>
                <w:lang w:val="en-US" w:eastAsia="zh-CN"/>
              </w:rPr>
              <w:t>554.4t/a</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vAlign w:val="center"/>
          </w:tcPr>
          <w:p>
            <w:pPr>
              <w:spacing w:line="240" w:lineRule="exact"/>
              <w:jc w:val="center"/>
              <w:textAlignment w:val="center"/>
              <w:rPr>
                <w:rFonts w:hint="default" w:cs="Times New Roman"/>
                <w:sz w:val="21"/>
                <w:szCs w:val="21"/>
                <w:lang w:val="en-US" w:eastAsia="zh-CN"/>
              </w:rPr>
            </w:pPr>
          </w:p>
        </w:tc>
        <w:tc>
          <w:tcPr>
            <w:tcW w:w="827"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①超声波清洗用水（纯水）</w:t>
            </w:r>
          </w:p>
        </w:tc>
        <w:tc>
          <w:tcPr>
            <w:tcW w:w="731"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2台</w:t>
            </w:r>
          </w:p>
        </w:tc>
        <w:tc>
          <w:tcPr>
            <w:tcW w:w="589"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0.324m³/台·d</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0.648</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194.4</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0.518</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Merge w:val="continue"/>
            <w:noWrap w:val="0"/>
            <w:vAlign w:val="center"/>
          </w:tcPr>
          <w:p>
            <w:pPr>
              <w:spacing w:line="240" w:lineRule="exact"/>
              <w:jc w:val="center"/>
              <w:textAlignment w:val="center"/>
              <w:rPr>
                <w:rFonts w:hint="default" w:cs="Times New Roman"/>
                <w:sz w:val="21"/>
                <w:szCs w:val="21"/>
                <w:lang w:val="en-US" w:eastAsia="zh-CN"/>
              </w:rPr>
            </w:pPr>
          </w:p>
        </w:tc>
        <w:tc>
          <w:tcPr>
            <w:tcW w:w="827"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②扫光液配制用水（纯水）</w:t>
            </w:r>
          </w:p>
        </w:tc>
        <w:tc>
          <w:tcPr>
            <w:tcW w:w="731"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1.2m</w:t>
            </w:r>
            <w:r>
              <w:rPr>
                <w:rFonts w:hint="eastAsia" w:cs="Times New Roman"/>
                <w:sz w:val="21"/>
                <w:szCs w:val="21"/>
                <w:vertAlign w:val="superscript"/>
                <w:lang w:val="en-US" w:eastAsia="zh-CN"/>
              </w:rPr>
              <w:t>3</w:t>
            </w:r>
            <w:r>
              <w:rPr>
                <w:rFonts w:hint="eastAsia" w:cs="Times New Roman"/>
                <w:sz w:val="21"/>
                <w:szCs w:val="21"/>
                <w:lang w:val="en-US" w:eastAsia="zh-CN"/>
              </w:rPr>
              <w:t>•d</w:t>
            </w:r>
          </w:p>
        </w:tc>
        <w:tc>
          <w:tcPr>
            <w:tcW w:w="589" w:type="pct"/>
            <w:noWrap w:val="0"/>
            <w:vAlign w:val="center"/>
          </w:tcPr>
          <w:p>
            <w:pPr>
              <w:spacing w:line="240" w:lineRule="exact"/>
              <w:jc w:val="center"/>
              <w:textAlignment w:val="center"/>
              <w:rPr>
                <w:rFonts w:hint="eastAsia" w:cs="Times New Roman"/>
                <w:sz w:val="21"/>
                <w:szCs w:val="21"/>
                <w:lang w:val="en-US" w:eastAsia="zh-CN"/>
              </w:rPr>
            </w:pPr>
            <w:r>
              <w:rPr>
                <w:rFonts w:hint="eastAsia" w:cs="Times New Roman"/>
                <w:sz w:val="21"/>
                <w:szCs w:val="21"/>
                <w:lang w:val="en-US" w:eastAsia="zh-CN"/>
              </w:rPr>
              <w:t>/</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1.2</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360</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1.12</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4</w:t>
            </w:r>
          </w:p>
        </w:tc>
        <w:tc>
          <w:tcPr>
            <w:tcW w:w="827"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扫光设备清洗用水</w:t>
            </w:r>
          </w:p>
        </w:tc>
        <w:tc>
          <w:tcPr>
            <w:tcW w:w="731"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0.01m³/台·d</w:t>
            </w:r>
          </w:p>
        </w:tc>
        <w:tc>
          <w:tcPr>
            <w:tcW w:w="589"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6台</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0.06</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18</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0.048</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5</w:t>
            </w:r>
          </w:p>
        </w:tc>
        <w:tc>
          <w:tcPr>
            <w:tcW w:w="827" w:type="pct"/>
            <w:noWrap w:val="0"/>
            <w:vAlign w:val="center"/>
          </w:tcPr>
          <w:p>
            <w:pPr>
              <w:spacing w:line="240" w:lineRule="exact"/>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车间清洗用水</w:t>
            </w:r>
          </w:p>
        </w:tc>
        <w:tc>
          <w:tcPr>
            <w:tcW w:w="731" w:type="pct"/>
            <w:noWrap w:val="0"/>
            <w:vAlign w:val="center"/>
          </w:tcPr>
          <w:p>
            <w:pPr>
              <w:spacing w:line="240" w:lineRule="exact"/>
              <w:jc w:val="center"/>
              <w:textAlignment w:val="center"/>
              <w:rPr>
                <w:rFonts w:hint="eastAsia" w:cs="Times New Roman"/>
                <w:sz w:val="21"/>
                <w:szCs w:val="21"/>
                <w:lang w:val="en-US" w:eastAsia="zh-CN"/>
              </w:rPr>
            </w:pPr>
            <w:r>
              <w:rPr>
                <w:rFonts w:hint="eastAsia" w:cs="Times New Roman"/>
                <w:sz w:val="21"/>
                <w:szCs w:val="21"/>
                <w:lang w:val="en-US" w:eastAsia="zh-CN"/>
              </w:rPr>
              <w:t>0.2L/(m</w:t>
            </w:r>
            <w:r>
              <w:rPr>
                <w:rFonts w:hint="eastAsia" w:cs="Times New Roman"/>
                <w:sz w:val="21"/>
                <w:szCs w:val="21"/>
                <w:vertAlign w:val="superscript"/>
                <w:lang w:val="en-US" w:eastAsia="zh-CN"/>
              </w:rPr>
              <w:t>2</w:t>
            </w:r>
            <w:r>
              <w:rPr>
                <w:rFonts w:hint="eastAsia" w:cs="Times New Roman"/>
                <w:sz w:val="21"/>
                <w:szCs w:val="21"/>
                <w:lang w:val="en-US" w:eastAsia="zh-CN"/>
              </w:rPr>
              <w:t>•d)</w:t>
            </w:r>
          </w:p>
        </w:tc>
        <w:tc>
          <w:tcPr>
            <w:tcW w:w="589"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12548.85</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2.510</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752.931</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2.008</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602.4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6</w:t>
            </w:r>
          </w:p>
        </w:tc>
        <w:tc>
          <w:tcPr>
            <w:tcW w:w="827"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绿化用水</w:t>
            </w:r>
          </w:p>
        </w:tc>
        <w:tc>
          <w:tcPr>
            <w:tcW w:w="731" w:type="pct"/>
            <w:noWrap w:val="0"/>
            <w:vAlign w:val="center"/>
          </w:tcPr>
          <w:p>
            <w:pPr>
              <w:spacing w:line="240" w:lineRule="exact"/>
              <w:jc w:val="center"/>
              <w:textAlignment w:val="center"/>
              <w:rPr>
                <w:rFonts w:hint="eastAsia" w:cs="Times New Roman"/>
                <w:sz w:val="21"/>
                <w:szCs w:val="21"/>
                <w:lang w:val="en-US" w:eastAsia="zh-CN"/>
              </w:rPr>
            </w:pPr>
            <w:r>
              <w:rPr>
                <w:rFonts w:hint="eastAsia" w:cs="Times New Roman"/>
                <w:sz w:val="21"/>
                <w:szCs w:val="21"/>
                <w:lang w:val="en-US" w:eastAsia="zh-CN"/>
              </w:rPr>
              <w:t>2L/(m</w:t>
            </w:r>
            <w:r>
              <w:rPr>
                <w:rFonts w:hint="eastAsia" w:cs="Times New Roman"/>
                <w:sz w:val="21"/>
                <w:szCs w:val="21"/>
                <w:vertAlign w:val="superscript"/>
                <w:lang w:val="en-US" w:eastAsia="zh-CN"/>
              </w:rPr>
              <w:t>2</w:t>
            </w:r>
            <w:r>
              <w:rPr>
                <w:rFonts w:hint="eastAsia" w:cs="Times New Roman"/>
                <w:sz w:val="21"/>
                <w:szCs w:val="21"/>
                <w:lang w:val="en-US" w:eastAsia="zh-CN"/>
              </w:rPr>
              <w:t>•d)</w:t>
            </w:r>
          </w:p>
        </w:tc>
        <w:tc>
          <w:tcPr>
            <w:tcW w:w="589"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500</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300</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7</w:t>
            </w:r>
          </w:p>
        </w:tc>
        <w:tc>
          <w:tcPr>
            <w:tcW w:w="827"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冷却循环系统用水</w:t>
            </w:r>
          </w:p>
        </w:tc>
        <w:tc>
          <w:tcPr>
            <w:tcW w:w="731"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0.04</w:t>
            </w:r>
            <w:r>
              <w:rPr>
                <w:rFonts w:hint="eastAsia" w:ascii="Times New Roman" w:cs="Times New Roman"/>
                <w:sz w:val="21"/>
                <w:szCs w:val="21"/>
                <w:lang w:val="en-US" w:eastAsia="zh-CN"/>
              </w:rPr>
              <w:t>m³/周</w:t>
            </w:r>
          </w:p>
        </w:tc>
        <w:tc>
          <w:tcPr>
            <w:tcW w:w="589"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0.0058</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1.714</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pct"/>
            <w:gridSpan w:val="2"/>
            <w:noWrap w:val="0"/>
            <w:vAlign w:val="center"/>
          </w:tcPr>
          <w:p>
            <w:pPr>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731" w:type="pct"/>
            <w:noWrap w:val="0"/>
            <w:vAlign w:val="center"/>
          </w:tcPr>
          <w:p>
            <w:pPr>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89" w:type="pct"/>
            <w:noWrap w:val="0"/>
            <w:vAlign w:val="center"/>
          </w:tcPr>
          <w:p>
            <w:pPr>
              <w:spacing w:line="240" w:lineRule="exact"/>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05"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15.7488</w:t>
            </w:r>
          </w:p>
        </w:tc>
        <w:tc>
          <w:tcPr>
            <w:tcW w:w="658"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5325.545</w:t>
            </w:r>
          </w:p>
        </w:tc>
        <w:tc>
          <w:tcPr>
            <w:tcW w:w="574"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8.494</w:t>
            </w:r>
          </w:p>
        </w:tc>
        <w:tc>
          <w:tcPr>
            <w:tcW w:w="656" w:type="pct"/>
            <w:noWrap w:val="0"/>
            <w:vAlign w:val="center"/>
          </w:tcPr>
          <w:p>
            <w:pPr>
              <w:spacing w:line="240" w:lineRule="exact"/>
              <w:jc w:val="center"/>
              <w:textAlignment w:val="center"/>
              <w:rPr>
                <w:rFonts w:hint="default" w:cs="Times New Roman"/>
                <w:sz w:val="21"/>
                <w:szCs w:val="21"/>
                <w:lang w:val="en-US" w:eastAsia="zh-CN"/>
              </w:rPr>
            </w:pPr>
            <w:r>
              <w:rPr>
                <w:rFonts w:hint="eastAsia" w:cs="Times New Roman"/>
                <w:sz w:val="21"/>
                <w:szCs w:val="21"/>
                <w:lang w:val="en-US" w:eastAsia="zh-CN"/>
              </w:rPr>
              <w:t>3039.7</w:t>
            </w:r>
          </w:p>
        </w:tc>
      </w:tr>
    </w:tbl>
    <w:p>
      <w:pPr>
        <w:pStyle w:val="79"/>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项目水平衡图，见下图。</w:t>
      </w:r>
    </w:p>
    <w:p>
      <w:pPr>
        <w:spacing w:line="240" w:lineRule="auto"/>
        <w:jc w:val="center"/>
        <w:rPr>
          <w:rFonts w:hint="eastAsia"/>
          <w:b/>
          <w:bCs/>
          <w:sz w:val="21"/>
          <w:szCs w:val="21"/>
          <w:lang w:val="en-US" w:eastAsia="zh-CN"/>
        </w:rPr>
      </w:pPr>
      <w:r>
        <w:rPr>
          <w:rFonts w:hint="eastAsia"/>
          <w:b/>
          <w:bCs/>
          <w:sz w:val="21"/>
          <w:szCs w:val="21"/>
          <w:lang w:val="en-US" w:eastAsia="zh-CN"/>
        </w:rPr>
        <w:drawing>
          <wp:inline distT="0" distB="0" distL="114300" distR="114300">
            <wp:extent cx="5692775" cy="2673350"/>
            <wp:effectExtent l="0" t="0" r="3175" b="12700"/>
            <wp:docPr id="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wps"/>
                    <pic:cNvPicPr>
                      <a:picLocks noChangeAspect="1"/>
                    </pic:cNvPicPr>
                  </pic:nvPicPr>
                  <pic:blipFill>
                    <a:blip r:embed="rId21"/>
                    <a:srcRect l="4721" t="9112" r="4898" b="8717"/>
                    <a:stretch>
                      <a:fillRect/>
                    </a:stretch>
                  </pic:blipFill>
                  <pic:spPr>
                    <a:xfrm>
                      <a:off x="0" y="0"/>
                      <a:ext cx="5692775" cy="2673350"/>
                    </a:xfrm>
                    <a:prstGeom prst="rect">
                      <a:avLst/>
                    </a:prstGeom>
                  </pic:spPr>
                </pic:pic>
              </a:graphicData>
            </a:graphic>
          </wp:inline>
        </w:drawing>
      </w:r>
      <w:r>
        <w:rPr>
          <w:rFonts w:hint="eastAsia"/>
          <w:b/>
          <w:bCs/>
          <w:sz w:val="21"/>
          <w:szCs w:val="21"/>
          <w:lang w:val="en-US" w:eastAsia="zh-CN"/>
        </w:rPr>
        <w:t xml:space="preserve">      </w:t>
      </w:r>
    </w:p>
    <w:p>
      <w:pPr>
        <w:spacing w:line="240" w:lineRule="auto"/>
        <w:jc w:val="center"/>
        <w:rPr>
          <w:rFonts w:hint="eastAsia"/>
          <w:b/>
          <w:bCs/>
          <w:sz w:val="21"/>
          <w:szCs w:val="21"/>
        </w:rPr>
      </w:pPr>
      <w:r>
        <w:rPr>
          <w:rFonts w:hint="eastAsia"/>
          <w:b/>
          <w:bCs/>
          <w:sz w:val="21"/>
          <w:szCs w:val="21"/>
        </w:rPr>
        <w:t>图3.1水平衡图（单位：m</w:t>
      </w:r>
      <w:r>
        <w:rPr>
          <w:rFonts w:hint="eastAsia"/>
          <w:b/>
          <w:bCs/>
          <w:sz w:val="21"/>
          <w:szCs w:val="21"/>
          <w:vertAlign w:val="superscript"/>
        </w:rPr>
        <w:t>3</w:t>
      </w:r>
      <w:r>
        <w:rPr>
          <w:rFonts w:hint="eastAsia"/>
          <w:b/>
          <w:bCs/>
          <w:sz w:val="21"/>
          <w:szCs w:val="21"/>
        </w:rPr>
        <w:t>/d）</w:t>
      </w:r>
    </w:p>
    <w:p>
      <w:pPr>
        <w:pStyle w:val="3"/>
      </w:pPr>
      <w:bookmarkStart w:id="52" w:name="_Toc13143"/>
      <w:r>
        <w:t>3.</w:t>
      </w:r>
      <w:r>
        <w:rPr>
          <w:rFonts w:hint="eastAsia"/>
        </w:rPr>
        <w:t>6</w:t>
      </w:r>
      <w:r>
        <w:t xml:space="preserve"> 生产工艺</w:t>
      </w:r>
      <w:bookmarkEnd w:id="51"/>
      <w:bookmarkEnd w:id="52"/>
    </w:p>
    <w:p>
      <w:pPr>
        <w:pStyle w:val="11"/>
        <w:ind w:firstLine="472" w:firstLineChars="200"/>
        <w:rPr>
          <w:rFonts w:hint="eastAsia"/>
          <w:lang w:val="en-US" w:eastAsia="zh-CN"/>
        </w:rPr>
      </w:pPr>
      <w:r>
        <w:rPr>
          <w:rFonts w:hint="eastAsia"/>
          <w:lang w:val="en-US" w:eastAsia="zh-CN"/>
        </w:rPr>
        <w:t>项目工艺流程及产污环节详见图项目生产工艺流程及产污环节详见图3.3</w:t>
      </w:r>
    </w:p>
    <w:p>
      <w:pPr>
        <w:pStyle w:val="30"/>
        <w:jc w:val="center"/>
        <w:rPr>
          <w:rFonts w:hint="eastAsia"/>
        </w:rPr>
      </w:pPr>
      <w:r>
        <w:rPr>
          <w:rFonts w:ascii="Times New Roman" w:hAnsi="Times New Roman" w:eastAsia="宋体" w:cs="Times New Roman"/>
          <w:color w:val="auto"/>
          <w:kern w:val="2"/>
          <w:sz w:val="24"/>
          <w:szCs w:val="24"/>
          <w:lang w:val="en-US" w:eastAsia="zh-CN" w:bidi="ar-SA"/>
        </w:rPr>
        <w:drawing>
          <wp:inline distT="0" distB="0" distL="114300" distR="114300">
            <wp:extent cx="5042535" cy="6887845"/>
            <wp:effectExtent l="0" t="0" r="5715" b="8255"/>
            <wp:docPr id="18" name="图片 2" descr="2.5D玻璃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2.5D玻璃工艺流程"/>
                    <pic:cNvPicPr>
                      <a:picLocks noChangeAspect="1"/>
                    </pic:cNvPicPr>
                  </pic:nvPicPr>
                  <pic:blipFill>
                    <a:blip r:embed="rId22"/>
                    <a:stretch>
                      <a:fillRect/>
                    </a:stretch>
                  </pic:blipFill>
                  <pic:spPr>
                    <a:xfrm>
                      <a:off x="0" y="0"/>
                      <a:ext cx="5042535" cy="6887845"/>
                    </a:xfrm>
                    <a:prstGeom prst="rect">
                      <a:avLst/>
                    </a:prstGeom>
                    <a:noFill/>
                    <a:ln>
                      <a:noFill/>
                    </a:ln>
                  </pic:spPr>
                </pic:pic>
              </a:graphicData>
            </a:graphic>
          </wp:inline>
        </w:drawing>
      </w:r>
    </w:p>
    <w:p>
      <w:pPr>
        <w:pStyle w:val="30"/>
        <w:jc w:val="center"/>
        <w:rPr>
          <w:rFonts w:hint="eastAsia" w:ascii="Times New Roman" w:hAnsi="Times New Roman" w:eastAsia="宋体" w:cstheme="minorBidi"/>
          <w:b/>
          <w:bCs/>
          <w:sz w:val="21"/>
          <w:szCs w:val="21"/>
          <w:lang w:val="en-US" w:eastAsia="zh-CN" w:bidi="ar-SA"/>
        </w:rPr>
      </w:pPr>
      <w:r>
        <w:rPr>
          <w:rFonts w:hint="eastAsia" w:ascii="Times New Roman" w:hAnsi="Times New Roman" w:eastAsia="宋体" w:cstheme="minorBidi"/>
          <w:b/>
          <w:bCs/>
          <w:sz w:val="21"/>
          <w:szCs w:val="21"/>
          <w:lang w:val="en-US" w:eastAsia="zh-CN" w:bidi="ar-SA"/>
        </w:rPr>
        <w:t>图3.</w:t>
      </w:r>
      <w:r>
        <w:rPr>
          <w:rFonts w:hint="eastAsia" w:cstheme="minorBidi"/>
          <w:b/>
          <w:bCs/>
          <w:sz w:val="21"/>
          <w:szCs w:val="21"/>
          <w:lang w:val="en-US" w:eastAsia="zh-CN" w:bidi="ar-SA"/>
        </w:rPr>
        <w:t>3</w:t>
      </w:r>
      <w:r>
        <w:rPr>
          <w:rFonts w:hint="eastAsia" w:ascii="Times New Roman" w:hAnsi="Times New Roman" w:eastAsia="宋体" w:cstheme="minorBidi"/>
          <w:b/>
          <w:bCs/>
          <w:sz w:val="21"/>
          <w:szCs w:val="21"/>
          <w:lang w:val="en-US" w:eastAsia="zh-CN" w:bidi="ar-SA"/>
        </w:rPr>
        <w:t xml:space="preserve">   生产工艺及产污环节图</w:t>
      </w:r>
    </w:p>
    <w:p>
      <w:pPr>
        <w:pStyle w:val="6"/>
        <w:rPr>
          <w:rFonts w:hint="eastAsia"/>
          <w:lang w:val="en-US" w:eastAsia="zh-CN"/>
        </w:rPr>
      </w:pPr>
    </w:p>
    <w:p>
      <w:pPr>
        <w:pStyle w:val="11"/>
        <w:ind w:firstLine="474" w:firstLineChars="200"/>
        <w:rPr>
          <w:rFonts w:hint="eastAsia" w:eastAsia="宋体"/>
          <w:b/>
          <w:bCs/>
          <w:lang w:val="en-US" w:eastAsia="zh-CN"/>
        </w:rPr>
      </w:pPr>
      <w:r>
        <w:rPr>
          <w:rFonts w:hint="eastAsia" w:eastAsia="宋体"/>
          <w:b/>
          <w:bCs/>
          <w:lang w:val="en-US" w:eastAsia="zh-CN"/>
        </w:rPr>
        <w:t>2.5D玻璃盖板生产工艺流程简述：</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①开料：将玻璃通过开料机按产品需求分切成一定尺寸大小的玻璃片。用刀轮在玻璃上切出一条刀痕，然后人工用手掰开。此过程不产生粉尘，会产生一定量的玻璃边角料及噪声；</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CNC精雕：将分切后的玻璃片放入精雕机中进行雕刻，雕刻出外形、听孔以及按键槽等。精雕过程加入切削液，不产生粉尘。切削液循环使用，定期更换。此过程会产生一定量的玻璃碎屑，以及定期更换的废切削液。</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③超声波清洗：将精雕后的玻璃片放入超声波清洗机进行清洗，采用纯水清洗。此工序将产生纯水制备过程的废水，清洗废水。</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超声波清洗工作原理：利用超声波的空化效应并结合清洗剂的除污作用使工件表面达到洁净要求，利用频率高于20KHZ的超声波信号，通过换能器转换成高频机械振荡而传入清洗介质中，超声波在清洗介质中疏密相间的向前辐射，使液体流动产生数以万计的微小气泡，这些气泡在超声波纵向传播的负压区形成并生长，而在正压区迅速闭合，这种现象称为空化现象。在空化现象中这些气泡的闭合形成瞬间高压，连续不断地瞬间高压就像一连串小的爆炸，连续不断的轰击钢化玻璃表面，使物体表面及缝隙中的污垢迅速剥落。</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扫光平磨：将玻璃置于磨机双面平整的磨盘之中，通过扫光机对玻璃磨砂弧面进行浸扫光处理，扫光过程需要加入扫光液（扫光粉+水，比例为1:6），利用兑水后微小的拋光粉颗粒来抛光，使产品边角变得光滑同时也避免产生玻璃粉尘，使得玻璃达到镜面效果。</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平磨可以使基片玻璃达到成品要求厚度并增加平整度，使玻璃基片在厚度上达到最终成品要求。玻璃的研磨过程先是磨盘与玻璃表面作相对运动，自由磨料在磨盘负载下对玻璃表面进行划痕和剥离的机械作用，同时玻璃上产生微裂纹。磨料所用的水既起冷却作用也与玻璃的新剥离面产生水解作用，有利于进一步剥离作用，从而周而复始在玻璃的表面形成了有凹陷的毛面，同时也产生一定深度的裂纹层。</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此工序产生的污染物主要为机器清洗废水、废扫光液、噪声。</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⑤钢化前（后）清洗</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化前（后）清洗为了去除表面油污和其他污染物，使下一工序达到更好效果。超声波清洗后进行多级逆流漂洗，清洗温度保持在40-60℃左右，清洗机中纯水循环使用。烘干采用电加热方式。此工序会产生清洗废水。</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钢化：玻璃为了达到高强度抗摔能力，需进入钢化炉钢化处理，钢化炉采用电加热。钢化炉里面是熔化的液态硝酸钾低于分解温度（熔点334℃，分解温度为400℃），不挥发，也无保护气，无废气产生。玻璃先在钢化炉预热段进行预热至200℃然后进入加热至300+℃的液态硝酸钾槽进行浸泡~4h，取出来放置冷却段自然冷却即可。</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化原理：化学钢化，根据离子扩散的机理来改变玻璃的表面组成在一定温度下把玻璃浸入到高温熔盐中，玻璃中的碱金属离子与熔盐中的碱金属离子因，扩散而发生相互交换，玻璃态的物质由无序三维空间网格所构成。此网格由含氧的离子多面体构成，其中心被Si4+、Al3+或P5+占据。网络中填充的碱金属离子，如Na+、K+离子较活泼，容易被析出，外部硝酸钾中的K+与玻璃中Na+发生相互交换，产生“挤塞”现象，使玻璃表面产生压缩应力，从而提高玻璃的强度。</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化学钢化过程无废气产生，钢化至冷却过程，打开钢化炉时，产生少量的热空气，热空气经车间换气系统排放。此外，重复使用的硝酸钾，熔盐里边的钾离子浓度变低，影响玻璃钢化效果后需要定期补充熔盐，保持熔盐的新鲜状态，硝酸钾需定期更换，故此工序会产生一定的废硝酸钾溶液。</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⑦丝网印刷：通过外购的网板对玻璃表面进行油墨印刷，印刷后的的玻璃经过电加热的烘道对其进行烘烤，以固化油墨，使油墨附着在玻璃表面从而实现成品要求的外观效果。丝印的主要目的是使油墨在玻璃表面呈现不同颜色、不同形状、图案的工艺效果，烘干温度约120~150℃。本工序产生的污染物主要为印刷及烘烤过程产生的有机废气、废油墨、废网版及轻微的噪声。</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⑧超声波清洗：为了去除表面油污和其他污染物，使下一工序达到更好效果。超声波清洗后进行多级逆流漂洗，清洗温度保持在40-60℃左右，清洗机中纯水循环使用。烘干采用电加热方式。此工序会产生清洗废水。</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⑨贴合覆膜：清洗之后晾干检验然后覆膜后即为产品包装入库，覆膜为人工采用低粘保护膜，自带粘性，易贴易撕，可以有效保护产品不被划伤等，胶粘性呈惰性，不会与被粘材料表面发生化学反应。烘干后的玻璃通过检验合格后即可成为成品外售，部分通过贴合机对带有贴合胶的功能片进行贴合、脱泡，形成最终产品。贴合过程仅有轻微噪声产生。</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由上述工艺流程可知，2.5D玻璃盖板生产过程中产生的污染物有：</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废气：丝网印刷及烘干过程产生的有机废气；</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废水：纯水制备废水，超声波清洗废水，废扫光液，扫光平磨过程产生的机器清洗废水；</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固体废物：开料过程产生的废玻璃原片，CNC精雕过程产生的废玻璃碎屑，废硝酸钾，废油墨，废网板；</w:t>
      </w:r>
    </w:p>
    <w:p>
      <w:pPr>
        <w:pStyle w:val="79"/>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噪声：各机械设备噪声。</w:t>
      </w:r>
    </w:p>
    <w:p>
      <w:pPr>
        <w:pStyle w:val="3"/>
      </w:pPr>
      <w:r>
        <w:rPr>
          <w:rFonts w:hint="eastAsia"/>
          <w:lang w:val="en-US" w:eastAsia="zh-CN"/>
        </w:rPr>
        <w:t xml:space="preserve"> </w:t>
      </w:r>
      <w:bookmarkStart w:id="53" w:name="_Toc14790"/>
      <w:r>
        <w:rPr>
          <w:rFonts w:hint="eastAsia"/>
        </w:rPr>
        <w:t>3.7 项目变动情况</w:t>
      </w:r>
      <w:bookmarkEnd w:id="53"/>
    </w:p>
    <w:p>
      <w:pPr>
        <w:pStyle w:val="11"/>
        <w:ind w:firstLine="472" w:firstLineChars="200"/>
        <w:rPr>
          <w:rFonts w:hint="eastAsia" w:hAnsi="宋体"/>
          <w:bCs/>
          <w:color w:val="000000" w:themeColor="text1"/>
          <w:sz w:val="24"/>
          <w:lang w:val="en-US" w:eastAsia="zh-CN"/>
          <w14:textFill>
            <w14:solidFill>
              <w14:schemeClr w14:val="tx1"/>
            </w14:solidFill>
          </w14:textFill>
        </w:rPr>
      </w:pPr>
      <w:bookmarkStart w:id="54" w:name="_Toc497833577"/>
      <w:r>
        <w:rPr>
          <w:rFonts w:hint="eastAsia"/>
          <w:color w:val="000000" w:themeColor="text1"/>
          <w:lang w:val="en-US" w:eastAsia="zh-CN"/>
          <w14:textFill>
            <w14:solidFill>
              <w14:schemeClr w14:val="tx1"/>
            </w14:solidFill>
          </w14:textFill>
        </w:rPr>
        <w:t>重庆象征科技有限公司年产4000万片2.5D/3D手机、笔电消费电子玻璃盖板项目</w:t>
      </w:r>
      <w:r>
        <w:rPr>
          <w:rFonts w:hint="eastAsia" w:ascii="Times New Roman" w:hAnsi="Times New Roman" w:eastAsia="宋体"/>
          <w:color w:val="000000" w:themeColor="text1"/>
          <w:lang w:val="en-US"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（一阶段）</w:t>
      </w:r>
      <w:r>
        <w:rPr>
          <w:rFonts w:hint="eastAsia" w:ascii="Times New Roman" w:hAnsi="Times New Roman" w:eastAsia="宋体"/>
          <w:color w:val="000000" w:themeColor="text1"/>
          <w:lang w:val="en-US" w:eastAsia="zh-CN"/>
          <w14:textFill>
            <w14:solidFill>
              <w14:schemeClr w14:val="tx1"/>
            </w14:solidFill>
          </w14:textFill>
        </w:rPr>
        <w:t>建设内容及规模与环评和批复相比</w:t>
      </w:r>
      <w:r>
        <w:rPr>
          <w:rFonts w:hint="eastAsia"/>
          <w:color w:val="000000" w:themeColor="text1"/>
          <w:lang w:val="en-US" w:eastAsia="zh-CN"/>
          <w14:textFill>
            <w14:solidFill>
              <w14:schemeClr w14:val="tx1"/>
            </w14:solidFill>
          </w14:textFill>
        </w:rPr>
        <w:t>，生产规模为60%，丝印工序现阶段未上，待后续验收。项目生活废水经园区生化池处理后进入沱口污水处理厂；</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由于生产能力缩减，及部分工序取消，生产废水相应减少</w:t>
      </w:r>
      <w:r>
        <w:rPr>
          <w:rFonts w:hint="eastAsia" w:cs="Times New Roman" w:eastAsiaTheme="minorEastAsia"/>
          <w:color w:val="000000" w:themeColor="text1"/>
          <w:kern w:val="2"/>
          <w:lang w:val="en-US" w:eastAsia="zh-CN"/>
          <w14:textFill>
            <w14:solidFill>
              <w14:schemeClr w14:val="tx1"/>
            </w14:solidFill>
          </w14:textFill>
        </w:rPr>
        <w:t>，</w:t>
      </w:r>
      <w:r>
        <w:rPr>
          <w:rFonts w:hAnsi="宋体"/>
          <w:bCs/>
          <w:color w:val="000000" w:themeColor="text1"/>
          <w:sz w:val="24"/>
          <w14:textFill>
            <w14:solidFill>
              <w14:schemeClr w14:val="tx1"/>
            </w14:solidFill>
          </w14:textFill>
        </w:rPr>
        <w:t>建设10吨/天的废水处理设施，完全能够满足项目废水处理要求。</w:t>
      </w:r>
      <w:r>
        <w:rPr>
          <w:rFonts w:hint="eastAsia" w:ascii="Times New Roman" w:hAnsi="Times New Roman" w:eastAsia="宋体"/>
          <w:color w:val="000000" w:themeColor="text1"/>
          <w:lang w:val="en-US" w:eastAsia="zh-CN"/>
          <w14:textFill>
            <w14:solidFill>
              <w14:schemeClr w14:val="tx1"/>
            </w14:solidFill>
          </w14:textFill>
        </w:rPr>
        <w:t>危废间</w:t>
      </w:r>
      <w:r>
        <w:rPr>
          <w:rFonts w:hint="eastAsia" w:eastAsia="宋体"/>
          <w:color w:val="000000" w:themeColor="text1"/>
          <w:lang w:val="en-US" w:eastAsia="zh-CN"/>
          <w14:textFill>
            <w14:solidFill>
              <w14:schemeClr w14:val="tx1"/>
            </w14:solidFill>
          </w14:textFill>
        </w:rPr>
        <w:t>缩减</w:t>
      </w:r>
      <w:r>
        <w:rPr>
          <w:rFonts w:hint="eastAsia" w:ascii="Times New Roman" w:hAnsi="Times New Roman" w:eastAsia="宋体"/>
          <w:color w:val="000000" w:themeColor="text1"/>
          <w:lang w:val="en-US" w:eastAsia="zh-CN"/>
          <w14:textFill>
            <w14:solidFill>
              <w14:schemeClr w14:val="tx1"/>
            </w14:solidFill>
          </w14:textFill>
        </w:rPr>
        <w:t>但能暂存项目运行期危废，对危废暂存无影响</w:t>
      </w:r>
      <w:r>
        <w:rPr>
          <w:rFonts w:hint="eastAsia" w:eastAsia="宋体"/>
          <w:color w:val="000000" w:themeColor="text1"/>
          <w:lang w:val="en-US" w:eastAsia="zh-CN"/>
          <w14:textFill>
            <w14:solidFill>
              <w14:schemeClr w14:val="tx1"/>
            </w14:solidFill>
          </w14:textFill>
        </w:rPr>
        <w:t>。</w:t>
      </w:r>
      <w:r>
        <w:rPr>
          <w:rFonts w:hint="eastAsia" w:hAnsi="宋体"/>
          <w:bCs/>
          <w:color w:val="000000" w:themeColor="text1"/>
          <w:sz w:val="24"/>
          <w:lang w:eastAsia="zh-CN"/>
          <w14:textFill>
            <w14:solidFill>
              <w14:schemeClr w14:val="tx1"/>
            </w14:solidFill>
          </w14:textFill>
        </w:rPr>
        <w:t>其余</w:t>
      </w:r>
      <w:r>
        <w:rPr>
          <w:rFonts w:hint="eastAsia" w:hAnsi="宋体"/>
          <w:bCs/>
          <w:color w:val="000000" w:themeColor="text1"/>
          <w:sz w:val="24"/>
          <w:lang w:val="en-US" w:eastAsia="zh-CN"/>
          <w14:textFill>
            <w14:solidFill>
              <w14:schemeClr w14:val="tx1"/>
            </w14:solidFill>
          </w14:textFill>
        </w:rPr>
        <w:t>建设内容及规模与环评和批复相比没有变化。</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0"/>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pPr>
              <w:pStyle w:val="11"/>
              <w:widowControl w:val="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序号</w:t>
            </w:r>
          </w:p>
        </w:tc>
        <w:tc>
          <w:tcPr>
            <w:tcW w:w="3129" w:type="pct"/>
            <w:vAlign w:val="center"/>
          </w:tcPr>
          <w:p>
            <w:pPr>
              <w:pStyle w:val="11"/>
              <w:widowControl w:val="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环评</w:t>
            </w: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阶段</w:t>
            </w:r>
          </w:p>
        </w:tc>
        <w:tc>
          <w:tcPr>
            <w:tcW w:w="1515" w:type="pct"/>
            <w:vAlign w:val="center"/>
          </w:tcPr>
          <w:p>
            <w:pPr>
              <w:pStyle w:val="11"/>
              <w:widowControl w:val="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验收</w:t>
            </w: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pPr>
              <w:pStyle w:val="11"/>
              <w:widowControl w:val="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1</w:t>
            </w:r>
          </w:p>
        </w:tc>
        <w:tc>
          <w:tcPr>
            <w:tcW w:w="3129" w:type="pct"/>
            <w:vAlign w:val="center"/>
          </w:tcPr>
          <w:p>
            <w:pPr>
              <w:pStyle w:val="4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建设2.5D玻璃盖板生产线，年产量4000万片。</w:t>
            </w:r>
          </w:p>
        </w:tc>
        <w:tc>
          <w:tcPr>
            <w:tcW w:w="1515" w:type="pct"/>
            <w:vAlign w:val="center"/>
          </w:tcPr>
          <w:p>
            <w:pPr>
              <w:pStyle w:val="4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建设2.5D玻璃盖板生产线，年产量2400万片。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pPr>
              <w:pStyle w:val="11"/>
              <w:widowControl w:val="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2</w:t>
            </w:r>
          </w:p>
        </w:tc>
        <w:tc>
          <w:tcPr>
            <w:tcW w:w="3129" w:type="pct"/>
            <w:vAlign w:val="center"/>
          </w:tcPr>
          <w:p>
            <w:pPr>
              <w:pStyle w:val="4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危废暂存间设置2处。1处设置于1#厂房西北角，占地面积约50m</w:t>
            </w:r>
            <w:r>
              <w:rPr>
                <w:rFonts w:hint="default" w:ascii="Times New Roman" w:hAnsi="Times New Roman" w:cs="Times New Roman" w:eastAsiaTheme="minorEastAsia"/>
                <w:color w:val="000000" w:themeColor="text1"/>
                <w:kern w:val="2"/>
                <w:sz w:val="21"/>
                <w:szCs w:val="21"/>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。另1处设置于2#厂房西北角，占地面积约50m</w:t>
            </w:r>
            <w:r>
              <w:rPr>
                <w:rFonts w:hint="default" w:ascii="Times New Roman" w:hAnsi="Times New Roman" w:cs="Times New Roman" w:eastAsiaTheme="minorEastAsia"/>
                <w:color w:val="000000" w:themeColor="text1"/>
                <w:kern w:val="2"/>
                <w:sz w:val="21"/>
                <w:szCs w:val="21"/>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。用于暂存厂区产生的危废。</w:t>
            </w:r>
          </w:p>
        </w:tc>
        <w:tc>
          <w:tcPr>
            <w:tcW w:w="1515" w:type="pct"/>
            <w:vAlign w:val="center"/>
          </w:tcPr>
          <w:p>
            <w:pPr>
              <w:pStyle w:val="4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危废暂存间设置于2#厂房西北角，占地面积约50m</w:t>
            </w:r>
            <w:r>
              <w:rPr>
                <w:rFonts w:hint="default" w:ascii="Times New Roman" w:hAnsi="Times New Roman" w:cs="Times New Roman" w:eastAsiaTheme="minorEastAsia"/>
                <w:color w:val="000000" w:themeColor="text1"/>
                <w:kern w:val="2"/>
                <w:sz w:val="21"/>
                <w:szCs w:val="21"/>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 w:type="pct"/>
            <w:vAlign w:val="center"/>
          </w:tcPr>
          <w:p>
            <w:pPr>
              <w:pStyle w:val="11"/>
              <w:widowControl w:val="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3</w:t>
            </w:r>
          </w:p>
        </w:tc>
        <w:tc>
          <w:tcPr>
            <w:tcW w:w="3129" w:type="pct"/>
            <w:vAlign w:val="center"/>
          </w:tcPr>
          <w:p>
            <w:pPr>
              <w:pStyle w:val="4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本项目建成后拟设置1套污水处理设备，处理能力50m³/d，采用“格栅+调节池+絮凝气浮+沉淀”工艺，污水经处理达《污水综合排放标准》（GB8978-1996）三级标准后排入园区市政管网。之后进入沱口污水处理厂进一步处理达《城镇污水处理厂污染物排放标准》（GB18918-2002）一级A标准后排入长江。</w:t>
            </w:r>
          </w:p>
        </w:tc>
        <w:tc>
          <w:tcPr>
            <w:tcW w:w="1515" w:type="pct"/>
            <w:vAlign w:val="center"/>
          </w:tcPr>
          <w:p>
            <w:pPr>
              <w:pStyle w:val="40"/>
              <w:jc w:val="cente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t>污水处理设备处理能力10m³/d，由于生产能力缩减，及部分工序取消，生产废水相应减少。</w:t>
            </w:r>
          </w:p>
        </w:tc>
      </w:tr>
    </w:tbl>
    <w:p>
      <w:pPr>
        <w:pStyle w:val="11"/>
        <w:ind w:firstLine="472" w:firstLineChars="20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按照《渝环发〔2014〕65号 重庆市建设项目重大变动界定程序规定》、《(环办环评函〔2020〕688号) 关于印发污染影响类建设项目重大变动清单(试行)的通知》中相关重大变动标准，无重大变动情况，纳入竣工环境保护验收管理。</w:t>
      </w:r>
    </w:p>
    <w:p>
      <w:pPr>
        <w:pStyle w:val="11"/>
        <w:ind w:firstLine="472" w:firstLineChars="200"/>
        <w:rPr>
          <w:rFonts w:hint="eastAsia" w:ascii="Times New Roman" w:hAnsi="Times New Roman" w:eastAsia="宋体"/>
          <w:lang w:val="en-US" w:eastAsia="zh-CN"/>
        </w:rPr>
        <w:sectPr>
          <w:pgSz w:w="11905" w:h="16838"/>
          <w:pgMar w:top="1083" w:right="1440" w:bottom="1083" w:left="1440" w:header="737" w:footer="850" w:gutter="0"/>
          <w:pgBorders>
            <w:top w:val="none" w:sz="0" w:space="0"/>
            <w:left w:val="none" w:sz="0" w:space="0"/>
            <w:bottom w:val="none" w:sz="0" w:space="0"/>
            <w:right w:val="none" w:sz="0" w:space="0"/>
          </w:pgBorders>
          <w:cols w:space="0" w:num="1"/>
          <w:docGrid w:type="lines" w:linePitch="322" w:charSpace="0"/>
        </w:sectPr>
      </w:pPr>
    </w:p>
    <w:bookmarkEnd w:id="22"/>
    <w:bookmarkEnd w:id="54"/>
    <w:p>
      <w:pPr>
        <w:pStyle w:val="2"/>
      </w:pPr>
      <w:bookmarkStart w:id="55" w:name="_Toc9027"/>
      <w:r>
        <w:t>4  环境保护设施</w:t>
      </w:r>
      <w:bookmarkEnd w:id="55"/>
    </w:p>
    <w:p>
      <w:pPr>
        <w:pStyle w:val="3"/>
      </w:pPr>
      <w:bookmarkStart w:id="56" w:name="_Toc497833579"/>
      <w:bookmarkStart w:id="57" w:name="_Toc26334"/>
      <w:r>
        <w:t>4.1 污染物治理/处置设施</w:t>
      </w:r>
      <w:bookmarkEnd w:id="56"/>
      <w:bookmarkEnd w:id="57"/>
    </w:p>
    <w:p>
      <w:pPr>
        <w:pStyle w:val="4"/>
      </w:pPr>
      <w:bookmarkStart w:id="58" w:name="_Toc497833580"/>
      <w:r>
        <w:t>4.1.1 废水</w:t>
      </w:r>
      <w:bookmarkEnd w:id="58"/>
    </w:p>
    <w:p>
      <w:pPr>
        <w:pStyle w:val="79"/>
        <w:bidi w:val="0"/>
        <w:rPr>
          <w:rFonts w:hint="eastAsia"/>
          <w:color w:val="000000" w:themeColor="text1"/>
          <w:highlight w:val="none"/>
          <w:lang w:val="en-US" w:eastAsia="zh-CN"/>
          <w14:textFill>
            <w14:solidFill>
              <w14:schemeClr w14:val="tx1"/>
            </w14:solidFill>
          </w14:textFill>
        </w:rPr>
      </w:pPr>
      <w:bookmarkStart w:id="59" w:name="_Toc497833583"/>
      <w:r>
        <w:rPr>
          <w:rFonts w:hint="eastAsia"/>
          <w:color w:val="000000" w:themeColor="text1"/>
          <w:highlight w:val="none"/>
          <w:lang w:val="en-US" w:eastAsia="zh-CN"/>
          <w14:textFill>
            <w14:solidFill>
              <w14:schemeClr w14:val="tx1"/>
            </w14:solidFill>
          </w14:textFill>
        </w:rPr>
        <w:t>生产用水主要有：切削液制备用水、纯水制备用水、超声波清洗用水（纯水）、扫光液配制用水（纯水）、扫光设备清洗用水、车间清洗用水。生产废水经新建废水处理设施（处理能力为10m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 ，格栅+调节池+絮凝气浮+沉淀）处理达《污水综合排放标准》（GB8978- 1996）三级标准后排入园区市政管网。之后进入沱口污水处理厂进一步处理达《城镇污水处理厂污染物排放标准》（GB18918-2002）一级A标准后排入长江。</w:t>
      </w:r>
    </w:p>
    <w:p>
      <w:pPr>
        <w:pStyle w:val="79"/>
        <w:bidi w:val="0"/>
        <w:rPr>
          <w:rFonts w:hint="eastAsia"/>
          <w:b/>
          <w:bCs/>
          <w:sz w:val="21"/>
          <w:szCs w:val="21"/>
        </w:rPr>
      </w:pPr>
      <w:r>
        <w:rPr>
          <w:rFonts w:hint="eastAsia"/>
          <w:color w:val="000000" w:themeColor="text1"/>
          <w:highlight w:val="none"/>
          <w:lang w:val="en-US" w:eastAsia="zh-CN"/>
          <w14:textFill>
            <w14:solidFill>
              <w14:schemeClr w14:val="tx1"/>
            </w14:solidFill>
          </w14:textFill>
        </w:rPr>
        <w:t>项目生活污水</w:t>
      </w:r>
      <w:r>
        <w:rPr>
          <w:rFonts w:hint="eastAsia"/>
          <w:color w:val="000000" w:themeColor="text1"/>
          <w:lang w:val="en-US" w:eastAsia="zh-CN"/>
          <w14:textFill>
            <w14:solidFill>
              <w14:schemeClr w14:val="tx1"/>
            </w14:solidFill>
          </w14:textFill>
        </w:rPr>
        <w:t>依托厂房已建</w:t>
      </w:r>
      <w:r>
        <w:rPr>
          <w:rFonts w:hint="eastAsia"/>
          <w:color w:val="000000" w:themeColor="text1"/>
          <w:highlight w:val="none"/>
          <w:lang w:val="en-US" w:eastAsia="zh-CN"/>
          <w14:textFill>
            <w14:solidFill>
              <w14:schemeClr w14:val="tx1"/>
            </w14:solidFill>
          </w14:textFill>
        </w:rPr>
        <w:t>生化池</w:t>
      </w:r>
      <w:r>
        <w:rPr>
          <w:rFonts w:hint="eastAsia"/>
          <w:color w:val="000000" w:themeColor="text1"/>
          <w:lang w:val="en-US" w:eastAsia="zh-CN"/>
          <w14:textFill>
            <w14:solidFill>
              <w14:schemeClr w14:val="tx1"/>
            </w14:solidFill>
          </w14:textFill>
        </w:rPr>
        <w:t>处理后进入沱口污水处理厂进一步处理达《城镇污水处理厂污染物排放标准》（GB18918-2002）一级A标准后排入长江</w:t>
      </w:r>
      <w:r>
        <w:rPr>
          <w:rFonts w:hint="eastAsia" w:hAnsi="宋体"/>
          <w:color w:val="000000" w:themeColor="text1"/>
          <w:highlight w:val="none"/>
          <w:lang w:val="en-US" w:eastAsia="zh-CN"/>
          <w14:textFill>
            <w14:solidFill>
              <w14:schemeClr w14:val="tx1"/>
            </w14:solidFill>
          </w14:textFill>
        </w:rPr>
        <w:t>。</w:t>
      </w:r>
      <w:r>
        <w:rPr>
          <w:rFonts w:hint="eastAsia"/>
          <w:b/>
          <w:bCs/>
          <w:sz w:val="21"/>
          <w:szCs w:val="21"/>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79"/>
              <w:widowControl w:val="0"/>
              <w:bidi w:val="0"/>
              <w:ind w:left="0" w:leftChars="0" w:firstLine="0" w:firstLineChars="0"/>
              <w:rPr>
                <w:rFonts w:hint="eastAsia" w:eastAsia="宋体"/>
                <w:b/>
                <w:bCs/>
                <w:sz w:val="21"/>
                <w:szCs w:val="21"/>
                <w:vertAlign w:val="baseline"/>
                <w:lang w:eastAsia="zh-CN"/>
              </w:rPr>
            </w:pPr>
            <w:r>
              <w:rPr>
                <w:rFonts w:hint="eastAsia" w:eastAsia="宋体"/>
                <w:b/>
                <w:bCs/>
                <w:sz w:val="21"/>
                <w:szCs w:val="21"/>
                <w:vertAlign w:val="baseline"/>
                <w:lang w:eastAsia="zh-CN"/>
              </w:rPr>
              <w:drawing>
                <wp:inline distT="0" distB="0" distL="114300" distR="114300">
                  <wp:extent cx="2793365" cy="2094865"/>
                  <wp:effectExtent l="0" t="0" r="6985" b="635"/>
                  <wp:docPr id="3" name="图片 3" descr="2f1a447e9b284d102cc3d45d0d31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f1a447e9b284d102cc3d45d0d318f2"/>
                          <pic:cNvPicPr>
                            <a:picLocks noChangeAspect="1"/>
                          </pic:cNvPicPr>
                        </pic:nvPicPr>
                        <pic:blipFill>
                          <a:blip r:embed="rId23"/>
                          <a:stretch>
                            <a:fillRect/>
                          </a:stretch>
                        </pic:blipFill>
                        <pic:spPr>
                          <a:xfrm>
                            <a:off x="0" y="0"/>
                            <a:ext cx="2793365" cy="2094865"/>
                          </a:xfrm>
                          <a:prstGeom prst="rect">
                            <a:avLst/>
                          </a:prstGeom>
                        </pic:spPr>
                      </pic:pic>
                    </a:graphicData>
                  </a:graphic>
                </wp:inline>
              </w:drawing>
            </w:r>
          </w:p>
        </w:tc>
        <w:tc>
          <w:tcPr>
            <w:tcW w:w="4621" w:type="dxa"/>
          </w:tcPr>
          <w:p>
            <w:pPr>
              <w:pStyle w:val="79"/>
              <w:widowControl w:val="0"/>
              <w:bidi w:val="0"/>
              <w:ind w:left="0" w:leftChars="0" w:firstLine="0" w:firstLineChars="0"/>
              <w:rPr>
                <w:rFonts w:hint="eastAsia" w:eastAsia="宋体"/>
                <w:b/>
                <w:bCs/>
                <w:sz w:val="21"/>
                <w:szCs w:val="21"/>
                <w:vertAlign w:val="baseline"/>
                <w:lang w:eastAsia="zh-CN"/>
              </w:rPr>
            </w:pPr>
            <w:r>
              <w:rPr>
                <w:rFonts w:hint="eastAsia" w:eastAsia="宋体"/>
                <w:b/>
                <w:bCs/>
                <w:sz w:val="21"/>
                <w:szCs w:val="21"/>
                <w:vertAlign w:val="baseline"/>
                <w:lang w:eastAsia="zh-CN"/>
              </w:rPr>
              <w:drawing>
                <wp:inline distT="0" distB="0" distL="114300" distR="114300">
                  <wp:extent cx="2791460" cy="2093595"/>
                  <wp:effectExtent l="0" t="0" r="8890" b="1905"/>
                  <wp:docPr id="6" name="图片 6" descr="f0c4444d61aaea5ed57f4e800e7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0c4444d61aaea5ed57f4e800e73106"/>
                          <pic:cNvPicPr>
                            <a:picLocks noChangeAspect="1"/>
                          </pic:cNvPicPr>
                        </pic:nvPicPr>
                        <pic:blipFill>
                          <a:blip r:embed="rId24"/>
                          <a:stretch>
                            <a:fillRect/>
                          </a:stretch>
                        </pic:blipFill>
                        <pic:spPr>
                          <a:xfrm>
                            <a:off x="0" y="0"/>
                            <a:ext cx="2791460" cy="20935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79"/>
              <w:widowControl w:val="0"/>
              <w:bidi w:val="0"/>
              <w:jc w:val="center"/>
              <w:rPr>
                <w:rFonts w:hint="eastAsia" w:eastAsia="宋体"/>
                <w:b/>
                <w:bCs/>
                <w:sz w:val="21"/>
                <w:szCs w:val="21"/>
                <w:vertAlign w:val="baseline"/>
                <w:lang w:eastAsia="zh-CN"/>
              </w:rPr>
            </w:pPr>
            <w:r>
              <w:rPr>
                <w:rFonts w:hint="eastAsia"/>
                <w:b/>
                <w:bCs/>
                <w:sz w:val="21"/>
                <w:szCs w:val="21"/>
                <w:vertAlign w:val="baseline"/>
                <w:lang w:eastAsia="zh-CN"/>
              </w:rPr>
              <w:t>三级沉淀池</w:t>
            </w:r>
          </w:p>
        </w:tc>
        <w:tc>
          <w:tcPr>
            <w:tcW w:w="4621" w:type="dxa"/>
          </w:tcPr>
          <w:p>
            <w:pPr>
              <w:pStyle w:val="79"/>
              <w:widowControl w:val="0"/>
              <w:bidi w:val="0"/>
              <w:ind w:left="0" w:leftChars="0" w:firstLine="0" w:firstLineChars="0"/>
              <w:jc w:val="center"/>
              <w:rPr>
                <w:rFonts w:hint="eastAsia" w:eastAsia="宋体"/>
                <w:b/>
                <w:bCs/>
                <w:sz w:val="21"/>
                <w:szCs w:val="21"/>
                <w:vertAlign w:val="baseline"/>
                <w:lang w:eastAsia="zh-CN"/>
              </w:rPr>
            </w:pPr>
            <w:r>
              <w:rPr>
                <w:rFonts w:hint="eastAsia"/>
                <w:b/>
                <w:bCs/>
                <w:sz w:val="21"/>
                <w:szCs w:val="21"/>
                <w:vertAlign w:val="baseline"/>
                <w:lang w:eastAsia="zh-CN"/>
              </w:rPr>
              <w:t>废水一体化设备</w:t>
            </w:r>
          </w:p>
        </w:tc>
      </w:tr>
    </w:tbl>
    <w:p>
      <w:pPr>
        <w:pStyle w:val="79"/>
        <w:bidi w:val="0"/>
        <w:jc w:val="center"/>
        <w:rPr>
          <w:b/>
          <w:bCs/>
          <w:sz w:val="21"/>
          <w:szCs w:val="21"/>
        </w:rPr>
      </w:pPr>
      <w:r>
        <w:rPr>
          <w:rFonts w:hint="eastAsia"/>
          <w:b/>
          <w:bCs/>
          <w:sz w:val="21"/>
          <w:szCs w:val="21"/>
          <w:lang w:eastAsia="zh-CN"/>
        </w:rPr>
        <w:t>图</w:t>
      </w:r>
      <w:r>
        <w:rPr>
          <w:rFonts w:hint="eastAsia"/>
          <w:b/>
          <w:bCs/>
          <w:sz w:val="21"/>
          <w:szCs w:val="21"/>
          <w:lang w:val="en-US" w:eastAsia="zh-CN"/>
        </w:rPr>
        <w:t>4.1  废水处理设施现场图</w:t>
      </w:r>
    </w:p>
    <w:p>
      <w:pPr>
        <w:pStyle w:val="4"/>
      </w:pPr>
      <w:r>
        <w:t>4.1.2 废气</w:t>
      </w:r>
      <w:bookmarkEnd w:id="59"/>
    </w:p>
    <w:p>
      <w:pPr>
        <w:ind w:firstLine="480" w:firstLineChars="200"/>
        <w:rPr>
          <w:rFonts w:hint="eastAsia"/>
          <w:lang w:val="en-US" w:eastAsia="zh-CN"/>
        </w:rPr>
      </w:pPr>
      <w:bookmarkStart w:id="60" w:name="_Toc497833588"/>
      <w:r>
        <w:rPr>
          <w:rFonts w:hint="eastAsia"/>
          <w:lang w:val="en-US" w:eastAsia="zh-CN"/>
        </w:rPr>
        <w:t>项目废气为</w:t>
      </w:r>
      <w:r>
        <w:rPr>
          <w:rFonts w:hint="eastAsia" w:cs="Times New Roman"/>
          <w:color w:val="auto"/>
          <w:kern w:val="2"/>
          <w:sz w:val="24"/>
          <w:szCs w:val="24"/>
          <w:lang w:val="en-US" w:eastAsia="zh-CN" w:bidi="ar-SA"/>
        </w:rPr>
        <w:t>烘干过程产生的有机废气</w:t>
      </w:r>
      <w:r>
        <w:rPr>
          <w:rFonts w:hint="eastAsia"/>
          <w:lang w:val="en-US" w:eastAsia="zh-CN"/>
        </w:rPr>
        <w:t>，通过管道和风机引入一套废气处理装置（UV光解+活性炭吸附）进行处理，处理后通过1根15m高排气筒排放。</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6"/>
        <w:gridCol w:w="4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9"/>
              <w:widowControl w:val="0"/>
              <w:jc w:val="both"/>
              <w:rPr>
                <w:rFonts w:hint="default"/>
                <w:vertAlign w:val="baseline"/>
                <w:lang w:val="en-US" w:eastAsia="zh-CN"/>
              </w:rPr>
            </w:pPr>
            <w:bookmarkStart w:id="61" w:name="_Toc30862"/>
            <w:r>
              <w:rPr>
                <w:rFonts w:hint="default"/>
                <w:vertAlign w:val="baseline"/>
                <w:lang w:val="en-US" w:eastAsia="zh-CN"/>
              </w:rPr>
              <w:drawing>
                <wp:inline distT="0" distB="0" distL="114300" distR="114300">
                  <wp:extent cx="2794635" cy="2095500"/>
                  <wp:effectExtent l="0" t="0" r="5715" b="0"/>
                  <wp:docPr id="8" name="图片 8" descr="a5ae10636897e224f6aa77e41c27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5ae10636897e224f6aa77e41c275b8"/>
                          <pic:cNvPicPr>
                            <a:picLocks noChangeAspect="1"/>
                          </pic:cNvPicPr>
                        </pic:nvPicPr>
                        <pic:blipFill>
                          <a:blip r:embed="rId25"/>
                          <a:stretch>
                            <a:fillRect/>
                          </a:stretch>
                        </pic:blipFill>
                        <pic:spPr>
                          <a:xfrm>
                            <a:off x="0" y="0"/>
                            <a:ext cx="2794635" cy="2095500"/>
                          </a:xfrm>
                          <a:prstGeom prst="rect">
                            <a:avLst/>
                          </a:prstGeom>
                        </pic:spPr>
                      </pic:pic>
                    </a:graphicData>
                  </a:graphic>
                </wp:inline>
              </w:drawing>
            </w:r>
            <w:bookmarkEnd w:id="61"/>
          </w:p>
        </w:tc>
        <w:tc>
          <w:tcPr>
            <w:tcW w:w="4621" w:type="dxa"/>
          </w:tcPr>
          <w:p>
            <w:pPr>
              <w:pStyle w:val="9"/>
              <w:widowControl w:val="0"/>
              <w:jc w:val="both"/>
              <w:rPr>
                <w:rFonts w:hint="default"/>
                <w:vertAlign w:val="baseline"/>
                <w:lang w:val="en-US" w:eastAsia="zh-CN"/>
              </w:rPr>
            </w:pPr>
            <w:bookmarkStart w:id="62" w:name="_Toc22505"/>
            <w:r>
              <w:rPr>
                <w:rFonts w:hint="default"/>
                <w:vertAlign w:val="baseline"/>
                <w:lang w:val="en-US" w:eastAsia="zh-CN"/>
              </w:rPr>
              <w:drawing>
                <wp:inline distT="0" distB="0" distL="114300" distR="114300">
                  <wp:extent cx="2778760" cy="2083435"/>
                  <wp:effectExtent l="0" t="0" r="2540" b="12065"/>
                  <wp:docPr id="19" name="图片 19" descr="ff17666ec676f11e90e83737ea5f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f17666ec676f11e90e83737ea5f564"/>
                          <pic:cNvPicPr>
                            <a:picLocks noChangeAspect="1"/>
                          </pic:cNvPicPr>
                        </pic:nvPicPr>
                        <pic:blipFill>
                          <a:blip r:embed="rId26"/>
                          <a:stretch>
                            <a:fillRect/>
                          </a:stretch>
                        </pic:blipFill>
                        <pic:spPr>
                          <a:xfrm>
                            <a:off x="0" y="0"/>
                            <a:ext cx="2778760" cy="2083435"/>
                          </a:xfrm>
                          <a:prstGeom prst="rect">
                            <a:avLst/>
                          </a:prstGeom>
                        </pic:spPr>
                      </pic:pic>
                    </a:graphicData>
                  </a:graphic>
                </wp:inline>
              </w:drawing>
            </w:r>
            <w:bookmarkEnd w:id="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9"/>
              <w:widowControl w:val="0"/>
              <w:jc w:val="center"/>
              <w:rPr>
                <w:rFonts w:hint="default"/>
                <w:sz w:val="21"/>
                <w:szCs w:val="21"/>
                <w:vertAlign w:val="baseline"/>
                <w:lang w:val="en-US" w:eastAsia="zh-CN"/>
              </w:rPr>
            </w:pPr>
            <w:bookmarkStart w:id="63" w:name="_Toc16069"/>
            <w:r>
              <w:rPr>
                <w:rFonts w:hint="eastAsia"/>
                <w:sz w:val="21"/>
                <w:szCs w:val="21"/>
                <w:vertAlign w:val="baseline"/>
                <w:lang w:val="en-US" w:eastAsia="zh-CN"/>
              </w:rPr>
              <w:t>集气罩</w:t>
            </w:r>
            <w:bookmarkEnd w:id="63"/>
          </w:p>
        </w:tc>
        <w:tc>
          <w:tcPr>
            <w:tcW w:w="4621" w:type="dxa"/>
          </w:tcPr>
          <w:p>
            <w:pPr>
              <w:pStyle w:val="9"/>
              <w:widowControl w:val="0"/>
              <w:jc w:val="center"/>
              <w:rPr>
                <w:rFonts w:hint="default"/>
                <w:sz w:val="21"/>
                <w:szCs w:val="21"/>
                <w:vertAlign w:val="baseline"/>
                <w:lang w:val="en-US" w:eastAsia="zh-CN"/>
              </w:rPr>
            </w:pPr>
            <w:bookmarkStart w:id="64" w:name="_Toc29907"/>
            <w:r>
              <w:rPr>
                <w:rFonts w:hint="eastAsia" w:ascii="Times New Roman" w:hAnsi="Times New Roman"/>
                <w:sz w:val="21"/>
                <w:szCs w:val="21"/>
                <w:vertAlign w:val="baseline"/>
                <w:lang w:val="en-US" w:eastAsia="zh-CN"/>
              </w:rPr>
              <w:t>UV光解+活性炭吸附</w:t>
            </w:r>
            <w:bookmarkEnd w:id="64"/>
          </w:p>
        </w:tc>
      </w:tr>
    </w:tbl>
    <w:p>
      <w:pPr>
        <w:pStyle w:val="9"/>
        <w:jc w:val="center"/>
        <w:rPr>
          <w:rFonts w:hint="default"/>
          <w:lang w:val="en-US" w:eastAsia="zh-CN"/>
        </w:rPr>
      </w:pPr>
      <w:bookmarkStart w:id="65" w:name="_Toc26231"/>
      <w:r>
        <w:rPr>
          <w:rFonts w:hint="eastAsia"/>
          <w:b/>
          <w:bCs/>
          <w:sz w:val="21"/>
          <w:szCs w:val="21"/>
          <w:lang w:eastAsia="zh-CN"/>
        </w:rPr>
        <w:t>图</w:t>
      </w:r>
      <w:r>
        <w:rPr>
          <w:rFonts w:hint="eastAsia"/>
          <w:b/>
          <w:bCs/>
          <w:sz w:val="21"/>
          <w:szCs w:val="21"/>
          <w:lang w:val="en-US" w:eastAsia="zh-CN"/>
        </w:rPr>
        <w:t>4.2  废气处理设施现场图</w:t>
      </w:r>
      <w:bookmarkEnd w:id="65"/>
    </w:p>
    <w:p>
      <w:pPr>
        <w:pStyle w:val="4"/>
      </w:pPr>
      <w:r>
        <w:t>4.1.3噪声</w:t>
      </w:r>
      <w:bookmarkEnd w:id="60"/>
    </w:p>
    <w:p>
      <w:pPr>
        <w:ind w:firstLine="480" w:firstLineChars="200"/>
        <w:rPr>
          <w:rFonts w:hint="eastAsia" w:eastAsia="宋体"/>
          <w:lang w:val="en-US" w:eastAsia="zh-CN"/>
        </w:rPr>
      </w:pPr>
      <w:bookmarkStart w:id="66" w:name="_Toc497833589"/>
      <w:r>
        <w:rPr>
          <w:rFonts w:hint="eastAsia"/>
        </w:rPr>
        <w:t>本项目产噪设备布置于室内</w:t>
      </w:r>
      <w:r>
        <w:rPr>
          <w:rFonts w:hint="eastAsia"/>
          <w:lang w:eastAsia="zh-CN"/>
        </w:rPr>
        <w:t>，</w:t>
      </w:r>
      <w:r>
        <w:rPr>
          <w:rFonts w:hint="eastAsia"/>
        </w:rPr>
        <w:t>经</w:t>
      </w:r>
      <w:r>
        <w:rPr>
          <w:rFonts w:hint="eastAsia"/>
          <w:lang w:val="en-US" w:eastAsia="zh-CN"/>
        </w:rPr>
        <w:t>基础减震、建筑隔声等措施</w:t>
      </w:r>
      <w:r>
        <w:rPr>
          <w:rFonts w:hint="eastAsia"/>
        </w:rPr>
        <w:t>衰减后，经监测项目各测厂界噪声满足《工业企业厂界环境噪声排放标准》（GB12348-2008）</w:t>
      </w:r>
      <w:r>
        <w:rPr>
          <w:rFonts w:hint="eastAsia"/>
          <w:lang w:val="en-US" w:eastAsia="zh-CN"/>
        </w:rPr>
        <w:t>中3</w:t>
      </w:r>
      <w:r>
        <w:rPr>
          <w:rFonts w:hint="eastAsia"/>
        </w:rPr>
        <w:t>类标准</w:t>
      </w:r>
      <w:r>
        <w:t>。</w:t>
      </w:r>
      <w:r>
        <w:rPr>
          <w:rFonts w:hint="eastAsia"/>
          <w:lang w:val="en-US" w:eastAsia="zh-CN"/>
        </w:rPr>
        <w:t xml:space="preserve"> </w:t>
      </w:r>
    </w:p>
    <w:p>
      <w:pPr>
        <w:pStyle w:val="4"/>
      </w:pPr>
      <w:r>
        <w:t>4.1.4 固体废物</w:t>
      </w:r>
      <w:bookmarkEnd w:id="66"/>
    </w:p>
    <w:p>
      <w:pPr>
        <w:ind w:firstLine="480" w:firstLineChars="200"/>
        <w:rPr>
          <w:rFonts w:hint="eastAsia" w:hAnsi="宋体"/>
          <w:lang w:eastAsia="zh-CN"/>
        </w:rPr>
      </w:pPr>
      <w:bookmarkStart w:id="67" w:name="_Toc497833593"/>
      <w:r>
        <w:rPr>
          <w:rFonts w:hint="eastAsia" w:hAnsi="宋体"/>
        </w:rPr>
        <w:t>（1）</w:t>
      </w:r>
      <w:r>
        <w:rPr>
          <w:rFonts w:hint="eastAsia" w:hAnsi="宋体"/>
          <w:lang w:eastAsia="zh-CN"/>
        </w:rPr>
        <w:t>一般固体废物</w:t>
      </w:r>
    </w:p>
    <w:p>
      <w:pPr>
        <w:ind w:firstLine="480" w:firstLineChars="200"/>
        <w:rPr>
          <w:rFonts w:hint="eastAsia" w:hAnsi="宋体"/>
          <w:lang w:eastAsia="zh-CN"/>
        </w:rPr>
      </w:pPr>
      <w:r>
        <w:rPr>
          <w:rFonts w:hint="eastAsia" w:cs="Times New Roman"/>
          <w:sz w:val="24"/>
          <w:szCs w:val="24"/>
          <w:lang w:val="en-US" w:eastAsia="zh-CN"/>
        </w:rPr>
        <w:t>废玻璃边角料、不合格品定点收集于厂区一般工业固废临时贮存点，定期由物资公司回收利用；</w:t>
      </w:r>
      <w:r>
        <w:rPr>
          <w:rFonts w:hint="default" w:ascii="Times New Roman" w:hAnsi="Times New Roman" w:eastAsia="宋体" w:cs="Times New Roman"/>
          <w:sz w:val="24"/>
          <w:szCs w:val="24"/>
        </w:rPr>
        <w:t>原料包装材料</w:t>
      </w:r>
      <w:r>
        <w:rPr>
          <w:rFonts w:hint="eastAsia" w:cs="Times New Roman"/>
          <w:sz w:val="24"/>
          <w:szCs w:val="24"/>
          <w:lang w:eastAsia="zh-CN"/>
        </w:rPr>
        <w:t>、</w:t>
      </w:r>
      <w:r>
        <w:rPr>
          <w:rFonts w:hint="eastAsia" w:cs="Times New Roman"/>
          <w:bCs/>
          <w:color w:val="auto"/>
          <w:sz w:val="24"/>
          <w:lang w:val="en-US" w:eastAsia="zh-CN"/>
        </w:rPr>
        <w:t>污水处理站污泥</w:t>
      </w:r>
      <w:r>
        <w:rPr>
          <w:rFonts w:hint="eastAsia" w:ascii="Times New Roman" w:hAnsi="Times New Roman" w:eastAsia="宋体" w:cs="Times New Roman"/>
          <w:sz w:val="24"/>
          <w:szCs w:val="24"/>
          <w:lang w:val="en-US" w:eastAsia="zh-CN"/>
        </w:rPr>
        <w:t>和生活垃圾一起交由环卫部门清运</w:t>
      </w:r>
      <w:r>
        <w:rPr>
          <w:rFonts w:hint="eastAsia" w:cs="Times New Roman"/>
          <w:sz w:val="24"/>
          <w:szCs w:val="24"/>
          <w:lang w:val="en-US" w:eastAsia="zh-CN"/>
        </w:rPr>
        <w:t>。</w:t>
      </w:r>
    </w:p>
    <w:p>
      <w:pPr>
        <w:ind w:firstLine="480" w:firstLineChars="200"/>
        <w:rPr>
          <w:rFonts w:hint="eastAsia" w:hAnsi="宋体"/>
        </w:rPr>
      </w:pPr>
      <w:r>
        <w:rPr>
          <w:rFonts w:hint="eastAsia" w:hAnsi="宋体"/>
        </w:rPr>
        <w:t>（</w:t>
      </w:r>
      <w:r>
        <w:rPr>
          <w:rFonts w:hint="eastAsia" w:hAnsi="宋体"/>
          <w:lang w:val="en-US" w:eastAsia="zh-CN"/>
        </w:rPr>
        <w:t>2</w:t>
      </w:r>
      <w:r>
        <w:rPr>
          <w:rFonts w:hint="eastAsia" w:hAnsi="宋体"/>
        </w:rPr>
        <w:t>）危险废物</w:t>
      </w:r>
    </w:p>
    <w:p>
      <w:pPr>
        <w:ind w:firstLine="480" w:firstLineChars="200"/>
        <w:rPr>
          <w:rFonts w:ascii="Times New Roman" w:hAnsi="宋体" w:eastAsia="宋体"/>
        </w:rPr>
      </w:pPr>
      <w:r>
        <w:rPr>
          <w:rFonts w:hint="eastAsia" w:cs="Times New Roman"/>
          <w:bCs/>
          <w:color w:val="auto"/>
          <w:sz w:val="24"/>
          <w:lang w:val="en-US" w:eastAsia="zh-CN"/>
        </w:rPr>
        <w:t>①废切削液渣、废硝酸钾、废油墨桶、废玻璃保护液桶、</w:t>
      </w:r>
      <w:r>
        <w:rPr>
          <w:rFonts w:hint="default" w:ascii="Times New Roman" w:hAnsi="Times New Roman" w:eastAsia="宋体" w:cs="Times New Roman"/>
          <w:bCs/>
          <w:color w:val="auto"/>
          <w:sz w:val="24"/>
        </w:rPr>
        <w:t>废活性炭</w:t>
      </w:r>
      <w:r>
        <w:rPr>
          <w:rFonts w:hint="eastAsia" w:cs="Times New Roman"/>
          <w:bCs/>
          <w:color w:val="auto"/>
          <w:sz w:val="24"/>
          <w:lang w:eastAsia="zh-CN"/>
        </w:rPr>
        <w:t>、</w:t>
      </w:r>
      <w:r>
        <w:rPr>
          <w:rFonts w:hint="default" w:ascii="Times New Roman" w:hAnsi="Times New Roman" w:eastAsia="宋体" w:cs="Times New Roman"/>
          <w:bCs/>
          <w:sz w:val="24"/>
        </w:rPr>
        <w:t>设备维护废机油</w:t>
      </w:r>
      <w:r>
        <w:rPr>
          <w:rFonts w:hint="eastAsia" w:ascii="Times New Roman" w:hAnsi="宋体" w:eastAsia="宋体"/>
          <w:lang w:val="en-US" w:eastAsia="zh-CN"/>
        </w:rPr>
        <w:t>暂存于危废暂存间，定期</w:t>
      </w:r>
      <w:r>
        <w:rPr>
          <w:rFonts w:hint="eastAsia" w:ascii="Times New Roman" w:hAnsi="宋体" w:eastAsia="宋体"/>
        </w:rPr>
        <w:t>交由</w:t>
      </w:r>
      <w:r>
        <w:rPr>
          <w:rFonts w:hint="eastAsia" w:hAnsi="宋体"/>
          <w:lang w:eastAsia="zh-CN"/>
        </w:rPr>
        <w:t>重庆巨光实业有限公司处置</w:t>
      </w:r>
      <w:r>
        <w:rPr>
          <w:rFonts w:hint="eastAsia" w:ascii="Times New Roman" w:hAnsi="宋体" w:eastAsia="宋体"/>
        </w:rPr>
        <w:t>。危废暂存库房地面进行防渗防腐处理，其防渗层按照《危险废物贮存污染控制标准》（</w:t>
      </w:r>
      <w:r>
        <w:rPr>
          <w:rFonts w:hint="eastAsia" w:hAnsi="宋体"/>
          <w:lang w:eastAsia="zh-CN"/>
        </w:rPr>
        <w:t>GB18597-2023</w:t>
      </w:r>
      <w:r>
        <w:rPr>
          <w:rFonts w:hint="eastAsia" w:ascii="Times New Roman" w:hAnsi="宋体" w:eastAsia="宋体"/>
        </w:rPr>
        <w:t>）的</w:t>
      </w:r>
      <w:r>
        <w:rPr>
          <w:rFonts w:ascii="Times New Roman" w:hAnsi="宋体" w:eastAsia="宋体"/>
        </w:rPr>
        <w:t>要求设置，防止各种液体类危险废物漫流或泄漏；各种危险废物分类存放，并有相应的记录。</w:t>
      </w:r>
    </w:p>
    <w:p>
      <w:pPr>
        <w:ind w:firstLine="480" w:firstLineChars="200"/>
      </w:pPr>
      <w:r>
        <w:rPr>
          <w:rFonts w:hAnsi="宋体"/>
        </w:rPr>
        <w:t>（</w:t>
      </w:r>
      <w:r>
        <w:rPr>
          <w:rFonts w:hint="eastAsia"/>
          <w:lang w:val="en-US" w:eastAsia="zh-CN"/>
        </w:rPr>
        <w:t>2</w:t>
      </w:r>
      <w:r>
        <w:rPr>
          <w:rFonts w:hAnsi="宋体"/>
        </w:rPr>
        <w:t>）生活垃圾</w:t>
      </w:r>
    </w:p>
    <w:p>
      <w:pPr>
        <w:ind w:firstLine="480" w:firstLineChars="200"/>
        <w:rPr>
          <w:rFonts w:hAnsi="宋体"/>
        </w:rPr>
      </w:pPr>
      <w:r>
        <w:rPr>
          <w:rFonts w:hAnsi="宋体"/>
        </w:rPr>
        <w:t>生活垃圾在厂内收集后，由当地环卫系统清运。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widowControl w:val="0"/>
              <w:jc w:val="both"/>
              <w:rPr>
                <w:rFonts w:hint="eastAsia" w:hAnsi="宋体" w:eastAsia="宋体"/>
                <w:vertAlign w:val="baseline"/>
                <w:lang w:eastAsia="zh-CN"/>
              </w:rPr>
            </w:pPr>
            <w:r>
              <w:rPr>
                <w:rFonts w:hint="eastAsia" w:hAnsi="宋体" w:eastAsia="宋体"/>
                <w:vertAlign w:val="baseline"/>
                <w:lang w:eastAsia="zh-CN"/>
              </w:rPr>
              <w:drawing>
                <wp:inline distT="0" distB="0" distL="114300" distR="114300">
                  <wp:extent cx="2765425" cy="2073910"/>
                  <wp:effectExtent l="0" t="0" r="15875" b="2540"/>
                  <wp:docPr id="5" name="图片 5" descr="9de77f29601a982004c97fdfe56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de77f29601a982004c97fdfe565023"/>
                          <pic:cNvPicPr>
                            <a:picLocks noChangeAspect="1"/>
                          </pic:cNvPicPr>
                        </pic:nvPicPr>
                        <pic:blipFill>
                          <a:blip r:embed="rId27"/>
                          <a:stretch>
                            <a:fillRect/>
                          </a:stretch>
                        </pic:blipFill>
                        <pic:spPr>
                          <a:xfrm>
                            <a:off x="0" y="0"/>
                            <a:ext cx="2765425" cy="2073910"/>
                          </a:xfrm>
                          <a:prstGeom prst="rect">
                            <a:avLst/>
                          </a:prstGeom>
                        </pic:spPr>
                      </pic:pic>
                    </a:graphicData>
                  </a:graphic>
                </wp:inline>
              </w:drawing>
            </w:r>
          </w:p>
        </w:tc>
        <w:tc>
          <w:tcPr>
            <w:tcW w:w="4621" w:type="dxa"/>
          </w:tcPr>
          <w:p>
            <w:pPr>
              <w:widowControl w:val="0"/>
              <w:jc w:val="both"/>
              <w:rPr>
                <w:rFonts w:hint="eastAsia" w:hAnsi="宋体" w:eastAsia="宋体"/>
                <w:vertAlign w:val="baseline"/>
                <w:lang w:eastAsia="zh-CN"/>
              </w:rPr>
            </w:pPr>
            <w:r>
              <w:rPr>
                <w:rFonts w:hint="eastAsia" w:hAnsi="宋体" w:eastAsia="宋体"/>
                <w:vertAlign w:val="baseline"/>
                <w:lang w:eastAsia="zh-CN"/>
              </w:rPr>
              <w:drawing>
                <wp:inline distT="0" distB="0" distL="114300" distR="114300">
                  <wp:extent cx="2765425" cy="2073910"/>
                  <wp:effectExtent l="0" t="0" r="15875" b="2540"/>
                  <wp:docPr id="7" name="图片 7" descr="36ea099de55ff35a9d993c7b361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ea099de55ff35a9d993c7b3617458"/>
                          <pic:cNvPicPr>
                            <a:picLocks noChangeAspect="1"/>
                          </pic:cNvPicPr>
                        </pic:nvPicPr>
                        <pic:blipFill>
                          <a:blip r:embed="rId28"/>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vAlign w:val="center"/>
          </w:tcPr>
          <w:p>
            <w:pPr>
              <w:pStyle w:val="9"/>
              <w:widowControl w:val="0"/>
              <w:jc w:val="center"/>
              <w:rPr>
                <w:rFonts w:hint="eastAsia"/>
                <w:sz w:val="21"/>
                <w:szCs w:val="21"/>
                <w:vertAlign w:val="baseline"/>
                <w:lang w:val="en-US" w:eastAsia="zh-CN"/>
              </w:rPr>
            </w:pPr>
            <w:bookmarkStart w:id="68" w:name="_Toc6931"/>
            <w:r>
              <w:rPr>
                <w:rFonts w:hint="eastAsia"/>
                <w:sz w:val="21"/>
                <w:szCs w:val="21"/>
                <w:vertAlign w:val="baseline"/>
                <w:lang w:val="en-US" w:eastAsia="zh-CN"/>
              </w:rPr>
              <w:t>危废间</w:t>
            </w:r>
            <w:bookmarkEnd w:id="68"/>
          </w:p>
        </w:tc>
        <w:tc>
          <w:tcPr>
            <w:tcW w:w="4621" w:type="dxa"/>
            <w:vAlign w:val="center"/>
          </w:tcPr>
          <w:p>
            <w:pPr>
              <w:pStyle w:val="9"/>
              <w:widowControl w:val="0"/>
              <w:jc w:val="center"/>
              <w:rPr>
                <w:rFonts w:hint="eastAsia"/>
                <w:sz w:val="21"/>
                <w:szCs w:val="21"/>
                <w:vertAlign w:val="baseline"/>
                <w:lang w:val="en-US" w:eastAsia="zh-CN"/>
              </w:rPr>
            </w:pPr>
            <w:bookmarkStart w:id="69" w:name="_Toc20944"/>
            <w:r>
              <w:rPr>
                <w:rFonts w:hint="eastAsia"/>
                <w:sz w:val="21"/>
                <w:szCs w:val="21"/>
                <w:vertAlign w:val="baseline"/>
                <w:lang w:val="en-US" w:eastAsia="zh-CN"/>
              </w:rPr>
              <w:t>防渗托盘</w:t>
            </w:r>
            <w:bookmarkEnd w:id="69"/>
          </w:p>
        </w:tc>
      </w:tr>
    </w:tbl>
    <w:p>
      <w:pPr>
        <w:pStyle w:val="3"/>
      </w:pPr>
      <w:bookmarkStart w:id="70" w:name="_Toc7256"/>
      <w:r>
        <w:t>4.2 其他</w:t>
      </w:r>
      <w:bookmarkEnd w:id="67"/>
      <w:r>
        <w:t>环保措施</w:t>
      </w:r>
      <w:bookmarkEnd w:id="70"/>
    </w:p>
    <w:p>
      <w:pPr>
        <w:pStyle w:val="4"/>
      </w:pPr>
      <w:bookmarkStart w:id="71" w:name="_Toc497833595"/>
      <w:r>
        <w:rPr>
          <w:rFonts w:hint="eastAsia"/>
          <w:lang w:val="en-US" w:eastAsia="zh-CN"/>
        </w:rPr>
        <w:t>4.2</w:t>
      </w:r>
      <w:r>
        <w:t>.1</w:t>
      </w:r>
      <w:r>
        <w:rPr>
          <w:rFonts w:hint="eastAsia"/>
        </w:rPr>
        <w:t>环境</w:t>
      </w:r>
      <w:r>
        <w:t>风险防范措施</w:t>
      </w:r>
    </w:p>
    <w:p>
      <w:pPr>
        <w:spacing w:line="360" w:lineRule="auto"/>
        <w:ind w:firstLine="570"/>
        <w:rPr>
          <w:rFonts w:hint="default"/>
          <w:sz w:val="24"/>
          <w:lang w:val="en-US" w:eastAsia="zh-CN"/>
        </w:rPr>
      </w:pPr>
      <w:r>
        <w:rPr>
          <w:rFonts w:hint="default"/>
          <w:sz w:val="24"/>
          <w:lang w:val="en-US" w:eastAsia="zh-CN"/>
        </w:rPr>
        <w:t>为减小事故防范风险，本项目在建设和运行中采取如下防范措施：</w:t>
      </w:r>
    </w:p>
    <w:p>
      <w:pPr>
        <w:spacing w:line="360" w:lineRule="auto"/>
        <w:ind w:firstLine="570"/>
        <w:rPr>
          <w:rFonts w:hint="default"/>
          <w:sz w:val="24"/>
          <w:lang w:val="en-US" w:eastAsia="zh-CN"/>
        </w:rPr>
      </w:pPr>
      <w:r>
        <w:rPr>
          <w:rFonts w:hint="eastAsia"/>
          <w:sz w:val="24"/>
          <w:lang w:val="en-US" w:eastAsia="zh-CN"/>
        </w:rPr>
        <w:t>①</w:t>
      </w:r>
      <w:r>
        <w:rPr>
          <w:rFonts w:hint="default"/>
          <w:sz w:val="24"/>
          <w:lang w:val="en-US" w:eastAsia="zh-CN"/>
        </w:rPr>
        <w:t>化学品暂存间位于</w:t>
      </w:r>
      <w:r>
        <w:rPr>
          <w:rFonts w:hint="eastAsia"/>
          <w:sz w:val="24"/>
          <w:lang w:val="en-US" w:eastAsia="zh-CN"/>
        </w:rPr>
        <w:t>1#、2#厂房内</w:t>
      </w:r>
      <w:r>
        <w:rPr>
          <w:rFonts w:hint="default"/>
          <w:sz w:val="24"/>
          <w:lang w:val="en-US" w:eastAsia="zh-CN"/>
        </w:rPr>
        <w:t>，用于存储生产用的玻璃保护液、清洗剂、硝酸钾、油墨、切削液、扫光粉、酒精等，化学品储存间采用环氧树脂对地面进行防渗漏处理，防渗系数不低于10</w:t>
      </w:r>
      <w:r>
        <w:rPr>
          <w:rFonts w:hint="default"/>
          <w:sz w:val="24"/>
          <w:vertAlign w:val="superscript"/>
          <w:lang w:val="en-US" w:eastAsia="zh-CN"/>
        </w:rPr>
        <w:t>-10</w:t>
      </w:r>
      <w:r>
        <w:rPr>
          <w:rFonts w:hint="default"/>
          <w:sz w:val="24"/>
          <w:lang w:val="en-US" w:eastAsia="zh-CN"/>
        </w:rPr>
        <w:t>cm/s。房间保持通风，禁止火源进入化学品暂存间，区域内配备二氧化碳灭火器，电气配置为防爆型，化学品分类分区储存。</w:t>
      </w:r>
    </w:p>
    <w:p>
      <w:pPr>
        <w:spacing w:line="360" w:lineRule="auto"/>
        <w:ind w:firstLine="570"/>
        <w:rPr>
          <w:rFonts w:hint="default"/>
          <w:sz w:val="24"/>
          <w:lang w:val="en-US" w:eastAsia="zh-CN"/>
        </w:rPr>
      </w:pPr>
      <w:r>
        <w:rPr>
          <w:rFonts w:hint="eastAsia"/>
          <w:sz w:val="24"/>
          <w:lang w:val="en-US" w:eastAsia="zh-CN"/>
        </w:rPr>
        <w:t>②</w:t>
      </w:r>
      <w:r>
        <w:rPr>
          <w:rFonts w:hint="default"/>
          <w:sz w:val="24"/>
          <w:lang w:val="en-US" w:eastAsia="zh-CN"/>
        </w:rPr>
        <w:t>项目危险废物暂贮间对地面进行防渗漏处理，防渗系数不低于10</w:t>
      </w:r>
      <w:r>
        <w:rPr>
          <w:rFonts w:hint="default"/>
          <w:sz w:val="24"/>
          <w:vertAlign w:val="superscript"/>
          <w:lang w:val="en-US" w:eastAsia="zh-CN"/>
        </w:rPr>
        <w:t>-10</w:t>
      </w:r>
      <w:r>
        <w:rPr>
          <w:rFonts w:hint="default"/>
          <w:sz w:val="24"/>
          <w:lang w:val="en-US" w:eastAsia="zh-CN"/>
        </w:rPr>
        <w:t>cm/s。</w:t>
      </w:r>
    </w:p>
    <w:p>
      <w:pPr>
        <w:spacing w:line="360" w:lineRule="auto"/>
        <w:ind w:firstLine="570"/>
        <w:rPr>
          <w:rFonts w:hint="default"/>
          <w:sz w:val="24"/>
          <w:lang w:val="en-US" w:eastAsia="zh-CN"/>
        </w:rPr>
      </w:pPr>
      <w:r>
        <w:rPr>
          <w:rFonts w:hint="eastAsia"/>
          <w:sz w:val="24"/>
          <w:lang w:val="en-US" w:eastAsia="zh-CN"/>
        </w:rPr>
        <w:t>③</w:t>
      </w:r>
      <w:r>
        <w:rPr>
          <w:rFonts w:hint="default"/>
          <w:sz w:val="24"/>
          <w:lang w:val="en-US" w:eastAsia="zh-CN"/>
        </w:rPr>
        <w:t>配置相应应急物资：消防栓、应急堵漏物资等，并建立安全生产岗位责任制，制定安全生产规章制度、安全操作规程，加强生产工人安全环境意识教育，树立安全生产意识，防止人为事故发生。</w:t>
      </w:r>
    </w:p>
    <w:p>
      <w:pPr>
        <w:spacing w:line="360" w:lineRule="auto"/>
        <w:ind w:firstLine="570"/>
        <w:rPr>
          <w:rFonts w:hint="default"/>
          <w:sz w:val="24"/>
          <w:lang w:val="en-US" w:eastAsia="zh-CN"/>
        </w:rPr>
      </w:pPr>
      <w:r>
        <w:rPr>
          <w:rFonts w:hint="eastAsia"/>
          <w:sz w:val="24"/>
          <w:lang w:val="en-US" w:eastAsia="zh-CN"/>
        </w:rPr>
        <w:t>④定期检查污水处理设备、有机废气处理设备、危废暂存间等环保措施，检查时应做好检查人员的防护措施，如配戴防毒面罩等。</w:t>
      </w:r>
    </w:p>
    <w:p>
      <w:pPr>
        <w:spacing w:line="360" w:lineRule="auto"/>
        <w:ind w:firstLine="570"/>
        <w:rPr>
          <w:rFonts w:hint="default"/>
          <w:color w:val="000000" w:themeColor="text1"/>
          <w14:textFill>
            <w14:solidFill>
              <w14:schemeClr w14:val="tx1"/>
            </w14:solidFill>
          </w14:textFill>
        </w:rPr>
      </w:pPr>
      <w:r>
        <w:rPr>
          <w:rFonts w:hint="eastAsia"/>
          <w:sz w:val="24"/>
          <w:lang w:val="en-US" w:eastAsia="zh-CN"/>
        </w:rPr>
        <w:t>⑤</w:t>
      </w:r>
      <w:r>
        <w:rPr>
          <w:rFonts w:hint="default"/>
          <w:sz w:val="24"/>
          <w:lang w:val="en-US" w:eastAsia="zh-CN"/>
        </w:rPr>
        <w:t>严格按照相关规定、规程和标准进行设备安装、设施检测及维护维修，使之保持完好状态。</w:t>
      </w:r>
    </w:p>
    <w:p>
      <w:pPr>
        <w:pStyle w:val="4"/>
      </w:pPr>
      <w:r>
        <w:rPr>
          <w:rFonts w:hint="eastAsia"/>
        </w:rPr>
        <w:t>4.2.2环境保护档案管理情况</w:t>
      </w:r>
    </w:p>
    <w:p>
      <w:pPr>
        <w:ind w:firstLine="480" w:firstLineChars="200"/>
      </w:pPr>
      <w:r>
        <w:rPr>
          <w:rFonts w:hint="eastAsia"/>
          <w:lang w:eastAsia="zh-CN"/>
        </w:rPr>
        <w:t>重庆象征科技有限公司</w:t>
      </w:r>
      <w:r>
        <w:rPr>
          <w:rFonts w:hint="eastAsia"/>
        </w:rPr>
        <w:t>环保档案有专人负责，环保审批文件及环境保护档案资料均已归类存档，资料齐全，项目</w:t>
      </w:r>
      <w:r>
        <w:rPr>
          <w:rFonts w:hint="eastAsia"/>
          <w:lang w:val="en-US" w:eastAsia="zh-CN"/>
        </w:rPr>
        <w:t>有废气、废水治理设施及危废转运</w:t>
      </w:r>
      <w:r>
        <w:rPr>
          <w:rFonts w:hint="eastAsia"/>
        </w:rPr>
        <w:t>情况有相应的记录，满足相关管理要求。</w:t>
      </w:r>
    </w:p>
    <w:p>
      <w:pPr>
        <w:pStyle w:val="4"/>
      </w:pPr>
      <w:r>
        <w:rPr>
          <w:rFonts w:hint="eastAsia"/>
        </w:rPr>
        <w:t>4.2.3环境管理</w:t>
      </w:r>
    </w:p>
    <w:p>
      <w:pPr>
        <w:ind w:firstLine="480" w:firstLineChars="200"/>
      </w:pPr>
      <w:r>
        <w:rPr>
          <w:rFonts w:hint="eastAsia"/>
        </w:rPr>
        <w:t>本项目主要针对运行期排放</w:t>
      </w:r>
      <w:r>
        <w:rPr>
          <w:rFonts w:hint="eastAsia"/>
          <w:lang w:val="en-US" w:eastAsia="zh-CN"/>
        </w:rPr>
        <w:t>废气</w:t>
      </w:r>
      <w:r>
        <w:rPr>
          <w:rFonts w:hint="eastAsia"/>
        </w:rPr>
        <w:t>、</w:t>
      </w:r>
      <w:r>
        <w:rPr>
          <w:rFonts w:hint="eastAsia"/>
          <w:lang w:eastAsia="zh-CN"/>
        </w:rPr>
        <w:t>废水、</w:t>
      </w:r>
      <w:r>
        <w:rPr>
          <w:rFonts w:hint="eastAsia"/>
        </w:rPr>
        <w:t>噪声</w:t>
      </w:r>
      <w:r>
        <w:rPr>
          <w:rFonts w:hint="eastAsia"/>
          <w:lang w:eastAsia="zh-CN"/>
        </w:rPr>
        <w:t>、</w:t>
      </w:r>
      <w:r>
        <w:rPr>
          <w:rFonts w:hint="eastAsia"/>
          <w:lang w:val="en-US" w:eastAsia="zh-CN"/>
        </w:rPr>
        <w:t>危废</w:t>
      </w:r>
      <w:r>
        <w:rPr>
          <w:rFonts w:hint="eastAsia"/>
        </w:rPr>
        <w:t>进行管理，项目设置环境管理机构，配备</w:t>
      </w:r>
      <w:r>
        <w:rPr>
          <w:rFonts w:hint="eastAsia"/>
          <w:lang w:eastAsia="zh-CN"/>
        </w:rPr>
        <w:t>专</w:t>
      </w:r>
      <w:r>
        <w:rPr>
          <w:rFonts w:hint="eastAsia"/>
        </w:rPr>
        <w:t>职技术人员</w:t>
      </w:r>
      <w:r>
        <w:rPr>
          <w:rFonts w:hint="eastAsia"/>
          <w:lang w:val="en-US" w:eastAsia="zh-CN"/>
        </w:rPr>
        <w:t>1</w:t>
      </w:r>
      <w:r>
        <w:rPr>
          <w:rFonts w:hint="eastAsia"/>
        </w:rPr>
        <w:t>人，统一负责管理、组织、落实和监督本</w:t>
      </w:r>
      <w:r>
        <w:rPr>
          <w:rFonts w:hint="eastAsia"/>
          <w:lang w:val="en-US" w:eastAsia="zh-CN"/>
        </w:rPr>
        <w:t>公司</w:t>
      </w:r>
      <w:r>
        <w:rPr>
          <w:rFonts w:hint="eastAsia"/>
        </w:rPr>
        <w:t>的环境保护工作。环境管理机构全面负责</w:t>
      </w:r>
      <w:r>
        <w:rPr>
          <w:rFonts w:hint="eastAsia"/>
          <w:lang w:eastAsia="zh-CN"/>
        </w:rPr>
        <w:t>重庆象征科技有限公司</w:t>
      </w:r>
      <w:r>
        <w:rPr>
          <w:rFonts w:hint="eastAsia"/>
        </w:rPr>
        <w:t>的环境管理工作，对废气</w:t>
      </w:r>
      <w:r>
        <w:rPr>
          <w:rFonts w:hint="eastAsia"/>
          <w:lang w:eastAsia="zh-CN"/>
        </w:rPr>
        <w:t>、废水</w:t>
      </w:r>
      <w:r>
        <w:rPr>
          <w:rFonts w:hint="eastAsia"/>
        </w:rPr>
        <w:t>、固体废物进行统计；对环境保护设施进行维护管理，确保环保设施安全稳定运行；协助处理因该工程引发的污染事故和纠纷；对在环境管理方面的不足进行改进和提高，确保环境保护工作符合国家相关标准要求。</w:t>
      </w:r>
    </w:p>
    <w:p>
      <w:pPr>
        <w:pStyle w:val="4"/>
      </w:pPr>
      <w:r>
        <w:rPr>
          <w:rFonts w:hint="eastAsia"/>
        </w:rPr>
        <w:t>4.2.4环保投诉情况</w:t>
      </w:r>
    </w:p>
    <w:p>
      <w:pPr>
        <w:ind w:firstLine="480" w:firstLineChars="200"/>
        <w:rPr>
          <w:rFonts w:hint="eastAsia"/>
        </w:rPr>
      </w:pPr>
      <w:r>
        <w:rPr>
          <w:rFonts w:hint="eastAsia"/>
          <w:lang w:eastAsia="zh-CN"/>
        </w:rPr>
        <w:t>重庆象征科技有限公司</w:t>
      </w:r>
      <w:r>
        <w:rPr>
          <w:rFonts w:hint="eastAsia"/>
        </w:rPr>
        <w:t>在</w:t>
      </w:r>
      <w:r>
        <w:rPr>
          <w:rFonts w:hint="eastAsia"/>
          <w:lang w:val="en-US" w:eastAsia="zh-CN"/>
        </w:rPr>
        <w:t>营运</w:t>
      </w:r>
      <w:r>
        <w:rPr>
          <w:rFonts w:hint="eastAsia"/>
        </w:rPr>
        <w:t>期间未出现过环保投诉。</w:t>
      </w:r>
    </w:p>
    <w:p>
      <w:pPr>
        <w:pStyle w:val="3"/>
      </w:pPr>
      <w:bookmarkStart w:id="72" w:name="_Toc27443"/>
      <w:r>
        <w:t>4.3环保设施投资及“三同时”落实情况</w:t>
      </w:r>
      <w:bookmarkEnd w:id="71"/>
      <w:bookmarkEnd w:id="72"/>
    </w:p>
    <w:p>
      <w:pPr>
        <w:spacing w:line="460" w:lineRule="atLeast"/>
        <w:ind w:firstLine="600" w:firstLineChars="250"/>
      </w:pPr>
      <w:r>
        <w:rPr>
          <w:rFonts w:hint="eastAsia" w:ascii="Times New Roman" w:hAnsi="Times New Roman"/>
          <w:color w:val="000000"/>
          <w:sz w:val="24"/>
        </w:rPr>
        <w:t>本项目总投资</w:t>
      </w:r>
      <w:r>
        <w:rPr>
          <w:rFonts w:hint="eastAsia"/>
          <w:color w:val="000000"/>
          <w:sz w:val="24"/>
          <w:lang w:val="en-US" w:eastAsia="zh-CN"/>
        </w:rPr>
        <w:t>10000</w:t>
      </w:r>
      <w:r>
        <w:rPr>
          <w:rFonts w:hint="eastAsia" w:ascii="Times New Roman" w:hAnsi="Times New Roman"/>
          <w:color w:val="000000"/>
          <w:sz w:val="24"/>
        </w:rPr>
        <w:t>万元，其中环保投资</w:t>
      </w:r>
      <w:r>
        <w:rPr>
          <w:rFonts w:hint="eastAsia"/>
          <w:color w:val="000000"/>
          <w:sz w:val="24"/>
          <w:lang w:val="en-US" w:eastAsia="zh-CN"/>
        </w:rPr>
        <w:t>180</w:t>
      </w:r>
      <w:r>
        <w:rPr>
          <w:rFonts w:hint="eastAsia" w:ascii="Times New Roman" w:hAnsi="Times New Roman"/>
          <w:color w:val="000000"/>
          <w:sz w:val="24"/>
          <w:lang w:val="en-US" w:eastAsia="zh-CN"/>
        </w:rPr>
        <w:t>万元</w:t>
      </w:r>
      <w:r>
        <w:rPr>
          <w:rFonts w:hint="eastAsia" w:ascii="Times New Roman" w:hAnsi="Times New Roman"/>
          <w:color w:val="000000"/>
          <w:sz w:val="24"/>
        </w:rPr>
        <w:t>，占总投资的</w:t>
      </w:r>
      <w:r>
        <w:rPr>
          <w:rFonts w:hint="eastAsia"/>
          <w:color w:val="000000"/>
          <w:sz w:val="24"/>
          <w:lang w:val="en-US" w:eastAsia="zh-CN"/>
        </w:rPr>
        <w:t>1.8</w:t>
      </w:r>
      <w:r>
        <w:rPr>
          <w:rFonts w:hint="eastAsia" w:ascii="Times New Roman" w:hAnsi="Times New Roman"/>
          <w:color w:val="000000"/>
          <w:sz w:val="24"/>
          <w:lang w:val="en-US" w:eastAsia="zh-CN"/>
        </w:rPr>
        <w:t>%</w:t>
      </w:r>
      <w:r>
        <w:rPr>
          <w:rFonts w:hint="eastAsia" w:ascii="Times New Roman" w:hAnsi="Times New Roman"/>
          <w:color w:val="000000"/>
          <w:sz w:val="24"/>
        </w:rPr>
        <w:t>。其实际环保投资及建设情况见</w:t>
      </w:r>
      <w:r>
        <w:t>表4-1。</w:t>
      </w:r>
    </w:p>
    <w:p>
      <w:pPr>
        <w:pStyle w:val="30"/>
        <w:jc w:val="center"/>
        <w:rPr>
          <w:rFonts w:hint="default" w:hAnsi="宋体"/>
          <w:b/>
          <w:bCs/>
          <w:color w:val="000000"/>
          <w:sz w:val="24"/>
          <w:szCs w:val="22"/>
        </w:rPr>
      </w:pPr>
      <w:r>
        <w:rPr>
          <w:rFonts w:hint="eastAsia"/>
          <w:b/>
          <w:bCs/>
          <w:sz w:val="21"/>
          <w:szCs w:val="21"/>
        </w:rPr>
        <w:t xml:space="preserve">表4-1  </w:t>
      </w:r>
      <w:r>
        <w:rPr>
          <w:rFonts w:hint="default" w:hAnsi="宋体"/>
          <w:b/>
          <w:bCs/>
          <w:color w:val="000000"/>
          <w:sz w:val="24"/>
          <w:szCs w:val="22"/>
        </w:rPr>
        <w:t>项目污染治理措施落实情况一览表</w:t>
      </w:r>
    </w:p>
    <w:tbl>
      <w:tblPr>
        <w:tblStyle w:val="2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4"/>
        <w:gridCol w:w="922"/>
        <w:gridCol w:w="2558"/>
        <w:gridCol w:w="3484"/>
        <w:gridCol w:w="1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内容</w:t>
            </w:r>
          </w:p>
        </w:tc>
        <w:tc>
          <w:tcPr>
            <w:tcW w:w="188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环评要求的处理方式</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实际处理方式</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治理投资</w:t>
            </w:r>
          </w:p>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废水治理</w:t>
            </w:r>
          </w:p>
        </w:tc>
        <w:tc>
          <w:tcPr>
            <w:tcW w:w="1884" w:type="pct"/>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本项目建成后拟设置1套污水处理设备，处理能力50m³/d，采用“格栅+调节池+絮凝气浮+沉淀”工艺，污水经处理达《污水综合排放标准》（GB8978-1996）三级标准后排入园区市政管网。之后进入沱口污水处理厂进一步处理达《城镇污水处理厂污染物排放标准》（GB18918-2002）一级A标准后排入长江。</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设置1套污水处理设备，处理能力50m³/d，采用“格栅+调节池+絮凝气浮+沉淀”工艺，</w:t>
            </w:r>
            <w:r>
              <w:rPr>
                <w:rFonts w:hint="eastAsia" w:ascii="Times New Roman" w:hAnsi="Times New Roman" w:eastAsia="宋体"/>
                <w:kern w:val="24"/>
                <w:sz w:val="21"/>
                <w:szCs w:val="21"/>
                <w:lang w:val="en-US" w:eastAsia="zh-CN"/>
              </w:rPr>
              <w:t>生产</w:t>
            </w:r>
            <w:r>
              <w:rPr>
                <w:rFonts w:hint="default" w:ascii="Times New Roman" w:hAnsi="Times New Roman" w:eastAsia="宋体"/>
                <w:kern w:val="24"/>
                <w:sz w:val="21"/>
                <w:szCs w:val="21"/>
                <w:lang w:val="en-US" w:eastAsia="zh-CN"/>
              </w:rPr>
              <w:t>污水经处理达《污水综合排放标准》（GB8978-1996）三级标准后排入园区市政管网。之后进入沱口污水处理厂进一步处理达《城镇污水处理厂污染物排放标准》（GB18918-2002）一级A标准后排入长江。</w:t>
            </w:r>
            <w:r>
              <w:rPr>
                <w:rFonts w:hint="eastAsia" w:ascii="Times New Roman" w:hAnsi="Times New Roman" w:eastAsia="宋体"/>
                <w:kern w:val="24"/>
                <w:sz w:val="21"/>
                <w:szCs w:val="21"/>
                <w:lang w:val="en-US" w:eastAsia="zh-CN"/>
              </w:rPr>
              <w:t>项目生活污水依托租赁厂房已建生化池处理达标后排入沱口污水处理厂</w:t>
            </w:r>
          </w:p>
        </w:tc>
        <w:tc>
          <w:tcPr>
            <w:tcW w:w="615"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b/>
                <w:bCs/>
                <w:color w:val="000000"/>
                <w:sz w:val="21"/>
                <w:szCs w:val="21"/>
                <w:lang w:val="en-US" w:eastAsia="zh-CN"/>
              </w:rPr>
            </w:pPr>
            <w:r>
              <w:rPr>
                <w:rFonts w:hint="eastAsia" w:cs="Times New Roman"/>
                <w:b w:val="0"/>
                <w:bCs w:val="0"/>
                <w:color w:val="auto"/>
                <w:sz w:val="21"/>
                <w:szCs w:val="21"/>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废气治理</w:t>
            </w:r>
          </w:p>
        </w:tc>
        <w:tc>
          <w:tcPr>
            <w:tcW w:w="1884" w:type="pct"/>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有机废气</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集气罩+</w:t>
            </w:r>
            <w:r>
              <w:rPr>
                <w:rFonts w:hint="eastAsia" w:ascii="Times New Roman" w:hAnsi="Times New Roman" w:eastAsia="宋体"/>
                <w:kern w:val="24"/>
                <w:sz w:val="21"/>
                <w:szCs w:val="21"/>
                <w:lang w:val="en-US" w:eastAsia="zh-CN"/>
              </w:rPr>
              <w:t>UV光解+</w:t>
            </w:r>
            <w:r>
              <w:rPr>
                <w:rFonts w:hint="default" w:ascii="Times New Roman" w:hAnsi="Times New Roman" w:eastAsia="宋体"/>
                <w:kern w:val="24"/>
                <w:sz w:val="21"/>
                <w:szCs w:val="21"/>
                <w:lang w:val="en-US" w:eastAsia="zh-CN"/>
              </w:rPr>
              <w:t>活性炭装置+15m高排气筒</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有机废气</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集气罩+</w:t>
            </w:r>
            <w:r>
              <w:rPr>
                <w:rFonts w:hint="eastAsia" w:ascii="Times New Roman" w:hAnsi="Times New Roman" w:eastAsia="宋体"/>
                <w:kern w:val="24"/>
                <w:sz w:val="21"/>
                <w:szCs w:val="21"/>
                <w:lang w:val="en-US" w:eastAsia="zh-CN"/>
              </w:rPr>
              <w:t>UV光解+</w:t>
            </w:r>
            <w:r>
              <w:rPr>
                <w:rFonts w:hint="default" w:ascii="Times New Roman" w:hAnsi="Times New Roman" w:eastAsia="宋体"/>
                <w:kern w:val="24"/>
                <w:sz w:val="21"/>
                <w:szCs w:val="21"/>
                <w:lang w:val="en-US" w:eastAsia="zh-CN"/>
              </w:rPr>
              <w:t>活性炭装置+15m高排气筒</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噪声治理</w:t>
            </w:r>
          </w:p>
        </w:tc>
        <w:tc>
          <w:tcPr>
            <w:tcW w:w="1884" w:type="pct"/>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选用低噪声设备，经减震、厂房隔声措施降噪。</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选用低噪声设备，经减震、厂房隔声措施降噪。</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50</w:t>
            </w:r>
            <w:r>
              <w:rPr>
                <w:rFonts w:hint="eastAsia" w:ascii="Times New Roman" w:hAnsi="Times New Roman" w:eastAsia="宋体" w:cs="Times New Roman"/>
                <w:b w:val="0"/>
                <w:bCs w:val="0"/>
                <w:color w:val="auto"/>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restart"/>
            <w:tcBorders>
              <w:top w:val="single" w:color="auto" w:sz="4" w:space="0"/>
              <w:left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固废治理</w:t>
            </w:r>
          </w:p>
        </w:tc>
        <w:tc>
          <w:tcPr>
            <w:tcW w:w="49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一般固废间</w:t>
            </w:r>
          </w:p>
        </w:tc>
        <w:tc>
          <w:tcPr>
            <w:tcW w:w="13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eastAsia" w:ascii="Times New Roman" w:hAnsi="Times New Roman" w:eastAsia="宋体"/>
                <w:kern w:val="24"/>
                <w:sz w:val="21"/>
                <w:szCs w:val="21"/>
                <w:lang w:val="en-US" w:eastAsia="zh-CN"/>
              </w:rPr>
              <w:t>位于厂区西侧</w:t>
            </w:r>
            <w:r>
              <w:rPr>
                <w:rFonts w:hint="default" w:ascii="Times New Roman" w:hAnsi="Times New Roman" w:eastAsia="宋体"/>
                <w:kern w:val="24"/>
                <w:sz w:val="21"/>
                <w:szCs w:val="21"/>
                <w:lang w:val="en-US" w:eastAsia="zh-CN"/>
              </w:rPr>
              <w:t>，建筑面积约10</w:t>
            </w:r>
            <w:r>
              <w:rPr>
                <w:rFonts w:hint="eastAsia" w:ascii="Times New Roman" w:hAnsi="Times New Roman" w:eastAsia="宋体"/>
                <w:kern w:val="24"/>
                <w:sz w:val="21"/>
                <w:szCs w:val="21"/>
                <w:lang w:val="en-US" w:eastAsia="zh-CN"/>
              </w:rPr>
              <w:t>0</w:t>
            </w:r>
            <w:r>
              <w:rPr>
                <w:rFonts w:hint="default" w:ascii="Times New Roman" w:hAnsi="Times New Roman" w:eastAsia="宋体"/>
                <w:kern w:val="24"/>
                <w:sz w:val="21"/>
                <w:szCs w:val="21"/>
                <w:lang w:val="en-US" w:eastAsia="zh-CN"/>
              </w:rPr>
              <w:t>m</w:t>
            </w:r>
            <w:r>
              <w:rPr>
                <w:rFonts w:hint="default" w:ascii="Times New Roman" w:hAnsi="Times New Roman" w:eastAsia="宋体"/>
                <w:kern w:val="24"/>
                <w:sz w:val="21"/>
                <w:szCs w:val="21"/>
                <w:vertAlign w:val="superscript"/>
                <w:lang w:val="en-US" w:eastAsia="zh-CN"/>
              </w:rPr>
              <w:t>2</w:t>
            </w:r>
            <w:r>
              <w:rPr>
                <w:rFonts w:hint="default" w:ascii="Times New Roman" w:hAnsi="Times New Roman" w:eastAsia="宋体"/>
                <w:kern w:val="24"/>
                <w:sz w:val="21"/>
                <w:szCs w:val="21"/>
                <w:lang w:val="en-US" w:eastAsia="zh-CN"/>
              </w:rPr>
              <w:t>，用于暂存厂区产生的一般固废。</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eastAsia" w:ascii="Times New Roman" w:hAnsi="Times New Roman" w:eastAsia="宋体"/>
                <w:kern w:val="24"/>
                <w:sz w:val="21"/>
                <w:szCs w:val="21"/>
                <w:lang w:val="en-US" w:eastAsia="zh-CN"/>
              </w:rPr>
              <w:t>位于厂区西侧</w:t>
            </w:r>
            <w:r>
              <w:rPr>
                <w:rFonts w:hint="default" w:ascii="Times New Roman" w:hAnsi="Times New Roman" w:eastAsia="宋体"/>
                <w:kern w:val="24"/>
                <w:sz w:val="21"/>
                <w:szCs w:val="21"/>
                <w:lang w:val="en-US" w:eastAsia="zh-CN"/>
              </w:rPr>
              <w:t>，建筑面积约10</w:t>
            </w:r>
            <w:r>
              <w:rPr>
                <w:rFonts w:hint="eastAsia" w:ascii="Times New Roman" w:hAnsi="Times New Roman" w:eastAsia="宋体"/>
                <w:kern w:val="24"/>
                <w:sz w:val="21"/>
                <w:szCs w:val="21"/>
                <w:lang w:val="en-US" w:eastAsia="zh-CN"/>
              </w:rPr>
              <w:t>0</w:t>
            </w:r>
            <w:r>
              <w:rPr>
                <w:rFonts w:hint="default" w:ascii="Times New Roman" w:hAnsi="Times New Roman" w:eastAsia="宋体"/>
                <w:kern w:val="24"/>
                <w:sz w:val="21"/>
                <w:szCs w:val="21"/>
                <w:lang w:val="en-US" w:eastAsia="zh-CN"/>
              </w:rPr>
              <w:t>m</w:t>
            </w:r>
            <w:r>
              <w:rPr>
                <w:rFonts w:hint="default" w:ascii="Times New Roman" w:hAnsi="Times New Roman" w:eastAsia="宋体"/>
                <w:kern w:val="24"/>
                <w:sz w:val="21"/>
                <w:szCs w:val="21"/>
                <w:vertAlign w:val="superscript"/>
                <w:lang w:val="en-US" w:eastAsia="zh-CN"/>
              </w:rPr>
              <w:t>2</w:t>
            </w:r>
            <w:r>
              <w:rPr>
                <w:rFonts w:hint="default" w:ascii="Times New Roman" w:hAnsi="Times New Roman" w:eastAsia="宋体"/>
                <w:kern w:val="24"/>
                <w:sz w:val="21"/>
                <w:szCs w:val="21"/>
                <w:lang w:val="en-US" w:eastAsia="zh-CN"/>
              </w:rPr>
              <w:t>，用于暂存厂区产生的一般固废。</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危废间</w:t>
            </w:r>
          </w:p>
        </w:tc>
        <w:tc>
          <w:tcPr>
            <w:tcW w:w="13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危废暂存间设置2处。1处设置于1#厂房西北角，占地面积约50m</w:t>
            </w:r>
            <w:r>
              <w:rPr>
                <w:rFonts w:hint="default" w:ascii="Times New Roman" w:hAnsi="Times New Roman" w:eastAsia="宋体"/>
                <w:kern w:val="24"/>
                <w:sz w:val="21"/>
                <w:szCs w:val="21"/>
                <w:vertAlign w:val="superscript"/>
                <w:lang w:val="en-US" w:eastAsia="zh-CN"/>
              </w:rPr>
              <w:t>2</w:t>
            </w:r>
            <w:r>
              <w:rPr>
                <w:rFonts w:hint="default" w:ascii="Times New Roman" w:hAnsi="Times New Roman" w:eastAsia="宋体"/>
                <w:kern w:val="24"/>
                <w:sz w:val="21"/>
                <w:szCs w:val="21"/>
                <w:lang w:val="en-US" w:eastAsia="zh-CN"/>
              </w:rPr>
              <w:t>。另1处设置于2#厂房西北角，占地面积约50m</w:t>
            </w:r>
            <w:r>
              <w:rPr>
                <w:rFonts w:hint="default" w:ascii="Times New Roman" w:hAnsi="Times New Roman" w:eastAsia="宋体"/>
                <w:kern w:val="24"/>
                <w:sz w:val="21"/>
                <w:szCs w:val="21"/>
                <w:vertAlign w:val="superscript"/>
                <w:lang w:val="en-US" w:eastAsia="zh-CN"/>
              </w:rPr>
              <w:t>2</w:t>
            </w:r>
            <w:r>
              <w:rPr>
                <w:rFonts w:hint="default" w:ascii="Times New Roman" w:hAnsi="Times New Roman" w:eastAsia="宋体"/>
                <w:kern w:val="24"/>
                <w:sz w:val="21"/>
                <w:szCs w:val="21"/>
                <w:lang w:val="en-US" w:eastAsia="zh-CN"/>
              </w:rPr>
              <w:t>。用于暂存厂区产生的危废。</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eastAsia" w:ascii="Times New Roman" w:hAnsi="Times New Roman" w:eastAsia="宋体"/>
                <w:kern w:val="24"/>
                <w:sz w:val="21"/>
                <w:szCs w:val="21"/>
                <w:lang w:val="en-US" w:eastAsia="zh-CN"/>
              </w:rPr>
              <w:t>由于生产能力缩减，危废量缩减，危废暂存间</w:t>
            </w:r>
            <w:r>
              <w:rPr>
                <w:rFonts w:hint="default" w:ascii="Times New Roman" w:hAnsi="Times New Roman" w:eastAsia="宋体"/>
                <w:kern w:val="24"/>
                <w:sz w:val="21"/>
                <w:szCs w:val="21"/>
                <w:lang w:val="en-US" w:eastAsia="zh-CN"/>
              </w:rPr>
              <w:t>设置于2#厂房西北角</w:t>
            </w:r>
            <w:r>
              <w:rPr>
                <w:rFonts w:hint="eastAsia" w:ascii="Times New Roman" w:hAnsi="Times New Roman" w:eastAsia="宋体"/>
                <w:kern w:val="24"/>
                <w:sz w:val="21"/>
                <w:szCs w:val="21"/>
                <w:lang w:val="en-US" w:eastAsia="zh-CN"/>
              </w:rPr>
              <w:t>，</w:t>
            </w:r>
            <w:r>
              <w:rPr>
                <w:rFonts w:hint="default" w:ascii="Times New Roman" w:hAnsi="Times New Roman" w:eastAsia="宋体"/>
                <w:kern w:val="24"/>
                <w:sz w:val="21"/>
                <w:szCs w:val="21"/>
                <w:lang w:val="en-US" w:eastAsia="zh-CN"/>
              </w:rPr>
              <w:t>占地面积约50m</w:t>
            </w:r>
            <w:r>
              <w:rPr>
                <w:rFonts w:hint="default" w:ascii="Times New Roman" w:hAnsi="Times New Roman" w:eastAsia="宋体"/>
                <w:kern w:val="24"/>
                <w:sz w:val="21"/>
                <w:szCs w:val="21"/>
                <w:vertAlign w:val="superscript"/>
                <w:lang w:val="en-US" w:eastAsia="zh-CN"/>
              </w:rPr>
              <w:t>2</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rPr>
            </w:pPr>
            <w:r>
              <w:rPr>
                <w:rFonts w:hint="eastAsia" w:cs="Times New Roman"/>
                <w:b w:val="0"/>
                <w:bCs w:val="0"/>
                <w:color w:val="auto"/>
                <w:sz w:val="21"/>
                <w:szCs w:val="21"/>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1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kern w:val="24"/>
                <w:sz w:val="21"/>
                <w:szCs w:val="21"/>
                <w:lang w:val="en-US" w:eastAsia="zh-CN"/>
              </w:rPr>
            </w:pPr>
            <w:r>
              <w:rPr>
                <w:rFonts w:hint="default" w:ascii="Times New Roman" w:hAnsi="Times New Roman" w:eastAsia="宋体"/>
                <w:kern w:val="24"/>
                <w:sz w:val="21"/>
                <w:szCs w:val="21"/>
                <w:lang w:val="en-US" w:eastAsia="zh-CN"/>
              </w:rPr>
              <w:t>地下水污染防治措施</w:t>
            </w:r>
          </w:p>
        </w:tc>
        <w:tc>
          <w:tcPr>
            <w:tcW w:w="1884" w:type="pct"/>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kern w:val="24"/>
                <w:sz w:val="21"/>
                <w:szCs w:val="21"/>
                <w:lang w:val="en-US" w:eastAsia="zh-CN"/>
              </w:rPr>
            </w:pPr>
            <w:r>
              <w:rPr>
                <w:rFonts w:hint="eastAsia" w:ascii="Times New Roman" w:hAnsi="Times New Roman" w:eastAsia="宋体"/>
                <w:kern w:val="24"/>
                <w:sz w:val="21"/>
                <w:szCs w:val="21"/>
                <w:lang w:val="en-US" w:eastAsia="zh-CN"/>
              </w:rPr>
              <w:t>根据厂区各生产、生活功能单元可能产生污染的地区，划分为重点防渗区和一般防渗区。</w:t>
            </w:r>
          </w:p>
        </w:tc>
        <w:tc>
          <w:tcPr>
            <w:tcW w:w="1885"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kern w:val="24"/>
                <w:sz w:val="21"/>
                <w:szCs w:val="21"/>
                <w:lang w:val="en-US" w:eastAsia="zh-CN"/>
              </w:rPr>
            </w:pPr>
            <w:r>
              <w:rPr>
                <w:rFonts w:hint="eastAsia" w:ascii="Times New Roman" w:hAnsi="Times New Roman" w:eastAsia="宋体"/>
                <w:kern w:val="24"/>
                <w:sz w:val="21"/>
                <w:szCs w:val="21"/>
                <w:lang w:val="en-US" w:eastAsia="zh-CN"/>
              </w:rPr>
              <w:t>根据厂区各生产、生活功能单元可能产生污染的地区，划分为重点防渗区和一般防渗区。</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color w:val="auto"/>
                <w:sz w:val="21"/>
                <w:szCs w:val="21"/>
                <w:lang w:val="en-US" w:eastAsia="zh-CN"/>
              </w:rPr>
            </w:pPr>
            <w:r>
              <w:rPr>
                <w:rFonts w:hint="eastAsia" w:cs="Times New Roman"/>
                <w:b w:val="0"/>
                <w:bCs w:val="0"/>
                <w:color w:val="auto"/>
                <w:sz w:val="21"/>
                <w:szCs w:val="21"/>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4" w:type="pct"/>
            <w:gridSpan w:val="4"/>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eastAsia" w:eastAsia="宋体"/>
                <w:color w:val="auto"/>
                <w:sz w:val="21"/>
                <w:szCs w:val="21"/>
                <w:lang w:eastAsia="zh-CN"/>
              </w:rPr>
            </w:pPr>
            <w:r>
              <w:rPr>
                <w:rFonts w:hint="eastAsia"/>
                <w:color w:val="auto"/>
                <w:sz w:val="21"/>
                <w:szCs w:val="21"/>
                <w:lang w:eastAsia="zh-CN"/>
              </w:rPr>
              <w:t>合计</w:t>
            </w:r>
          </w:p>
        </w:tc>
        <w:tc>
          <w:tcPr>
            <w:tcW w:w="615" w:type="pct"/>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180.0</w:t>
            </w:r>
          </w:p>
        </w:tc>
      </w:tr>
    </w:tbl>
    <w:p>
      <w:pPr>
        <w:ind w:firstLine="480" w:firstLineChars="200"/>
        <w:rPr>
          <w:rFonts w:hint="eastAsia" w:eastAsia="宋体"/>
          <w:lang w:eastAsia="zh-CN"/>
        </w:rPr>
      </w:pPr>
      <w:r>
        <w:t>根据企业自查后提供的相关资料和报告编制人员的现场踏勘，结合项目环评、环评批复文件、环保设计材料等要求，该项目的建设内容、环保设施及措施的建设与环评及批复无重大变</w:t>
      </w:r>
      <w:r>
        <w:rPr>
          <w:rFonts w:hint="eastAsia"/>
        </w:rPr>
        <w:t>动</w:t>
      </w:r>
      <w:r>
        <w:rPr>
          <w:rFonts w:hint="eastAsia"/>
          <w:lang w:eastAsia="zh-CN"/>
        </w:rPr>
        <w:t>。</w:t>
      </w:r>
    </w:p>
    <w:p>
      <w:pPr>
        <w:sectPr>
          <w:pgSz w:w="11905" w:h="16838"/>
          <w:pgMar w:top="1083" w:right="1440" w:bottom="1083" w:left="1440" w:header="737" w:footer="510" w:gutter="0"/>
          <w:pgBorders>
            <w:top w:val="none" w:sz="0" w:space="0"/>
            <w:left w:val="none" w:sz="0" w:space="0"/>
            <w:bottom w:val="none" w:sz="0" w:space="0"/>
            <w:right w:val="none" w:sz="0" w:space="0"/>
          </w:pgBorders>
          <w:cols w:space="0" w:num="1"/>
          <w:docGrid w:type="lines" w:linePitch="322" w:charSpace="0"/>
        </w:sectPr>
      </w:pPr>
      <w:r>
        <w:br w:type="page"/>
      </w:r>
    </w:p>
    <w:p>
      <w:pPr>
        <w:pStyle w:val="2"/>
      </w:pPr>
      <w:bookmarkStart w:id="73" w:name="_Toc497833596"/>
      <w:bookmarkStart w:id="74" w:name="_Toc17209"/>
      <w:r>
        <w:t>5 建设项目环评报告书的主要结论与建议及审批部门决定</w:t>
      </w:r>
      <w:bookmarkEnd w:id="73"/>
      <w:bookmarkEnd w:id="74"/>
    </w:p>
    <w:p>
      <w:pPr>
        <w:pStyle w:val="3"/>
      </w:pPr>
      <w:bookmarkStart w:id="75" w:name="_Toc239752863"/>
      <w:bookmarkStart w:id="76" w:name="_Toc240167715"/>
      <w:bookmarkStart w:id="77" w:name="_Toc402788538"/>
      <w:bookmarkStart w:id="78" w:name="_Toc427855152"/>
      <w:bookmarkStart w:id="79" w:name="_Toc240167870"/>
      <w:bookmarkStart w:id="80" w:name="_Toc408406364"/>
      <w:bookmarkStart w:id="81" w:name="_Toc427855253"/>
      <w:bookmarkStart w:id="82" w:name="_Toc497833597"/>
      <w:bookmarkStart w:id="83" w:name="_Toc15764"/>
      <w:r>
        <w:t>5.1 建设项目环评报告书</w:t>
      </w:r>
      <w:r>
        <w:rPr>
          <w:rFonts w:hint="eastAsia"/>
          <w:lang w:eastAsia="zh-CN"/>
        </w:rPr>
        <w:t>（表）</w:t>
      </w:r>
      <w:r>
        <w:t>的主要结论</w:t>
      </w:r>
      <w:bookmarkEnd w:id="75"/>
      <w:bookmarkEnd w:id="76"/>
      <w:bookmarkEnd w:id="77"/>
      <w:bookmarkEnd w:id="78"/>
      <w:bookmarkEnd w:id="79"/>
      <w:bookmarkEnd w:id="80"/>
      <w:bookmarkEnd w:id="81"/>
      <w:r>
        <w:t>与建议</w:t>
      </w:r>
      <w:bookmarkEnd w:id="82"/>
      <w:bookmarkEnd w:id="83"/>
    </w:p>
    <w:p>
      <w:pPr>
        <w:pStyle w:val="4"/>
      </w:pPr>
      <w:bookmarkStart w:id="84" w:name="_Toc427855254"/>
      <w:bookmarkStart w:id="85" w:name="_Toc497833598"/>
      <w:bookmarkStart w:id="86" w:name="_Toc427855153"/>
      <w:r>
        <w:t>5.1.1 项目概况</w:t>
      </w:r>
    </w:p>
    <w:p>
      <w:pPr>
        <w:adjustRightInd w:val="0"/>
        <w:snapToGrid w:val="0"/>
        <w:spacing w:line="360" w:lineRule="auto"/>
        <w:ind w:firstLine="480" w:firstLineChars="200"/>
        <w:rPr>
          <w:rFonts w:hint="eastAsia" w:ascii="Times New Roman" w:hAnsi="Times New Roman" w:cs="Times New Roman"/>
          <w:bCs/>
          <w:color w:val="auto"/>
          <w:sz w:val="24"/>
        </w:rPr>
      </w:pPr>
      <w:r>
        <w:rPr>
          <w:rFonts w:hint="eastAsia"/>
          <w:lang w:eastAsia="zh-CN"/>
        </w:rPr>
        <w:t>重庆象征科技有限公司“</w:t>
      </w:r>
      <w:r>
        <w:rPr>
          <w:rFonts w:hint="eastAsia" w:cs="Times New Roman"/>
          <w:color w:val="auto"/>
          <w:sz w:val="24"/>
          <w:szCs w:val="24"/>
          <w:lang w:eastAsia="zh-CN"/>
        </w:rPr>
        <w:t>年产4000万片2.5D/3D手机、笔电消费电子玻璃盖板项目</w:t>
      </w:r>
      <w:r>
        <w:rPr>
          <w:rFonts w:hint="eastAsia" w:ascii="Times New Roman" w:hAnsi="Times New Roman" w:eastAsia="宋体" w:cs="Times New Roman"/>
          <w:color w:val="auto"/>
          <w:sz w:val="24"/>
          <w:szCs w:val="24"/>
          <w:lang w:eastAsia="zh-CN"/>
        </w:rPr>
        <w:t>”</w:t>
      </w:r>
      <w:r>
        <w:rPr>
          <w:rFonts w:hint="eastAsia"/>
          <w:lang w:eastAsia="zh-CN"/>
        </w:rPr>
        <w:t>位于重庆市万州区经开区联合路1号，租赁标准厂房，建筑面积1.6万m</w:t>
      </w:r>
      <w:r>
        <w:rPr>
          <w:rFonts w:hint="eastAsia"/>
          <w:vertAlign w:val="superscript"/>
          <w:lang w:eastAsia="zh-CN"/>
        </w:rPr>
        <w:t>2</w:t>
      </w:r>
      <w:r>
        <w:rPr>
          <w:rFonts w:hint="eastAsia"/>
          <w:lang w:eastAsia="zh-CN"/>
        </w:rPr>
        <w:t>，建设2.5D玻璃盖板生产线，年产量4000万片。白班制，夜间不生产。每天工作8小时，年工作300天。</w:t>
      </w:r>
      <w:r>
        <w:rPr>
          <w:rFonts w:hint="eastAsia" w:ascii="Times New Roman" w:hAnsi="Times New Roman" w:cs="Times New Roman"/>
          <w:bCs/>
          <w:sz w:val="24"/>
        </w:rPr>
        <w:t>总投资</w:t>
      </w:r>
      <w:r>
        <w:rPr>
          <w:rFonts w:hint="eastAsia" w:cs="Times New Roman"/>
          <w:bCs/>
          <w:sz w:val="24"/>
          <w:lang w:val="en-US" w:eastAsia="zh-CN"/>
        </w:rPr>
        <w:t>16000</w:t>
      </w:r>
      <w:r>
        <w:rPr>
          <w:rFonts w:hint="eastAsia" w:ascii="Times New Roman" w:hAnsi="Times New Roman" w:cs="Times New Roman"/>
          <w:bCs/>
          <w:sz w:val="24"/>
        </w:rPr>
        <w:t>万元</w:t>
      </w:r>
      <w:r>
        <w:rPr>
          <w:rFonts w:hint="eastAsia" w:ascii="Times New Roman" w:hAnsi="Times New Roman" w:cs="Times New Roman"/>
          <w:bCs/>
          <w:color w:val="auto"/>
          <w:sz w:val="24"/>
        </w:rPr>
        <w:t>，其中环保投资</w:t>
      </w:r>
      <w:r>
        <w:rPr>
          <w:rFonts w:hint="eastAsia" w:cs="Times New Roman"/>
          <w:bCs/>
          <w:color w:val="auto"/>
          <w:sz w:val="24"/>
          <w:lang w:val="en-US" w:eastAsia="zh-CN"/>
        </w:rPr>
        <w:t>206</w:t>
      </w:r>
      <w:r>
        <w:rPr>
          <w:rFonts w:hint="eastAsia" w:ascii="Times New Roman" w:hAnsi="Times New Roman" w:cs="Times New Roman"/>
          <w:bCs/>
          <w:color w:val="auto"/>
          <w:sz w:val="24"/>
        </w:rPr>
        <w:t>万元，占总投资的</w:t>
      </w:r>
      <w:r>
        <w:rPr>
          <w:rFonts w:hint="eastAsia" w:cs="Times New Roman"/>
          <w:bCs/>
          <w:color w:val="auto"/>
          <w:sz w:val="24"/>
          <w:lang w:val="en-US" w:eastAsia="zh-CN"/>
        </w:rPr>
        <w:t>1.28</w:t>
      </w:r>
      <w:r>
        <w:rPr>
          <w:rFonts w:hint="eastAsia" w:ascii="Times New Roman" w:hAnsi="Times New Roman" w:cs="Times New Roman"/>
          <w:bCs/>
          <w:color w:val="auto"/>
          <w:sz w:val="24"/>
        </w:rPr>
        <w:t>%。</w:t>
      </w:r>
    </w:p>
    <w:p>
      <w:pPr>
        <w:pStyle w:val="4"/>
      </w:pPr>
      <w:r>
        <w:t>5.1.2 产业政策及选址符合性</w:t>
      </w:r>
    </w:p>
    <w:p>
      <w:pPr>
        <w:snapToGrid w:val="0"/>
        <w:spacing w:line="355" w:lineRule="auto"/>
        <w:ind w:firstLine="480" w:firstLineChars="200"/>
      </w:pPr>
      <w:r>
        <w:t>（1）产业政策</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本项目主要生产玻璃盖板，根据《国民经济行业分类》</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GBT4754-2017</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（2019修订），本项目属于“C3052  光学玻璃制造”，对照国家发改委颁布的《产业结构调整指导目录》（2019年本），本项目属于“第一类  鼓励类——第二十八  信息产业——27  电子及信息产业用盖板玻璃”，符合国家有关法律、法规和政策规定，符合国家产业政策。</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采用的工艺设备不属于《产业结构调整指导目录（2019）》、《部分工业行业淘汰落后生产工艺装备和产品指导目录（2010年本）》和工信部发布第一、二、三批《高耗能落后机电设备（产品）淘汰目录》淘汰范畴，符合国家产业政策。</w:t>
      </w:r>
    </w:p>
    <w:p>
      <w:pPr>
        <w:pStyle w:val="79"/>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本项目于2020年5月6日取得重庆市万州经济技术开发区经济发展局下发的投资项目备案证，备案编码2020-500101-75-03-123478</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因此，拟建项目符合国家产业政策</w:t>
      </w:r>
      <w:r>
        <w:rPr>
          <w:color w:val="000000" w:themeColor="text1"/>
          <w14:textFill>
            <w14:solidFill>
              <w14:schemeClr w14:val="tx1"/>
            </w14:solidFill>
          </w14:textFill>
        </w:rPr>
        <w:t>。</w:t>
      </w:r>
    </w:p>
    <w:p>
      <w:pPr>
        <w:snapToGrid w:val="0"/>
        <w:spacing w:line="355" w:lineRule="auto"/>
        <w:ind w:firstLine="480" w:firstLineChars="200"/>
        <w:rPr>
          <w:kern w:val="0"/>
        </w:rPr>
      </w:pPr>
      <w:r>
        <w:t>（2）项目规划</w:t>
      </w:r>
      <w:r>
        <w:rPr>
          <w:bCs/>
        </w:rPr>
        <w:t>、选址合理性分析</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万州区百安坝组团II管理单元（万州经开区五桥园）控制性详细规划》可知，五桥园总规划面积约973.89ha，包括三峡光电科技产业园和百安坝组团II管理单元。其中三峡光电科技产业园84.33ha，百安坝组团II管理单元973.89ha，主要布置电子电器、食品药品、纺织服装、机械制造、新型建材五大主导产业。本项目位于三峡光电科技产业园内。</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厂房租用万州经济开发区管理委员会标准厂房，租赁协议见附件4。本项目位于重庆市万州区经开区联合路1号。园区交通便利，给排水、供电等各项基础配套措施完备，项目所在园区污水处理厂已经建成运行，能满足本项目运行需求。</w:t>
      </w:r>
    </w:p>
    <w:p>
      <w:pPr>
        <w:pStyle w:val="7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区域空气环境质量、地表水环境质量、声环境质量及土壤环境质量良好，有一定的环境容量。根据环境影响预测评价，本项目正常生产时所排污染物经治理达标后，对周围环境不会产生明显的不利影响，环境可以接受。项目所在区域常年主导风向为东北风，项目位于居住区的常年主导风向下、侧风向，项目产排污对环境敏感点影响较小。</w:t>
      </w:r>
    </w:p>
    <w:p>
      <w:pPr>
        <w:snapToGrid w:val="0"/>
        <w:spacing w:line="355" w:lineRule="auto"/>
        <w:ind w:firstLine="480" w:firstLineChars="200"/>
      </w:pPr>
      <w:r>
        <w:rPr>
          <w:rFonts w:hint="eastAsia"/>
          <w:color w:val="000000" w:themeColor="text1"/>
          <w14:textFill>
            <w14:solidFill>
              <w14:schemeClr w14:val="tx1"/>
            </w14:solidFill>
          </w14:textFill>
        </w:rPr>
        <w:t>根据以上分析，项目区域交通便捷，巿政配套设施齐全，环境质量较好，项目运行过程中产生的污染物通过采取相应的有效污染防治措施后，项目对环境影响小，无外环境制约因素，项目选址合理。</w:t>
      </w:r>
    </w:p>
    <w:p>
      <w:pPr>
        <w:pStyle w:val="4"/>
      </w:pPr>
      <w:r>
        <w:t>5.1.</w:t>
      </w:r>
      <w:r>
        <w:rPr>
          <w:rFonts w:hint="eastAsia"/>
        </w:rPr>
        <w:t>3</w:t>
      </w:r>
      <w:r>
        <w:t xml:space="preserve"> 工程所在地环境功能区划、环境质量现状</w:t>
      </w:r>
    </w:p>
    <w:p>
      <w:pPr>
        <w:adjustRightInd w:val="0"/>
        <w:snapToGrid w:val="0"/>
        <w:spacing w:line="360" w:lineRule="auto"/>
        <w:ind w:firstLine="480" w:firstLineChars="200"/>
        <w:rPr>
          <w:rFonts w:hint="eastAsia"/>
          <w:color w:val="auto"/>
          <w:sz w:val="24"/>
          <w:lang w:val="en-US" w:eastAsia="zh-CN"/>
        </w:rPr>
      </w:pPr>
      <w:r>
        <w:rPr>
          <w:rFonts w:hint="eastAsia"/>
          <w:color w:val="auto"/>
          <w:sz w:val="24"/>
          <w:lang w:eastAsia="zh-CN"/>
        </w:rPr>
        <w:t>（</w:t>
      </w:r>
      <w:r>
        <w:rPr>
          <w:rFonts w:hint="eastAsia"/>
          <w:color w:val="auto"/>
          <w:sz w:val="24"/>
          <w:lang w:val="en-US" w:eastAsia="zh-CN"/>
        </w:rPr>
        <w:t>1）</w:t>
      </w:r>
      <w:r>
        <w:rPr>
          <w:color w:val="000000" w:themeColor="text1"/>
          <w14:textFill>
            <w14:solidFill>
              <w14:schemeClr w14:val="tx1"/>
            </w14:solidFill>
          </w14:textFill>
        </w:rPr>
        <w:t>环境空气质量现状监测与评价</w:t>
      </w:r>
    </w:p>
    <w:p>
      <w:pPr>
        <w:pStyle w:val="79"/>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环境空气质量功能区划分规定》（渝府发〔2016〕19号）、《重庆市人民政府关于印发重庆市环境空气质量功能区划分规定的通知》等相关规定，项目所在地环境空气功能区划为二类区，环境空气质量执行《环境空气质量标准》（GB3095-2012）及其修改单中的二级标准。</w:t>
      </w:r>
    </w:p>
    <w:p>
      <w:pPr>
        <w:pStyle w:val="79"/>
        <w:bidi w:val="0"/>
        <w:rPr>
          <w:rFonts w:hint="eastAsia"/>
          <w:color w:val="auto"/>
          <w:sz w:val="24"/>
        </w:rPr>
      </w:pPr>
      <w:r>
        <w:rPr>
          <w:rFonts w:hint="eastAsia"/>
          <w:color w:val="000000" w:themeColor="text1"/>
          <w:lang w:val="en-US" w:eastAsia="zh-CN"/>
          <w14:textFill>
            <w14:solidFill>
              <w14:schemeClr w14:val="tx1"/>
            </w14:solidFill>
          </w14:textFill>
        </w:rPr>
        <w:t>根据《万州区大气环境质量限期达标规划（</w:t>
      </w:r>
      <w:r>
        <w:rPr>
          <w:rFonts w:hint="default"/>
          <w:color w:val="000000" w:themeColor="text1"/>
          <w:lang w:val="en-US" w:eastAsia="zh-CN"/>
          <w14:textFill>
            <w14:solidFill>
              <w14:schemeClr w14:val="tx1"/>
            </w14:solidFill>
          </w14:textFill>
        </w:rPr>
        <w:t>2018-2025</w:t>
      </w:r>
      <w:r>
        <w:rPr>
          <w:rFonts w:hint="eastAsia"/>
          <w:color w:val="000000" w:themeColor="text1"/>
          <w:lang w:val="en-US" w:eastAsia="zh-CN"/>
          <w14:textFill>
            <w14:solidFill>
              <w14:schemeClr w14:val="tx1"/>
            </w14:solidFill>
          </w14:textFill>
        </w:rPr>
        <w:t>年）》中提出的通过提高能源效率、优化能源结构，优化产业布局、推进绿色发展，加大防治力度、控制工业污染，强化监督管理、控制交通污染，提升管理水平、控制扬尘污染，加大治理力度、控制生活污染，加强综合利用、控制农业污染，加大环保执法、深化区域协作等</w:t>
      </w:r>
      <w:r>
        <w:rPr>
          <w:rFonts w:hint="default"/>
          <w:color w:val="000000" w:themeColor="text1"/>
          <w:lang w:val="en-US" w:eastAsia="zh-CN"/>
          <w14:textFill>
            <w14:solidFill>
              <w14:schemeClr w14:val="tx1"/>
            </w14:solidFill>
          </w14:textFill>
        </w:rPr>
        <w:t>8</w:t>
      </w:r>
      <w:r>
        <w:rPr>
          <w:rFonts w:hint="eastAsia"/>
          <w:color w:val="000000" w:themeColor="text1"/>
          <w:lang w:val="en-US" w:eastAsia="zh-CN"/>
          <w14:textFill>
            <w14:solidFill>
              <w14:schemeClr w14:val="tx1"/>
            </w14:solidFill>
          </w14:textFill>
        </w:rPr>
        <w:t>项措施，有效削减大气污染物排放量，全面改善环境空气质量。采取上述措施后，到</w:t>
      </w:r>
      <w:r>
        <w:rPr>
          <w:rFonts w:hint="default"/>
          <w:color w:val="000000" w:themeColor="text1"/>
          <w:lang w:val="en-US" w:eastAsia="zh-CN"/>
          <w14:textFill>
            <w14:solidFill>
              <w14:schemeClr w14:val="tx1"/>
            </w14:solidFill>
          </w14:textFill>
        </w:rPr>
        <w:t>2025</w:t>
      </w:r>
      <w:r>
        <w:rPr>
          <w:rFonts w:hint="eastAsia"/>
          <w:color w:val="000000" w:themeColor="text1"/>
          <w:lang w:val="en-US" w:eastAsia="zh-CN"/>
          <w14:textFill>
            <w14:solidFill>
              <w14:schemeClr w14:val="tx1"/>
            </w14:solidFill>
          </w14:textFill>
        </w:rPr>
        <w:t>年万州区环境空气</w:t>
      </w:r>
      <w:r>
        <w:rPr>
          <w:rFonts w:hint="default"/>
          <w:color w:val="000000" w:themeColor="text1"/>
          <w:lang w:val="en-US" w:eastAsia="zh-CN"/>
          <w14:textFill>
            <w14:solidFill>
              <w14:schemeClr w14:val="tx1"/>
            </w14:solidFill>
          </w14:textFill>
        </w:rPr>
        <w:t>SO</w:t>
      </w:r>
      <w:r>
        <w:rPr>
          <w:rFonts w:hint="default"/>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NO</w:t>
      </w:r>
      <w:r>
        <w:rPr>
          <w:rFonts w:hint="default"/>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PM</w:t>
      </w:r>
      <w:r>
        <w:rPr>
          <w:rFonts w:hint="default"/>
          <w:color w:val="000000" w:themeColor="text1"/>
          <w:vertAlign w:val="subscript"/>
          <w:lang w:val="en-US" w:eastAsia="zh-CN"/>
          <w14:textFill>
            <w14:solidFill>
              <w14:schemeClr w14:val="tx1"/>
            </w14:solidFill>
          </w14:textFill>
        </w:rPr>
        <w:t>10</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CO</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O</w:t>
      </w:r>
      <w:r>
        <w:rPr>
          <w:rFonts w:hint="default"/>
          <w:color w:val="000000" w:themeColor="text1"/>
          <w:vertAlign w:val="subscript"/>
          <w:lang w:val="en-US" w:eastAsia="zh-CN"/>
          <w14:textFill>
            <w14:solidFill>
              <w14:schemeClr w14:val="tx1"/>
            </w14:solidFill>
          </w14:textFill>
        </w:rPr>
        <w:t>3</w:t>
      </w:r>
      <w:r>
        <w:rPr>
          <w:rFonts w:hint="eastAsia"/>
          <w:color w:val="000000" w:themeColor="text1"/>
          <w:vertAlign w:val="baseline"/>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PM</w:t>
      </w:r>
      <w:r>
        <w:rPr>
          <w:rFonts w:hint="default"/>
          <w:color w:val="000000" w:themeColor="text1"/>
          <w:vertAlign w:val="subscript"/>
          <w:lang w:val="en-US" w:eastAsia="zh-CN"/>
          <w14:textFill>
            <w14:solidFill>
              <w14:schemeClr w14:val="tx1"/>
            </w14:solidFill>
          </w14:textFill>
        </w:rPr>
        <w:t>2.5</w:t>
      </w:r>
      <w:r>
        <w:rPr>
          <w:rFonts w:hint="eastAsia"/>
          <w:color w:val="000000" w:themeColor="text1"/>
          <w:lang w:val="en-US" w:eastAsia="zh-CN"/>
          <w14:textFill>
            <w14:solidFill>
              <w14:schemeClr w14:val="tx1"/>
            </w14:solidFill>
          </w14:textFill>
        </w:rPr>
        <w:t>全部达标。</w:t>
      </w:r>
    </w:p>
    <w:p>
      <w:pPr>
        <w:numPr>
          <w:ilvl w:val="0"/>
          <w:numId w:val="4"/>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地表水环境质量现状监测与评价</w:t>
      </w:r>
    </w:p>
    <w:p>
      <w:pPr>
        <w:numPr>
          <w:ilvl w:val="0"/>
          <w:numId w:val="0"/>
        </w:numPr>
        <w:spacing w:line="360" w:lineRule="auto"/>
        <w:ind w:firstLine="480" w:firstLineChars="200"/>
        <w:rPr>
          <w:rFonts w:hint="eastAsia" w:cs="Times New Roman"/>
          <w:bCs/>
          <w:color w:val="auto"/>
          <w:sz w:val="24"/>
          <w:szCs w:val="24"/>
          <w:lang w:val="en-US" w:eastAsia="zh-CN"/>
        </w:rPr>
      </w:pPr>
      <w:r>
        <w:rPr>
          <w:rFonts w:hint="eastAsia" w:cs="Times New Roman"/>
          <w:bCs/>
          <w:color w:val="auto"/>
          <w:sz w:val="24"/>
          <w:szCs w:val="24"/>
          <w:lang w:val="en-US" w:eastAsia="zh-CN"/>
        </w:rPr>
        <w:t>本项目最终纳污水体为长江，根据《重庆市人民政府批转重庆市地表水环境功能类别调整方案的通知》（渝府发〔2012〕4号），长江万州区新田镇一大周镇段为III类水域，执行《地表水环境质量标准》（GB 3838-2002）中III类水域标准。</w:t>
      </w:r>
    </w:p>
    <w:p>
      <w:pPr>
        <w:spacing w:line="360" w:lineRule="auto"/>
        <w:ind w:firstLine="480" w:firstLineChars="200"/>
        <w:rPr>
          <w:rFonts w:hint="eastAsia" w:cs="Times New Roman"/>
          <w:bCs/>
          <w:color w:val="auto"/>
          <w:sz w:val="24"/>
          <w:szCs w:val="24"/>
          <w:lang w:val="en-US" w:eastAsia="zh-CN"/>
        </w:rPr>
      </w:pPr>
      <w:r>
        <w:rPr>
          <w:rFonts w:hint="eastAsia" w:cs="Times New Roman"/>
          <w:bCs/>
          <w:color w:val="auto"/>
          <w:sz w:val="24"/>
          <w:szCs w:val="24"/>
          <w:lang w:val="en-US" w:eastAsia="zh-CN"/>
        </w:rPr>
        <w:t>本评价引用《万州经济技术开发区五桥园（三峡光电科技产业园、百安坝组团Ⅱ管理单元）规划环境影响跟踪评价报告书》中2018年例行监测数据，其中长江桐园监测断面位于规划区上游，长江晒网坝监测断面位于规划区下游。同时本次评价引用重庆厦美环保科技有限公司2020年5月2日-5月3日在沱口污水处理厂排污口上游500m处和沱口污水处理厂排污口下游3000m处的2个断面监测断面数据，该监测时段至今，区域地表水环境未发生较大变化，且监测数据在3年的有效期时间内，引用数据有效。长江监测断面pH、COD、BOD</w:t>
      </w:r>
      <w:r>
        <w:rPr>
          <w:rFonts w:hint="eastAsia" w:cs="Times New Roman"/>
          <w:bCs/>
          <w:color w:val="auto"/>
          <w:sz w:val="24"/>
          <w:szCs w:val="24"/>
          <w:vertAlign w:val="subscript"/>
          <w:lang w:val="en-US" w:eastAsia="zh-CN"/>
        </w:rPr>
        <w:t>5</w:t>
      </w:r>
      <w:r>
        <w:rPr>
          <w:rFonts w:hint="eastAsia" w:cs="Times New Roman"/>
          <w:bCs/>
          <w:color w:val="auto"/>
          <w:sz w:val="24"/>
          <w:szCs w:val="24"/>
          <w:lang w:val="en-US" w:eastAsia="zh-CN"/>
        </w:rPr>
        <w:t>、氨氮、总磷、石油类、汞、六价铬、粪大肠菌群均满足《地表水环境质量标准》（GB3838-2002）Ⅲ类水域水质标准，水环境质量较好，评价段地表水有一定的环境容量。</w:t>
      </w:r>
    </w:p>
    <w:p>
      <w:pPr>
        <w:numPr>
          <w:ilvl w:val="0"/>
          <w:numId w:val="4"/>
        </w:numPr>
        <w:spacing w:line="360" w:lineRule="auto"/>
        <w:ind w:firstLine="480" w:firstLineChars="20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声环境质量现状</w:t>
      </w:r>
    </w:p>
    <w:p>
      <w:pPr>
        <w:pStyle w:val="79"/>
        <w:bidi w:val="0"/>
        <w:rPr>
          <w:rFonts w:hint="eastAsia"/>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根据《重庆市城市区域环境噪声标准适用区划分规定调整方案》（渝环发</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2007</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 xml:space="preserve">39 </w:t>
      </w:r>
      <w:r>
        <w:rPr>
          <w:rFonts w:hint="eastAsia"/>
          <w:color w:val="000000" w:themeColor="text1"/>
          <w:lang w:val="en-US" w:eastAsia="zh-CN"/>
          <w14:textFill>
            <w14:solidFill>
              <w14:schemeClr w14:val="tx1"/>
            </w14:solidFill>
          </w14:textFill>
        </w:rPr>
        <w:t>号）及《重庆市万州区人民政府关于印发重庆市万州区声环境功能区划分方案的通知》万州府〔</w:t>
      </w:r>
      <w:r>
        <w:rPr>
          <w:rFonts w:hint="default"/>
          <w:color w:val="000000" w:themeColor="text1"/>
          <w:lang w:val="en-US" w:eastAsia="zh-CN"/>
          <w14:textFill>
            <w14:solidFill>
              <w14:schemeClr w14:val="tx1"/>
            </w14:solidFill>
          </w14:textFill>
        </w:rPr>
        <w:t>2018</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 xml:space="preserve">109 </w:t>
      </w:r>
      <w:r>
        <w:rPr>
          <w:rFonts w:hint="eastAsia"/>
          <w:color w:val="000000" w:themeColor="text1"/>
          <w:lang w:val="en-US" w:eastAsia="zh-CN"/>
          <w14:textFill>
            <w14:solidFill>
              <w14:schemeClr w14:val="tx1"/>
            </w14:solidFill>
          </w14:textFill>
        </w:rPr>
        <w:t>号，本项目所在地划分为3类功能区域，执行《声环境质量标准》（</w:t>
      </w:r>
      <w:r>
        <w:rPr>
          <w:rFonts w:hint="default"/>
          <w:color w:val="000000" w:themeColor="text1"/>
          <w:lang w:val="en-US" w:eastAsia="zh-CN"/>
          <w14:textFill>
            <w14:solidFill>
              <w14:schemeClr w14:val="tx1"/>
            </w14:solidFill>
          </w14:textFill>
        </w:rPr>
        <w:t>GB3096-2008</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类标准。</w:t>
      </w:r>
    </w:p>
    <w:p>
      <w:pPr>
        <w:numPr>
          <w:ilvl w:val="0"/>
          <w:numId w:val="4"/>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生态环境</w:t>
      </w:r>
    </w:p>
    <w:p>
      <w:pPr>
        <w:pStyle w:val="7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租赁已建成厂房</w:t>
      </w:r>
      <w:r>
        <w:rPr>
          <w:rFonts w:hint="eastAsia"/>
          <w:color w:val="000000" w:themeColor="text1"/>
          <w14:textFill>
            <w14:solidFill>
              <w14:schemeClr w14:val="tx1"/>
            </w14:solidFill>
          </w14:textFill>
        </w:rPr>
        <w:t>，不新增用地。</w:t>
      </w:r>
    </w:p>
    <w:p>
      <w:pPr>
        <w:numPr>
          <w:ilvl w:val="0"/>
          <w:numId w:val="4"/>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电磁辐射</w:t>
      </w:r>
    </w:p>
    <w:p>
      <w:pPr>
        <w:pStyle w:val="79"/>
        <w:ind w:firstLine="480"/>
        <w:rPr>
          <w:rFonts w:eastAsia="仿宋"/>
          <w:color w:val="000000" w:themeColor="text1"/>
          <w14:textFill>
            <w14:solidFill>
              <w14:schemeClr w14:val="tx1"/>
            </w14:solidFill>
          </w14:textFill>
        </w:rPr>
      </w:pPr>
      <w:r>
        <w:rPr>
          <w:rFonts w:hint="eastAsia"/>
          <w:color w:val="000000" w:themeColor="text1"/>
          <w14:textFill>
            <w14:solidFill>
              <w14:schemeClr w14:val="tx1"/>
            </w14:solidFill>
          </w14:textFill>
        </w:rPr>
        <w:t>项目不涉及电磁辐射</w:t>
      </w:r>
      <w:r>
        <w:rPr>
          <w:color w:val="000000" w:themeColor="text1"/>
          <w14:textFill>
            <w14:solidFill>
              <w14:schemeClr w14:val="tx1"/>
            </w14:solidFill>
          </w14:textFill>
        </w:rPr>
        <w:t>。</w:t>
      </w:r>
    </w:p>
    <w:p>
      <w:pPr>
        <w:numPr>
          <w:ilvl w:val="0"/>
          <w:numId w:val="4"/>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地下水</w:t>
      </w:r>
    </w:p>
    <w:p>
      <w:pPr>
        <w:pStyle w:val="79"/>
        <w:ind w:firstLine="480"/>
        <w:rPr>
          <w:rFonts w:hint="eastAsia"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根据《环境影响评价技术导则 地下水环境》（HJ610-2016）可知，本项目属于</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J 非金属矿采选及制品制造 65、玻璃及玻璃制品</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，地下水环境影响评价项目类别为Ⅳ类，因此本评价不进行地下水环境影响评价</w:t>
      </w:r>
      <w:r>
        <w:rPr>
          <w:rFonts w:hint="eastAsia" w:ascii="Times New Roman" w:hAnsi="Times New Roman" w:eastAsia="宋体" w:cs="Times New Roman"/>
          <w:color w:val="000000" w:themeColor="text1"/>
          <w:kern w:val="2"/>
          <w:sz w:val="24"/>
          <w:szCs w:val="24"/>
          <w:lang w:val="en-GB" w:eastAsia="zh-CN" w:bidi="ar-SA"/>
          <w14:textFill>
            <w14:solidFill>
              <w14:schemeClr w14:val="tx1"/>
            </w14:solidFill>
          </w14:textFill>
        </w:rPr>
        <w:t>。</w:t>
      </w:r>
    </w:p>
    <w:p>
      <w:pPr>
        <w:numPr>
          <w:ilvl w:val="0"/>
          <w:numId w:val="4"/>
        </w:numPr>
        <w:spacing w:line="360" w:lineRule="auto"/>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土壤</w:t>
      </w:r>
    </w:p>
    <w:p>
      <w:pPr>
        <w:pStyle w:val="79"/>
        <w:bidi w:val="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属于光学玻璃制造，根据《环境影响评价技术导则土壤环境（试行）》（HJ964-2018）附录A中表A.1土壤环境影响评价项目类别，本项目类别为非金属矿物制品中的“其他”，属于Ⅲ类项目，敏感程度为不敏感。本项目占地面积约16000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，占地面积小于5hm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，规模为小型。综上，本项目属于“Ⅲ类、小型”，不需开展土壤环境影响评价工作。</w:t>
      </w:r>
    </w:p>
    <w:p>
      <w:pPr>
        <w:pStyle w:val="4"/>
      </w:pPr>
      <w:r>
        <w:rPr>
          <w:rFonts w:hint="eastAsia"/>
          <w:lang w:eastAsia="zh-CN"/>
        </w:rPr>
        <w:t xml:space="preserve">5.1.5 </w:t>
      </w:r>
      <w:r>
        <w:t xml:space="preserve"> </w:t>
      </w:r>
      <w:r>
        <w:rPr>
          <w:rFonts w:hint="eastAsia"/>
        </w:rPr>
        <w:t>环境影响及污染防治措施</w:t>
      </w:r>
    </w:p>
    <w:p>
      <w:pPr>
        <w:pStyle w:val="7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营运期废水主要为员工生活污水和生产废水，本项目建成后拟设置1套污水处理设备，处理能力50m³/d，采用“格栅+调节池+絮凝气浮+沉淀”工艺，污水经处理达《污水综合排放标准》（GB8978-1996）三级标准后排入园区市政管网。</w:t>
      </w:r>
    </w:p>
    <w:p>
      <w:pPr>
        <w:pStyle w:val="7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运营期废气主要为有机废气。采用“集气罩+活性炭装置+15m高排气筒”处置，达到《包装印刷业大气污染物排放标准》（DB50/758-2017）中相关标准。</w:t>
      </w:r>
    </w:p>
    <w:p>
      <w:pPr>
        <w:pStyle w:val="7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运营期噪声主要为设备噪声，各噪声源均在厂房内，利用减振、厂房建筑物隔声、距离衰减等措施，预计各厂界噪声满足《工业企业厂界环境噪声排放标准》（GB12348-2008）3类标准。企业夜间不生产。</w:t>
      </w:r>
    </w:p>
    <w:p>
      <w:pPr>
        <w:pStyle w:val="79"/>
        <w:bidi w:val="0"/>
        <w:rPr>
          <w:rFonts w:hint="default" w:ascii="Times New Roman" w:hAnsi="Times New Roman" w:eastAsia="宋体"/>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固体废物分为一般固废及危险废物。一般固废中，生活垃圾用垃圾桶收集后，交由环卫部门清运。原料包装材料交由环卫部门清运。废玻璃边角料、不合格品定点收集于厂区一般工业固废临时贮存点，定期由物资公司回收利用。污水处理站污泥收集于厂区一般工业固废临时贮存点，定期送填埋场填埋。危险废物中，废切削液渣、废硝酸钾、废网板、废油墨、废油墨桶、废玻璃保护液桶、废气治理设备废活性炭、设备维护废机油厂内统一收集后，暂存于危废暂存间，交由有资质的单位处理。含油抹布、手套混入生活垃圾一起交由环卫部门清运</w:t>
      </w:r>
      <w:r>
        <w:rPr>
          <w:rFonts w:hint="default" w:ascii="Times New Roman" w:hAnsi="Times New Roman" w:eastAsia="宋体"/>
          <w:color w:val="000000" w:themeColor="text1"/>
          <w:lang w:val="zh-CN" w:eastAsia="zh-CN"/>
          <w14:textFill>
            <w14:solidFill>
              <w14:schemeClr w14:val="tx1"/>
            </w14:solidFill>
          </w14:textFill>
        </w:rPr>
        <w:t>。</w:t>
      </w:r>
    </w:p>
    <w:p>
      <w:pPr>
        <w:pStyle w:val="4"/>
      </w:pPr>
      <w:r>
        <w:t>5.1.</w:t>
      </w:r>
      <w:r>
        <w:rPr>
          <w:rFonts w:hint="eastAsia"/>
          <w:lang w:val="en-US" w:eastAsia="zh-CN"/>
        </w:rPr>
        <w:t>6</w:t>
      </w:r>
      <w:r>
        <w:t>总量控制</w:t>
      </w:r>
    </w:p>
    <w:p>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根据我国总量控制基本原则以及重庆市现行的环境管理要求，确定本项目</w:t>
      </w:r>
    </w:p>
    <w:p>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污水总量控制指标为：COD：3.376t/a、NH3-N：0.304t/a。</w:t>
      </w:r>
    </w:p>
    <w:p>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废气总量控制指标为：非甲烷总烃：0.435t/a。</w:t>
      </w:r>
    </w:p>
    <w:p>
      <w:pPr>
        <w:spacing w:line="360" w:lineRule="auto"/>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污水总量控制指标计入沱口污水处理厂中，本项目不设污水总量控制指标。根据重庆市主要污染物排放权交易中心管理办法和《重庆市环境保护局关于印发重庆市工业企业排污权有偿使用和交易工作实施细则的通知》（渝环〔2017〕249号），本项目污水、废气、垃圾等总量按照相关要求有偿使用。</w:t>
      </w:r>
    </w:p>
    <w:p>
      <w:pPr>
        <w:pStyle w:val="4"/>
        <w:keepNext w:val="0"/>
        <w:keepLines w:val="0"/>
        <w:pageBreakBefore w:val="0"/>
        <w:widowControl w:val="0"/>
        <w:kinsoku/>
        <w:wordWrap/>
        <w:overflowPunct/>
        <w:topLinePunct w:val="0"/>
        <w:autoSpaceDE/>
        <w:autoSpaceDN/>
        <w:bidi w:val="0"/>
        <w:adjustRightInd w:val="0"/>
        <w:snapToGrid w:val="0"/>
        <w:textAlignment w:val="auto"/>
      </w:pPr>
      <w:r>
        <w:t>5.1.</w:t>
      </w:r>
      <w:r>
        <w:rPr>
          <w:rFonts w:hint="eastAsia"/>
        </w:rPr>
        <w:t>8</w:t>
      </w:r>
      <w:r>
        <w:t xml:space="preserve"> 综合结论</w:t>
      </w:r>
    </w:p>
    <w:bookmarkEnd w:id="84"/>
    <w:bookmarkEnd w:id="85"/>
    <w:bookmarkEnd w:id="86"/>
    <w:p>
      <w:pPr>
        <w:spacing w:line="360" w:lineRule="auto"/>
        <w:ind w:firstLine="560"/>
        <w:rPr>
          <w:rFonts w:hint="eastAsia" w:cs="Times New Roman"/>
          <w:color w:val="auto"/>
          <w:sz w:val="24"/>
          <w:szCs w:val="24"/>
          <w:lang w:eastAsia="zh-CN"/>
        </w:rPr>
      </w:pPr>
      <w:bookmarkStart w:id="87" w:name="_Toc497833611"/>
      <w:bookmarkStart w:id="88" w:name="_Toc427855160"/>
      <w:bookmarkStart w:id="89" w:name="_Toc427855261"/>
      <w:r>
        <w:rPr>
          <w:rFonts w:hint="eastAsia" w:cs="Times New Roman"/>
          <w:color w:val="auto"/>
          <w:sz w:val="24"/>
          <w:szCs w:val="24"/>
          <w:lang w:eastAsia="zh-CN"/>
        </w:rPr>
        <w:t>重庆象征科技有限公司“年产4000万片2.5D/3D手机、笔电消费电子玻璃盖板项目”位于重庆市万州区经开区联合路1号，租用园区内M3地块1号标准厂房，建筑面积16000m</w:t>
      </w:r>
      <w:r>
        <w:rPr>
          <w:rFonts w:hint="eastAsia" w:cs="Times New Roman"/>
          <w:color w:val="auto"/>
          <w:sz w:val="24"/>
          <w:szCs w:val="24"/>
          <w:vertAlign w:val="superscript"/>
          <w:lang w:eastAsia="zh-CN"/>
        </w:rPr>
        <w:t>2</w:t>
      </w:r>
      <w:r>
        <w:rPr>
          <w:rFonts w:hint="eastAsia" w:cs="Times New Roman"/>
          <w:color w:val="auto"/>
          <w:sz w:val="24"/>
          <w:szCs w:val="24"/>
          <w:lang w:eastAsia="zh-CN"/>
        </w:rPr>
        <w:t>，建设2.5D玻璃盖板生产线，年产量4000万片。本项目的建设符合国家及重庆市产业政策和规划要求，符合《万州经济技术开发区五桥园（三峡光电科技产业园、百安坝组团Ⅱ管理单元）规划环境影响跟踪评价报告书》及其审查意见及“三线一单”等要求。</w:t>
      </w:r>
    </w:p>
    <w:p>
      <w:pPr>
        <w:spacing w:line="360" w:lineRule="auto"/>
        <w:ind w:firstLine="560"/>
        <w:rPr>
          <w:rFonts w:hint="eastAsia" w:cs="Times New Roman"/>
          <w:color w:val="auto"/>
          <w:sz w:val="24"/>
          <w:szCs w:val="24"/>
          <w:lang w:eastAsia="zh-CN"/>
        </w:rPr>
      </w:pPr>
      <w:r>
        <w:rPr>
          <w:rFonts w:hint="eastAsia" w:cs="Times New Roman"/>
          <w:color w:val="auto"/>
          <w:sz w:val="24"/>
          <w:szCs w:val="24"/>
          <w:lang w:eastAsia="zh-CN"/>
        </w:rPr>
        <w:t>本项目所在区域的大气、地表水及噪声环境质量现状较好。本项目运营期将执行环境风险防范措施及环境管理制度与监测计划。</w:t>
      </w:r>
    </w:p>
    <w:p>
      <w:pPr>
        <w:spacing w:line="360" w:lineRule="auto"/>
        <w:ind w:firstLine="560"/>
        <w:rPr>
          <w:rFonts w:hint="eastAsia"/>
          <w:color w:val="auto"/>
          <w:sz w:val="24"/>
        </w:rPr>
      </w:pPr>
      <w:r>
        <w:rPr>
          <w:rFonts w:hint="eastAsia" w:cs="Times New Roman"/>
          <w:color w:val="auto"/>
          <w:sz w:val="24"/>
          <w:szCs w:val="24"/>
          <w:lang w:eastAsia="zh-CN"/>
        </w:rPr>
        <w:t>综上，在落实相应的污染防范和减缓措施后，项目产生的污染物可实现达标排放，对周边环境的影响较小，可满足区域环境功能要求。因此，从环境保护的角度出发，本项目建设可行</w:t>
      </w:r>
    </w:p>
    <w:p>
      <w:pPr>
        <w:pStyle w:val="3"/>
      </w:pPr>
      <w:bookmarkStart w:id="90" w:name="_Toc5804"/>
      <w:r>
        <w:t>5.2 审批部门审批决定</w:t>
      </w:r>
      <w:bookmarkEnd w:id="87"/>
      <w:bookmarkEnd w:id="88"/>
      <w:bookmarkEnd w:id="89"/>
      <w:bookmarkEnd w:id="90"/>
    </w:p>
    <w:p>
      <w:pPr>
        <w:ind w:firstLine="480" w:firstLineChars="200"/>
        <w:rPr>
          <w:rFonts w:hint="eastAsia"/>
          <w:lang w:val="en-US" w:eastAsia="zh-CN"/>
        </w:rPr>
      </w:pPr>
      <w:r>
        <w:rPr>
          <w:rFonts w:hint="eastAsia"/>
          <w:lang w:val="en-US" w:eastAsia="zh-CN"/>
        </w:rPr>
        <w:t>原文抄录《重庆市建设项目环境影响评价文件批准书》渝（万）环准[2021]86号，详见附件1。</w:t>
      </w:r>
    </w:p>
    <w:p>
      <w:pPr>
        <w:ind w:firstLine="480" w:firstLineChars="200"/>
        <w:rPr>
          <w:rFonts w:hint="eastAsia"/>
          <w:lang w:val="en-US" w:eastAsia="zh-CN"/>
        </w:rPr>
      </w:pPr>
      <w:r>
        <w:rPr>
          <w:rFonts w:hint="eastAsia"/>
          <w:lang w:val="en-US" w:eastAsia="zh-CN"/>
        </w:rPr>
        <w:t>你单位报送的年产4000万片2.5D/3D手机、笔电消费电子玻璃盖板项目（项目代码：2020-500101-75 -03-123478）环评文件及相关报批申请材料收悉。该项目位于万州经开区光电园联合路1号，租用标准厂房约1.6万m</w:t>
      </w:r>
      <w:r>
        <w:rPr>
          <w:rFonts w:hint="eastAsia"/>
          <w:vertAlign w:val="superscript"/>
          <w:lang w:val="en-US" w:eastAsia="zh-CN"/>
        </w:rPr>
        <w:t>2</w:t>
      </w:r>
      <w:r>
        <w:rPr>
          <w:rFonts w:hint="eastAsia"/>
          <w:lang w:val="en-US" w:eastAsia="zh-CN"/>
        </w:rPr>
        <w:t>，建设2.5D玻璃盖板生产线，年产量4000万片。经审查，符合建设项目环境影响评价文件告知承诺审批的相关要求。</w:t>
      </w:r>
    </w:p>
    <w:p>
      <w:pPr>
        <w:ind w:firstLine="480" w:firstLineChars="200"/>
        <w:rPr>
          <w:rFonts w:hint="eastAsia"/>
          <w:lang w:val="en-US" w:eastAsia="zh-CN"/>
        </w:rPr>
      </w:pPr>
      <w:r>
        <w:rPr>
          <w:rFonts w:hint="eastAsia"/>
          <w:lang w:val="en-US" w:eastAsia="zh-CN"/>
        </w:rPr>
        <w:t>根据成都元页环保科技有限公司编制的《年产4000万片2.5D/3D手机、笔电消费电子玻璃盖板项目环境影响报告表》对该项目开展环境影响评价的结论，在全面落实报告表提出的各项防治生态影响和环境污染措施、防范环境风险措施和你单位承诺的前提下，工程建设对环境的不利影响能够得到缓解和控制。我局原则同意该项目环境影响报告表结论以及拟采取的环境保护措施。</w:t>
      </w:r>
    </w:p>
    <w:p>
      <w:pPr>
        <w:ind w:firstLine="480" w:firstLineChars="200"/>
        <w:rPr>
          <w:rFonts w:hint="eastAsia"/>
          <w:lang w:val="en-US" w:eastAsia="zh-CN"/>
        </w:rPr>
      </w:pPr>
      <w:r>
        <w:rPr>
          <w:rFonts w:hint="eastAsia"/>
          <w:lang w:val="en-US" w:eastAsia="zh-CN"/>
        </w:rPr>
        <w:t>你单位应当严格落实该项目环境影响报告表提出的防治生态影响和环境污染措施及防范环境风险措施，严格执行配套建设的环保设施与主体工程同时设计、同时施工、同时投产的环保“三同时”制度。项目投入运行前，及时向我局申请排污许可，不得无证排污或不按证排污。项目竣工后，应按照相关规定开展环境保护验收，编制验收报告并依法向社会公开验收报告，公示期满5个工作日内，登录全国建设项目竣工环境保护验收信息平台，填报验收等相关信息。</w:t>
      </w:r>
    </w:p>
    <w:p>
      <w:pPr>
        <w:ind w:firstLine="480" w:firstLineChars="200"/>
        <w:rPr>
          <w:rFonts w:hint="eastAsia"/>
          <w:lang w:val="en-US" w:eastAsia="zh-CN"/>
        </w:rPr>
      </w:pPr>
      <w:r>
        <w:rPr>
          <w:rFonts w:hint="eastAsia"/>
          <w:lang w:val="en-US" w:eastAsia="zh-CN"/>
        </w:rPr>
        <w:t>项目的性质、规模、地点、采用的生产工艺或者防治污染措施发生重大变动的，你单位应当重新报批该项目的环境影响评价文件。项目的环保日常监督管理由万州经开区生态环境局和重庆市万州区生态环境保护综合行政执法支队按照有关职责实施，发现存在不符合告知承诺制或环评文件存在重大质量问题，依法撤销审批决定，造成的一切法律后果和经济损失均由你单位承担。</w:t>
      </w:r>
    </w:p>
    <w:p/>
    <w:p>
      <w:pPr>
        <w:pStyle w:val="2"/>
        <w:keepNext/>
        <w:keepLines/>
        <w:pageBreakBefore/>
        <w:widowControl/>
        <w:kinsoku/>
        <w:wordWrap/>
        <w:overflowPunct/>
        <w:topLinePunct w:val="0"/>
        <w:autoSpaceDE/>
        <w:autoSpaceDN/>
        <w:bidi w:val="0"/>
        <w:adjustRightInd w:val="0"/>
        <w:snapToGrid w:val="0"/>
        <w:textAlignment w:val="auto"/>
      </w:pPr>
      <w:bookmarkStart w:id="91" w:name="_Toc497833612"/>
      <w:bookmarkStart w:id="92" w:name="_Toc1177"/>
      <w:r>
        <w:t>6 验收执行标准</w:t>
      </w:r>
      <w:bookmarkEnd w:id="91"/>
      <w:bookmarkEnd w:id="92"/>
    </w:p>
    <w:p>
      <w:pPr>
        <w:pStyle w:val="3"/>
      </w:pPr>
      <w:bookmarkStart w:id="93" w:name="_Toc6689"/>
      <w:r>
        <w:t>6.1 废气排放执行标准</w:t>
      </w:r>
      <w:bookmarkEnd w:id="93"/>
    </w:p>
    <w:p>
      <w:pPr>
        <w:ind w:firstLine="480" w:firstLineChars="200"/>
        <w:rPr>
          <w:rFonts w:hint="eastAsia" w:eastAsia="宋体"/>
          <w:color w:val="000000" w:themeColor="text1"/>
          <w:lang w:val="en-US" w:eastAsia="zh-CN"/>
          <w14:textFill>
            <w14:solidFill>
              <w14:schemeClr w14:val="tx1"/>
            </w14:solidFill>
          </w14:textFill>
        </w:rPr>
      </w:pPr>
      <w:r>
        <w:rPr>
          <w:rFonts w:hint="eastAsia" w:ascii="Times New Roman" w:hAnsi="Times New Roman"/>
          <w:lang w:val="en-US" w:eastAsia="zh-CN"/>
        </w:rPr>
        <w:t>根据《</w:t>
      </w:r>
      <w:r>
        <w:rPr>
          <w:rFonts w:hint="eastAsia"/>
          <w:lang w:val="en-US" w:eastAsia="zh-CN"/>
        </w:rPr>
        <w:t>重庆象征科技有限公司年产4000万片2.5D/3D手机、笔电消费电子玻璃盖板项目</w:t>
      </w:r>
      <w:r>
        <w:rPr>
          <w:rFonts w:hint="eastAsia" w:ascii="Times New Roman" w:hAnsi="Times New Roman"/>
          <w:lang w:val="en-US" w:eastAsia="zh-CN"/>
        </w:rPr>
        <w:t>环境影响报告表》及</w:t>
      </w:r>
      <w:r>
        <w:rPr>
          <w:rFonts w:hint="eastAsia"/>
          <w:lang w:val="en-US" w:eastAsia="zh-CN"/>
        </w:rPr>
        <w:t>渝（万）环准[2021]86号</w:t>
      </w:r>
      <w:r>
        <w:rPr>
          <w:rFonts w:hint="eastAsia" w:ascii="Times New Roman" w:hAnsi="Times New Roman"/>
          <w:lang w:val="en-US" w:eastAsia="zh-CN"/>
        </w:rPr>
        <w:t>文件，</w:t>
      </w:r>
      <w:r>
        <w:rPr>
          <w:rStyle w:val="83"/>
          <w:rFonts w:hint="eastAsia"/>
          <w:color w:val="000000" w:themeColor="text1"/>
          <w:lang w:val="en-US" w:eastAsia="zh-CN"/>
          <w14:textFill>
            <w14:solidFill>
              <w14:schemeClr w14:val="tx1"/>
            </w14:solidFill>
          </w14:textFill>
        </w:rPr>
        <w:t>项目</w:t>
      </w:r>
      <w:r>
        <w:rPr>
          <w:rStyle w:val="83"/>
          <w:rFonts w:hint="default"/>
          <w:color w:val="000000" w:themeColor="text1"/>
          <w14:textFill>
            <w14:solidFill>
              <w14:schemeClr w14:val="tx1"/>
            </w14:solidFill>
          </w14:textFill>
        </w:rPr>
        <w:t>营运期产生的非甲烷总烃执行废气执行重庆市《包装印刷业大气污染物排放标准》（DB50/758-2017）中规定的排放标准限值。</w:t>
      </w:r>
      <w:r>
        <w:rPr>
          <w:rStyle w:val="83"/>
          <w:rFonts w:hint="eastAsia"/>
          <w:color w:val="000000" w:themeColor="text1"/>
          <w:lang w:val="en-US" w:eastAsia="zh-CN"/>
          <w14:textFill>
            <w14:solidFill>
              <w14:schemeClr w14:val="tx1"/>
            </w14:solidFill>
          </w14:textFill>
        </w:rPr>
        <w:t>厂内无组织有机废气执行《挥发性有机物无组织排放控制标准》（GB37822-2019）</w:t>
      </w:r>
      <w:r>
        <w:rPr>
          <w:rStyle w:val="83"/>
          <w:color w:val="000000" w:themeColor="text1"/>
          <w14:textFill>
            <w14:solidFill>
              <w14:schemeClr w14:val="tx1"/>
            </w14:solidFill>
          </w14:textFill>
        </w:rPr>
        <w:t>。具体标准值详见</w:t>
      </w:r>
      <w:r>
        <w:rPr>
          <w:rStyle w:val="83"/>
          <w:rFonts w:hint="eastAsia"/>
          <w:color w:val="000000" w:themeColor="text1"/>
          <w:lang w:val="en-US" w:eastAsia="zh-CN"/>
          <w14:textFill>
            <w14:solidFill>
              <w14:schemeClr w14:val="tx1"/>
            </w14:solidFill>
          </w14:textFill>
        </w:rPr>
        <w:t>下</w:t>
      </w:r>
      <w:r>
        <w:rPr>
          <w:rStyle w:val="83"/>
          <w:color w:val="000000" w:themeColor="text1"/>
          <w14:textFill>
            <w14:solidFill>
              <w14:schemeClr w14:val="tx1"/>
            </w14:solidFill>
          </w14:textFill>
        </w:rPr>
        <w:t>表</w:t>
      </w:r>
      <w:r>
        <w:rPr>
          <w:color w:val="000000" w:themeColor="text1"/>
          <w14:textFill>
            <w14:solidFill>
              <w14:schemeClr w14:val="tx1"/>
            </w14:solidFill>
          </w14:textFill>
        </w:rPr>
        <w:t>。</w:t>
      </w:r>
    </w:p>
    <w:p>
      <w:pPr>
        <w:pStyle w:val="82"/>
        <w:bidi w:val="0"/>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表</w:t>
      </w:r>
      <w:r>
        <w:rPr>
          <w:rFonts w:hint="eastAsia" w:ascii="Times New Roman" w:hAnsi="Times New Roman" w:eastAsia="宋体"/>
          <w:color w:val="000000" w:themeColor="text1"/>
          <w:sz w:val="21"/>
          <w:szCs w:val="21"/>
          <w:lang w:val="en-US" w:eastAsia="zh-CN"/>
          <w14:textFill>
            <w14:solidFill>
              <w14:schemeClr w14:val="tx1"/>
            </w14:solidFill>
          </w14:textFill>
        </w:rPr>
        <w:t>6-1</w:t>
      </w:r>
      <w:r>
        <w:rPr>
          <w:rFonts w:hint="eastAsia" w:ascii="Times New Roman" w:hAnsi="Times New Roman" w:eastAsia="宋体"/>
          <w:color w:val="000000" w:themeColor="text1"/>
          <w:sz w:val="21"/>
          <w:szCs w:val="21"/>
          <w14:textFill>
            <w14:solidFill>
              <w14:schemeClr w14:val="tx1"/>
            </w14:solidFill>
          </w14:textFill>
        </w:rPr>
        <w:t xml:space="preserve"> 《包装印刷业大气污染物排放标准》</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DB50/758-2017</w:t>
      </w:r>
      <w:r>
        <w:rPr>
          <w:rFonts w:hint="eastAsia" w:ascii="Times New Roman" w:hAnsi="Times New Roman" w:eastAsia="宋体"/>
          <w:color w:val="000000" w:themeColor="text1"/>
          <w:sz w:val="21"/>
          <w:szCs w:val="21"/>
          <w:lang w:eastAsia="zh-CN"/>
          <w14:textFill>
            <w14:solidFill>
              <w14:schemeClr w14:val="tx1"/>
            </w14:solidFill>
          </w14:textFill>
        </w:rPr>
        <w:t>）</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1" w:type="dxa"/>
          <w:bottom w:w="57" w:type="dxa"/>
          <w:right w:w="51" w:type="dxa"/>
        </w:tblCellMar>
      </w:tblPr>
      <w:tblGrid>
        <w:gridCol w:w="1426"/>
        <w:gridCol w:w="1051"/>
        <w:gridCol w:w="1785"/>
        <w:gridCol w:w="1650"/>
        <w:gridCol w:w="1548"/>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97" w:hRule="atLeast"/>
          <w:jc w:val="center"/>
        </w:trPr>
        <w:tc>
          <w:tcPr>
            <w:tcW w:w="1357" w:type="pct"/>
            <w:gridSpan w:val="2"/>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污染物</w:t>
            </w:r>
          </w:p>
        </w:tc>
        <w:tc>
          <w:tcPr>
            <w:tcW w:w="978"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最高允许排放浓度</w:t>
            </w: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c>
          <w:tcPr>
            <w:tcW w:w="1752" w:type="pct"/>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最高允许排放速度（kg/h）</w:t>
            </w:r>
          </w:p>
        </w:tc>
        <w:tc>
          <w:tcPr>
            <w:tcW w:w="911"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97" w:hRule="exact"/>
          <w:jc w:val="center"/>
        </w:trPr>
        <w:tc>
          <w:tcPr>
            <w:tcW w:w="1357" w:type="pct"/>
            <w:gridSpan w:val="2"/>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978"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90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排气筒高度（m）</w:t>
            </w:r>
          </w:p>
        </w:tc>
        <w:tc>
          <w:tcPr>
            <w:tcW w:w="84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排放速率</w:t>
            </w:r>
          </w:p>
        </w:tc>
        <w:tc>
          <w:tcPr>
            <w:tcW w:w="911"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浓度</w:t>
            </w: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97" w:hRule="exact"/>
          <w:jc w:val="center"/>
        </w:trPr>
        <w:tc>
          <w:tcPr>
            <w:tcW w:w="781"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非甲烷总烃</w:t>
            </w:r>
          </w:p>
        </w:tc>
        <w:tc>
          <w:tcPr>
            <w:tcW w:w="576"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其他区域</w:t>
            </w:r>
          </w:p>
        </w:tc>
        <w:tc>
          <w:tcPr>
            <w:tcW w:w="97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80</w:t>
            </w:r>
          </w:p>
        </w:tc>
        <w:tc>
          <w:tcPr>
            <w:tcW w:w="90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84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5.1</w:t>
            </w:r>
          </w:p>
        </w:tc>
        <w:tc>
          <w:tcPr>
            <w:tcW w:w="911"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w:t>
            </w:r>
          </w:p>
        </w:tc>
      </w:tr>
    </w:tbl>
    <w:p>
      <w:pPr>
        <w:pStyle w:val="82"/>
        <w:bidi w:val="0"/>
        <w:rPr>
          <w:rFonts w:hint="default"/>
          <w:color w:val="000000" w:themeColor="text1"/>
          <w:sz w:val="21"/>
          <w:szCs w:val="21"/>
          <w:lang w:val="en-US" w:eastAsia="zh-CN"/>
          <w14:textFill>
            <w14:solidFill>
              <w14:schemeClr w14:val="tx1"/>
            </w14:solidFill>
          </w14:textFill>
        </w:rPr>
      </w:pPr>
    </w:p>
    <w:p>
      <w:pPr>
        <w:pStyle w:val="82"/>
        <w:bidi w:val="0"/>
        <w:rPr>
          <w:rFonts w:ascii="Times New Roman" w:hAnsi="Times New Roman"/>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表</w:t>
      </w:r>
      <w:r>
        <w:rPr>
          <w:rFonts w:hint="eastAsia"/>
          <w:color w:val="000000" w:themeColor="text1"/>
          <w:sz w:val="21"/>
          <w:szCs w:val="21"/>
          <w:lang w:val="en-US" w:eastAsia="zh-CN"/>
          <w14:textFill>
            <w14:solidFill>
              <w14:schemeClr w14:val="tx1"/>
            </w14:solidFill>
          </w14:textFill>
        </w:rPr>
        <w:t>6-2</w:t>
      </w:r>
      <w:r>
        <w:rPr>
          <w:rFonts w:hint="eastAsia"/>
          <w:color w:val="000000" w:themeColor="text1"/>
          <w:sz w:val="21"/>
          <w:szCs w:val="21"/>
          <w14:textFill>
            <w14:solidFill>
              <w14:schemeClr w14:val="tx1"/>
            </w14:solidFill>
          </w14:textFill>
        </w:rPr>
        <w:t xml:space="preserve">  《挥发性有机物无组织排放控制标准》（GB37822-2019）</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1715"/>
        <w:gridCol w:w="3001"/>
        <w:gridCol w:w="3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污染物项目</w:t>
            </w:r>
          </w:p>
        </w:tc>
        <w:tc>
          <w:tcPr>
            <w:tcW w:w="9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排放限值</w:t>
            </w:r>
          </w:p>
        </w:tc>
        <w:tc>
          <w:tcPr>
            <w:tcW w:w="162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限值含义</w:t>
            </w:r>
          </w:p>
        </w:tc>
        <w:tc>
          <w:tcPr>
            <w:tcW w:w="162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非甲烷总烃</w:t>
            </w:r>
          </w:p>
        </w:tc>
        <w:tc>
          <w:tcPr>
            <w:tcW w:w="9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6</w:t>
            </w:r>
            <w:r>
              <w:rPr>
                <w:rFonts w:hint="default" w:cs="Times New Roman"/>
                <w:b w:val="0"/>
                <w:bCs w:val="0"/>
                <w:color w:val="auto"/>
                <w:sz w:val="21"/>
                <w:szCs w:val="21"/>
                <w:lang w:val="en-US" w:eastAsia="zh-CN"/>
              </w:rPr>
              <w:t>mg/m</w:t>
            </w:r>
            <w:r>
              <w:rPr>
                <w:rFonts w:hint="default" w:cs="Times New Roman"/>
                <w:b w:val="0"/>
                <w:bCs w:val="0"/>
                <w:color w:val="auto"/>
                <w:sz w:val="21"/>
                <w:szCs w:val="21"/>
                <w:vertAlign w:val="superscript"/>
                <w:lang w:val="en-US" w:eastAsia="zh-CN"/>
              </w:rPr>
              <w:t>3</w:t>
            </w:r>
          </w:p>
        </w:tc>
        <w:tc>
          <w:tcPr>
            <w:tcW w:w="162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监控点处1h平均浓度值</w:t>
            </w:r>
          </w:p>
        </w:tc>
        <w:tc>
          <w:tcPr>
            <w:tcW w:w="1627" w:type="pct"/>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p>
        </w:tc>
        <w:tc>
          <w:tcPr>
            <w:tcW w:w="9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20</w:t>
            </w:r>
            <w:r>
              <w:rPr>
                <w:rFonts w:hint="default" w:cs="Times New Roman"/>
                <w:b w:val="0"/>
                <w:bCs w:val="0"/>
                <w:color w:val="auto"/>
                <w:sz w:val="21"/>
                <w:szCs w:val="21"/>
                <w:lang w:val="en-US" w:eastAsia="zh-CN"/>
              </w:rPr>
              <w:t>mg/m</w:t>
            </w:r>
            <w:r>
              <w:rPr>
                <w:rFonts w:hint="default" w:cs="Times New Roman"/>
                <w:b w:val="0"/>
                <w:bCs w:val="0"/>
                <w:color w:val="auto"/>
                <w:sz w:val="21"/>
                <w:szCs w:val="21"/>
                <w:vertAlign w:val="superscript"/>
                <w:lang w:val="en-US" w:eastAsia="zh-CN"/>
              </w:rPr>
              <w:t>3</w:t>
            </w:r>
          </w:p>
        </w:tc>
        <w:tc>
          <w:tcPr>
            <w:tcW w:w="1624"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监控点处任意一次浓度值</w:t>
            </w:r>
          </w:p>
        </w:tc>
        <w:tc>
          <w:tcPr>
            <w:tcW w:w="1627" w:type="pct"/>
            <w:vMerge w:val="continue"/>
            <w:noWrap w:val="0"/>
            <w:vAlign w:val="center"/>
          </w:tcPr>
          <w:p>
            <w:pPr>
              <w:pStyle w:val="78"/>
              <w:bidi w:val="0"/>
              <w:rPr>
                <w:rFonts w:hint="eastAsia"/>
                <w:color w:val="000000" w:themeColor="text1"/>
                <w14:textFill>
                  <w14:solidFill>
                    <w14:schemeClr w14:val="tx1"/>
                  </w14:solidFill>
                </w14:textFill>
              </w:rPr>
            </w:pPr>
          </w:p>
        </w:tc>
      </w:tr>
    </w:tbl>
    <w:p>
      <w:pPr>
        <w:pStyle w:val="3"/>
        <w:rPr>
          <w:rFonts w:ascii="Times New Roman" w:hAnsi="Times New Roman" w:eastAsia="宋体"/>
        </w:rPr>
      </w:pPr>
      <w:bookmarkStart w:id="94" w:name="_Toc6862"/>
      <w:r>
        <w:rPr>
          <w:rFonts w:hint="eastAsia" w:ascii="Times New Roman" w:hAnsi="Times New Roman" w:eastAsia="宋体"/>
          <w:lang w:val="en-US" w:eastAsia="zh-CN"/>
        </w:rPr>
        <w:t>6.2</w:t>
      </w:r>
      <w:r>
        <w:rPr>
          <w:rFonts w:hint="eastAsia" w:ascii="Times New Roman" w:hAnsi="Times New Roman" w:eastAsia="宋体"/>
        </w:rPr>
        <w:t>废水排放控制标准</w:t>
      </w:r>
      <w:bookmarkEnd w:id="94"/>
    </w:p>
    <w:p>
      <w:pPr>
        <w:pStyle w:val="79"/>
        <w:bidi w:val="0"/>
        <w:rPr>
          <w:rFonts w:hint="eastAsia" w:ascii="Times New Roman" w:hAnsi="Times New Roman" w:eastAsia="宋体"/>
          <w:lang w:val="en-US" w:eastAsia="zh-CN"/>
        </w:rPr>
      </w:pPr>
      <w:r>
        <w:rPr>
          <w:rFonts w:hint="eastAsia"/>
          <w:color w:val="000000" w:themeColor="text1"/>
          <w:highlight w:val="none"/>
          <w:lang w:val="en-US" w:eastAsia="zh-CN"/>
          <w14:textFill>
            <w14:solidFill>
              <w14:schemeClr w14:val="tx1"/>
            </w14:solidFill>
          </w14:textFill>
        </w:rPr>
        <w:t>项目生产废水经自建污水处理站处理达到《污水综合排放标准》（GB8978-1996）三级标准（氨氮执行《污水排入城镇下水道水质标准》（GB/T31962-2015），标准值为45mg/L）后排入园区污水管网，而后进入沱口污水处理厂处理满足《城镇污水处理厂污染物排放标准》（GB18918-2002）一级A标准后排入长江。</w:t>
      </w:r>
      <w:r>
        <w:rPr>
          <w:color w:val="000000" w:themeColor="text1"/>
          <w14:textFill>
            <w14:solidFill>
              <w14:schemeClr w14:val="tx1"/>
            </w14:solidFill>
          </w14:textFill>
        </w:rPr>
        <w:t>标准值见</w:t>
      </w:r>
      <w:r>
        <w:rPr>
          <w:rFonts w:hint="eastAsia"/>
          <w:color w:val="000000" w:themeColor="text1"/>
          <w14:textFill>
            <w14:solidFill>
              <w14:schemeClr w14:val="tx1"/>
            </w14:solidFill>
          </w14:textFill>
        </w:rPr>
        <w:t>下表</w:t>
      </w:r>
      <w:r>
        <w:rPr>
          <w:rFonts w:hint="eastAsia" w:ascii="Times New Roman" w:hAnsi="Times New Roman" w:eastAsia="宋体"/>
          <w:lang w:val="en-US" w:eastAsia="zh-CN"/>
        </w:rPr>
        <w:t>6-</w:t>
      </w:r>
      <w:r>
        <w:rPr>
          <w:rFonts w:hint="eastAsia"/>
          <w:lang w:val="en-US" w:eastAsia="zh-CN"/>
        </w:rPr>
        <w:t>3</w:t>
      </w:r>
      <w:r>
        <w:rPr>
          <w:rFonts w:hint="eastAsia" w:ascii="Times New Roman" w:hAnsi="Times New Roman" w:eastAsia="宋体"/>
          <w:lang w:val="en-US" w:eastAsia="zh-CN"/>
        </w:rPr>
        <w:t>：</w:t>
      </w:r>
    </w:p>
    <w:p>
      <w:pPr>
        <w:snapToGrid w:val="0"/>
        <w:spacing w:line="240" w:lineRule="auto"/>
        <w:ind w:firstLine="422" w:firstLineChars="200"/>
        <w:jc w:val="center"/>
        <w:rPr>
          <w:b/>
          <w:bCs/>
          <w:color w:val="auto"/>
          <w:sz w:val="21"/>
          <w:szCs w:val="21"/>
        </w:rPr>
      </w:pPr>
      <w:r>
        <w:rPr>
          <w:b/>
          <w:bCs/>
          <w:color w:val="auto"/>
          <w:sz w:val="21"/>
          <w:szCs w:val="21"/>
        </w:rPr>
        <w:t>表</w:t>
      </w:r>
      <w:r>
        <w:rPr>
          <w:rFonts w:hint="eastAsia"/>
          <w:b/>
          <w:bCs/>
          <w:color w:val="auto"/>
          <w:sz w:val="21"/>
          <w:szCs w:val="21"/>
          <w:lang w:val="en-US" w:eastAsia="zh-CN"/>
        </w:rPr>
        <w:t>6-3</w:t>
      </w:r>
      <w:r>
        <w:rPr>
          <w:b/>
          <w:bCs/>
          <w:color w:val="auto"/>
          <w:sz w:val="21"/>
          <w:szCs w:val="21"/>
        </w:rPr>
        <w:t xml:space="preserve">   水污染物排放标准限值  mg/L</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7"/>
        <w:gridCol w:w="944"/>
        <w:gridCol w:w="944"/>
        <w:gridCol w:w="944"/>
        <w:gridCol w:w="94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0" w:type="pct"/>
            <w:noWrap w:val="0"/>
            <w:vAlign w:val="center"/>
          </w:tcPr>
          <w:p>
            <w:pPr>
              <w:pStyle w:val="39"/>
              <w:keepNext w:val="0"/>
              <w:keepLines w:val="0"/>
              <w:pageBreakBefore w:val="0"/>
              <w:widowControl w:val="0"/>
              <w:kinsoku/>
              <w:wordWrap w:val="0"/>
              <w:overflowPunct/>
              <w:topLinePunct w:val="0"/>
              <w:autoSpaceDE/>
              <w:autoSpaceDN/>
              <w:bidi w:val="0"/>
              <w:adjustRightInd w:val="0"/>
              <w:snapToGrid w:val="0"/>
              <w:spacing w:line="26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水质指标</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pH</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COD</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NH</w:t>
            </w:r>
            <w:r>
              <w:rPr>
                <w:rFonts w:hint="default" w:ascii="Times New Roman" w:hAnsi="Times New Roman" w:eastAsia="宋体" w:cs="Times New Roman"/>
                <w:b/>
                <w:bCs/>
                <w:sz w:val="21"/>
                <w:szCs w:val="21"/>
                <w:vertAlign w:val="subscript"/>
              </w:rPr>
              <w:t>3</w:t>
            </w:r>
            <w:r>
              <w:rPr>
                <w:rFonts w:hint="default" w:ascii="Times New Roman" w:hAnsi="Times New Roman" w:eastAsia="宋体" w:cs="Times New Roman"/>
                <w:b/>
                <w:bCs/>
                <w:sz w:val="21"/>
                <w:szCs w:val="21"/>
              </w:rPr>
              <w:t>-N</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SS</w:t>
            </w:r>
          </w:p>
        </w:tc>
        <w:tc>
          <w:tcPr>
            <w:tcW w:w="513" w:type="pct"/>
            <w:noWrap w:val="0"/>
            <w:vAlign w:val="center"/>
          </w:tcPr>
          <w:p>
            <w:pPr>
              <w:pStyle w:val="66"/>
              <w:keepNext w:val="0"/>
              <w:keepLines w:val="0"/>
              <w:pageBreakBefore w:val="0"/>
              <w:widowControl/>
              <w:tabs>
                <w:tab w:val="left" w:pos="2895"/>
              </w:tabs>
              <w:kinsoku/>
              <w:wordWrap/>
              <w:overflowPunct/>
              <w:topLinePunct w:val="0"/>
              <w:autoSpaceDE/>
              <w:autoSpaceDN/>
              <w:bidi w:val="0"/>
              <w:adjustRightInd w:val="0"/>
              <w:snapToGrid w:val="0"/>
              <w:spacing w:before="0" w:beforeLines="0" w:after="0" w:afterLines="0" w:line="240" w:lineRule="auto"/>
              <w:ind w:right="0"/>
              <w:jc w:val="center"/>
              <w:textAlignment w:val="auto"/>
              <w:rPr>
                <w:rFonts w:hint="default" w:ascii="Times New Roman" w:hAnsi="Times New Roman" w:eastAsia="宋体" w:cs="Times New Roman"/>
                <w:b/>
                <w:bCs/>
                <w:sz w:val="21"/>
                <w:szCs w:val="21"/>
              </w:rPr>
            </w:pPr>
            <w:bookmarkStart w:id="95" w:name="_Toc30567"/>
            <w:r>
              <w:rPr>
                <w:rFonts w:hint="default" w:ascii="Times New Roman" w:hAnsi="Times New Roman" w:eastAsia="宋体" w:cs="Times New Roman"/>
                <w:b/>
                <w:bCs/>
                <w:sz w:val="21"/>
                <w:szCs w:val="21"/>
                <w:lang w:val="en-US" w:eastAsia="zh-CN"/>
              </w:rPr>
              <w:t>石油类</w:t>
            </w:r>
            <w:bookmarkEnd w:id="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0" w:type="pct"/>
            <w:noWrap w:val="0"/>
            <w:vAlign w:val="center"/>
          </w:tcPr>
          <w:p>
            <w:pPr>
              <w:pStyle w:val="39"/>
              <w:keepNext w:val="0"/>
              <w:keepLines w:val="0"/>
              <w:pageBreakBefore w:val="0"/>
              <w:widowControl w:val="0"/>
              <w:kinsoku/>
              <w:wordWrap w:val="0"/>
              <w:overflowPunct/>
              <w:topLinePunct w:val="0"/>
              <w:autoSpaceDE/>
              <w:autoSpaceDN/>
              <w:bidi w:val="0"/>
              <w:adjustRightInd w:val="0"/>
              <w:snapToGrid w:val="0"/>
              <w:spacing w:line="2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《污水综合排放标准》（GB8978-1996）三级标准</w:t>
            </w:r>
          </w:p>
        </w:tc>
        <w:tc>
          <w:tcPr>
            <w:tcW w:w="511"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6~9</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r>
              <w:rPr>
                <w:rFonts w:hint="default" w:ascii="Times New Roman" w:hAnsi="Times New Roman" w:eastAsia="宋体" w:cs="Times New Roman"/>
                <w:sz w:val="21"/>
                <w:szCs w:val="21"/>
                <w:vertAlign w:val="superscript"/>
              </w:rPr>
              <w:t>①</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513" w:type="pct"/>
            <w:noWrap w:val="0"/>
            <w:vAlign w:val="center"/>
          </w:tcPr>
          <w:p>
            <w:pPr>
              <w:pStyle w:val="68"/>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0" w:type="pct"/>
            <w:noWrap w:val="0"/>
            <w:vAlign w:val="center"/>
          </w:tcPr>
          <w:p>
            <w:pPr>
              <w:pStyle w:val="39"/>
              <w:keepNext w:val="0"/>
              <w:keepLines w:val="0"/>
              <w:pageBreakBefore w:val="0"/>
              <w:widowControl w:val="0"/>
              <w:kinsoku/>
              <w:wordWrap w:val="0"/>
              <w:overflowPunct/>
              <w:topLinePunct w:val="0"/>
              <w:autoSpaceDE/>
              <w:autoSpaceDN/>
              <w:bidi w:val="0"/>
              <w:adjustRightInd w:val="0"/>
              <w:snapToGrid w:val="0"/>
              <w:spacing w:line="2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《城镇污水处理厂污染物排放标准》（GB18918-2002）一级A标准</w:t>
            </w:r>
          </w:p>
        </w:tc>
        <w:tc>
          <w:tcPr>
            <w:tcW w:w="511"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511" w:type="pct"/>
            <w:noWrap w:val="0"/>
            <w:vAlign w:val="center"/>
          </w:tcPr>
          <w:p>
            <w:pPr>
              <w:pStyle w:val="39"/>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513" w:type="pct"/>
            <w:noWrap w:val="0"/>
            <w:vAlign w:val="center"/>
          </w:tcPr>
          <w:p>
            <w:pPr>
              <w:pStyle w:val="68"/>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pPr>
              <w:keepNext w:val="0"/>
              <w:keepLines w:val="0"/>
              <w:pageBreakBefore w:val="0"/>
              <w:kinsoku/>
              <w:wordWrap/>
              <w:overflowPunct/>
              <w:topLinePunct w:val="0"/>
              <w:autoSpaceDE/>
              <w:autoSpaceDN/>
              <w:bidi w:val="0"/>
              <w:adjustRightInd w:val="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18"/>
                <w:szCs w:val="18"/>
              </w:rPr>
              <w:t>注：根据《</w:t>
            </w:r>
            <w:r>
              <w:rPr>
                <w:rStyle w:val="69"/>
                <w:rFonts w:hint="default" w:ascii="Times New Roman" w:hAnsi="Times New Roman" w:eastAsia="宋体" w:cs="Times New Roman"/>
                <w:sz w:val="18"/>
                <w:szCs w:val="18"/>
              </w:rPr>
              <w:t>关于纳管排污单位氨氮执行标准的复函》（环函【2004】454号），（GB8978-1996）《污水排放综合标准》中氨氮没有限值，可暂时执行建设部（CJ343-2010）《污水排入城镇下水道水质标准》。</w:t>
            </w:r>
          </w:p>
        </w:tc>
      </w:tr>
    </w:tbl>
    <w:p>
      <w:pPr>
        <w:pStyle w:val="3"/>
      </w:pPr>
      <w:bookmarkStart w:id="96" w:name="_Toc497833614"/>
      <w:bookmarkStart w:id="97" w:name="_Toc496520945"/>
      <w:bookmarkStart w:id="98" w:name="_Toc7792"/>
      <w:r>
        <w:t>6.</w:t>
      </w:r>
      <w:r>
        <w:rPr>
          <w:rFonts w:hint="eastAsia"/>
          <w:lang w:val="en-US" w:eastAsia="zh-CN"/>
        </w:rPr>
        <w:t>3</w:t>
      </w:r>
      <w:r>
        <w:t xml:space="preserve"> </w:t>
      </w:r>
      <w:bookmarkEnd w:id="96"/>
      <w:bookmarkEnd w:id="97"/>
      <w:bookmarkStart w:id="99" w:name="_Toc496520952"/>
      <w:bookmarkStart w:id="100" w:name="_Toc427855283"/>
      <w:bookmarkStart w:id="101" w:name="_Toc497833615"/>
      <w:bookmarkStart w:id="102" w:name="_Toc408406387"/>
      <w:r>
        <w:t>噪声执行标准</w:t>
      </w:r>
      <w:bookmarkEnd w:id="98"/>
      <w:bookmarkEnd w:id="99"/>
      <w:bookmarkEnd w:id="100"/>
      <w:bookmarkEnd w:id="101"/>
      <w:bookmarkEnd w:id="102"/>
    </w:p>
    <w:p>
      <w:pPr>
        <w:ind w:firstLine="480" w:firstLineChars="200"/>
      </w:pPr>
      <w:r>
        <w:t>项目厂界噪声执行《工业企业厂界环境噪声排放标准》</w:t>
      </w:r>
      <w:r>
        <w:rPr>
          <w:rFonts w:hint="eastAsia"/>
          <w:lang w:eastAsia="zh-CN"/>
        </w:rPr>
        <w:t>（</w:t>
      </w:r>
      <w:r>
        <w:t>GB12348-2008</w:t>
      </w:r>
      <w:r>
        <w:rPr>
          <w:rFonts w:hint="eastAsia"/>
          <w:lang w:eastAsia="zh-CN"/>
        </w:rPr>
        <w:t>）</w:t>
      </w:r>
      <w:r>
        <w:rPr>
          <w:rFonts w:hint="eastAsia"/>
          <w:lang w:val="en-US" w:eastAsia="zh-CN"/>
        </w:rPr>
        <w:t>3</w:t>
      </w:r>
      <w:r>
        <w:t>类标准，标准限值见表6</w:t>
      </w:r>
      <w:r>
        <w:rPr>
          <w:rFonts w:hint="eastAsia"/>
        </w:rPr>
        <w:t>-3</w:t>
      </w:r>
      <w:r>
        <w:t>。</w:t>
      </w:r>
    </w:p>
    <w:p>
      <w:pPr>
        <w:spacing w:line="240" w:lineRule="auto"/>
        <w:jc w:val="center"/>
        <w:rPr>
          <w:b/>
          <w:bCs/>
          <w:sz w:val="21"/>
          <w:szCs w:val="21"/>
        </w:rPr>
      </w:pPr>
      <w:r>
        <w:rPr>
          <w:b/>
          <w:bCs/>
          <w:sz w:val="21"/>
          <w:szCs w:val="21"/>
        </w:rPr>
        <w:t>表6</w:t>
      </w:r>
      <w:r>
        <w:rPr>
          <w:rFonts w:hint="eastAsia"/>
          <w:b/>
          <w:bCs/>
          <w:sz w:val="21"/>
          <w:szCs w:val="21"/>
        </w:rPr>
        <w:t>-3</w:t>
      </w:r>
      <w:r>
        <w:rPr>
          <w:b/>
          <w:bCs/>
          <w:sz w:val="21"/>
          <w:szCs w:val="21"/>
        </w:rPr>
        <w:t xml:space="preserve">  噪声排放标准限值           单位：dB(A)</w:t>
      </w:r>
    </w:p>
    <w:tbl>
      <w:tblPr>
        <w:tblStyle w:val="23"/>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73"/>
        <w:gridCol w:w="980"/>
        <w:gridCol w:w="981"/>
        <w:gridCol w:w="62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581" w:type="pct"/>
            <w:vMerge w:val="restart"/>
            <w:vAlign w:val="center"/>
          </w:tcPr>
          <w:p>
            <w:pPr>
              <w:spacing w:line="240" w:lineRule="auto"/>
              <w:jc w:val="center"/>
              <w:rPr>
                <w:sz w:val="21"/>
                <w:szCs w:val="21"/>
              </w:rPr>
            </w:pPr>
            <w:r>
              <w:rPr>
                <w:sz w:val="21"/>
                <w:szCs w:val="21"/>
              </w:rPr>
              <w:t>项目</w:t>
            </w:r>
          </w:p>
        </w:tc>
        <w:tc>
          <w:tcPr>
            <w:tcW w:w="1061" w:type="pct"/>
            <w:gridSpan w:val="2"/>
            <w:vAlign w:val="center"/>
          </w:tcPr>
          <w:p>
            <w:pPr>
              <w:spacing w:line="240" w:lineRule="auto"/>
              <w:jc w:val="center"/>
              <w:rPr>
                <w:sz w:val="21"/>
                <w:szCs w:val="21"/>
              </w:rPr>
            </w:pPr>
            <w:r>
              <w:rPr>
                <w:sz w:val="21"/>
                <w:szCs w:val="21"/>
              </w:rPr>
              <w:t>标准限值</w:t>
            </w:r>
          </w:p>
        </w:tc>
        <w:tc>
          <w:tcPr>
            <w:tcW w:w="3356" w:type="pct"/>
            <w:vMerge w:val="restart"/>
            <w:vAlign w:val="center"/>
          </w:tcPr>
          <w:p>
            <w:pPr>
              <w:spacing w:line="240" w:lineRule="auto"/>
              <w:jc w:val="center"/>
              <w:rPr>
                <w:sz w:val="21"/>
                <w:szCs w:val="21"/>
              </w:rPr>
            </w:pPr>
            <w:r>
              <w:rPr>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Merge w:val="continue"/>
            <w:vAlign w:val="center"/>
          </w:tcPr>
          <w:p>
            <w:pPr>
              <w:spacing w:line="240" w:lineRule="auto"/>
              <w:jc w:val="center"/>
              <w:rPr>
                <w:sz w:val="21"/>
                <w:szCs w:val="21"/>
              </w:rPr>
            </w:pPr>
          </w:p>
        </w:tc>
        <w:tc>
          <w:tcPr>
            <w:tcW w:w="530" w:type="pct"/>
            <w:vAlign w:val="center"/>
          </w:tcPr>
          <w:p>
            <w:pPr>
              <w:spacing w:line="240" w:lineRule="auto"/>
              <w:jc w:val="center"/>
              <w:rPr>
                <w:sz w:val="21"/>
                <w:szCs w:val="21"/>
              </w:rPr>
            </w:pPr>
            <w:r>
              <w:rPr>
                <w:sz w:val="21"/>
                <w:szCs w:val="21"/>
              </w:rPr>
              <w:t>昼间</w:t>
            </w:r>
          </w:p>
        </w:tc>
        <w:tc>
          <w:tcPr>
            <w:tcW w:w="530" w:type="pct"/>
            <w:vAlign w:val="center"/>
          </w:tcPr>
          <w:p>
            <w:pPr>
              <w:spacing w:line="240" w:lineRule="auto"/>
              <w:jc w:val="center"/>
              <w:rPr>
                <w:sz w:val="21"/>
                <w:szCs w:val="21"/>
              </w:rPr>
            </w:pPr>
            <w:r>
              <w:rPr>
                <w:sz w:val="21"/>
                <w:szCs w:val="21"/>
              </w:rPr>
              <w:t>夜间</w:t>
            </w:r>
          </w:p>
        </w:tc>
        <w:tc>
          <w:tcPr>
            <w:tcW w:w="3356" w:type="pct"/>
            <w:vMerge w:val="continue"/>
            <w:vAlign w:val="center"/>
          </w:tcPr>
          <w:p>
            <w:pPr>
              <w:spacing w:line="240" w:lineRule="auto"/>
              <w:jc w:val="center"/>
              <w:rPr>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Align w:val="center"/>
          </w:tcPr>
          <w:p>
            <w:pPr>
              <w:spacing w:line="240" w:lineRule="auto"/>
              <w:jc w:val="center"/>
              <w:rPr>
                <w:sz w:val="21"/>
                <w:szCs w:val="21"/>
              </w:rPr>
            </w:pPr>
            <w:r>
              <w:rPr>
                <w:sz w:val="21"/>
                <w:szCs w:val="21"/>
              </w:rPr>
              <w:t>厂界</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65</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55</w:t>
            </w:r>
          </w:p>
        </w:tc>
        <w:tc>
          <w:tcPr>
            <w:tcW w:w="3356" w:type="pct"/>
            <w:vAlign w:val="center"/>
          </w:tcPr>
          <w:p>
            <w:pPr>
              <w:spacing w:line="240" w:lineRule="auto"/>
              <w:jc w:val="center"/>
              <w:rPr>
                <w:sz w:val="21"/>
                <w:szCs w:val="21"/>
              </w:rPr>
            </w:pPr>
            <w:r>
              <w:rPr>
                <w:sz w:val="21"/>
                <w:szCs w:val="21"/>
              </w:rPr>
              <w:t>《工业企业厂界环境噪声排放标准》（GB12348-2008）</w:t>
            </w:r>
            <w:r>
              <w:rPr>
                <w:rFonts w:hint="eastAsia"/>
                <w:sz w:val="21"/>
                <w:szCs w:val="21"/>
                <w:lang w:val="en-US" w:eastAsia="zh-CN"/>
              </w:rPr>
              <w:t>3</w:t>
            </w:r>
            <w:r>
              <w:rPr>
                <w:sz w:val="21"/>
                <w:szCs w:val="21"/>
              </w:rPr>
              <w:t>类标准</w:t>
            </w:r>
          </w:p>
        </w:tc>
      </w:tr>
    </w:tbl>
    <w:p>
      <w:pPr>
        <w:pStyle w:val="3"/>
      </w:pPr>
      <w:bookmarkStart w:id="103" w:name="_Toc534643360"/>
      <w:bookmarkStart w:id="104" w:name="_Toc10440"/>
      <w:r>
        <w:rPr>
          <w:rFonts w:hint="eastAsia"/>
        </w:rPr>
        <w:t>6.</w:t>
      </w:r>
      <w:bookmarkEnd w:id="103"/>
      <w:r>
        <w:rPr>
          <w:rFonts w:hint="eastAsia"/>
          <w:lang w:val="en-US" w:eastAsia="zh-CN"/>
        </w:rPr>
        <w:t>4</w:t>
      </w:r>
      <w:r>
        <w:rPr>
          <w:rFonts w:hint="eastAsia"/>
        </w:rPr>
        <w:t>固体废物污染管控标准要求</w:t>
      </w:r>
      <w:bookmarkEnd w:id="104"/>
    </w:p>
    <w:p>
      <w:pPr>
        <w:ind w:firstLine="480" w:firstLineChars="200"/>
        <w:rPr>
          <w:rFonts w:hint="eastAsia"/>
          <w:lang w:val="en-US" w:eastAsia="zh-CN"/>
        </w:rPr>
      </w:pPr>
      <w:r>
        <w:rPr>
          <w:rFonts w:hint="eastAsia"/>
        </w:rPr>
        <w:t>根据环评及批复要求，</w:t>
      </w:r>
      <w:r>
        <w:rPr>
          <w:rFonts w:hint="eastAsia"/>
          <w:lang w:val="en-US" w:eastAsia="zh-CN"/>
        </w:rPr>
        <w:t>一般工业固体废物执行《一般工业固体废物贮存和填埋污染控制标准》（GB18599-2020），采用库房、包装工具（罐、桶、包装袋等）贮存一般工业固体废物过程的污染控制，其贮存过程应满足相应防渗漏、防雨淋、防扬尘等环境保护要求。危险废物执行《危险废物贮存污染控制标准》（GB18597-2023）和《危险废物收集贮存运输技术规范》（HJ2025-2012）以及《危险废物转移联单管理办法》（国家环境保护总局令第5号）中相关规定。</w:t>
      </w:r>
    </w:p>
    <w:p/>
    <w:p>
      <w:pPr>
        <w:pStyle w:val="11"/>
        <w:sectPr>
          <w:pgSz w:w="11905" w:h="16838"/>
          <w:pgMar w:top="1083" w:right="1440" w:bottom="1083" w:left="1440" w:header="680" w:footer="567" w:gutter="0"/>
          <w:pgBorders>
            <w:top w:val="none" w:sz="0" w:space="0"/>
            <w:left w:val="none" w:sz="0" w:space="0"/>
            <w:bottom w:val="none" w:sz="0" w:space="0"/>
            <w:right w:val="none" w:sz="0" w:space="0"/>
          </w:pgBorders>
          <w:cols w:space="0" w:num="1"/>
          <w:docGrid w:type="lines" w:linePitch="322" w:charSpace="0"/>
        </w:sectPr>
      </w:pPr>
    </w:p>
    <w:p>
      <w:pPr>
        <w:pStyle w:val="2"/>
      </w:pPr>
      <w:bookmarkStart w:id="105" w:name="_Toc497833617"/>
      <w:bookmarkStart w:id="106" w:name="_Toc10651"/>
      <w:r>
        <w:t>7 验收监测内容</w:t>
      </w:r>
      <w:bookmarkEnd w:id="105"/>
      <w:bookmarkEnd w:id="106"/>
    </w:p>
    <w:p>
      <w:pPr>
        <w:pStyle w:val="3"/>
      </w:pPr>
      <w:bookmarkStart w:id="107" w:name="_Toc16467"/>
      <w:bookmarkStart w:id="108" w:name="_Toc11520"/>
      <w:r>
        <w:rPr>
          <w:rFonts w:hint="eastAsia"/>
        </w:rPr>
        <w:t>7.1验收监测内容</w:t>
      </w:r>
      <w:bookmarkEnd w:id="107"/>
      <w:bookmarkEnd w:id="108"/>
    </w:p>
    <w:p>
      <w:pPr>
        <w:ind w:firstLine="480" w:firstLineChars="200"/>
        <w:rPr>
          <w:rFonts w:hint="eastAsia"/>
        </w:rPr>
      </w:pPr>
      <w:r>
        <w:rPr>
          <w:rFonts w:hint="eastAsia"/>
        </w:rPr>
        <w:t>根据环评、环评批复、该项目行业的特征污染物及该项目周围敏感目标的情况，确定了该项目验收监测的监测因子和频次。本次验收监测的监测点位见、因子及频次详见表7-1。本次验收的监测布点示意图详见图 7.1。</w:t>
      </w:r>
    </w:p>
    <w:p>
      <w:pPr>
        <w:spacing w:line="240" w:lineRule="auto"/>
        <w:jc w:val="center"/>
        <w:rPr>
          <w:b/>
          <w:bCs/>
          <w:sz w:val="21"/>
          <w:szCs w:val="21"/>
        </w:rPr>
      </w:pPr>
      <w:r>
        <w:rPr>
          <w:b/>
          <w:bCs/>
          <w:sz w:val="21"/>
          <w:szCs w:val="21"/>
        </w:rPr>
        <w:t>表7-1  监测点位、监测因子等要求一览表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89"/>
        <w:gridCol w:w="2294"/>
        <w:gridCol w:w="3296"/>
        <w:gridCol w:w="15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类别</w:t>
            </w:r>
          </w:p>
        </w:tc>
        <w:tc>
          <w:tcPr>
            <w:tcW w:w="1346"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点位名称和编号</w:t>
            </w:r>
          </w:p>
        </w:tc>
        <w:tc>
          <w:tcPr>
            <w:tcW w:w="1934"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检测项目</w:t>
            </w:r>
          </w:p>
        </w:tc>
        <w:tc>
          <w:tcPr>
            <w:tcW w:w="903" w:type="pct"/>
            <w:noWrap w:val="0"/>
            <w:vAlign w:val="center"/>
          </w:tcPr>
          <w:p>
            <w:pPr>
              <w:widowControl w:val="0"/>
              <w:spacing w:line="240" w:lineRule="auto"/>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检测频次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tcBorders>
              <w:top w:val="single" w:color="auto" w:sz="4" w:space="0"/>
            </w:tcBorders>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生活</w:t>
            </w:r>
            <w:r>
              <w:rPr>
                <w:rFonts w:hint="default" w:ascii="Times New Roman" w:hAnsi="Times New Roman" w:eastAsia="宋体"/>
                <w:color w:val="auto"/>
                <w:sz w:val="21"/>
                <w:szCs w:val="21"/>
                <w:lang w:val="en-US" w:eastAsia="zh-CN"/>
              </w:rPr>
              <w:t>废水</w:t>
            </w:r>
          </w:p>
        </w:tc>
        <w:tc>
          <w:tcPr>
            <w:tcW w:w="1346" w:type="pct"/>
            <w:noWrap w:val="0"/>
            <w:vAlign w:val="center"/>
          </w:tcPr>
          <w:p>
            <w:pPr>
              <w:widowControl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租赁厂房生化池</w:t>
            </w:r>
          </w:p>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排放口（S1）</w:t>
            </w:r>
          </w:p>
        </w:tc>
        <w:tc>
          <w:tcPr>
            <w:tcW w:w="1934"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COD、BOD5、氨氮、SS、石油类、PH</w:t>
            </w:r>
          </w:p>
        </w:tc>
        <w:tc>
          <w:tcPr>
            <w:tcW w:w="903"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4次/天，2天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tcBorders>
              <w:top w:val="single" w:color="auto" w:sz="4" w:space="0"/>
            </w:tcBorders>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生产废水</w:t>
            </w: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一体化设备进出口S1、S2</w:t>
            </w:r>
          </w:p>
        </w:tc>
        <w:tc>
          <w:tcPr>
            <w:tcW w:w="1934" w:type="pct"/>
            <w:noWrap w:val="0"/>
            <w:vAlign w:val="center"/>
          </w:tcPr>
          <w:p>
            <w:pPr>
              <w:widowControl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COD、BOD5、氨氮、SS、石油类、PH</w:t>
            </w:r>
          </w:p>
        </w:tc>
        <w:tc>
          <w:tcPr>
            <w:tcW w:w="903"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4次/天，2天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tcBorders>
              <w:top w:val="single" w:color="auto" w:sz="4" w:space="0"/>
            </w:tcBorders>
            <w:noWrap w:val="0"/>
            <w:vAlign w:val="center"/>
          </w:tcPr>
          <w:p>
            <w:pPr>
              <w:widowControl w:val="0"/>
              <w:spacing w:line="240" w:lineRule="auto"/>
              <w:jc w:val="center"/>
              <w:rPr>
                <w:rFonts w:hint="eastAsia" w:ascii="Times New Roman" w:hAnsi="Times New Roman" w:eastAsia="宋体"/>
                <w:color w:val="auto"/>
                <w:sz w:val="21"/>
                <w:szCs w:val="21"/>
                <w:lang w:val="en-US" w:eastAsia="zh-CN"/>
              </w:rPr>
            </w:pPr>
            <w:r>
              <w:rPr>
                <w:rFonts w:hint="eastAsia"/>
                <w:color w:val="auto"/>
                <w:sz w:val="21"/>
                <w:szCs w:val="21"/>
                <w:lang w:val="en-US" w:eastAsia="zh-CN"/>
              </w:rPr>
              <w:t>有组织废气</w:t>
            </w:r>
          </w:p>
        </w:tc>
        <w:tc>
          <w:tcPr>
            <w:tcW w:w="1346" w:type="pct"/>
            <w:noWrap w:val="0"/>
            <w:vAlign w:val="center"/>
          </w:tcPr>
          <w:p>
            <w:pPr>
              <w:widowControl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Q1 位于生产废气排放口</w:t>
            </w:r>
          </w:p>
        </w:tc>
        <w:tc>
          <w:tcPr>
            <w:tcW w:w="1934" w:type="pct"/>
            <w:noWrap w:val="0"/>
            <w:vAlign w:val="center"/>
          </w:tcPr>
          <w:p>
            <w:pPr>
              <w:widowControl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903" w:type="pct"/>
            <w:vMerge w:val="restar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3次/天，2天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无组织废气</w:t>
            </w: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Q2 位于厂界南侧离厂界 2 米</w:t>
            </w:r>
          </w:p>
        </w:tc>
        <w:tc>
          <w:tcPr>
            <w:tcW w:w="1934"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903" w:type="pct"/>
            <w:vMerge w:val="continue"/>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restart"/>
            <w:noWrap w:val="0"/>
            <w:vAlign w:val="center"/>
          </w:tcPr>
          <w:p>
            <w:pPr>
              <w:widowControl w:val="0"/>
              <w:spacing w:line="240" w:lineRule="auto"/>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val="en-US" w:eastAsia="zh-CN"/>
              </w:rPr>
              <w:t>噪声</w:t>
            </w:r>
          </w:p>
        </w:tc>
        <w:tc>
          <w:tcPr>
            <w:tcW w:w="1346" w:type="pc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厂界</w:t>
            </w:r>
            <w:r>
              <w:rPr>
                <w:rFonts w:hint="eastAsia"/>
                <w:color w:val="auto"/>
                <w:sz w:val="21"/>
                <w:szCs w:val="21"/>
                <w:lang w:val="en-US" w:eastAsia="zh-CN"/>
              </w:rPr>
              <w:t>南</w:t>
            </w:r>
            <w:r>
              <w:rPr>
                <w:rFonts w:hint="default" w:ascii="Times New Roman" w:hAnsi="Times New Roman" w:eastAsia="宋体"/>
                <w:color w:val="auto"/>
                <w:sz w:val="21"/>
                <w:szCs w:val="21"/>
                <w:lang w:val="en-US" w:eastAsia="zh-CN"/>
              </w:rPr>
              <w:t>侧外1m，</w:t>
            </w:r>
            <w:r>
              <w:rPr>
                <w:rFonts w:hint="eastAsia" w:ascii="Times New Roman" w:hAnsi="Times New Roman" w:eastAsia="宋体"/>
                <w:color w:val="auto"/>
                <w:sz w:val="21"/>
                <w:szCs w:val="21"/>
                <w:lang w:val="en-US" w:eastAsia="zh-CN"/>
              </w:rPr>
              <w:t>Z</w:t>
            </w:r>
            <w:r>
              <w:rPr>
                <w:rFonts w:hint="default" w:ascii="Times New Roman" w:hAnsi="Times New Roman" w:eastAsia="宋体"/>
                <w:color w:val="auto"/>
                <w:sz w:val="21"/>
                <w:szCs w:val="21"/>
                <w:lang w:val="en-US" w:eastAsia="zh-CN"/>
              </w:rPr>
              <w:t>1</w:t>
            </w:r>
          </w:p>
        </w:tc>
        <w:tc>
          <w:tcPr>
            <w:tcW w:w="1934" w:type="pct"/>
            <w:vMerge w:val="restart"/>
            <w:noWrap w:val="0"/>
            <w:vAlign w:val="center"/>
          </w:tcPr>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厂界噪声</w:t>
            </w:r>
          </w:p>
        </w:tc>
        <w:tc>
          <w:tcPr>
            <w:tcW w:w="903" w:type="pct"/>
            <w:vMerge w:val="restart"/>
            <w:noWrap w:val="0"/>
            <w:vAlign w:val="center"/>
          </w:tcPr>
          <w:p>
            <w:pPr>
              <w:widowControl w:val="0"/>
              <w:spacing w:line="240" w:lineRule="auto"/>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昼</w:t>
            </w:r>
            <w:r>
              <w:rPr>
                <w:rFonts w:hint="eastAsia"/>
                <w:color w:val="auto"/>
                <w:sz w:val="21"/>
                <w:szCs w:val="21"/>
                <w:lang w:eastAsia="zh-CN"/>
              </w:rPr>
              <w:t>夜</w:t>
            </w:r>
            <w:r>
              <w:rPr>
                <w:rFonts w:hint="default" w:ascii="Times New Roman" w:hAnsi="Times New Roman" w:eastAsia="宋体"/>
                <w:color w:val="auto"/>
                <w:sz w:val="21"/>
                <w:szCs w:val="21"/>
                <w:lang w:val="en-US" w:eastAsia="zh-CN"/>
              </w:rPr>
              <w:t>1</w:t>
            </w:r>
            <w:r>
              <w:rPr>
                <w:rFonts w:hint="default" w:ascii="Times New Roman" w:hAnsi="Times New Roman" w:eastAsia="宋体"/>
                <w:color w:val="auto"/>
                <w:sz w:val="21"/>
                <w:szCs w:val="21"/>
              </w:rPr>
              <w:t>次/天，</w:t>
            </w:r>
          </w:p>
          <w:p>
            <w:pPr>
              <w:widowControl w:val="0"/>
              <w:spacing w:line="240" w:lineRule="auto"/>
              <w:jc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2</w:t>
            </w:r>
            <w:r>
              <w:rPr>
                <w:rFonts w:hint="default" w:ascii="Times New Roman" w:hAnsi="Times New Roman" w:eastAsia="宋体"/>
                <w:color w:val="auto"/>
                <w:sz w:val="21"/>
                <w:szCs w:val="21"/>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val="en-US" w:eastAsia="zh-CN"/>
              </w:rPr>
            </w:pPr>
          </w:p>
        </w:tc>
        <w:tc>
          <w:tcPr>
            <w:tcW w:w="13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color w:val="000000"/>
                <w:kern w:val="2"/>
                <w:sz w:val="22"/>
                <w:szCs w:val="22"/>
                <w:lang w:val="en-US" w:eastAsia="zh-CN" w:bidi="ar-SA"/>
              </w:rPr>
            </w:pPr>
            <w:r>
              <w:rPr>
                <w:rFonts w:hint="default" w:ascii="Times New Roman" w:hAnsi="Times New Roman" w:cs="Times New Roman"/>
                <w:b w:val="0"/>
                <w:color w:val="000000"/>
                <w:kern w:val="2"/>
                <w:sz w:val="22"/>
                <w:szCs w:val="22"/>
                <w:lang w:val="en-US" w:eastAsia="zh-CN" w:bidi="ar-SA"/>
              </w:rPr>
              <w:t>厂界</w:t>
            </w:r>
            <w:r>
              <w:rPr>
                <w:rFonts w:hint="eastAsia" w:cs="Times New Roman"/>
                <w:b w:val="0"/>
                <w:color w:val="000000"/>
                <w:kern w:val="2"/>
                <w:sz w:val="22"/>
                <w:szCs w:val="22"/>
                <w:lang w:val="en-US" w:eastAsia="zh-CN" w:bidi="ar-SA"/>
              </w:rPr>
              <w:t>北</w:t>
            </w:r>
            <w:r>
              <w:rPr>
                <w:rFonts w:hint="default" w:ascii="Times New Roman" w:hAnsi="Times New Roman" w:cs="Times New Roman"/>
                <w:b w:val="0"/>
                <w:color w:val="000000"/>
                <w:kern w:val="2"/>
                <w:sz w:val="22"/>
                <w:szCs w:val="22"/>
                <w:lang w:val="en-US" w:eastAsia="zh-CN" w:bidi="ar-SA"/>
              </w:rPr>
              <w:t>侧外1m，</w:t>
            </w:r>
            <w:r>
              <w:rPr>
                <w:rFonts w:hint="eastAsia" w:cs="Times New Roman"/>
                <w:b w:val="0"/>
                <w:color w:val="000000"/>
                <w:kern w:val="2"/>
                <w:sz w:val="22"/>
                <w:szCs w:val="22"/>
                <w:lang w:val="en-US" w:eastAsia="zh-CN" w:bidi="ar-SA"/>
              </w:rPr>
              <w:t>Z</w:t>
            </w:r>
            <w:r>
              <w:rPr>
                <w:rFonts w:hint="eastAsia" w:cs="Times New Roman"/>
                <w:b w:val="0"/>
                <w:color w:val="000000"/>
                <w:kern w:val="2"/>
                <w:sz w:val="22"/>
                <w:szCs w:val="22"/>
                <w:vertAlign w:val="baseline"/>
                <w:lang w:val="en-US" w:eastAsia="zh-CN" w:bidi="ar-SA"/>
              </w:rPr>
              <w:t>2</w:t>
            </w:r>
          </w:p>
        </w:tc>
        <w:tc>
          <w:tcPr>
            <w:tcW w:w="1934" w:type="pct"/>
            <w:vMerge w:val="continue"/>
            <w:noWrap w:val="0"/>
            <w:vAlign w:val="center"/>
          </w:tcPr>
          <w:p>
            <w:pPr>
              <w:keepNext w:val="0"/>
              <w:keepLines w:val="0"/>
              <w:pageBreakBefore w:val="0"/>
              <w:widowControl w:val="0"/>
              <w:tabs>
                <w:tab w:val="left" w:pos="333"/>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2"/>
                <w:szCs w:val="22"/>
                <w:lang w:val="en-US" w:eastAsia="zh-CN"/>
              </w:rPr>
            </w:pPr>
          </w:p>
        </w:tc>
        <w:tc>
          <w:tcPr>
            <w:tcW w:w="903" w:type="pct"/>
            <w:vMerge w:val="continue"/>
            <w:noWrap w:val="0"/>
            <w:vAlign w:val="center"/>
          </w:tcPr>
          <w:p>
            <w:pPr>
              <w:keepNext w:val="0"/>
              <w:keepLines w:val="0"/>
              <w:pageBreakBefore w:val="0"/>
              <w:widowControl w:val="0"/>
              <w:tabs>
                <w:tab w:val="left" w:pos="333"/>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2"/>
                <w:szCs w:val="22"/>
                <w:lang w:val="en-US" w:eastAsia="zh-CN"/>
              </w:rPr>
            </w:pPr>
          </w:p>
        </w:tc>
      </w:tr>
    </w:tbl>
    <w:p>
      <w:pPr>
        <w:pStyle w:val="30"/>
        <w:jc w:val="center"/>
        <w:rPr>
          <w:rFonts w:hint="eastAsia" w:eastAsia="宋体"/>
          <w:lang w:eastAsia="zh-CN"/>
        </w:rPr>
      </w:pPr>
      <w:r>
        <w:drawing>
          <wp:inline distT="0" distB="0" distL="114300" distR="114300">
            <wp:extent cx="5271770" cy="3902075"/>
            <wp:effectExtent l="0" t="0" r="50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71770" cy="3902075"/>
                    </a:xfrm>
                    <a:prstGeom prst="rect">
                      <a:avLst/>
                    </a:prstGeom>
                    <a:noFill/>
                    <a:ln>
                      <a:noFill/>
                    </a:ln>
                  </pic:spPr>
                </pic:pic>
              </a:graphicData>
            </a:graphic>
          </wp:inline>
        </w:drawing>
      </w:r>
    </w:p>
    <w:p>
      <w:pPr>
        <w:pStyle w:val="30"/>
      </w:pPr>
    </w:p>
    <w:p>
      <w:pPr>
        <w:jc w:val="center"/>
      </w:pPr>
      <w:bookmarkStart w:id="109" w:name="_Toc497833622"/>
      <w:r>
        <w:drawing>
          <wp:inline distT="0" distB="0" distL="114300" distR="114300">
            <wp:extent cx="5241925" cy="2032000"/>
            <wp:effectExtent l="0" t="0" r="158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rcRect l="10100" r="3893"/>
                    <a:stretch>
                      <a:fillRect/>
                    </a:stretch>
                  </pic:blipFill>
                  <pic:spPr>
                    <a:xfrm>
                      <a:off x="0" y="0"/>
                      <a:ext cx="5241925" cy="2032000"/>
                    </a:xfrm>
                    <a:prstGeom prst="rect">
                      <a:avLst/>
                    </a:prstGeom>
                    <a:noFill/>
                    <a:ln>
                      <a:noFill/>
                    </a:ln>
                  </pic:spPr>
                </pic:pic>
              </a:graphicData>
            </a:graphic>
          </wp:inline>
        </w:drawing>
      </w:r>
      <w:r>
        <w:drawing>
          <wp:inline distT="0" distB="0" distL="114300" distR="114300">
            <wp:extent cx="5000625" cy="609600"/>
            <wp:effectExtent l="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5000625" cy="609600"/>
                    </a:xfrm>
                    <a:prstGeom prst="rect">
                      <a:avLst/>
                    </a:prstGeom>
                    <a:noFill/>
                    <a:ln>
                      <a:noFill/>
                    </a:ln>
                  </pic:spPr>
                </pic:pic>
              </a:graphicData>
            </a:graphic>
          </wp:inline>
        </w:drawing>
      </w:r>
    </w:p>
    <w:p>
      <w:pPr>
        <w:jc w:val="center"/>
        <w:rPr>
          <w:rFonts w:cs="Times New Roman"/>
          <w:b/>
          <w:bCs/>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图</w:t>
      </w:r>
      <w:r>
        <w:rPr>
          <w:rFonts w:hint="eastAsia"/>
          <w:b/>
          <w:bCs/>
          <w:color w:val="000000" w:themeColor="text1"/>
          <w:sz w:val="21"/>
          <w:szCs w:val="21"/>
          <w:lang w:val="en-US" w:eastAsia="zh-CN"/>
          <w14:textFill>
            <w14:solidFill>
              <w14:schemeClr w14:val="tx1"/>
            </w14:solidFill>
          </w14:textFill>
        </w:rPr>
        <w:t xml:space="preserve">7.1 </w:t>
      </w:r>
      <w:r>
        <w:rPr>
          <w:rFonts w:cs="Times New Roman"/>
          <w:b/>
          <w:bCs/>
          <w:color w:val="000000" w:themeColor="text1"/>
          <w:sz w:val="21"/>
          <w:szCs w:val="21"/>
          <w14:textFill>
            <w14:solidFill>
              <w14:schemeClr w14:val="tx1"/>
            </w14:solidFill>
          </w14:textFill>
        </w:rPr>
        <w:t>监测布点示意图</w:t>
      </w:r>
    </w:p>
    <w:p>
      <w:pPr>
        <w:rPr>
          <w:rFonts w:hint="default"/>
          <w:lang w:val="en-US" w:eastAsia="zh-CN"/>
        </w:rPr>
        <w:sectPr>
          <w:pgSz w:w="11906" w:h="16838"/>
          <w:pgMar w:top="1440" w:right="1800" w:bottom="1440" w:left="1800" w:header="1077" w:footer="992" w:gutter="0"/>
          <w:pgBorders>
            <w:top w:val="none" w:sz="0" w:space="0"/>
            <w:left w:val="none" w:sz="0" w:space="0"/>
            <w:bottom w:val="none" w:sz="0" w:space="0"/>
            <w:right w:val="none" w:sz="0" w:space="0"/>
          </w:pgBorders>
          <w:cols w:space="720" w:num="1"/>
          <w:docGrid w:type="lines" w:linePitch="312" w:charSpace="0"/>
        </w:sectPr>
      </w:pPr>
    </w:p>
    <w:p>
      <w:pPr>
        <w:pStyle w:val="2"/>
      </w:pPr>
      <w:bookmarkStart w:id="110" w:name="_Toc8417"/>
      <w:r>
        <w:t>8 质量保证及质量控制</w:t>
      </w:r>
      <w:bookmarkEnd w:id="109"/>
      <w:bookmarkEnd w:id="110"/>
    </w:p>
    <w:p>
      <w:pPr>
        <w:pStyle w:val="3"/>
      </w:pPr>
      <w:bookmarkStart w:id="111" w:name="_Toc497833623"/>
      <w:bookmarkStart w:id="112" w:name="_Toc23552"/>
      <w:bookmarkStart w:id="113" w:name="bookmark2"/>
      <w:r>
        <w:t>8.1</w:t>
      </w:r>
      <w:bookmarkEnd w:id="111"/>
      <w:r>
        <w:rPr>
          <w:rFonts w:hint="eastAsia"/>
        </w:rPr>
        <w:t>检测分析方法及仪器设备</w:t>
      </w:r>
      <w:bookmarkEnd w:id="112"/>
    </w:p>
    <w:p>
      <w:r>
        <w:t>项目</w:t>
      </w:r>
      <w:r>
        <w:rPr>
          <w:rFonts w:hint="eastAsia"/>
          <w:lang w:eastAsia="zh-CN"/>
        </w:rPr>
        <w:t>监测所使用</w:t>
      </w:r>
      <w:r>
        <w:rPr>
          <w:rFonts w:hint="eastAsia"/>
          <w:lang w:val="en-US" w:eastAsia="zh-CN"/>
        </w:rPr>
        <w:t>检测分析方法及仪器设备</w:t>
      </w:r>
      <w:r>
        <w:t>详见表8.</w:t>
      </w:r>
      <w:r>
        <w:rPr>
          <w:rFonts w:hint="eastAsia"/>
          <w:lang w:val="en-US" w:eastAsia="zh-CN"/>
        </w:rPr>
        <w:t>1</w:t>
      </w:r>
      <w:r>
        <w:t>。</w:t>
      </w:r>
    </w:p>
    <w:p>
      <w:pPr>
        <w:spacing w:line="360" w:lineRule="auto"/>
        <w:jc w:val="center"/>
        <w:rPr>
          <w:b/>
          <w:bCs/>
          <w:sz w:val="21"/>
          <w:szCs w:val="21"/>
        </w:rPr>
      </w:pPr>
      <w:r>
        <w:rPr>
          <w:b/>
          <w:bCs/>
          <w:sz w:val="21"/>
          <w:szCs w:val="21"/>
        </w:rPr>
        <w:t xml:space="preserve">表8-1  </w:t>
      </w:r>
      <w:r>
        <w:rPr>
          <w:rFonts w:hint="eastAsia"/>
          <w:b/>
          <w:bCs/>
          <w:sz w:val="21"/>
          <w:szCs w:val="21"/>
          <w:lang w:val="en-US" w:eastAsia="zh-CN"/>
        </w:rPr>
        <w:t>检测分析方法及仪器设备一览表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4017"/>
        <w:gridCol w:w="3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检测类型</w:t>
            </w:r>
          </w:p>
        </w:tc>
        <w:tc>
          <w:tcPr>
            <w:tcW w:w="2357"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采样方法</w:t>
            </w:r>
          </w:p>
        </w:tc>
        <w:tc>
          <w:tcPr>
            <w:tcW w:w="1824"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采样仪器名称型号及编号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noWrap w:val="0"/>
            <w:vAlign w:val="center"/>
          </w:tcPr>
          <w:p>
            <w:pPr>
              <w:spacing w:line="240" w:lineRule="auto"/>
              <w:jc w:val="center"/>
              <w:rPr>
                <w:rFonts w:hint="default" w:ascii="Times New Roman" w:hAnsi="Times New Roman" w:eastAsia="宋体"/>
                <w:sz w:val="21"/>
                <w:szCs w:val="21"/>
                <w:lang w:val="en-US" w:eastAsia="zh-CN"/>
              </w:rPr>
            </w:pP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有组织废气</w:t>
            </w:r>
          </w:p>
        </w:tc>
        <w:tc>
          <w:tcPr>
            <w:tcW w:w="2357"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固定污染源排气中颗粒物测定</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与气态污染物采样方法 GB/T 16157-1996</w:t>
            </w:r>
          </w:p>
        </w:tc>
        <w:tc>
          <w:tcPr>
            <w:tcW w:w="1824" w:type="pct"/>
            <w:noWrap w:val="0"/>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微电脑烟尘平行采样仪TH-880F/A-003</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真空采样箱/B-042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无组织废气</w:t>
            </w:r>
          </w:p>
        </w:tc>
        <w:tc>
          <w:tcPr>
            <w:tcW w:w="2357"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大气污染物无组织排放监测技术导则 HJ/T 55-2000</w:t>
            </w:r>
          </w:p>
        </w:tc>
        <w:tc>
          <w:tcPr>
            <w:tcW w:w="1824"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真空采样箱/B-042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废水</w:t>
            </w:r>
          </w:p>
        </w:tc>
        <w:tc>
          <w:tcPr>
            <w:tcW w:w="2357"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污水监测技术规范 HJ 91.1-2019</w:t>
            </w:r>
          </w:p>
        </w:tc>
        <w:tc>
          <w:tcPr>
            <w:tcW w:w="1824"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采水器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备 注</w:t>
            </w:r>
          </w:p>
        </w:tc>
        <w:tc>
          <w:tcPr>
            <w:tcW w:w="4181" w:type="pct"/>
            <w:gridSpan w:val="2"/>
            <w:noWrap w:val="0"/>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仪器均在检定/校准有效期内使用。</w:t>
            </w:r>
          </w:p>
        </w:tc>
      </w:tr>
      <w:bookmarkEnd w:id="113"/>
    </w:tbl>
    <w:p>
      <w:pPr>
        <w:spacing w:line="360" w:lineRule="auto"/>
        <w:jc w:val="center"/>
        <w:rPr>
          <w:rFonts w:ascii="Times New Roman" w:hAnsi="Times New Roman" w:eastAsia="宋体"/>
          <w:b/>
          <w:bCs/>
          <w:sz w:val="21"/>
          <w:szCs w:val="21"/>
        </w:rPr>
      </w:pPr>
      <w:bookmarkStart w:id="114" w:name="_Toc25563"/>
      <w:r>
        <w:rPr>
          <w:rFonts w:hint="eastAsia" w:ascii="Times New Roman" w:hAnsi="Times New Roman" w:eastAsia="宋体"/>
          <w:b/>
          <w:bCs/>
          <w:sz w:val="21"/>
          <w:szCs w:val="21"/>
          <w:lang w:val="en-US" w:eastAsia="zh-CN"/>
        </w:rPr>
        <w:t xml:space="preserve">8-2    </w:t>
      </w:r>
      <w:r>
        <w:rPr>
          <w:rFonts w:hint="eastAsia" w:ascii="Times New Roman" w:hAnsi="Times New Roman" w:eastAsia="宋体"/>
          <w:b/>
          <w:bCs/>
          <w:sz w:val="21"/>
          <w:szCs w:val="21"/>
        </w:rPr>
        <w:t>检测分析方法一览表</w:t>
      </w:r>
    </w:p>
    <w:tbl>
      <w:tblPr>
        <w:tblStyle w:val="23"/>
        <w:tblW w:w="50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1"/>
        <w:gridCol w:w="1178"/>
        <w:gridCol w:w="3678"/>
        <w:gridCol w:w="2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673"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检测类型</w:t>
            </w:r>
          </w:p>
        </w:tc>
        <w:tc>
          <w:tcPr>
            <w:tcW w:w="701"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项目</w:t>
            </w:r>
          </w:p>
        </w:tc>
        <w:tc>
          <w:tcPr>
            <w:tcW w:w="2188"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检测方法</w:t>
            </w:r>
          </w:p>
        </w:tc>
        <w:tc>
          <w:tcPr>
            <w:tcW w:w="1436"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检测仪器名称型号及编号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3"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有组织废气</w:t>
            </w:r>
          </w:p>
        </w:tc>
        <w:tc>
          <w:tcPr>
            <w:tcW w:w="701"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非甲烷总烃</w:t>
            </w:r>
          </w:p>
        </w:tc>
        <w:tc>
          <w:tcPr>
            <w:tcW w:w="2188"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固定污染源废气 总烃、甲烷和非甲烷总烃的测定 气相色谱法 HJ 38-2017</w:t>
            </w:r>
          </w:p>
        </w:tc>
        <w:tc>
          <w:tcPr>
            <w:tcW w:w="1436"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气相色谱仪</w:t>
            </w:r>
          </w:p>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GC9790Ⅱ/A-028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3"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无组织废气</w:t>
            </w:r>
          </w:p>
        </w:tc>
        <w:tc>
          <w:tcPr>
            <w:tcW w:w="701"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非甲烷总烃</w:t>
            </w:r>
          </w:p>
        </w:tc>
        <w:tc>
          <w:tcPr>
            <w:tcW w:w="2188"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环境空气 总烃、甲烷和非甲烷总烃的测定 直接进样-气相色谱法 HJ 604-2017</w:t>
            </w:r>
          </w:p>
        </w:tc>
        <w:tc>
          <w:tcPr>
            <w:tcW w:w="1436"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气相色谱仪</w:t>
            </w:r>
          </w:p>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GC9790Ⅱ/A-028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3" w:type="pct"/>
            <w:vMerge w:val="restart"/>
            <w:vAlign w:val="center"/>
          </w:tcPr>
          <w:p>
            <w:pPr>
              <w:spacing w:line="240" w:lineRule="auto"/>
              <w:jc w:val="center"/>
              <w:rPr>
                <w:rFonts w:hint="default" w:ascii="Times New Roman" w:hAnsi="Times New Roman" w:eastAsia="宋体"/>
                <w:sz w:val="21"/>
                <w:szCs w:val="21"/>
                <w:lang w:val="en-US" w:eastAsia="zh-CN"/>
              </w:rPr>
            </w:pPr>
          </w:p>
          <w:p>
            <w:pPr>
              <w:spacing w:line="240" w:lineRule="auto"/>
              <w:jc w:val="center"/>
              <w:rPr>
                <w:rFonts w:hint="default" w:ascii="Times New Roman" w:hAnsi="Times New Roman" w:eastAsia="宋体"/>
                <w:sz w:val="21"/>
                <w:szCs w:val="21"/>
                <w:lang w:val="en-US" w:eastAsia="zh-CN"/>
              </w:rPr>
            </w:pPr>
          </w:p>
          <w:p>
            <w:pPr>
              <w:spacing w:line="240" w:lineRule="auto"/>
              <w:jc w:val="center"/>
              <w:rPr>
                <w:rFonts w:hint="default" w:ascii="Times New Roman" w:hAnsi="Times New Roman" w:eastAsia="宋体"/>
                <w:sz w:val="21"/>
                <w:szCs w:val="21"/>
                <w:lang w:val="en-US" w:eastAsia="zh-CN"/>
              </w:rPr>
            </w:pPr>
          </w:p>
          <w:p>
            <w:pPr>
              <w:spacing w:line="240" w:lineRule="auto"/>
              <w:jc w:val="center"/>
              <w:rPr>
                <w:rFonts w:hint="default" w:ascii="Times New Roman" w:hAnsi="Times New Roman" w:eastAsia="宋体"/>
                <w:sz w:val="21"/>
                <w:szCs w:val="21"/>
                <w:lang w:val="en-US" w:eastAsia="zh-CN"/>
              </w:rPr>
            </w:pPr>
          </w:p>
          <w:p>
            <w:pPr>
              <w:spacing w:line="240" w:lineRule="auto"/>
              <w:jc w:val="center"/>
              <w:rPr>
                <w:rFonts w:hint="default" w:ascii="Times New Roman" w:hAnsi="Times New Roman" w:eastAsia="宋体"/>
                <w:sz w:val="21"/>
                <w:szCs w:val="21"/>
                <w:lang w:val="en-US" w:eastAsia="zh-CN"/>
              </w:rPr>
            </w:pPr>
          </w:p>
          <w:p>
            <w:pPr>
              <w:spacing w:line="240" w:lineRule="auto"/>
              <w:jc w:val="center"/>
              <w:rPr>
                <w:rFonts w:hint="default" w:ascii="Times New Roman" w:hAnsi="Times New Roman" w:eastAsia="宋体"/>
                <w:sz w:val="21"/>
                <w:szCs w:val="21"/>
                <w:lang w:val="en-US" w:eastAsia="zh-CN"/>
              </w:rPr>
            </w:pPr>
          </w:p>
          <w:p>
            <w:pPr>
              <w:spacing w:line="240" w:lineRule="auto"/>
              <w:jc w:val="center"/>
              <w:rPr>
                <w:rFonts w:hint="default" w:ascii="Times New Roman" w:hAnsi="Times New Roman" w:eastAsia="宋体"/>
                <w:sz w:val="21"/>
                <w:szCs w:val="21"/>
                <w:lang w:val="en-US" w:eastAsia="zh-CN"/>
              </w:rPr>
            </w:pP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废水</w:t>
            </w:r>
          </w:p>
        </w:tc>
        <w:tc>
          <w:tcPr>
            <w:tcW w:w="701"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pH 值</w:t>
            </w:r>
          </w:p>
        </w:tc>
        <w:tc>
          <w:tcPr>
            <w:tcW w:w="2188"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pH 值的测定</w:t>
            </w:r>
            <w:r>
              <w:rPr>
                <w:rFonts w:hint="eastAsia" w:ascii="Times New Roman" w:hAnsi="Times New Roman" w:eastAsia="宋体"/>
                <w:sz w:val="21"/>
                <w:szCs w:val="21"/>
                <w:lang w:val="en-US" w:eastAsia="zh-CN"/>
              </w:rPr>
              <w:t xml:space="preserve"> </w:t>
            </w:r>
            <w:r>
              <w:rPr>
                <w:rFonts w:hint="default" w:ascii="Times New Roman" w:hAnsi="Times New Roman" w:eastAsia="宋体"/>
                <w:sz w:val="21"/>
                <w:szCs w:val="21"/>
                <w:lang w:val="en-US" w:eastAsia="zh-CN"/>
              </w:rPr>
              <w:t>电极法</w:t>
            </w:r>
          </w:p>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HJ 1147-2020</w:t>
            </w:r>
          </w:p>
        </w:tc>
        <w:tc>
          <w:tcPr>
            <w:tcW w:w="1436"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便携式pH 计</w:t>
            </w:r>
          </w:p>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ST20/A-034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3"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01"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悬浮物</w:t>
            </w:r>
          </w:p>
        </w:tc>
        <w:tc>
          <w:tcPr>
            <w:tcW w:w="2188"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悬浮物的测定重量法 GB/T 11901-1989</w:t>
            </w:r>
          </w:p>
        </w:tc>
        <w:tc>
          <w:tcPr>
            <w:tcW w:w="1436"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万分之一电子天平 FA2004B/A-002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3" w:type="pct"/>
            <w:vMerge w:val="continue"/>
            <w:vAlign w:val="center"/>
          </w:tcPr>
          <w:p>
            <w:pPr>
              <w:spacing w:line="240" w:lineRule="auto"/>
              <w:jc w:val="center"/>
              <w:rPr>
                <w:rFonts w:hint="eastAsia" w:ascii="Times New Roman" w:hAnsi="Times New Roman" w:eastAsia="宋体"/>
                <w:sz w:val="21"/>
                <w:szCs w:val="21"/>
                <w:lang w:val="en-US" w:eastAsia="zh-CN"/>
              </w:rPr>
            </w:pPr>
          </w:p>
        </w:tc>
        <w:tc>
          <w:tcPr>
            <w:tcW w:w="701"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五日生化</w:t>
            </w:r>
          </w:p>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需氧量</w:t>
            </w:r>
          </w:p>
        </w:tc>
        <w:tc>
          <w:tcPr>
            <w:tcW w:w="2188"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五日生化需氧量（BOD</w:t>
            </w:r>
            <w:r>
              <w:rPr>
                <w:rFonts w:hint="default" w:ascii="Times New Roman" w:hAnsi="Times New Roman" w:eastAsia="宋体"/>
                <w:sz w:val="21"/>
                <w:szCs w:val="21"/>
                <w:vertAlign w:val="subscript"/>
                <w:lang w:val="en-US" w:eastAsia="zh-CN"/>
              </w:rPr>
              <w:t>5</w:t>
            </w:r>
            <w:r>
              <w:rPr>
                <w:rFonts w:hint="default" w:ascii="Times New Roman" w:hAnsi="Times New Roman" w:eastAsia="宋体"/>
                <w:sz w:val="21"/>
                <w:szCs w:val="21"/>
                <w:lang w:val="en-US" w:eastAsia="zh-CN"/>
              </w:rPr>
              <w:t>）的测定  稀释与接种法 HJ 505-2009</w:t>
            </w:r>
          </w:p>
        </w:tc>
        <w:tc>
          <w:tcPr>
            <w:tcW w:w="1436"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便携式溶解氧仪 JPB607A/A-005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3" w:type="pct"/>
            <w:vMerge w:val="continue"/>
            <w:vAlign w:val="center"/>
          </w:tcPr>
          <w:p>
            <w:pPr>
              <w:spacing w:line="240" w:lineRule="auto"/>
              <w:jc w:val="center"/>
              <w:rPr>
                <w:rFonts w:hint="default" w:ascii="Times New Roman" w:hAnsi="Times New Roman" w:eastAsia="宋体"/>
                <w:sz w:val="21"/>
                <w:szCs w:val="21"/>
                <w:lang w:val="en-US" w:eastAsia="zh-CN"/>
              </w:rPr>
            </w:pPr>
          </w:p>
        </w:tc>
        <w:tc>
          <w:tcPr>
            <w:tcW w:w="701"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化学需氧量</w:t>
            </w:r>
          </w:p>
        </w:tc>
        <w:tc>
          <w:tcPr>
            <w:tcW w:w="2188"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化学需氧量的测定 重铬酸盐法 HJ 828—2017</w:t>
            </w:r>
          </w:p>
        </w:tc>
        <w:tc>
          <w:tcPr>
            <w:tcW w:w="1436"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具塞式滴定管</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50mL/C-003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73" w:type="pct"/>
            <w:vMerge w:val="continue"/>
            <w:vAlign w:val="center"/>
          </w:tcPr>
          <w:p>
            <w:pPr>
              <w:spacing w:line="240" w:lineRule="auto"/>
              <w:jc w:val="center"/>
              <w:rPr>
                <w:rFonts w:hint="eastAsia" w:ascii="Times New Roman" w:hAnsi="Times New Roman" w:eastAsia="宋体"/>
                <w:sz w:val="21"/>
                <w:szCs w:val="21"/>
                <w:lang w:val="en-US" w:eastAsia="zh-CN"/>
              </w:rPr>
            </w:pPr>
          </w:p>
        </w:tc>
        <w:tc>
          <w:tcPr>
            <w:tcW w:w="701"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氨氮</w:t>
            </w:r>
          </w:p>
        </w:tc>
        <w:tc>
          <w:tcPr>
            <w:tcW w:w="2188"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水质 氨氮的测定纳氏试剂分光光度法 HJ 535-2009</w:t>
            </w:r>
          </w:p>
        </w:tc>
        <w:tc>
          <w:tcPr>
            <w:tcW w:w="1436"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紫外可见分光光度计 TU-1810DPC/A-010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73" w:type="pct"/>
            <w:vMerge w:val="continue"/>
            <w:vAlign w:val="center"/>
          </w:tcPr>
          <w:p>
            <w:pPr>
              <w:spacing w:line="240" w:lineRule="auto"/>
              <w:jc w:val="center"/>
              <w:rPr>
                <w:rFonts w:hint="eastAsia" w:ascii="Times New Roman" w:hAnsi="Times New Roman" w:eastAsia="宋体"/>
                <w:sz w:val="21"/>
                <w:szCs w:val="21"/>
                <w:lang w:val="en-US" w:eastAsia="zh-CN"/>
              </w:rPr>
            </w:pPr>
          </w:p>
        </w:tc>
        <w:tc>
          <w:tcPr>
            <w:tcW w:w="701"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石油类</w:t>
            </w:r>
          </w:p>
        </w:tc>
        <w:tc>
          <w:tcPr>
            <w:tcW w:w="2188"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水质  石油类和动植物油类的测定 </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红外分光光度法 HJ 637-2018</w:t>
            </w:r>
          </w:p>
        </w:tc>
        <w:tc>
          <w:tcPr>
            <w:tcW w:w="1436"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红外分光测油仪 OIL460/A-004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73"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噪声</w:t>
            </w:r>
          </w:p>
        </w:tc>
        <w:tc>
          <w:tcPr>
            <w:tcW w:w="701"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厂界噪声</w:t>
            </w:r>
          </w:p>
        </w:tc>
        <w:tc>
          <w:tcPr>
            <w:tcW w:w="2188"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工业企业厂界环境噪声排放标准</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 xml:space="preserve"> GB12348-2008（5 测量方法）</w:t>
            </w:r>
          </w:p>
        </w:tc>
        <w:tc>
          <w:tcPr>
            <w:tcW w:w="1436" w:type="pct"/>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多功能声级计</w:t>
            </w:r>
          </w:p>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AWA5688/A-011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73" w:type="pct"/>
            <w:vAlign w:val="center"/>
          </w:tcPr>
          <w:p>
            <w:pPr>
              <w:spacing w:line="240" w:lineRule="auto"/>
              <w:jc w:val="center"/>
              <w:rPr>
                <w:rFonts w:hint="eastAsia" w:ascii="Times New Roman" w:hAnsi="Times New Roman" w:eastAsia="宋体"/>
                <w:sz w:val="21"/>
                <w:szCs w:val="21"/>
                <w:lang w:val="en-US" w:eastAsia="zh-CN"/>
              </w:rPr>
            </w:pPr>
            <w:r>
              <w:rPr>
                <w:rFonts w:hint="default" w:ascii="Times New Roman" w:hAnsi="Times New Roman" w:eastAsia="宋体"/>
                <w:sz w:val="21"/>
                <w:szCs w:val="21"/>
                <w:lang w:val="en-US" w:eastAsia="zh-CN"/>
              </w:rPr>
              <w:t>备 注</w:t>
            </w:r>
          </w:p>
        </w:tc>
        <w:tc>
          <w:tcPr>
            <w:tcW w:w="4326" w:type="pct"/>
            <w:gridSpan w:val="3"/>
            <w:vAlign w:val="center"/>
          </w:tcPr>
          <w:p>
            <w:pPr>
              <w:spacing w:line="240" w:lineRule="auto"/>
              <w:jc w:val="center"/>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仪器均在检定/校准有效期内使用。</w:t>
            </w:r>
          </w:p>
        </w:tc>
      </w:tr>
    </w:tbl>
    <w:p>
      <w:pPr>
        <w:pStyle w:val="3"/>
      </w:pPr>
      <w:bookmarkStart w:id="115" w:name="_Toc29582"/>
      <w:r>
        <w:rPr>
          <w:rFonts w:hint="eastAsia"/>
        </w:rPr>
        <w:t>8.</w:t>
      </w:r>
      <w:r>
        <w:rPr>
          <w:rFonts w:hint="eastAsia"/>
          <w:lang w:val="en-US" w:eastAsia="zh-CN"/>
        </w:rPr>
        <w:t>2</w:t>
      </w:r>
      <w:r>
        <w:rPr>
          <w:rFonts w:hint="eastAsia"/>
        </w:rPr>
        <w:t xml:space="preserve"> 质量保证</w:t>
      </w:r>
      <w:bookmarkEnd w:id="114"/>
      <w:bookmarkEnd w:id="115"/>
    </w:p>
    <w:p>
      <w:pPr>
        <w:ind w:firstLine="480" w:firstLineChars="200"/>
        <w:rPr>
          <w:rFonts w:hint="eastAsia" w:eastAsia="宋体"/>
          <w:lang w:eastAsia="zh-CN"/>
        </w:rPr>
      </w:pPr>
      <w:r>
        <w:rPr>
          <w:rFonts w:hint="eastAsia"/>
        </w:rPr>
        <w:t>监测过程中的质量保证措施按国家环境保护总局颁发的《环境监测质量保证管理规定》（暂行）要求进行，实施全过程质量保证。保证了监测过程中生产工况负荷满足验收监测技术规范要求和各监测点位布置的科学性和可比性；监测人员经过考核并持有合格证书；监测数据实行了三级审核制度，经过校对、校核，最后由技术负责人审定。验收监测期间，</w:t>
      </w:r>
      <w:r>
        <w:rPr>
          <w:rFonts w:hint="eastAsia"/>
          <w:lang w:val="zh-CN"/>
        </w:rPr>
        <w:t>重庆象征科技有限公司</w:t>
      </w:r>
      <w:r>
        <w:rPr>
          <w:rFonts w:hint="eastAsia"/>
        </w:rPr>
        <w:t>正常生产。</w:t>
      </w:r>
      <w:r>
        <w:rPr>
          <w:rFonts w:hint="eastAsia"/>
          <w:lang w:eastAsia="zh-CN"/>
        </w:rPr>
        <w:t>重庆象征科技有限公司</w:t>
      </w:r>
      <w:r>
        <w:rPr>
          <w:rFonts w:hint="eastAsia"/>
        </w:rPr>
        <w:t>主要进行废矿物油收集存储</w:t>
      </w:r>
      <w:r>
        <w:rPr>
          <w:rFonts w:hint="eastAsia"/>
          <w:lang w:eastAsia="zh-CN"/>
        </w:rPr>
        <w:t>。</w:t>
      </w:r>
    </w:p>
    <w:p>
      <w:pPr>
        <w:pStyle w:val="3"/>
      </w:pPr>
      <w:bookmarkStart w:id="116" w:name="_Toc7147"/>
      <w:bookmarkStart w:id="117" w:name="_Toc1318"/>
      <w:bookmarkStart w:id="118" w:name="_Toc21160"/>
      <w:bookmarkStart w:id="119" w:name="_Toc27282"/>
      <w:r>
        <w:rPr>
          <w:rFonts w:hint="eastAsia"/>
        </w:rPr>
        <w:t>8.</w:t>
      </w:r>
      <w:r>
        <w:rPr>
          <w:rFonts w:hint="eastAsia"/>
          <w:lang w:val="en-US" w:eastAsia="zh-CN"/>
        </w:rPr>
        <w:t>2</w:t>
      </w:r>
      <w:r>
        <w:rPr>
          <w:rFonts w:hint="eastAsia"/>
        </w:rPr>
        <w:t>.1</w:t>
      </w:r>
      <w:bookmarkStart w:id="120" w:name="_Toc524414941"/>
      <w:bookmarkStart w:id="121" w:name="_Toc524412961"/>
      <w:r>
        <w:rPr>
          <w:rFonts w:hint="eastAsia"/>
          <w:lang w:val="en-US" w:eastAsia="zh-CN"/>
        </w:rPr>
        <w:t>废</w:t>
      </w:r>
      <w:r>
        <w:rPr>
          <w:rFonts w:hint="eastAsia"/>
        </w:rPr>
        <w:t>水</w:t>
      </w:r>
      <w:bookmarkEnd w:id="116"/>
      <w:bookmarkEnd w:id="117"/>
      <w:bookmarkEnd w:id="118"/>
      <w:bookmarkEnd w:id="119"/>
      <w:bookmarkEnd w:id="120"/>
      <w:bookmarkEnd w:id="121"/>
    </w:p>
    <w:p>
      <w:pPr>
        <w:ind w:firstLine="480" w:firstLineChars="200"/>
      </w:pPr>
      <w:r>
        <w:rPr>
          <w:rFonts w:hint="eastAsia"/>
        </w:rPr>
        <w:t>为保证监测数据准确、可靠，在水样的采集、保存、实验室分析和数据计算的全过程按照《环境水质监测质量保证手册（第二版）》的要求进行。按照三个10％的要求，采集10％的平行样，实验室分析过程中做10％的分析平行样。</w:t>
      </w:r>
    </w:p>
    <w:p>
      <w:pPr>
        <w:pStyle w:val="3"/>
      </w:pPr>
      <w:bookmarkStart w:id="122" w:name="_Toc17121"/>
      <w:bookmarkStart w:id="123" w:name="_Toc524414942"/>
      <w:bookmarkStart w:id="124" w:name="_Toc524412962"/>
      <w:bookmarkStart w:id="125" w:name="_Toc20436"/>
      <w:bookmarkStart w:id="126" w:name="_Toc10362"/>
      <w:bookmarkStart w:id="127" w:name="_Toc17195"/>
      <w:r>
        <w:rPr>
          <w:rFonts w:hint="eastAsia"/>
        </w:rPr>
        <w:t>8.</w:t>
      </w:r>
      <w:r>
        <w:rPr>
          <w:rFonts w:hint="eastAsia"/>
          <w:lang w:val="en-US" w:eastAsia="zh-CN"/>
        </w:rPr>
        <w:t>2</w:t>
      </w:r>
      <w:r>
        <w:rPr>
          <w:rFonts w:hint="eastAsia"/>
        </w:rPr>
        <w:t>.2废气</w:t>
      </w:r>
      <w:bookmarkEnd w:id="122"/>
      <w:bookmarkEnd w:id="123"/>
      <w:bookmarkEnd w:id="124"/>
      <w:bookmarkEnd w:id="125"/>
      <w:bookmarkEnd w:id="126"/>
      <w:bookmarkEnd w:id="127"/>
    </w:p>
    <w:p>
      <w:pPr>
        <w:ind w:firstLine="480" w:firstLineChars="200"/>
      </w:pPr>
      <w:r>
        <w:t>技术要求按照《固定源废气监测技术规范HJ/T 397-2007》执行、布点与采样按《空气和废气监测分析方法》</w:t>
      </w:r>
      <w:r>
        <w:rPr>
          <w:rFonts w:hint="eastAsia"/>
          <w:lang w:eastAsia="zh-CN"/>
        </w:rPr>
        <w:t>（</w:t>
      </w:r>
      <w:r>
        <w:t>第四版</w:t>
      </w:r>
      <w:r>
        <w:rPr>
          <w:rFonts w:hint="eastAsia"/>
          <w:lang w:eastAsia="zh-CN"/>
        </w:rPr>
        <w:t>）</w:t>
      </w:r>
      <w:r>
        <w:t>、固定污染源排气中颗粒物测定与气态污染物采样方法 GB/T 16157-1996执行。废气采样器在进入现场前对采样器流量计、流速计等进行校核。室内计量器具在检定有效期内。被测排放物的浓度在仪器测试量程的有效范围即仪器量程的30％～70％之间；避免被测排放物中共存污染物因子对仪器分析的交叉干扰，监测结果可靠。</w:t>
      </w:r>
    </w:p>
    <w:p>
      <w:pPr>
        <w:pStyle w:val="3"/>
      </w:pPr>
      <w:bookmarkStart w:id="128" w:name="_Toc1226"/>
      <w:bookmarkStart w:id="129" w:name="_Toc524414943"/>
      <w:bookmarkStart w:id="130" w:name="_Toc2734"/>
      <w:bookmarkStart w:id="131" w:name="_Toc524412963"/>
      <w:bookmarkStart w:id="132" w:name="_Toc2268"/>
      <w:bookmarkStart w:id="133" w:name="_Toc23645"/>
      <w:r>
        <w:rPr>
          <w:rFonts w:hint="eastAsia"/>
        </w:rPr>
        <w:t>8.</w:t>
      </w:r>
      <w:r>
        <w:rPr>
          <w:rFonts w:hint="eastAsia"/>
          <w:lang w:val="en-US" w:eastAsia="zh-CN"/>
        </w:rPr>
        <w:t>2</w:t>
      </w:r>
      <w:r>
        <w:rPr>
          <w:rFonts w:hint="eastAsia"/>
        </w:rPr>
        <w:t>.3噪声</w:t>
      </w:r>
      <w:bookmarkEnd w:id="128"/>
      <w:bookmarkEnd w:id="129"/>
      <w:bookmarkEnd w:id="130"/>
      <w:bookmarkEnd w:id="131"/>
      <w:bookmarkEnd w:id="132"/>
      <w:bookmarkEnd w:id="133"/>
    </w:p>
    <w:p>
      <w:pPr>
        <w:ind w:firstLine="480" w:firstLineChars="200"/>
        <w:sectPr>
          <w:pgSz w:w="11906" w:h="16838"/>
          <w:pgMar w:top="1440" w:right="1800" w:bottom="1440" w:left="1800" w:header="1020" w:footer="992" w:gutter="0"/>
          <w:pgBorders>
            <w:top w:val="none" w:sz="0" w:space="0"/>
            <w:left w:val="none" w:sz="0" w:space="0"/>
            <w:bottom w:val="none" w:sz="0" w:space="0"/>
            <w:right w:val="none" w:sz="0" w:space="0"/>
          </w:pgBorders>
          <w:cols w:space="720" w:num="1"/>
          <w:docGrid w:type="lines" w:linePitch="312" w:charSpace="0"/>
        </w:sectPr>
      </w:pPr>
      <w:r>
        <w:rPr>
          <w:rFonts w:hint="eastAsia"/>
        </w:rPr>
        <w:t>噪声监测时严格按照国家标准方法的有关规定进行监测。工况正常，天气符合测量要求。测试前后对声级计进行校准，</w:t>
      </w:r>
      <w:r>
        <w:t>测量前后灵敏度相差均</w:t>
      </w:r>
      <w:r>
        <w:rPr>
          <w:rFonts w:hint="eastAsia"/>
        </w:rPr>
        <w:t>在0.5</w:t>
      </w:r>
      <w:r>
        <w:t>dB</w:t>
      </w:r>
      <w:r>
        <w:rPr>
          <w:rFonts w:hint="eastAsia"/>
        </w:rPr>
        <w:t>范围。</w:t>
      </w:r>
    </w:p>
    <w:p>
      <w:pPr>
        <w:pStyle w:val="2"/>
      </w:pPr>
      <w:bookmarkStart w:id="134" w:name="_Toc21504"/>
      <w:r>
        <w:t>9 验收监测结果</w:t>
      </w:r>
      <w:bookmarkEnd w:id="134"/>
    </w:p>
    <w:p>
      <w:pPr>
        <w:keepNext w:val="0"/>
        <w:keepLines w:val="0"/>
        <w:widowControl/>
        <w:suppressLineNumbers w:val="0"/>
        <w:jc w:val="left"/>
        <w:rPr>
          <w:rFonts w:hint="eastAsia"/>
          <w:lang w:eastAsia="zh-CN"/>
        </w:rPr>
      </w:pPr>
      <w:r>
        <w:t>本次验收我公司委托</w:t>
      </w:r>
      <w:r>
        <w:rPr>
          <w:rFonts w:hint="eastAsia"/>
          <w:lang w:eastAsia="zh-CN"/>
        </w:rPr>
        <w:t>重庆新晨环境监测有限公司</w:t>
      </w:r>
      <w:r>
        <w:t>对本项目</w:t>
      </w:r>
      <w:r>
        <w:rPr>
          <w:rFonts w:hint="eastAsia"/>
          <w:lang w:eastAsia="zh-CN"/>
        </w:rPr>
        <w:t>有组织废气、</w:t>
      </w:r>
      <w:r>
        <w:rPr>
          <w:rFonts w:hint="default"/>
        </w:rPr>
        <w:t>无组织废气、</w:t>
      </w:r>
      <w:r>
        <w:rPr>
          <w:rFonts w:hint="eastAsia"/>
          <w:lang w:eastAsia="zh-CN"/>
        </w:rPr>
        <w:t>废水、</w:t>
      </w:r>
      <w:r>
        <w:rPr>
          <w:rFonts w:hint="default"/>
        </w:rPr>
        <w:t>噪声</w:t>
      </w:r>
      <w:r>
        <w:rPr>
          <w:rFonts w:hint="eastAsia"/>
        </w:rPr>
        <w:t>进行了监测</w:t>
      </w:r>
      <w:r>
        <w:rPr>
          <w:rFonts w:hint="eastAsia"/>
          <w:lang w:eastAsia="zh-CN"/>
        </w:rPr>
        <w:t>。监测报告见附件</w:t>
      </w:r>
      <w:r>
        <w:rPr>
          <w:rFonts w:hint="eastAsia"/>
          <w:lang w:val="en-US" w:eastAsia="zh-CN"/>
        </w:rPr>
        <w:t>2</w:t>
      </w:r>
      <w:r>
        <w:rPr>
          <w:rFonts w:hint="eastAsia"/>
          <w:lang w:eastAsia="zh-CN"/>
        </w:rPr>
        <w:t>新晨（检）字﹝2023﹞第1000号、</w:t>
      </w:r>
      <w:r>
        <w:rPr>
          <w:rFonts w:hint="eastAsia"/>
          <w:lang w:val="en-US" w:eastAsia="zh-CN"/>
        </w:rPr>
        <w:t>新晨（检）字﹝2023﹞第 1168 号</w:t>
      </w:r>
      <w:r>
        <w:rPr>
          <w:rFonts w:hint="eastAsia"/>
          <w:lang w:eastAsia="zh-CN"/>
        </w:rPr>
        <w:t>。具体监测和分析结果如下：</w:t>
      </w:r>
    </w:p>
    <w:p>
      <w:pPr>
        <w:pStyle w:val="3"/>
      </w:pPr>
      <w:bookmarkStart w:id="135" w:name="_Toc497833630"/>
      <w:bookmarkStart w:id="136" w:name="_Toc24288"/>
      <w:r>
        <w:t>9.1生产工况</w:t>
      </w:r>
      <w:bookmarkEnd w:id="135"/>
      <w:bookmarkEnd w:id="136"/>
    </w:p>
    <w:p>
      <w:pPr>
        <w:ind w:firstLine="480" w:firstLineChars="200"/>
        <w:rPr>
          <w:rFonts w:hint="eastAsia"/>
          <w:lang w:val="en-US" w:eastAsia="zh-CN"/>
        </w:rPr>
      </w:pPr>
      <w:r>
        <w:rPr>
          <w:rFonts w:hint="eastAsia"/>
          <w:lang w:val="en-US" w:eastAsia="zh-CN"/>
        </w:rPr>
        <w:t>重庆象征科技有限公司主要</w:t>
      </w:r>
      <w:r>
        <w:rPr>
          <w:rFonts w:hint="default" w:ascii="Times New Roman" w:hAnsi="Times New Roman" w:cs="Times New Roman"/>
          <w:lang w:val="en-US" w:eastAsia="zh-CN"/>
        </w:rPr>
        <w:t>进行</w:t>
      </w:r>
      <w:r>
        <w:rPr>
          <w:rFonts w:hint="default" w:ascii="Times New Roman" w:hAnsi="Times New Roman" w:eastAsia="宋体" w:cs="Times New Roman"/>
          <w:spacing w:val="-4"/>
          <w:kern w:val="2"/>
          <w:sz w:val="24"/>
          <w:szCs w:val="24"/>
          <w:lang w:val="en-US" w:eastAsia="zh-CN" w:bidi="zh-CN"/>
        </w:rPr>
        <w:t>2.5D/3D 手</w:t>
      </w:r>
      <w:r>
        <w:rPr>
          <w:rFonts w:hint="eastAsia" w:ascii="宋体" w:hAnsi="宋体" w:eastAsia="宋体" w:cs="宋体"/>
          <w:spacing w:val="-4"/>
          <w:kern w:val="2"/>
          <w:sz w:val="24"/>
          <w:szCs w:val="24"/>
          <w:lang w:val="en-US" w:eastAsia="zh-CN" w:bidi="zh-CN"/>
        </w:rPr>
        <w:t>机、笔电消费电子玻璃盖板</w:t>
      </w:r>
      <w:r>
        <w:rPr>
          <w:rFonts w:hint="eastAsia" w:ascii="宋体" w:hAnsi="宋体" w:cs="宋体"/>
          <w:spacing w:val="-4"/>
          <w:kern w:val="2"/>
          <w:sz w:val="24"/>
          <w:szCs w:val="24"/>
          <w:lang w:val="en-US" w:eastAsia="zh-CN" w:bidi="zh-CN"/>
        </w:rPr>
        <w:t>生产</w:t>
      </w:r>
      <w:r>
        <w:rPr>
          <w:rFonts w:hint="eastAsia"/>
          <w:lang w:val="en-US" w:eastAsia="zh-CN"/>
        </w:rPr>
        <w:t>，验收监测期间，重庆象征科技有限公司处理工况和环保设施运行正常。</w:t>
      </w:r>
    </w:p>
    <w:p>
      <w:pPr>
        <w:pStyle w:val="3"/>
      </w:pPr>
      <w:bookmarkStart w:id="137" w:name="_Toc30361"/>
      <w:bookmarkStart w:id="138" w:name="_Toc497833631"/>
      <w:r>
        <w:t>9.2 环境保护设施调试效果</w:t>
      </w:r>
      <w:bookmarkEnd w:id="137"/>
      <w:bookmarkEnd w:id="138"/>
    </w:p>
    <w:p>
      <w:pPr>
        <w:pStyle w:val="4"/>
      </w:pPr>
      <w:bookmarkStart w:id="139" w:name="_Toc497833632"/>
      <w:r>
        <w:t xml:space="preserve">9.2.1 </w:t>
      </w:r>
      <w:bookmarkEnd w:id="139"/>
      <w:r>
        <w:rPr>
          <w:rFonts w:hint="eastAsia"/>
          <w:lang w:val="en-US" w:eastAsia="zh-CN"/>
        </w:rPr>
        <w:t>有组织废气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厂区有组织</w:t>
      </w:r>
      <w:r>
        <w:t>监测结果详见表9</w:t>
      </w:r>
      <w:r>
        <w:rPr>
          <w:rFonts w:hint="eastAsia"/>
        </w:rPr>
        <w:t>-</w:t>
      </w:r>
      <w:r>
        <w:rPr>
          <w:rFonts w:hint="eastAsia"/>
          <w:lang w:val="en-US" w:eastAsia="zh-CN"/>
        </w:rPr>
        <w:t>1</w:t>
      </w:r>
      <w:r>
        <w:t>。</w:t>
      </w:r>
    </w:p>
    <w:p>
      <w:pPr>
        <w:spacing w:line="360" w:lineRule="auto"/>
        <w:jc w:val="center"/>
        <w:rPr>
          <w:rFonts w:hint="eastAsia"/>
          <w:b/>
          <w:bCs/>
          <w:sz w:val="21"/>
          <w:szCs w:val="21"/>
          <w:lang w:val="en-US" w:eastAsia="zh-CN"/>
        </w:rPr>
      </w:pPr>
      <w:r>
        <w:rPr>
          <w:b/>
          <w:bCs/>
          <w:sz w:val="21"/>
          <w:szCs w:val="21"/>
        </w:rPr>
        <w:t>表9</w:t>
      </w:r>
      <w:r>
        <w:rPr>
          <w:rFonts w:hint="eastAsia"/>
          <w:b/>
          <w:bCs/>
          <w:sz w:val="21"/>
          <w:szCs w:val="21"/>
        </w:rPr>
        <w:t>-</w:t>
      </w:r>
      <w:r>
        <w:rPr>
          <w:rFonts w:hint="eastAsia"/>
          <w:b/>
          <w:bCs/>
          <w:sz w:val="21"/>
          <w:szCs w:val="21"/>
          <w:lang w:val="en-US" w:eastAsia="zh-CN"/>
        </w:rPr>
        <w:t>1  有组织废气检测结果一览表</w:t>
      </w:r>
    </w:p>
    <w:tbl>
      <w:tblPr>
        <w:tblStyle w:val="89"/>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29"/>
        <w:gridCol w:w="389"/>
        <w:gridCol w:w="1421"/>
        <w:gridCol w:w="1199"/>
        <w:gridCol w:w="425"/>
        <w:gridCol w:w="774"/>
        <w:gridCol w:w="692"/>
        <w:gridCol w:w="506"/>
        <w:gridCol w:w="918"/>
        <w:gridCol w:w="280"/>
        <w:gridCol w:w="12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检测点位置</w:t>
            </w:r>
          </w:p>
        </w:tc>
        <w:tc>
          <w:tcPr>
            <w:tcW w:w="78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Q1</w:t>
            </w:r>
          </w:p>
        </w:tc>
        <w:tc>
          <w:tcPr>
            <w:tcW w:w="898"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点位描述</w:t>
            </w:r>
          </w:p>
        </w:tc>
        <w:tc>
          <w:tcPr>
            <w:tcW w:w="2419" w:type="pct"/>
            <w:gridSpan w:val="6"/>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生产废气排放口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燃料名称</w:t>
            </w:r>
          </w:p>
        </w:tc>
        <w:tc>
          <w:tcPr>
            <w:tcW w:w="78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898"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设备运行负荷</w:t>
            </w:r>
          </w:p>
        </w:tc>
        <w:tc>
          <w:tcPr>
            <w:tcW w:w="1599" w:type="pct"/>
            <w:gridSpan w:val="4"/>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设计：11 万片/天</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实际：8.9 万片/天</w:t>
            </w:r>
          </w:p>
        </w:tc>
        <w:tc>
          <w:tcPr>
            <w:tcW w:w="819"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烟道断面形状</w:t>
            </w:r>
          </w:p>
        </w:tc>
        <w:tc>
          <w:tcPr>
            <w:tcW w:w="78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圆形</w:t>
            </w:r>
          </w:p>
        </w:tc>
        <w:tc>
          <w:tcPr>
            <w:tcW w:w="898"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烟道直径</w:t>
            </w:r>
          </w:p>
        </w:tc>
        <w:tc>
          <w:tcPr>
            <w:tcW w:w="8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0.25m</w:t>
            </w:r>
          </w:p>
        </w:tc>
        <w:tc>
          <w:tcPr>
            <w:tcW w:w="788"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排气筒高度</w:t>
            </w:r>
          </w:p>
        </w:tc>
        <w:tc>
          <w:tcPr>
            <w:tcW w:w="819"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r>
              <w:rPr>
                <w:rFonts w:hint="default" w:ascii="Times New Roman" w:hAnsi="Times New Roman" w:eastAsia="宋体" w:cs="Times New Roman"/>
                <w:b w:val="0"/>
                <w:bCs w:val="0"/>
                <w:color w:val="auto"/>
                <w:sz w:val="21"/>
                <w:szCs w:val="21"/>
                <w:lang w:val="en-US" w:eastAsia="zh-CN"/>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000" w:type="pct"/>
            <w:gridSpan w:val="11"/>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2023/11/29 检测结果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81"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检测项目</w:t>
            </w:r>
          </w:p>
        </w:tc>
        <w:tc>
          <w:tcPr>
            <w:tcW w:w="66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第一次</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第二次</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第三次</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平均值</w:t>
            </w:r>
          </w:p>
        </w:tc>
        <w:tc>
          <w:tcPr>
            <w:tcW w:w="66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80"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非甲烷总烃</w:t>
            </w:r>
          </w:p>
        </w:tc>
        <w:tc>
          <w:tcPr>
            <w:tcW w:w="100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实测浓度（mg/m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c>
          <w:tcPr>
            <w:tcW w:w="66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1.52</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1.80</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93</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75</w:t>
            </w:r>
          </w:p>
        </w:tc>
        <w:tc>
          <w:tcPr>
            <w:tcW w:w="66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80"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00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排放浓度（mg/m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w:t>
            </w:r>
          </w:p>
        </w:tc>
        <w:tc>
          <w:tcPr>
            <w:tcW w:w="66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1.52</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1.80</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93</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75</w:t>
            </w:r>
          </w:p>
        </w:tc>
        <w:tc>
          <w:tcPr>
            <w:tcW w:w="66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80"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00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排放速率（kg/h）</w:t>
            </w:r>
          </w:p>
        </w:tc>
        <w:tc>
          <w:tcPr>
            <w:tcW w:w="66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9.78</w:t>
            </w:r>
            <w:r>
              <w:rPr>
                <w:rFonts w:hint="default" w:ascii="Arial" w:hAnsi="Arial" w:cs="Arial"/>
                <w:b w:val="0"/>
                <w:bCs w:val="0"/>
                <w:color w:val="auto"/>
                <w:sz w:val="21"/>
                <w:szCs w:val="21"/>
                <w:lang w:val="en-US" w:eastAsia="zh-CN"/>
              </w:rPr>
              <w:t>×</w:t>
            </w:r>
            <w:r>
              <w:rPr>
                <w:rFonts w:hint="eastAsia" w:cs="Times New Roman"/>
                <w:b w:val="0"/>
                <w:bCs w:val="0"/>
                <w:color w:val="auto"/>
                <w:sz w:val="21"/>
                <w:szCs w:val="21"/>
                <w:lang w:val="en-US" w:eastAsia="zh-CN"/>
              </w:rPr>
              <w:t>10</w:t>
            </w:r>
            <w:r>
              <w:rPr>
                <w:rFonts w:hint="eastAsia" w:cs="Times New Roman"/>
                <w:b w:val="0"/>
                <w:bCs w:val="0"/>
                <w:color w:val="auto"/>
                <w:sz w:val="21"/>
                <w:szCs w:val="21"/>
                <w:vertAlign w:val="superscript"/>
                <w:lang w:val="en-US" w:eastAsia="zh-CN"/>
              </w:rPr>
              <w:t>-3</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w:t>
            </w:r>
            <w:r>
              <w:rPr>
                <w:rFonts w:hint="eastAsia" w:cs="Times New Roman"/>
                <w:b w:val="0"/>
                <w:bCs w:val="0"/>
                <w:color w:val="auto"/>
                <w:sz w:val="21"/>
                <w:szCs w:val="21"/>
                <w:lang w:val="en-US" w:eastAsia="zh-CN"/>
              </w:rPr>
              <w:t>2</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w:t>
            </w:r>
            <w:r>
              <w:rPr>
                <w:rFonts w:hint="eastAsia" w:cs="Times New Roman"/>
                <w:b w:val="0"/>
                <w:bCs w:val="0"/>
                <w:color w:val="auto"/>
                <w:sz w:val="21"/>
                <w:szCs w:val="21"/>
                <w:lang w:val="en-US" w:eastAsia="zh-CN"/>
              </w:rPr>
              <w:t>3</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w:t>
            </w:r>
            <w:r>
              <w:rPr>
                <w:rFonts w:hint="eastAsia" w:cs="Times New Roman"/>
                <w:b w:val="0"/>
                <w:bCs w:val="0"/>
                <w:color w:val="auto"/>
                <w:sz w:val="21"/>
                <w:szCs w:val="21"/>
                <w:lang w:val="en-US" w:eastAsia="zh-CN"/>
              </w:rPr>
              <w:t>2</w:t>
            </w:r>
          </w:p>
        </w:tc>
        <w:tc>
          <w:tcPr>
            <w:tcW w:w="66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81"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工况风量（m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/h）</w:t>
            </w:r>
          </w:p>
        </w:tc>
        <w:tc>
          <w:tcPr>
            <w:tcW w:w="66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r>
              <w:rPr>
                <w:rFonts w:hint="eastAsia" w:cs="Times New Roman"/>
                <w:b w:val="0"/>
                <w:bCs w:val="0"/>
                <w:color w:val="auto"/>
                <w:sz w:val="21"/>
                <w:szCs w:val="21"/>
                <w:lang w:val="en-US" w:eastAsia="zh-CN"/>
              </w:rPr>
              <w:t>445</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762</w:t>
            </w:r>
            <w:r>
              <w:rPr>
                <w:rFonts w:hint="eastAsia" w:cs="Times New Roman"/>
                <w:b w:val="0"/>
                <w:bCs w:val="0"/>
                <w:color w:val="auto"/>
                <w:sz w:val="21"/>
                <w:szCs w:val="21"/>
                <w:lang w:val="en-US" w:eastAsia="zh-CN"/>
              </w:rPr>
              <w:t>0</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r>
              <w:rPr>
                <w:rFonts w:hint="eastAsia" w:cs="Times New Roman"/>
                <w:b w:val="0"/>
                <w:bCs w:val="0"/>
                <w:color w:val="auto"/>
                <w:sz w:val="21"/>
                <w:szCs w:val="21"/>
                <w:lang w:val="en-US" w:eastAsia="zh-CN"/>
              </w:rPr>
              <w:t>583</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6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81"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标干风量（m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/h）</w:t>
            </w:r>
          </w:p>
        </w:tc>
        <w:tc>
          <w:tcPr>
            <w:tcW w:w="66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r>
              <w:rPr>
                <w:rFonts w:hint="eastAsia" w:cs="Times New Roman"/>
                <w:b w:val="0"/>
                <w:bCs w:val="0"/>
                <w:color w:val="auto"/>
                <w:sz w:val="21"/>
                <w:szCs w:val="21"/>
                <w:lang w:val="en-US" w:eastAsia="zh-CN"/>
              </w:rPr>
              <w:t>436</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65</w:t>
            </w:r>
            <w:r>
              <w:rPr>
                <w:rFonts w:hint="eastAsia" w:cs="Times New Roman"/>
                <w:b w:val="0"/>
                <w:bCs w:val="0"/>
                <w:color w:val="auto"/>
                <w:sz w:val="21"/>
                <w:szCs w:val="21"/>
                <w:lang w:val="en-US" w:eastAsia="zh-CN"/>
              </w:rPr>
              <w:t>69</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65</w:t>
            </w:r>
            <w:r>
              <w:rPr>
                <w:rFonts w:hint="eastAsia" w:cs="Times New Roman"/>
                <w:b w:val="0"/>
                <w:bCs w:val="0"/>
                <w:color w:val="auto"/>
                <w:sz w:val="21"/>
                <w:szCs w:val="21"/>
                <w:lang w:val="en-US" w:eastAsia="zh-CN"/>
              </w:rPr>
              <w:t>32</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6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81"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流速（m/s）</w:t>
            </w:r>
          </w:p>
        </w:tc>
        <w:tc>
          <w:tcPr>
            <w:tcW w:w="66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r>
              <w:rPr>
                <w:rFonts w:hint="eastAsia"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3</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43.1</w:t>
            </w:r>
            <w:r>
              <w:rPr>
                <w:rFonts w:hint="eastAsia" w:cs="Times New Roman"/>
                <w:b w:val="0"/>
                <w:bCs w:val="0"/>
                <w:color w:val="auto"/>
                <w:sz w:val="21"/>
                <w:szCs w:val="21"/>
                <w:lang w:val="en-US" w:eastAsia="zh-CN"/>
              </w:rPr>
              <w:t>2</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r>
              <w:rPr>
                <w:rFonts w:hint="eastAsia"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91</w:t>
            </w:r>
          </w:p>
        </w:tc>
        <w:tc>
          <w:tcPr>
            <w:tcW w:w="663"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6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681"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备 注</w:t>
            </w:r>
          </w:p>
        </w:tc>
        <w:tc>
          <w:tcPr>
            <w:tcW w:w="3318" w:type="pct"/>
            <w:gridSpan w:val="8"/>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1.本次检测数据仅对本次检测点位所检测数据有效。</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 限值参照标准《包装印刷业大气污染物排放标准》（DB 50/758-2017）表 2。</w:t>
            </w:r>
          </w:p>
        </w:tc>
      </w:tr>
    </w:tbl>
    <w:p>
      <w:pPr>
        <w:ind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监测结果表明，验收监测期间，项目有组织废气非甲烷总烃</w:t>
      </w:r>
      <w:r>
        <w:rPr>
          <w:rFonts w:hint="default" w:ascii="Times New Roman" w:hAnsi="Times New Roman" w:eastAsia="宋体"/>
          <w:lang w:val="en-US" w:eastAsia="zh-CN"/>
        </w:rPr>
        <w:t>检测结果符合</w:t>
      </w:r>
      <w:r>
        <w:rPr>
          <w:rFonts w:hint="eastAsia" w:ascii="Times New Roman" w:hAnsi="Times New Roman" w:eastAsia="宋体"/>
          <w:lang w:val="en-US" w:eastAsia="zh-CN"/>
        </w:rPr>
        <w:t>《包装印刷业大气污染物排放标准》（DB50/758-2017）表 2排放限值</w:t>
      </w:r>
      <w:r>
        <w:rPr>
          <w:rFonts w:hint="default" w:ascii="Times New Roman" w:hAnsi="Times New Roman" w:eastAsia="宋体"/>
          <w:lang w:val="en-US" w:eastAsia="zh-CN"/>
        </w:rPr>
        <w:t>。</w:t>
      </w:r>
    </w:p>
    <w:p>
      <w:pPr>
        <w:pStyle w:val="4"/>
      </w:pPr>
      <w:r>
        <w:t>9.2.</w:t>
      </w:r>
      <w:r>
        <w:rPr>
          <w:rFonts w:hint="eastAsia"/>
          <w:lang w:val="en-US" w:eastAsia="zh-CN"/>
        </w:rPr>
        <w:t>2</w:t>
      </w:r>
      <w:r>
        <w:t xml:space="preserve"> </w:t>
      </w:r>
      <w:r>
        <w:rPr>
          <w:rFonts w:hint="eastAsia"/>
          <w:lang w:val="en-US" w:eastAsia="zh-CN"/>
        </w:rPr>
        <w:t>无组织废气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厂区无组织</w:t>
      </w:r>
      <w:r>
        <w:t>监测结果详见表9</w:t>
      </w:r>
      <w:r>
        <w:rPr>
          <w:rFonts w:hint="eastAsia"/>
        </w:rPr>
        <w:t>-</w:t>
      </w:r>
      <w:r>
        <w:rPr>
          <w:rFonts w:hint="eastAsia"/>
          <w:lang w:val="en-US" w:eastAsia="zh-CN"/>
        </w:rPr>
        <w:t>2</w:t>
      </w:r>
      <w:r>
        <w:t>。</w:t>
      </w:r>
    </w:p>
    <w:p>
      <w:pPr>
        <w:spacing w:line="360" w:lineRule="auto"/>
        <w:jc w:val="center"/>
        <w:rPr>
          <w:rFonts w:hint="eastAsia"/>
          <w:b/>
          <w:bCs/>
          <w:sz w:val="21"/>
          <w:szCs w:val="21"/>
          <w:lang w:val="en-US" w:eastAsia="zh-CN"/>
        </w:rPr>
      </w:pPr>
      <w:r>
        <w:rPr>
          <w:b/>
          <w:bCs/>
          <w:sz w:val="21"/>
          <w:szCs w:val="21"/>
        </w:rPr>
        <w:t>表9</w:t>
      </w:r>
      <w:r>
        <w:rPr>
          <w:rFonts w:hint="eastAsia"/>
          <w:b/>
          <w:bCs/>
          <w:sz w:val="21"/>
          <w:szCs w:val="21"/>
        </w:rPr>
        <w:t>-</w:t>
      </w:r>
      <w:r>
        <w:rPr>
          <w:rFonts w:hint="eastAsia"/>
          <w:b/>
          <w:bCs/>
          <w:sz w:val="21"/>
          <w:szCs w:val="21"/>
          <w:lang w:val="en-US" w:eastAsia="zh-CN"/>
        </w:rPr>
        <w:t>2  无组织废气检测结果一览表</w:t>
      </w:r>
    </w:p>
    <w:tbl>
      <w:tblPr>
        <w:tblStyle w:val="8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49"/>
        <w:gridCol w:w="1332"/>
        <w:gridCol w:w="695"/>
        <w:gridCol w:w="1038"/>
        <w:gridCol w:w="1038"/>
        <w:gridCol w:w="1040"/>
        <w:gridCol w:w="1047"/>
        <w:gridCol w:w="726"/>
        <w:gridCol w:w="8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2"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日期</w:t>
            </w:r>
          </w:p>
        </w:tc>
        <w:tc>
          <w:tcPr>
            <w:tcW w:w="738"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w:t>
            </w:r>
          </w:p>
        </w:tc>
        <w:tc>
          <w:tcPr>
            <w:tcW w:w="385"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点位</w:t>
            </w:r>
          </w:p>
        </w:tc>
        <w:tc>
          <w:tcPr>
            <w:tcW w:w="2306" w:type="pct"/>
            <w:gridSpan w:val="4"/>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检测结果</w:t>
            </w:r>
          </w:p>
        </w:tc>
        <w:tc>
          <w:tcPr>
            <w:tcW w:w="402"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限值</w:t>
            </w:r>
          </w:p>
        </w:tc>
        <w:tc>
          <w:tcPr>
            <w:tcW w:w="474"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2"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38"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385"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7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第一次</w:t>
            </w:r>
          </w:p>
        </w:tc>
        <w:tc>
          <w:tcPr>
            <w:tcW w:w="57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第二次</w:t>
            </w:r>
          </w:p>
        </w:tc>
        <w:tc>
          <w:tcPr>
            <w:tcW w:w="576"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第三次</w:t>
            </w:r>
          </w:p>
        </w:tc>
        <w:tc>
          <w:tcPr>
            <w:tcW w:w="578"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报出结果</w:t>
            </w:r>
          </w:p>
        </w:tc>
        <w:tc>
          <w:tcPr>
            <w:tcW w:w="402"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74"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2023.11.28</w:t>
            </w:r>
          </w:p>
        </w:tc>
        <w:tc>
          <w:tcPr>
            <w:tcW w:w="738"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非甲烷总烃</w:t>
            </w:r>
          </w:p>
        </w:tc>
        <w:tc>
          <w:tcPr>
            <w:tcW w:w="38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Q2</w:t>
            </w:r>
          </w:p>
        </w:tc>
        <w:tc>
          <w:tcPr>
            <w:tcW w:w="57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0.21</w:t>
            </w:r>
          </w:p>
        </w:tc>
        <w:tc>
          <w:tcPr>
            <w:tcW w:w="57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0.35</w:t>
            </w:r>
          </w:p>
        </w:tc>
        <w:tc>
          <w:tcPr>
            <w:tcW w:w="576"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0.32</w:t>
            </w:r>
          </w:p>
        </w:tc>
        <w:tc>
          <w:tcPr>
            <w:tcW w:w="578"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0.35</w:t>
            </w:r>
          </w:p>
        </w:tc>
        <w:tc>
          <w:tcPr>
            <w:tcW w:w="40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c>
          <w:tcPr>
            <w:tcW w:w="47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2023.11.29</w:t>
            </w:r>
          </w:p>
        </w:tc>
        <w:tc>
          <w:tcPr>
            <w:tcW w:w="738"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非甲烷总烃</w:t>
            </w:r>
          </w:p>
        </w:tc>
        <w:tc>
          <w:tcPr>
            <w:tcW w:w="38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Q2</w:t>
            </w:r>
          </w:p>
        </w:tc>
        <w:tc>
          <w:tcPr>
            <w:tcW w:w="57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0.31</w:t>
            </w:r>
          </w:p>
        </w:tc>
        <w:tc>
          <w:tcPr>
            <w:tcW w:w="57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0.33</w:t>
            </w:r>
          </w:p>
        </w:tc>
        <w:tc>
          <w:tcPr>
            <w:tcW w:w="576"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0.31</w:t>
            </w:r>
          </w:p>
        </w:tc>
        <w:tc>
          <w:tcPr>
            <w:tcW w:w="578"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0.33</w:t>
            </w:r>
          </w:p>
        </w:tc>
        <w:tc>
          <w:tcPr>
            <w:tcW w:w="40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c>
          <w:tcPr>
            <w:tcW w:w="474"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9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备 注</w:t>
            </w:r>
          </w:p>
        </w:tc>
        <w:tc>
          <w:tcPr>
            <w:tcW w:w="4307" w:type="pct"/>
            <w:gridSpan w:val="8"/>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1.本次检测数据仅对本次采样点位所采集样品有效。</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2.限值参照标准《包装印刷业大气污染物排放标准》（DB 50/758-2017</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表 4。</w:t>
            </w:r>
          </w:p>
        </w:tc>
      </w:tr>
    </w:tbl>
    <w:p>
      <w:pPr>
        <w:spacing w:line="360" w:lineRule="auto"/>
        <w:jc w:val="center"/>
        <w:rPr>
          <w:rFonts w:hint="eastAsia"/>
          <w:b/>
          <w:bCs/>
          <w:sz w:val="21"/>
          <w:szCs w:val="21"/>
          <w:lang w:val="en-US" w:eastAsia="zh-CN"/>
        </w:rPr>
      </w:pPr>
    </w:p>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监测结果表明，验收监测期间，项目的厂界无组织废气非甲烷总烃</w:t>
      </w:r>
      <w:r>
        <w:rPr>
          <w:rFonts w:hint="default" w:ascii="Times New Roman" w:hAnsi="Times New Roman" w:eastAsia="宋体"/>
          <w:lang w:val="en-US" w:eastAsia="zh-CN"/>
        </w:rPr>
        <w:t>检测结果符合</w:t>
      </w:r>
      <w:r>
        <w:rPr>
          <w:rFonts w:hint="eastAsia" w:ascii="Times New Roman" w:hAnsi="Times New Roman" w:eastAsia="宋体"/>
          <w:lang w:val="en-US" w:eastAsia="zh-CN"/>
        </w:rPr>
        <w:t>《包装印刷业大气污染物排放标准》（DB 50/758-2017）表 4排放限值</w:t>
      </w:r>
      <w:r>
        <w:rPr>
          <w:rFonts w:hint="default" w:ascii="Times New Roman" w:hAnsi="Times New Roman" w:eastAsia="宋体"/>
          <w:lang w:val="en-US" w:eastAsia="zh-CN"/>
        </w:rPr>
        <w:t>。</w:t>
      </w:r>
    </w:p>
    <w:p>
      <w:pPr>
        <w:pStyle w:val="4"/>
        <w:keepNext/>
        <w:keepLines/>
        <w:pageBreakBefore w:val="0"/>
        <w:widowControl/>
        <w:kinsoku/>
        <w:wordWrap/>
        <w:overflowPunct/>
        <w:topLinePunct w:val="0"/>
        <w:autoSpaceDE/>
        <w:autoSpaceDN/>
        <w:bidi w:val="0"/>
        <w:adjustRightInd w:val="0"/>
        <w:snapToGrid w:val="0"/>
        <w:textAlignment w:val="auto"/>
        <w:rPr>
          <w:rFonts w:hint="eastAsia"/>
        </w:rPr>
      </w:pPr>
      <w:r>
        <w:t>9.2.</w:t>
      </w:r>
      <w:r>
        <w:rPr>
          <w:rFonts w:hint="eastAsia"/>
          <w:lang w:val="en-US" w:eastAsia="zh-CN"/>
        </w:rPr>
        <w:t>3</w:t>
      </w:r>
      <w:r>
        <w:rPr>
          <w:rFonts w:hint="eastAsia"/>
          <w:lang w:eastAsia="zh-CN"/>
        </w:rPr>
        <w:t>废水</w:t>
      </w:r>
      <w:r>
        <w:rPr>
          <w:rFonts w:hint="eastAsia"/>
        </w:rPr>
        <w:t>监测结果及分析</w:t>
      </w:r>
    </w:p>
    <w:p>
      <w:pPr>
        <w:ind w:firstLine="480" w:firstLineChars="200"/>
        <w:rPr>
          <w:rFonts w:hint="eastAsia" w:ascii="Times New Roman" w:hAnsi="Times New Roman" w:eastAsia="宋体"/>
        </w:rPr>
      </w:pPr>
      <w:r>
        <w:rPr>
          <w:rFonts w:hint="eastAsia"/>
          <w:lang w:eastAsia="zh-CN"/>
        </w:rPr>
        <w:t>生产</w:t>
      </w:r>
      <w:r>
        <w:rPr>
          <w:rFonts w:hint="eastAsia" w:ascii="Times New Roman" w:hAnsi="Times New Roman" w:eastAsia="宋体"/>
          <w:lang w:eastAsia="zh-CN"/>
        </w:rPr>
        <w:t>废水</w:t>
      </w:r>
      <w:r>
        <w:rPr>
          <w:rFonts w:ascii="Times New Roman" w:hAnsi="Times New Roman" w:eastAsia="宋体"/>
        </w:rPr>
        <w:t>监测结果</w:t>
      </w:r>
      <w:r>
        <w:rPr>
          <w:rFonts w:hint="eastAsia" w:ascii="Times New Roman" w:hAnsi="Times New Roman" w:eastAsia="宋体"/>
        </w:rPr>
        <w:t>见下表</w:t>
      </w:r>
      <w:r>
        <w:rPr>
          <w:rFonts w:ascii="Times New Roman" w:hAnsi="Times New Roman" w:eastAsia="宋体"/>
        </w:rPr>
        <w:t>9</w:t>
      </w:r>
      <w:r>
        <w:rPr>
          <w:rFonts w:hint="eastAsia" w:ascii="Times New Roman" w:hAnsi="Times New Roman" w:eastAsia="宋体"/>
        </w:rPr>
        <w:t>-</w:t>
      </w:r>
      <w:r>
        <w:rPr>
          <w:rFonts w:hint="eastAsia"/>
          <w:lang w:val="en-US" w:eastAsia="zh-CN"/>
        </w:rPr>
        <w:t>3</w:t>
      </w:r>
      <w:r>
        <w:rPr>
          <w:rFonts w:hint="eastAsia" w:ascii="Times New Roman" w:hAnsi="Times New Roman" w:eastAsia="宋体"/>
        </w:rPr>
        <w:t>。</w:t>
      </w:r>
    </w:p>
    <w:p>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3  生产</w:t>
      </w:r>
      <w:r>
        <w:rPr>
          <w:rFonts w:hint="eastAsia"/>
          <w:b/>
          <w:bCs/>
          <w:sz w:val="21"/>
          <w:szCs w:val="21"/>
          <w:lang w:eastAsia="zh-CN"/>
        </w:rPr>
        <w:t>废水</w:t>
      </w:r>
      <w:r>
        <w:rPr>
          <w:b/>
          <w:bCs/>
          <w:sz w:val="21"/>
          <w:szCs w:val="21"/>
        </w:rPr>
        <w:t>监测结果一览表</w:t>
      </w:r>
    </w:p>
    <w:tbl>
      <w:tblPr>
        <w:tblStyle w:val="89"/>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52"/>
        <w:gridCol w:w="1252"/>
        <w:gridCol w:w="32"/>
        <w:gridCol w:w="418"/>
        <w:gridCol w:w="188"/>
        <w:gridCol w:w="734"/>
        <w:gridCol w:w="282"/>
        <w:gridCol w:w="640"/>
        <w:gridCol w:w="374"/>
        <w:gridCol w:w="550"/>
        <w:gridCol w:w="465"/>
        <w:gridCol w:w="457"/>
        <w:gridCol w:w="557"/>
        <w:gridCol w:w="378"/>
        <w:gridCol w:w="624"/>
        <w:gridCol w:w="25"/>
        <w:gridCol w:w="8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日期</w:t>
            </w:r>
          </w:p>
        </w:tc>
        <w:tc>
          <w:tcPr>
            <w:tcW w:w="711" w:type="pct"/>
            <w:gridSpan w:val="2"/>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w:t>
            </w:r>
          </w:p>
        </w:tc>
        <w:tc>
          <w:tcPr>
            <w:tcW w:w="335" w:type="pct"/>
            <w:gridSpan w:val="2"/>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点位</w:t>
            </w:r>
          </w:p>
        </w:tc>
        <w:tc>
          <w:tcPr>
            <w:tcW w:w="2813" w:type="pct"/>
            <w:gridSpan w:val="11"/>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检测结果</w:t>
            </w:r>
          </w:p>
        </w:tc>
        <w:tc>
          <w:tcPr>
            <w:tcW w:w="446" w:type="pct"/>
            <w:vMerge w:val="restart"/>
            <w:tcBorders>
              <w:bottom w:val="nil"/>
            </w:tcBorders>
            <w:vAlign w:val="center"/>
          </w:tcPr>
          <w:p>
            <w:pPr>
              <w:pStyle w:val="88"/>
              <w:spacing w:before="65" w:line="228" w:lineRule="auto"/>
              <w:jc w:val="center"/>
              <w:rPr>
                <w:rFonts w:hint="default" w:ascii="Times New Roman" w:hAnsi="Times New Roman" w:cs="Times New Roman"/>
                <w:sz w:val="21"/>
                <w:szCs w:val="21"/>
              </w:rPr>
            </w:pPr>
            <w:r>
              <w:rPr>
                <w:rFonts w:hint="default" w:ascii="Times New Roman" w:hAnsi="Times New Roman" w:cs="Times New Roman"/>
                <w:spacing w:val="3"/>
                <w:sz w:val="21"/>
                <w:szCs w:val="21"/>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335" w:type="pct"/>
            <w:gridSpan w:val="2"/>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第一次</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第二次</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第三次</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第四次</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平均值</w:t>
            </w:r>
          </w:p>
        </w:tc>
        <w:tc>
          <w:tcPr>
            <w:tcW w:w="446" w:type="pct"/>
            <w:vMerge w:val="continue"/>
            <w:tcBorders>
              <w:top w:val="nil"/>
            </w:tcBorders>
            <w:vAlign w:val="center"/>
          </w:tcPr>
          <w:p>
            <w:pPr>
              <w:rPr>
                <w:rFonts w:hint="default" w:ascii="Times New Roman" w:hAnsi="Times New Roman"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2023.11.28</w:t>
            </w: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 值</w:t>
            </w:r>
          </w:p>
        </w:tc>
        <w:tc>
          <w:tcPr>
            <w:tcW w:w="335" w:type="pct"/>
            <w:gridSpan w:val="2"/>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S1</w:t>
            </w: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7.8</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7.2</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w:t>
            </w:r>
          </w:p>
        </w:tc>
        <w:tc>
          <w:tcPr>
            <w:tcW w:w="446" w:type="pct"/>
            <w:vAlign w:val="center"/>
          </w:tcPr>
          <w:p>
            <w:pPr>
              <w:pStyle w:val="88"/>
              <w:spacing w:before="178" w:line="228" w:lineRule="auto"/>
              <w:ind w:left="123"/>
              <w:rPr>
                <w:rFonts w:hint="default" w:ascii="Times New Roman" w:hAnsi="Times New Roman" w:cs="Times New Roman"/>
                <w:sz w:val="21"/>
                <w:szCs w:val="21"/>
              </w:rPr>
            </w:pPr>
            <w:r>
              <w:rPr>
                <w:rFonts w:hint="default" w:ascii="Times New Roman" w:hAnsi="Times New Roman" w:cs="Times New Roman"/>
                <w:spacing w:val="6"/>
                <w:sz w:val="21"/>
                <w:szCs w:val="21"/>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悬浮物</w:t>
            </w:r>
          </w:p>
        </w:tc>
        <w:tc>
          <w:tcPr>
            <w:tcW w:w="335"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309</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335</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313</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323</w:t>
            </w:r>
          </w:p>
        </w:tc>
        <w:tc>
          <w:tcPr>
            <w:tcW w:w="446" w:type="pct"/>
            <w:vAlign w:val="center"/>
          </w:tcPr>
          <w:p>
            <w:pPr>
              <w:pStyle w:val="88"/>
              <w:spacing w:before="179"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五日生化</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需氧量</w:t>
            </w:r>
          </w:p>
        </w:tc>
        <w:tc>
          <w:tcPr>
            <w:tcW w:w="335"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173</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201</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179</w:t>
            </w:r>
          </w:p>
        </w:tc>
        <w:tc>
          <w:tcPr>
            <w:tcW w:w="446" w:type="pct"/>
            <w:vAlign w:val="center"/>
          </w:tcPr>
          <w:p>
            <w:pPr>
              <w:pStyle w:val="88"/>
              <w:spacing w:before="222"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化学需氧量</w:t>
            </w:r>
          </w:p>
        </w:tc>
        <w:tc>
          <w:tcPr>
            <w:tcW w:w="335"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281</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327</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310</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290</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302</w:t>
            </w:r>
          </w:p>
        </w:tc>
        <w:tc>
          <w:tcPr>
            <w:tcW w:w="446" w:type="pct"/>
            <w:vAlign w:val="center"/>
          </w:tcPr>
          <w:p>
            <w:pPr>
              <w:pStyle w:val="88"/>
              <w:spacing w:before="181"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氨氮</w:t>
            </w:r>
          </w:p>
        </w:tc>
        <w:tc>
          <w:tcPr>
            <w:tcW w:w="335"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3.96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3.81</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3.46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3.39</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3.66</w:t>
            </w:r>
          </w:p>
        </w:tc>
        <w:tc>
          <w:tcPr>
            <w:tcW w:w="446" w:type="pct"/>
            <w:vAlign w:val="center"/>
          </w:tcPr>
          <w:p>
            <w:pPr>
              <w:pStyle w:val="88"/>
              <w:spacing w:before="180"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石油类</w:t>
            </w:r>
          </w:p>
        </w:tc>
        <w:tc>
          <w:tcPr>
            <w:tcW w:w="335" w:type="pct"/>
            <w:gridSpan w:val="2"/>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0.55</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0.44</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0.52</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0.49</w:t>
            </w:r>
          </w:p>
        </w:tc>
        <w:tc>
          <w:tcPr>
            <w:tcW w:w="446" w:type="pct"/>
            <w:vAlign w:val="center"/>
          </w:tcPr>
          <w:p>
            <w:pPr>
              <w:pStyle w:val="88"/>
              <w:spacing w:before="181"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2023.11.29</w:t>
            </w: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 值</w:t>
            </w:r>
          </w:p>
        </w:tc>
        <w:tc>
          <w:tcPr>
            <w:tcW w:w="335" w:type="pct"/>
            <w:gridSpan w:val="2"/>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S1</w:t>
            </w: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7.7</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7.8</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7.6</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7.7</w:t>
            </w:r>
          </w:p>
        </w:tc>
        <w:tc>
          <w:tcPr>
            <w:tcW w:w="446" w:type="pct"/>
            <w:vAlign w:val="center"/>
          </w:tcPr>
          <w:p>
            <w:pPr>
              <w:pStyle w:val="88"/>
              <w:spacing w:before="181" w:line="228" w:lineRule="auto"/>
              <w:ind w:left="123"/>
              <w:rPr>
                <w:rFonts w:hint="default" w:ascii="Times New Roman" w:hAnsi="Times New Roman" w:cs="Times New Roman"/>
                <w:sz w:val="21"/>
                <w:szCs w:val="21"/>
              </w:rPr>
            </w:pPr>
            <w:r>
              <w:rPr>
                <w:rFonts w:hint="default" w:ascii="Times New Roman" w:hAnsi="Times New Roman" w:cs="Times New Roman"/>
                <w:spacing w:val="6"/>
                <w:sz w:val="21"/>
                <w:szCs w:val="21"/>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悬浮物</w:t>
            </w:r>
          </w:p>
        </w:tc>
        <w:tc>
          <w:tcPr>
            <w:tcW w:w="335"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346</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318</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322</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351</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334</w:t>
            </w:r>
          </w:p>
        </w:tc>
        <w:tc>
          <w:tcPr>
            <w:tcW w:w="446" w:type="pct"/>
            <w:vAlign w:val="center"/>
          </w:tcPr>
          <w:p>
            <w:pPr>
              <w:pStyle w:val="88"/>
              <w:spacing w:before="181"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五日生化</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需氧量</w:t>
            </w:r>
          </w:p>
        </w:tc>
        <w:tc>
          <w:tcPr>
            <w:tcW w:w="335"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171</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169</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141</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151</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158</w:t>
            </w:r>
          </w:p>
        </w:tc>
        <w:tc>
          <w:tcPr>
            <w:tcW w:w="446" w:type="pct"/>
            <w:vAlign w:val="center"/>
          </w:tcPr>
          <w:p>
            <w:pPr>
              <w:pStyle w:val="88"/>
              <w:spacing w:before="224"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化学需氧量</w:t>
            </w:r>
          </w:p>
        </w:tc>
        <w:tc>
          <w:tcPr>
            <w:tcW w:w="335"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328</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290</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343</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278</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310</w:t>
            </w:r>
          </w:p>
        </w:tc>
        <w:tc>
          <w:tcPr>
            <w:tcW w:w="446" w:type="pct"/>
            <w:vAlign w:val="center"/>
          </w:tcPr>
          <w:p>
            <w:pPr>
              <w:pStyle w:val="88"/>
              <w:spacing w:before="182"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氨氮</w:t>
            </w:r>
          </w:p>
        </w:tc>
        <w:tc>
          <w:tcPr>
            <w:tcW w:w="335"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3.39</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3.17</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3.12</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3.50</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3.30</w:t>
            </w:r>
          </w:p>
        </w:tc>
        <w:tc>
          <w:tcPr>
            <w:tcW w:w="446" w:type="pct"/>
            <w:vAlign w:val="center"/>
          </w:tcPr>
          <w:p>
            <w:pPr>
              <w:pStyle w:val="88"/>
              <w:spacing w:before="181"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7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石油类</w:t>
            </w:r>
          </w:p>
        </w:tc>
        <w:tc>
          <w:tcPr>
            <w:tcW w:w="335" w:type="pct"/>
            <w:gridSpan w:val="2"/>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62"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0.41</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0.49</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0.40</w:t>
            </w:r>
          </w:p>
        </w:tc>
        <w:tc>
          <w:tcPr>
            <w:tcW w:w="56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0.51</w:t>
            </w:r>
          </w:p>
        </w:tc>
        <w:tc>
          <w:tcPr>
            <w:tcW w:w="566" w:type="pct"/>
            <w:gridSpan w:val="3"/>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0.45</w:t>
            </w:r>
          </w:p>
        </w:tc>
        <w:tc>
          <w:tcPr>
            <w:tcW w:w="446" w:type="pct"/>
            <w:vAlign w:val="center"/>
          </w:tcPr>
          <w:p>
            <w:pPr>
              <w:pStyle w:val="88"/>
              <w:spacing w:before="182" w:line="222" w:lineRule="auto"/>
              <w:ind w:left="221"/>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8"/>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93" w:type="pct"/>
            <w:vAlign w:val="top"/>
          </w:tcPr>
          <w:p>
            <w:pPr>
              <w:pStyle w:val="88"/>
              <w:spacing w:before="196" w:line="229" w:lineRule="auto"/>
              <w:ind w:left="422"/>
              <w:rPr>
                <w:rFonts w:hint="default" w:ascii="Times New Roman" w:hAnsi="Times New Roman" w:cs="Times New Roman"/>
                <w:sz w:val="21"/>
                <w:szCs w:val="21"/>
              </w:rPr>
            </w:pPr>
            <w:r>
              <w:rPr>
                <w:rFonts w:hint="default" w:ascii="Times New Roman" w:hAnsi="Times New Roman" w:cs="Times New Roman"/>
                <w:spacing w:val="-1"/>
                <w:sz w:val="21"/>
                <w:szCs w:val="21"/>
              </w:rPr>
              <w:t>备</w:t>
            </w:r>
            <w:r>
              <w:rPr>
                <w:rFonts w:hint="default" w:ascii="Times New Roman" w:hAnsi="Times New Roman" w:cs="Times New Roman"/>
                <w:spacing w:val="13"/>
                <w:sz w:val="21"/>
                <w:szCs w:val="21"/>
              </w:rPr>
              <w:t xml:space="preserve"> </w:t>
            </w:r>
            <w:r>
              <w:rPr>
                <w:rFonts w:hint="default" w:ascii="Times New Roman" w:hAnsi="Times New Roman" w:cs="Times New Roman"/>
                <w:spacing w:val="-1"/>
                <w:sz w:val="21"/>
                <w:szCs w:val="21"/>
              </w:rPr>
              <w:t>注</w:t>
            </w:r>
          </w:p>
        </w:tc>
        <w:tc>
          <w:tcPr>
            <w:tcW w:w="4306" w:type="pct"/>
            <w:gridSpan w:val="16"/>
            <w:vAlign w:val="top"/>
          </w:tcPr>
          <w:p>
            <w:pPr>
              <w:pStyle w:val="88"/>
              <w:spacing w:before="196" w:line="227" w:lineRule="auto"/>
              <w:ind w:left="127"/>
              <w:rPr>
                <w:rFonts w:hint="default" w:ascii="Times New Roman" w:hAnsi="Times New Roman" w:cs="Times New Roman"/>
                <w:sz w:val="21"/>
                <w:szCs w:val="21"/>
              </w:rPr>
            </w:pPr>
            <w:r>
              <w:rPr>
                <w:rFonts w:hint="default" w:ascii="Times New Roman" w:hAnsi="Times New Roman" w:cs="Times New Roman"/>
                <w:spacing w:val="8"/>
                <w:sz w:val="21"/>
                <w:szCs w:val="21"/>
              </w:rPr>
              <w:t>1.本次检测数据仅对本次采样点位所采集样品有效。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日期</w:t>
            </w:r>
          </w:p>
        </w:tc>
        <w:tc>
          <w:tcPr>
            <w:tcW w:w="693"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w:t>
            </w:r>
          </w:p>
        </w:tc>
        <w:tc>
          <w:tcPr>
            <w:tcW w:w="249" w:type="pct"/>
            <w:gridSpan w:val="2"/>
            <w:vMerge w:val="restart"/>
            <w:tcBorders>
              <w:bottom w:val="nil"/>
            </w:tcBorders>
            <w:textDirection w:val="tbRlV"/>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点 位</w:t>
            </w:r>
          </w:p>
        </w:tc>
        <w:tc>
          <w:tcPr>
            <w:tcW w:w="2558" w:type="pct"/>
            <w:gridSpan w:val="1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检测结果</w:t>
            </w:r>
          </w:p>
        </w:tc>
        <w:tc>
          <w:tcPr>
            <w:tcW w:w="345"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限值</w:t>
            </w:r>
          </w:p>
        </w:tc>
        <w:tc>
          <w:tcPr>
            <w:tcW w:w="459" w:type="pct"/>
            <w:gridSpan w:val="2"/>
            <w:vMerge w:val="restart"/>
            <w:tcBorders>
              <w:bottom w:val="nil"/>
            </w:tcBorders>
            <w:vAlign w:val="center"/>
          </w:tcPr>
          <w:p>
            <w:pPr>
              <w:pStyle w:val="88"/>
              <w:spacing w:before="65" w:line="228" w:lineRule="auto"/>
              <w:jc w:val="center"/>
              <w:rPr>
                <w:rFonts w:hint="default" w:ascii="Times New Roman" w:hAnsi="Times New Roman" w:cs="Times New Roman"/>
                <w:sz w:val="21"/>
                <w:szCs w:val="21"/>
              </w:rPr>
            </w:pPr>
            <w:r>
              <w:rPr>
                <w:rFonts w:hint="default" w:ascii="Times New Roman" w:hAnsi="Times New Roman" w:cs="Times New Roman"/>
                <w:spacing w:val="3"/>
                <w:sz w:val="21"/>
                <w:szCs w:val="21"/>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249" w:type="pct"/>
            <w:gridSpan w:val="2"/>
            <w:vMerge w:val="continue"/>
            <w:tcBorders>
              <w:top w:val="nil"/>
            </w:tcBorders>
            <w:textDirection w:val="tbRlV"/>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第一次</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第二次</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第三次</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第四次</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平均值</w:t>
            </w:r>
          </w:p>
        </w:tc>
        <w:tc>
          <w:tcPr>
            <w:tcW w:w="345"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459" w:type="pct"/>
            <w:gridSpan w:val="2"/>
            <w:vMerge w:val="continue"/>
            <w:tcBorders>
              <w:top w:val="nil"/>
            </w:tcBorders>
            <w:vAlign w:val="top"/>
          </w:tcPr>
          <w:p>
            <w:pPr>
              <w:rPr>
                <w:rFonts w:hint="default" w:ascii="Times New Roman" w:hAnsi="Times New Roman" w:cs="Times New Roman"/>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2023.11.28</w:t>
            </w: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 值</w:t>
            </w:r>
          </w:p>
        </w:tc>
        <w:tc>
          <w:tcPr>
            <w:tcW w:w="249" w:type="pct"/>
            <w:gridSpan w:val="2"/>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S2</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7.7</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7.4</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7.3</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7.7</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c>
          <w:tcPr>
            <w:tcW w:w="459" w:type="pct"/>
            <w:gridSpan w:val="2"/>
            <w:vAlign w:val="top"/>
          </w:tcPr>
          <w:p>
            <w:pPr>
              <w:pStyle w:val="88"/>
              <w:spacing w:before="179" w:line="228" w:lineRule="auto"/>
              <w:ind w:left="136"/>
              <w:rPr>
                <w:rFonts w:hint="default" w:ascii="Times New Roman" w:hAnsi="Times New Roman" w:cs="Times New Roman"/>
                <w:sz w:val="21"/>
                <w:szCs w:val="21"/>
              </w:rPr>
            </w:pPr>
            <w:r>
              <w:rPr>
                <w:rFonts w:hint="default" w:ascii="Times New Roman" w:hAnsi="Times New Roman" w:cs="Times New Roman"/>
                <w:spacing w:val="6"/>
                <w:sz w:val="21"/>
                <w:szCs w:val="21"/>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悬浮物</w:t>
            </w:r>
          </w:p>
        </w:tc>
        <w:tc>
          <w:tcPr>
            <w:tcW w:w="249"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218</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246</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238</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254</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239</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c>
          <w:tcPr>
            <w:tcW w:w="459" w:type="pct"/>
            <w:gridSpan w:val="2"/>
            <w:vAlign w:val="top"/>
          </w:tcPr>
          <w:p>
            <w:pPr>
              <w:pStyle w:val="88"/>
              <w:spacing w:before="181"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五日生化</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需氧量</w:t>
            </w:r>
          </w:p>
        </w:tc>
        <w:tc>
          <w:tcPr>
            <w:tcW w:w="249"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37.8</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33.8</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38.8</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35.8</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36.6</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459" w:type="pct"/>
            <w:gridSpan w:val="2"/>
            <w:vAlign w:val="top"/>
          </w:tcPr>
          <w:p>
            <w:pPr>
              <w:pStyle w:val="88"/>
              <w:spacing w:before="224"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化学需氧量</w:t>
            </w:r>
          </w:p>
        </w:tc>
        <w:tc>
          <w:tcPr>
            <w:tcW w:w="249"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148</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112</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162</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126</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137</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459" w:type="pct"/>
            <w:gridSpan w:val="2"/>
            <w:vAlign w:val="top"/>
          </w:tcPr>
          <w:p>
            <w:pPr>
              <w:pStyle w:val="88"/>
              <w:spacing w:before="182"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氨氮</w:t>
            </w:r>
          </w:p>
        </w:tc>
        <w:tc>
          <w:tcPr>
            <w:tcW w:w="249"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0.193</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0.215</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0.160</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0.234</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0.200</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459" w:type="pct"/>
            <w:gridSpan w:val="2"/>
            <w:vAlign w:val="top"/>
          </w:tcPr>
          <w:p>
            <w:pPr>
              <w:pStyle w:val="88"/>
              <w:spacing w:before="181"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石油类</w:t>
            </w:r>
          </w:p>
        </w:tc>
        <w:tc>
          <w:tcPr>
            <w:tcW w:w="249" w:type="pct"/>
            <w:gridSpan w:val="2"/>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0.17</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0.21</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0.13</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0.16</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459" w:type="pct"/>
            <w:gridSpan w:val="2"/>
            <w:vAlign w:val="top"/>
          </w:tcPr>
          <w:p>
            <w:pPr>
              <w:pStyle w:val="88"/>
              <w:spacing w:before="183"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2023.11.29</w:t>
            </w: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 值</w:t>
            </w:r>
          </w:p>
        </w:tc>
        <w:tc>
          <w:tcPr>
            <w:tcW w:w="249" w:type="pct"/>
            <w:gridSpan w:val="2"/>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S2</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7.8</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7.7</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7.8</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7.7</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c>
          <w:tcPr>
            <w:tcW w:w="459" w:type="pct"/>
            <w:gridSpan w:val="2"/>
            <w:vAlign w:val="top"/>
          </w:tcPr>
          <w:p>
            <w:pPr>
              <w:pStyle w:val="88"/>
              <w:spacing w:before="182" w:line="228" w:lineRule="auto"/>
              <w:ind w:left="136"/>
              <w:rPr>
                <w:rFonts w:hint="default" w:ascii="Times New Roman" w:hAnsi="Times New Roman" w:cs="Times New Roman"/>
                <w:sz w:val="21"/>
                <w:szCs w:val="21"/>
              </w:rPr>
            </w:pPr>
            <w:r>
              <w:rPr>
                <w:rFonts w:hint="default" w:ascii="Times New Roman" w:hAnsi="Times New Roman" w:cs="Times New Roman"/>
                <w:spacing w:val="6"/>
                <w:sz w:val="21"/>
                <w:szCs w:val="21"/>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悬浮物</w:t>
            </w:r>
          </w:p>
        </w:tc>
        <w:tc>
          <w:tcPr>
            <w:tcW w:w="249"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241</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226</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232</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252</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238</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c>
          <w:tcPr>
            <w:tcW w:w="459" w:type="pct"/>
            <w:gridSpan w:val="2"/>
            <w:vAlign w:val="top"/>
          </w:tcPr>
          <w:p>
            <w:pPr>
              <w:pStyle w:val="88"/>
              <w:spacing w:before="181"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五日生化</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需氧量</w:t>
            </w:r>
          </w:p>
        </w:tc>
        <w:tc>
          <w:tcPr>
            <w:tcW w:w="249"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31.3</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34.3</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38.3</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37.3</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35.3</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459" w:type="pct"/>
            <w:gridSpan w:val="2"/>
            <w:vAlign w:val="top"/>
          </w:tcPr>
          <w:p>
            <w:pPr>
              <w:pStyle w:val="88"/>
              <w:spacing w:before="225"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化学需氧量</w:t>
            </w:r>
          </w:p>
        </w:tc>
        <w:tc>
          <w:tcPr>
            <w:tcW w:w="249"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148</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136</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122</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124</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132</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459" w:type="pct"/>
            <w:gridSpan w:val="2"/>
            <w:vAlign w:val="top"/>
          </w:tcPr>
          <w:p>
            <w:pPr>
              <w:pStyle w:val="88"/>
              <w:spacing w:before="183"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氨氮</w:t>
            </w:r>
          </w:p>
        </w:tc>
        <w:tc>
          <w:tcPr>
            <w:tcW w:w="249" w:type="pct"/>
            <w:gridSpan w:val="2"/>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0.248</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0.146</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0.163</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0.212</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0.192</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459" w:type="pct"/>
            <w:gridSpan w:val="2"/>
            <w:vAlign w:val="top"/>
          </w:tcPr>
          <w:p>
            <w:pPr>
              <w:pStyle w:val="88"/>
              <w:spacing w:before="182"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3"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93"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石油类</w:t>
            </w:r>
          </w:p>
        </w:tc>
        <w:tc>
          <w:tcPr>
            <w:tcW w:w="249" w:type="pct"/>
            <w:gridSpan w:val="2"/>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0.14</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0.16</w:t>
            </w:r>
          </w:p>
        </w:tc>
        <w:tc>
          <w:tcPr>
            <w:tcW w:w="511"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0.20</w:t>
            </w:r>
          </w:p>
        </w:tc>
        <w:tc>
          <w:tcPr>
            <w:tcW w:w="510"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0.18</w:t>
            </w:r>
          </w:p>
        </w:tc>
        <w:tc>
          <w:tcPr>
            <w:tcW w:w="515" w:type="pct"/>
            <w:gridSpan w:val="2"/>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0.17</w:t>
            </w:r>
          </w:p>
        </w:tc>
        <w:tc>
          <w:tcPr>
            <w:tcW w:w="345"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459" w:type="pct"/>
            <w:gridSpan w:val="2"/>
            <w:vAlign w:val="top"/>
          </w:tcPr>
          <w:p>
            <w:pPr>
              <w:pStyle w:val="88"/>
              <w:spacing w:before="184" w:line="222" w:lineRule="auto"/>
              <w:ind w:left="232"/>
              <w:rPr>
                <w:rFonts w:hint="default" w:ascii="Times New Roman" w:hAnsi="Times New Roman" w:cs="Times New Roman"/>
                <w:sz w:val="21"/>
                <w:szCs w:val="21"/>
              </w:rPr>
            </w:pPr>
            <w:r>
              <w:rPr>
                <w:rFonts w:hint="default" w:ascii="Times New Roman" w:hAnsi="Times New Roman" w:cs="Times New Roman"/>
                <w:sz w:val="21"/>
                <w:szCs w:val="21"/>
              </w:rPr>
              <w:t>mg</w:t>
            </w:r>
            <w:r>
              <w:rPr>
                <w:rFonts w:hint="default" w:ascii="Times New Roman" w:hAnsi="Times New Roman" w:cs="Times New Roman"/>
                <w:spacing w:val="9"/>
                <w:sz w:val="21"/>
                <w:szCs w:val="21"/>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693" w:type="pct"/>
            <w:vAlign w:val="top"/>
          </w:tcPr>
          <w:p>
            <w:pPr>
              <w:spacing w:line="299" w:lineRule="auto"/>
              <w:rPr>
                <w:rFonts w:hint="default" w:ascii="Times New Roman" w:hAnsi="Times New Roman" w:cs="Times New Roman"/>
                <w:sz w:val="21"/>
                <w:szCs w:val="21"/>
              </w:rPr>
            </w:pPr>
          </w:p>
          <w:p>
            <w:pPr>
              <w:pStyle w:val="88"/>
              <w:spacing w:before="65" w:line="229" w:lineRule="auto"/>
              <w:ind w:left="422"/>
              <w:rPr>
                <w:rFonts w:hint="default" w:ascii="Times New Roman" w:hAnsi="Times New Roman" w:cs="Times New Roman"/>
                <w:sz w:val="21"/>
                <w:szCs w:val="21"/>
              </w:rPr>
            </w:pPr>
            <w:r>
              <w:rPr>
                <w:rFonts w:hint="default" w:ascii="Times New Roman" w:hAnsi="Times New Roman" w:cs="Times New Roman"/>
                <w:spacing w:val="-1"/>
                <w:sz w:val="21"/>
                <w:szCs w:val="21"/>
              </w:rPr>
              <w:t>备</w:t>
            </w:r>
            <w:r>
              <w:rPr>
                <w:rFonts w:hint="default" w:ascii="Times New Roman" w:hAnsi="Times New Roman" w:cs="Times New Roman"/>
                <w:spacing w:val="13"/>
                <w:sz w:val="21"/>
                <w:szCs w:val="21"/>
              </w:rPr>
              <w:t xml:space="preserve"> </w:t>
            </w:r>
            <w:r>
              <w:rPr>
                <w:rFonts w:hint="default" w:ascii="Times New Roman" w:hAnsi="Times New Roman" w:cs="Times New Roman"/>
                <w:spacing w:val="-1"/>
                <w:sz w:val="21"/>
                <w:szCs w:val="21"/>
              </w:rPr>
              <w:t>注</w:t>
            </w:r>
          </w:p>
        </w:tc>
        <w:tc>
          <w:tcPr>
            <w:tcW w:w="4306" w:type="pct"/>
            <w:gridSpan w:val="16"/>
            <w:vAlign w:val="top"/>
          </w:tcPr>
          <w:p>
            <w:pPr>
              <w:pStyle w:val="88"/>
              <w:spacing w:before="65" w:line="227" w:lineRule="auto"/>
              <w:ind w:left="127"/>
              <w:rPr>
                <w:rFonts w:hint="default" w:ascii="Times New Roman" w:hAnsi="Times New Roman" w:cs="Times New Roman"/>
                <w:sz w:val="21"/>
                <w:szCs w:val="21"/>
              </w:rPr>
            </w:pPr>
            <w:r>
              <w:rPr>
                <w:rFonts w:hint="default" w:ascii="Times New Roman" w:hAnsi="Times New Roman" w:cs="Times New Roman"/>
                <w:spacing w:val="8"/>
                <w:sz w:val="21"/>
                <w:szCs w:val="21"/>
              </w:rPr>
              <w:t>1.本次检测数据仅对本次采样点位所采集样品有效。</w:t>
            </w:r>
          </w:p>
          <w:p>
            <w:pPr>
              <w:pStyle w:val="88"/>
              <w:spacing w:before="54" w:line="246" w:lineRule="auto"/>
              <w:ind w:left="111" w:right="109" w:firstLine="2"/>
              <w:rPr>
                <w:rFonts w:hint="default" w:ascii="Times New Roman" w:hAnsi="Times New Roman" w:cs="Times New Roman"/>
                <w:sz w:val="21"/>
                <w:szCs w:val="21"/>
              </w:rPr>
            </w:pPr>
            <w:r>
              <w:rPr>
                <w:rFonts w:hint="default" w:ascii="Times New Roman" w:hAnsi="Times New Roman" w:cs="Times New Roman"/>
                <w:spacing w:val="8"/>
                <w:sz w:val="21"/>
                <w:szCs w:val="21"/>
              </w:rPr>
              <w:t>2.“氨氮</w:t>
            </w:r>
            <w:r>
              <w:rPr>
                <w:rFonts w:hint="default" w:ascii="Times New Roman" w:hAnsi="Times New Roman" w:cs="Times New Roman"/>
                <w:spacing w:val="-70"/>
                <w:sz w:val="21"/>
                <w:szCs w:val="21"/>
              </w:rPr>
              <w:t xml:space="preserve"> </w:t>
            </w:r>
            <w:r>
              <w:rPr>
                <w:rFonts w:hint="default" w:ascii="Times New Roman" w:hAnsi="Times New Roman" w:cs="Times New Roman"/>
                <w:spacing w:val="8"/>
                <w:sz w:val="21"/>
                <w:szCs w:val="21"/>
              </w:rPr>
              <w:t>”限值参照《污水排入城镇下水道水质标准》（</w:t>
            </w:r>
            <w:r>
              <w:rPr>
                <w:rFonts w:hint="default" w:ascii="Times New Roman" w:hAnsi="Times New Roman" w:cs="Times New Roman"/>
                <w:sz w:val="21"/>
                <w:szCs w:val="21"/>
              </w:rPr>
              <w:t>GB</w:t>
            </w:r>
            <w:r>
              <w:rPr>
                <w:rFonts w:hint="default" w:ascii="Times New Roman" w:hAnsi="Times New Roman" w:cs="Times New Roman"/>
                <w:spacing w:val="8"/>
                <w:sz w:val="21"/>
                <w:szCs w:val="21"/>
              </w:rPr>
              <w:t>/T31962-</w:t>
            </w:r>
            <w:r>
              <w:rPr>
                <w:rFonts w:hint="default" w:ascii="Times New Roman" w:hAnsi="Times New Roman" w:cs="Times New Roman"/>
                <w:spacing w:val="7"/>
                <w:sz w:val="21"/>
                <w:szCs w:val="21"/>
              </w:rPr>
              <w:t>2015）表</w:t>
            </w:r>
            <w:r>
              <w:rPr>
                <w:rFonts w:hint="default" w:ascii="Times New Roman" w:hAnsi="Times New Roman" w:cs="Times New Roman"/>
                <w:spacing w:val="-21"/>
                <w:sz w:val="21"/>
                <w:szCs w:val="21"/>
              </w:rPr>
              <w:t xml:space="preserve"> </w:t>
            </w:r>
            <w:r>
              <w:rPr>
                <w:rFonts w:hint="default" w:ascii="Times New Roman" w:hAnsi="Times New Roman" w:cs="Times New Roman"/>
                <w:spacing w:val="7"/>
                <w:sz w:val="21"/>
                <w:szCs w:val="21"/>
              </w:rPr>
              <w:t>1，其它限</w:t>
            </w:r>
            <w:r>
              <w:rPr>
                <w:rFonts w:hint="default" w:ascii="Times New Roman" w:hAnsi="Times New Roman" w:cs="Times New Roman"/>
                <w:spacing w:val="8"/>
                <w:sz w:val="21"/>
                <w:szCs w:val="21"/>
              </w:rPr>
              <w:t>值参照《污水综合排放标准》（</w:t>
            </w:r>
            <w:r>
              <w:rPr>
                <w:rFonts w:hint="default" w:ascii="Times New Roman" w:hAnsi="Times New Roman" w:cs="Times New Roman"/>
                <w:sz w:val="21"/>
                <w:szCs w:val="21"/>
              </w:rPr>
              <w:t>GB</w:t>
            </w:r>
            <w:r>
              <w:rPr>
                <w:rFonts w:hint="default" w:ascii="Times New Roman" w:hAnsi="Times New Roman" w:cs="Times New Roman"/>
                <w:spacing w:val="8"/>
                <w:sz w:val="21"/>
                <w:szCs w:val="21"/>
              </w:rPr>
              <w:t xml:space="preserve"> 8978-19</w:t>
            </w:r>
            <w:r>
              <w:rPr>
                <w:rFonts w:hint="default" w:ascii="Times New Roman" w:hAnsi="Times New Roman" w:cs="Times New Roman"/>
                <w:spacing w:val="7"/>
                <w:sz w:val="21"/>
                <w:szCs w:val="21"/>
              </w:rPr>
              <w:t>96）表</w:t>
            </w:r>
            <w:r>
              <w:rPr>
                <w:rFonts w:hint="default" w:ascii="Times New Roman" w:hAnsi="Times New Roman" w:cs="Times New Roman"/>
                <w:spacing w:val="-38"/>
                <w:sz w:val="21"/>
                <w:szCs w:val="21"/>
              </w:rPr>
              <w:t xml:space="preserve"> </w:t>
            </w:r>
            <w:r>
              <w:rPr>
                <w:rFonts w:hint="default" w:ascii="Times New Roman" w:hAnsi="Times New Roman" w:cs="Times New Roman"/>
                <w:spacing w:val="7"/>
                <w:sz w:val="21"/>
                <w:szCs w:val="21"/>
              </w:rPr>
              <w:t>4，三级标准。</w:t>
            </w:r>
          </w:p>
        </w:tc>
      </w:tr>
    </w:tbl>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监测结果表明：验收监测期间，项目</w:t>
      </w:r>
      <w:r>
        <w:rPr>
          <w:rFonts w:hint="eastAsia"/>
          <w:lang w:val="en-US" w:eastAsia="zh-CN"/>
        </w:rPr>
        <w:t>生产</w:t>
      </w:r>
      <w:r>
        <w:rPr>
          <w:rFonts w:hint="eastAsia" w:ascii="Times New Roman" w:hAnsi="Times New Roman" w:eastAsia="宋体"/>
          <w:lang w:val="en-US" w:eastAsia="zh-CN"/>
        </w:rPr>
        <w:t>废水中</w:t>
      </w:r>
      <w:r>
        <w:rPr>
          <w:rFonts w:hint="default" w:ascii="Times New Roman" w:hAnsi="Times New Roman" w:eastAsia="宋体"/>
          <w:lang w:val="en-US" w:eastAsia="zh-CN"/>
        </w:rPr>
        <w:t>pH、悬浮物</w:t>
      </w:r>
      <w:r>
        <w:rPr>
          <w:rFonts w:hint="eastAsia" w:ascii="Times New Roman" w:hAnsi="Times New Roman" w:eastAsia="宋体"/>
          <w:lang w:val="en-US" w:eastAsia="zh-CN"/>
        </w:rPr>
        <w:t>、</w:t>
      </w:r>
      <w:r>
        <w:rPr>
          <w:rFonts w:hint="default" w:ascii="Times New Roman" w:hAnsi="Times New Roman" w:eastAsia="宋体"/>
          <w:lang w:val="en-US" w:eastAsia="zh-CN"/>
        </w:rPr>
        <w:t>化学需氧量、</w:t>
      </w:r>
      <w:r>
        <w:rPr>
          <w:rFonts w:hint="eastAsia" w:ascii="Times New Roman" w:hAnsi="Times New Roman" w:eastAsia="宋体"/>
          <w:lang w:val="en-US" w:eastAsia="zh-CN"/>
        </w:rPr>
        <w:t>五日生化需氧量</w:t>
      </w:r>
      <w:r>
        <w:rPr>
          <w:rFonts w:hint="eastAsia"/>
          <w:lang w:val="en-US" w:eastAsia="zh-CN"/>
        </w:rPr>
        <w:t>、石油类</w:t>
      </w:r>
      <w:r>
        <w:rPr>
          <w:rFonts w:hint="eastAsia" w:ascii="Times New Roman" w:hAnsi="Times New Roman" w:eastAsia="宋体"/>
          <w:lang w:val="en-US" w:eastAsia="zh-CN"/>
        </w:rPr>
        <w:t>检测结果符合《污水综合排放标准》（GB 8978-1996）表4中三级标准限值；氨氮结果符合执行《污水排入城镇下水道水质标准》（GB/T31962-2015）。</w:t>
      </w:r>
    </w:p>
    <w:p>
      <w:pPr>
        <w:ind w:firstLine="480" w:firstLineChars="200"/>
        <w:rPr>
          <w:rFonts w:hint="eastAsia" w:ascii="Times New Roman" w:hAnsi="Times New Roman" w:eastAsia="宋体"/>
        </w:rPr>
      </w:pPr>
      <w:r>
        <w:rPr>
          <w:rFonts w:hint="eastAsia"/>
          <w:lang w:eastAsia="zh-CN"/>
        </w:rPr>
        <w:t>生活</w:t>
      </w:r>
      <w:r>
        <w:rPr>
          <w:rFonts w:hint="eastAsia" w:ascii="Times New Roman" w:hAnsi="Times New Roman" w:eastAsia="宋体"/>
          <w:lang w:eastAsia="zh-CN"/>
        </w:rPr>
        <w:t>废水</w:t>
      </w:r>
      <w:r>
        <w:rPr>
          <w:rFonts w:ascii="Times New Roman" w:hAnsi="Times New Roman" w:eastAsia="宋体"/>
        </w:rPr>
        <w:t>监测结果</w:t>
      </w:r>
      <w:r>
        <w:rPr>
          <w:rFonts w:hint="eastAsia" w:ascii="Times New Roman" w:hAnsi="Times New Roman" w:eastAsia="宋体"/>
        </w:rPr>
        <w:t>见下表</w:t>
      </w:r>
      <w:r>
        <w:rPr>
          <w:rFonts w:ascii="Times New Roman" w:hAnsi="Times New Roman" w:eastAsia="宋体"/>
        </w:rPr>
        <w:t>9</w:t>
      </w:r>
      <w:r>
        <w:rPr>
          <w:rFonts w:hint="eastAsia" w:ascii="Times New Roman" w:hAnsi="Times New Roman" w:eastAsia="宋体"/>
        </w:rPr>
        <w:t>-</w:t>
      </w:r>
      <w:r>
        <w:rPr>
          <w:rFonts w:hint="eastAsia"/>
          <w:lang w:val="en-US" w:eastAsia="zh-CN"/>
        </w:rPr>
        <w:t>4</w:t>
      </w:r>
      <w:r>
        <w:rPr>
          <w:rFonts w:hint="eastAsia" w:ascii="Times New Roman" w:hAnsi="Times New Roman" w:eastAsia="宋体"/>
        </w:rPr>
        <w:t>。</w:t>
      </w:r>
    </w:p>
    <w:p>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4  生活</w:t>
      </w:r>
      <w:r>
        <w:rPr>
          <w:rFonts w:hint="eastAsia"/>
          <w:b/>
          <w:bCs/>
          <w:sz w:val="21"/>
          <w:szCs w:val="21"/>
          <w:lang w:eastAsia="zh-CN"/>
        </w:rPr>
        <w:t>废水</w:t>
      </w:r>
      <w:r>
        <w:rPr>
          <w:b/>
          <w:bCs/>
          <w:sz w:val="21"/>
          <w:szCs w:val="21"/>
        </w:rPr>
        <w:t>监测结果一览表</w:t>
      </w:r>
    </w:p>
    <w:tbl>
      <w:tblPr>
        <w:tblStyle w:val="89"/>
        <w:tblW w:w="502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288"/>
        <w:gridCol w:w="1005"/>
        <w:gridCol w:w="1005"/>
        <w:gridCol w:w="1005"/>
        <w:gridCol w:w="1005"/>
        <w:gridCol w:w="1007"/>
        <w:gridCol w:w="716"/>
        <w:gridCol w:w="8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日期</w:t>
            </w:r>
          </w:p>
        </w:tc>
        <w:tc>
          <w:tcPr>
            <w:tcW w:w="128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w:t>
            </w:r>
          </w:p>
        </w:tc>
        <w:tc>
          <w:tcPr>
            <w:tcW w:w="5022"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S1 检测结果</w:t>
            </w:r>
          </w:p>
        </w:tc>
        <w:tc>
          <w:tcPr>
            <w:tcW w:w="71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限值</w:t>
            </w:r>
          </w:p>
        </w:tc>
        <w:tc>
          <w:tcPr>
            <w:tcW w:w="83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第一次</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第二次</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第三次</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第四次</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平均值</w:t>
            </w:r>
          </w:p>
        </w:tc>
        <w:tc>
          <w:tcPr>
            <w:tcW w:w="71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83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2023.12.15</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 值</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7.4</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7.3</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7.5</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7.4</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7.4</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悬浮物</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五日生化</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需氧量</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3.8</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4.3</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4.2</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4.6</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4.2</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化学需氧量</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21</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氨氮</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3.08</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2.91</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3.46</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3.11</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石油类</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2023.12.16</w:t>
            </w: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pH 值</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7.4</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7.9</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7.6</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7.4</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7.6</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悬浮物</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400</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五日生化</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需氧量</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3.9</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4.7</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4.3</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化学需氧量</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19</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18</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17</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500</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氨氮</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3.38</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3.10</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2.97</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3.04</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3.12</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石油类</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10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0.06L</w:t>
            </w:r>
          </w:p>
        </w:tc>
        <w:tc>
          <w:tcPr>
            <w:tcW w:w="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8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备 注</w:t>
            </w:r>
          </w:p>
        </w:tc>
        <w:tc>
          <w:tcPr>
            <w:tcW w:w="7857"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 本次检测数据仅对本次采样点位所采集样品有效。</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2.“L ”表示检测数据低于标准方法检出限，报出值为检出限值加“L ”。</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3.“氨氮 ”限值参照《污水排入城镇下水道水质标准》（GB/T31962-2015）表 1，其它限 值参照《污水综合排放标准》（GB 8978-1996）表 4，三级标准。</w:t>
            </w:r>
          </w:p>
        </w:tc>
      </w:tr>
    </w:tbl>
    <w:p>
      <w:pPr>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监测结果表明：验收监测期间，项目</w:t>
      </w:r>
      <w:r>
        <w:rPr>
          <w:rFonts w:hint="eastAsia"/>
          <w:lang w:val="en-US" w:eastAsia="zh-CN"/>
        </w:rPr>
        <w:t>生活</w:t>
      </w:r>
      <w:r>
        <w:rPr>
          <w:rFonts w:hint="eastAsia" w:ascii="Times New Roman" w:hAnsi="Times New Roman" w:eastAsia="宋体"/>
          <w:lang w:val="en-US" w:eastAsia="zh-CN"/>
        </w:rPr>
        <w:t>废水中</w:t>
      </w:r>
      <w:r>
        <w:rPr>
          <w:rFonts w:hint="default" w:ascii="Times New Roman" w:hAnsi="Times New Roman" w:eastAsia="宋体"/>
          <w:lang w:val="en-US" w:eastAsia="zh-CN"/>
        </w:rPr>
        <w:t>pH、悬浮物</w:t>
      </w:r>
      <w:r>
        <w:rPr>
          <w:rFonts w:hint="eastAsia" w:ascii="Times New Roman" w:hAnsi="Times New Roman" w:eastAsia="宋体"/>
          <w:lang w:val="en-US" w:eastAsia="zh-CN"/>
        </w:rPr>
        <w:t>、</w:t>
      </w:r>
      <w:r>
        <w:rPr>
          <w:rFonts w:hint="default" w:ascii="Times New Roman" w:hAnsi="Times New Roman" w:eastAsia="宋体"/>
          <w:lang w:val="en-US" w:eastAsia="zh-CN"/>
        </w:rPr>
        <w:t>化学需氧量、</w:t>
      </w:r>
      <w:r>
        <w:rPr>
          <w:rFonts w:hint="eastAsia" w:ascii="Times New Roman" w:hAnsi="Times New Roman" w:eastAsia="宋体"/>
          <w:lang w:val="en-US" w:eastAsia="zh-CN"/>
        </w:rPr>
        <w:t>五日生化需氧量</w:t>
      </w:r>
      <w:r>
        <w:rPr>
          <w:rFonts w:hint="eastAsia"/>
          <w:lang w:val="en-US" w:eastAsia="zh-CN"/>
        </w:rPr>
        <w:t>、石油类</w:t>
      </w:r>
      <w:r>
        <w:rPr>
          <w:rFonts w:hint="eastAsia" w:ascii="Times New Roman" w:hAnsi="Times New Roman" w:eastAsia="宋体"/>
          <w:lang w:val="en-US" w:eastAsia="zh-CN"/>
        </w:rPr>
        <w:t>检测结果符合《污水综合排放标准》（GB 8978-1996）表4中三级标准限值；氨氮结果符合执行《污水排入城镇下水道水质标准》（GB/T31962-2015）。</w:t>
      </w:r>
    </w:p>
    <w:p>
      <w:pPr>
        <w:pStyle w:val="4"/>
        <w:keepNext/>
        <w:keepLines/>
        <w:pageBreakBefore w:val="0"/>
        <w:widowControl/>
        <w:kinsoku/>
        <w:wordWrap/>
        <w:overflowPunct/>
        <w:topLinePunct w:val="0"/>
        <w:autoSpaceDE/>
        <w:autoSpaceDN/>
        <w:bidi w:val="0"/>
        <w:adjustRightInd w:val="0"/>
        <w:snapToGrid w:val="0"/>
        <w:textAlignment w:val="auto"/>
      </w:pPr>
      <w:r>
        <w:t>9.2.</w:t>
      </w:r>
      <w:r>
        <w:rPr>
          <w:rFonts w:hint="eastAsia"/>
          <w:lang w:val="en-US" w:eastAsia="zh-CN"/>
        </w:rPr>
        <w:t>4</w:t>
      </w:r>
      <w:r>
        <w:rPr>
          <w:rFonts w:hint="eastAsia"/>
        </w:rPr>
        <w:t>噪声监测结果及分析</w:t>
      </w:r>
    </w:p>
    <w:p>
      <w:pPr>
        <w:ind w:firstLine="480" w:firstLineChars="200"/>
      </w:pPr>
      <w:r>
        <w:t>噪声监测结果</w:t>
      </w:r>
      <w:r>
        <w:rPr>
          <w:rFonts w:hint="eastAsia"/>
        </w:rPr>
        <w:t>见下表</w:t>
      </w:r>
      <w:r>
        <w:t>9</w:t>
      </w:r>
      <w:r>
        <w:rPr>
          <w:rFonts w:hint="eastAsia"/>
        </w:rPr>
        <w:t>-</w:t>
      </w:r>
      <w:r>
        <w:rPr>
          <w:rFonts w:hint="eastAsia"/>
          <w:lang w:val="en-US" w:eastAsia="zh-CN"/>
        </w:rPr>
        <w:t>5</w:t>
      </w:r>
      <w:r>
        <w:rPr>
          <w:rFonts w:hint="eastAsia"/>
        </w:rPr>
        <w:t>。</w:t>
      </w:r>
    </w:p>
    <w:p>
      <w:pPr>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5</w:t>
      </w:r>
      <w:r>
        <w:rPr>
          <w:b/>
          <w:bCs/>
          <w:sz w:val="21"/>
          <w:szCs w:val="21"/>
        </w:rPr>
        <w:t xml:space="preserve"> 厂界噪声监测结果一览表</w:t>
      </w:r>
    </w:p>
    <w:tbl>
      <w:tblPr>
        <w:tblStyle w:val="89"/>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38"/>
        <w:gridCol w:w="1544"/>
        <w:gridCol w:w="1106"/>
        <w:gridCol w:w="3274"/>
        <w:gridCol w:w="1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40"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日期</w:t>
            </w:r>
          </w:p>
        </w:tc>
        <w:tc>
          <w:tcPr>
            <w:tcW w:w="854"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w:t>
            </w:r>
          </w:p>
        </w:tc>
        <w:tc>
          <w:tcPr>
            <w:tcW w:w="612"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点位</w:t>
            </w:r>
          </w:p>
        </w:tc>
        <w:tc>
          <w:tcPr>
            <w:tcW w:w="1811"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昼间结果</w:t>
            </w:r>
          </w:p>
        </w:tc>
        <w:tc>
          <w:tcPr>
            <w:tcW w:w="98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昼间限值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40"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854"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12"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811"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Leq（dB）</w:t>
            </w:r>
          </w:p>
        </w:tc>
        <w:tc>
          <w:tcPr>
            <w:tcW w:w="98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Leq（dB）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40"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2023.11.28</w:t>
            </w:r>
          </w:p>
        </w:tc>
        <w:tc>
          <w:tcPr>
            <w:tcW w:w="854"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厂界噪声</w:t>
            </w:r>
          </w:p>
        </w:tc>
        <w:tc>
          <w:tcPr>
            <w:tcW w:w="61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Z1</w:t>
            </w:r>
          </w:p>
        </w:tc>
        <w:tc>
          <w:tcPr>
            <w:tcW w:w="1811"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w:t>
            </w:r>
          </w:p>
        </w:tc>
        <w:tc>
          <w:tcPr>
            <w:tcW w:w="982"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40"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854"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1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Z2</w:t>
            </w:r>
          </w:p>
        </w:tc>
        <w:tc>
          <w:tcPr>
            <w:tcW w:w="1811"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53</w:t>
            </w:r>
          </w:p>
        </w:tc>
        <w:tc>
          <w:tcPr>
            <w:tcW w:w="982"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40"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2023.11.29</w:t>
            </w:r>
          </w:p>
        </w:tc>
        <w:tc>
          <w:tcPr>
            <w:tcW w:w="854" w:type="pct"/>
            <w:vMerge w:val="restart"/>
            <w:tcBorders>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厂界噪声</w:t>
            </w:r>
          </w:p>
        </w:tc>
        <w:tc>
          <w:tcPr>
            <w:tcW w:w="61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Z1</w:t>
            </w:r>
          </w:p>
        </w:tc>
        <w:tc>
          <w:tcPr>
            <w:tcW w:w="1811"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57</w:t>
            </w:r>
          </w:p>
        </w:tc>
        <w:tc>
          <w:tcPr>
            <w:tcW w:w="982" w:type="pct"/>
            <w:vMerge w:val="continue"/>
            <w:tcBorders>
              <w:top w:val="nil"/>
              <w:bottom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40"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854"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612"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Z2</w:t>
            </w:r>
          </w:p>
        </w:tc>
        <w:tc>
          <w:tcPr>
            <w:tcW w:w="1811"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c>
          <w:tcPr>
            <w:tcW w:w="982" w:type="pct"/>
            <w:vMerge w:val="continue"/>
            <w:tcBorders>
              <w:top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40" w:type="pct"/>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备 注</w:t>
            </w:r>
          </w:p>
        </w:tc>
        <w:tc>
          <w:tcPr>
            <w:tcW w:w="4259" w:type="pct"/>
            <w:gridSpan w:val="4"/>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1.本次检测数据仅对本次检测点位数据有效。</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2.限值参照标准《工业企业厂界环境噪声排放标准》（GB 12348-2008）表 1，声环境功能区类别 3 类。</w:t>
            </w:r>
          </w:p>
        </w:tc>
      </w:tr>
    </w:tbl>
    <w:p>
      <w:pPr>
        <w:spacing w:line="240" w:lineRule="auto"/>
        <w:jc w:val="both"/>
        <w:rPr>
          <w:b/>
          <w:bCs/>
          <w:sz w:val="21"/>
          <w:szCs w:val="21"/>
        </w:rPr>
      </w:pPr>
    </w:p>
    <w:p>
      <w:pPr>
        <w:ind w:firstLine="480" w:firstLineChars="200"/>
      </w:pPr>
      <w:r>
        <w:rPr>
          <w:rFonts w:hint="eastAsia"/>
        </w:rPr>
        <w:t>根据</w:t>
      </w:r>
      <w:r>
        <w:t>噪声监测结果</w:t>
      </w:r>
      <w:r>
        <w:rPr>
          <w:rFonts w:hint="eastAsia"/>
        </w:rPr>
        <w:t>，项目</w:t>
      </w:r>
      <w:r>
        <w:rPr>
          <w:rFonts w:hint="eastAsia"/>
          <w:lang w:val="en-US" w:eastAsia="zh-CN"/>
        </w:rPr>
        <w:t>南侧、北侧</w:t>
      </w:r>
      <w:r>
        <w:rPr>
          <w:rFonts w:hint="eastAsia"/>
        </w:rPr>
        <w:t>厂界噪声监测值均满足《工业企业厂界环境噪声排放标准》（GB 12348-2008）表1的</w:t>
      </w:r>
      <w:r>
        <w:rPr>
          <w:rFonts w:hint="eastAsia"/>
          <w:lang w:val="en-US" w:eastAsia="zh-CN"/>
        </w:rPr>
        <w:t>3</w:t>
      </w:r>
      <w:r>
        <w:rPr>
          <w:rFonts w:hint="eastAsia"/>
        </w:rPr>
        <w:t>类标准限值要求。</w:t>
      </w:r>
    </w:p>
    <w:p>
      <w:pPr>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p>
    <w:p>
      <w:pPr>
        <w:pStyle w:val="2"/>
      </w:pPr>
      <w:bookmarkStart w:id="140" w:name="_Toc497833633"/>
      <w:bookmarkStart w:id="141" w:name="_Toc7506"/>
      <w:r>
        <w:rPr>
          <w:rFonts w:hint="eastAsia"/>
        </w:rPr>
        <w:t>10验收监测结论</w:t>
      </w:r>
      <w:bookmarkEnd w:id="140"/>
      <w:bookmarkEnd w:id="141"/>
    </w:p>
    <w:p>
      <w:pPr>
        <w:pStyle w:val="3"/>
      </w:pPr>
      <w:bookmarkStart w:id="142" w:name="_Toc497833634"/>
      <w:bookmarkStart w:id="143" w:name="_Toc23207"/>
      <w:r>
        <w:t>10.1 环境保护设施调试效果</w:t>
      </w:r>
      <w:bookmarkEnd w:id="142"/>
      <w:bookmarkEnd w:id="143"/>
    </w:p>
    <w:p>
      <w:pPr>
        <w:pStyle w:val="4"/>
        <w:rPr>
          <w:rFonts w:ascii="Times New Roman" w:hAnsi="Times New Roman" w:eastAsia="宋体" w:cstheme="minorBidi"/>
          <w:b w:val="0"/>
          <w:sz w:val="24"/>
          <w:szCs w:val="22"/>
          <w:lang w:val="en-US" w:eastAsia="zh-CN" w:bidi="ar-SA"/>
        </w:rPr>
      </w:pPr>
      <w:bookmarkStart w:id="144" w:name="_Toc497833635"/>
      <w:r>
        <w:t>10.1.1 废气</w:t>
      </w:r>
    </w:p>
    <w:p>
      <w:pPr>
        <w:ind w:firstLine="480" w:firstLineChars="200"/>
        <w:rPr>
          <w:rFonts w:ascii="Times New Roman" w:hAnsi="Times New Roman" w:eastAsia="宋体" w:cstheme="minorBidi"/>
          <w:b w:val="0"/>
          <w:sz w:val="24"/>
          <w:szCs w:val="22"/>
          <w:lang w:val="en-US" w:eastAsia="zh-CN" w:bidi="ar-SA"/>
        </w:rPr>
      </w:pPr>
      <w:r>
        <w:rPr>
          <w:rFonts w:hint="eastAsia" w:ascii="Times New Roman" w:hAnsi="Times New Roman" w:eastAsia="宋体" w:cstheme="minorBidi"/>
          <w:b w:val="0"/>
          <w:sz w:val="24"/>
          <w:szCs w:val="22"/>
          <w:lang w:val="en-US" w:eastAsia="zh-CN" w:bidi="ar-SA"/>
        </w:rPr>
        <w:t>监</w:t>
      </w:r>
      <w:r>
        <w:rPr>
          <w:rFonts w:ascii="Times New Roman" w:hAnsi="Times New Roman" w:eastAsia="宋体" w:cstheme="minorBidi"/>
          <w:b w:val="0"/>
          <w:sz w:val="24"/>
          <w:szCs w:val="22"/>
          <w:lang w:val="en-US" w:eastAsia="zh-CN" w:bidi="ar-SA"/>
        </w:rPr>
        <w:t>测结果表明：验收监测期间，</w:t>
      </w:r>
      <w:r>
        <w:rPr>
          <w:rFonts w:hint="eastAsia" w:cstheme="minorBidi"/>
          <w:b w:val="0"/>
          <w:sz w:val="24"/>
          <w:szCs w:val="22"/>
          <w:lang w:val="en-US" w:eastAsia="zh-CN" w:bidi="ar-SA"/>
        </w:rPr>
        <w:t>有组织</w:t>
      </w:r>
      <w:r>
        <w:rPr>
          <w:rFonts w:hint="eastAsia" w:ascii="Times New Roman" w:hAnsi="Times New Roman" w:eastAsia="宋体" w:cstheme="minorBidi"/>
          <w:b w:val="0"/>
          <w:sz w:val="24"/>
          <w:szCs w:val="22"/>
          <w:lang w:val="en-US" w:eastAsia="zh-CN" w:bidi="ar-SA"/>
        </w:rPr>
        <w:t>废气非甲烷总烃满足《包装印刷业大气污染物排放标准》（DB50/758-2017）表 2排放限值。厂界无组织废气非甲烷总烃检测结果符合《包装印刷业大气污染物排放标准》（DB 50/758-2017）表 4排放限值</w:t>
      </w:r>
      <w:r>
        <w:rPr>
          <w:rFonts w:hint="eastAsia" w:cstheme="minorBidi"/>
          <w:b w:val="0"/>
          <w:sz w:val="24"/>
          <w:szCs w:val="22"/>
          <w:lang w:val="en-US" w:eastAsia="zh-CN" w:bidi="ar-SA"/>
        </w:rPr>
        <w:t>。</w:t>
      </w:r>
    </w:p>
    <w:p>
      <w:pPr>
        <w:pStyle w:val="4"/>
        <w:rPr>
          <w:rFonts w:hint="eastAsia" w:eastAsia="宋体"/>
          <w:lang w:eastAsia="zh-CN"/>
        </w:rPr>
      </w:pPr>
      <w:r>
        <w:t xml:space="preserve">10.1.2  </w:t>
      </w:r>
      <w:r>
        <w:rPr>
          <w:rFonts w:hint="eastAsia"/>
          <w:lang w:eastAsia="zh-CN"/>
        </w:rPr>
        <w:t>废水</w:t>
      </w:r>
    </w:p>
    <w:p>
      <w:pPr>
        <w:ind w:firstLine="480" w:firstLineChars="200"/>
        <w:rPr>
          <w:rFonts w:hint="eastAsia" w:ascii="Times New Roman" w:hAnsi="Times New Roman" w:eastAsia="宋体"/>
          <w:lang w:val="zh-CN"/>
        </w:rPr>
      </w:pPr>
      <w:r>
        <w:rPr>
          <w:rFonts w:hint="eastAsia"/>
          <w:lang w:val="zh-CN"/>
        </w:rPr>
        <w:t>监测</w:t>
      </w:r>
      <w:r>
        <w:rPr>
          <w:rFonts w:hint="eastAsia" w:ascii="Times New Roman" w:hAnsi="Times New Roman" w:eastAsia="宋体"/>
          <w:lang w:val="zh-CN"/>
        </w:rPr>
        <w:t>结果表明：验收监测期间，项目</w:t>
      </w:r>
      <w:r>
        <w:rPr>
          <w:rFonts w:hint="eastAsia"/>
          <w:lang w:val="zh-CN"/>
        </w:rPr>
        <w:t>生活</w:t>
      </w:r>
      <w:r>
        <w:rPr>
          <w:rFonts w:hint="eastAsia" w:ascii="Times New Roman" w:hAnsi="Times New Roman" w:eastAsia="宋体"/>
          <w:lang w:val="zh-CN"/>
        </w:rPr>
        <w:t>废水</w:t>
      </w:r>
      <w:r>
        <w:rPr>
          <w:rFonts w:hint="eastAsia"/>
          <w:lang w:val="zh-CN"/>
        </w:rPr>
        <w:t>及生产废水</w:t>
      </w:r>
      <w:r>
        <w:rPr>
          <w:rFonts w:hint="eastAsia" w:ascii="Times New Roman" w:hAnsi="Times New Roman" w:eastAsia="宋体"/>
          <w:lang w:val="zh-CN"/>
        </w:rPr>
        <w:t>中</w:t>
      </w:r>
      <w:r>
        <w:rPr>
          <w:rFonts w:hint="default" w:ascii="Times New Roman" w:hAnsi="Times New Roman" w:eastAsia="宋体"/>
          <w:lang w:val="en-US" w:eastAsia="zh-CN"/>
        </w:rPr>
        <w:t>pH、悬浮物</w:t>
      </w:r>
      <w:r>
        <w:rPr>
          <w:rFonts w:hint="eastAsia" w:ascii="Times New Roman" w:hAnsi="Times New Roman" w:eastAsia="宋体"/>
          <w:lang w:val="en-US" w:eastAsia="zh-CN"/>
        </w:rPr>
        <w:t>、</w:t>
      </w:r>
      <w:r>
        <w:rPr>
          <w:rFonts w:hint="default" w:ascii="Times New Roman" w:hAnsi="Times New Roman" w:eastAsia="宋体"/>
          <w:lang w:val="en-US" w:eastAsia="zh-CN"/>
        </w:rPr>
        <w:t>化学需氧量、</w:t>
      </w:r>
      <w:r>
        <w:rPr>
          <w:rFonts w:hint="eastAsia" w:ascii="Times New Roman" w:hAnsi="Times New Roman" w:eastAsia="宋体"/>
          <w:lang w:val="en-US" w:eastAsia="zh-CN"/>
        </w:rPr>
        <w:t>五日生化需氧量</w:t>
      </w:r>
      <w:r>
        <w:rPr>
          <w:rFonts w:hint="eastAsia"/>
          <w:lang w:val="en-US" w:eastAsia="zh-CN"/>
        </w:rPr>
        <w:t>、石油类</w:t>
      </w:r>
      <w:r>
        <w:rPr>
          <w:rFonts w:hint="eastAsia" w:ascii="Times New Roman" w:hAnsi="Times New Roman" w:eastAsia="宋体"/>
          <w:lang w:val="en-US" w:eastAsia="zh-CN"/>
        </w:rPr>
        <w:t>检测结果</w:t>
      </w:r>
      <w:r>
        <w:rPr>
          <w:rFonts w:hint="eastAsia"/>
          <w:lang w:val="en-US" w:eastAsia="zh-CN"/>
        </w:rPr>
        <w:t>均</w:t>
      </w:r>
      <w:r>
        <w:rPr>
          <w:rFonts w:hint="eastAsia" w:ascii="Times New Roman" w:hAnsi="Times New Roman" w:eastAsia="宋体"/>
          <w:lang w:val="en-US" w:eastAsia="zh-CN"/>
        </w:rPr>
        <w:t>符合《污水综合排放标准》（GB 8978-1996）表4中三级标准限值；氨氮结果符合执行《污水排入城镇下水道水质标准》（GB/T31962-2015）。</w:t>
      </w:r>
    </w:p>
    <w:p>
      <w:pPr>
        <w:pStyle w:val="4"/>
      </w:pPr>
      <w:r>
        <w:t xml:space="preserve">10.1.2 </w:t>
      </w:r>
      <w:bookmarkEnd w:id="144"/>
      <w:bookmarkStart w:id="145" w:name="_Toc497833636"/>
      <w:r>
        <w:t xml:space="preserve"> 噪声</w:t>
      </w:r>
      <w:bookmarkEnd w:id="145"/>
    </w:p>
    <w:p>
      <w:pPr>
        <w:ind w:firstLine="480" w:firstLineChars="200"/>
        <w:rPr>
          <w:lang w:val="zh-CN"/>
        </w:rPr>
      </w:pPr>
      <w:r>
        <w:rPr>
          <w:lang w:val="zh-CN"/>
        </w:rPr>
        <w:t>监测结果表明，该项目厂界噪声满足《工业企业厂界环境噪声排放标准》（GB12348-2008）的</w:t>
      </w:r>
      <w:r>
        <w:rPr>
          <w:rFonts w:hint="eastAsia"/>
          <w:lang w:val="en-US" w:eastAsia="zh-CN"/>
        </w:rPr>
        <w:t>3</w:t>
      </w:r>
      <w:r>
        <w:rPr>
          <w:lang w:val="zh-CN"/>
        </w:rPr>
        <w:t>类标准。</w:t>
      </w:r>
    </w:p>
    <w:p>
      <w:pPr>
        <w:pStyle w:val="4"/>
        <w:rPr>
          <w:rFonts w:hint="eastAsia" w:eastAsia="宋体"/>
          <w:lang w:val="zh-CN" w:eastAsia="zh-CN"/>
        </w:rPr>
      </w:pPr>
      <w:r>
        <w:t>10.1.</w:t>
      </w:r>
      <w:r>
        <w:rPr>
          <w:rFonts w:hint="eastAsia"/>
          <w:lang w:val="en-US" w:eastAsia="zh-CN"/>
        </w:rPr>
        <w:t>3</w:t>
      </w:r>
      <w:r>
        <w:t xml:space="preserve">  </w:t>
      </w:r>
      <w:r>
        <w:rPr>
          <w:rFonts w:hint="eastAsia"/>
          <w:lang w:eastAsia="zh-CN"/>
        </w:rPr>
        <w:t>固废</w:t>
      </w:r>
    </w:p>
    <w:p>
      <w:pPr>
        <w:ind w:firstLine="480" w:firstLineChars="200"/>
        <w:rPr>
          <w:rFonts w:hint="eastAsia"/>
          <w:lang w:val="en-US" w:eastAsia="zh-CN"/>
        </w:rPr>
      </w:pPr>
      <w:r>
        <w:rPr>
          <w:rFonts w:hint="eastAsia"/>
          <w:lang w:val="en-US" w:eastAsia="zh-CN"/>
        </w:rPr>
        <w:t>一般固废：废玻璃边角料、不合格品定点收集于厂区一般工业固废临时贮存点，定期由物资公司回收利用。污水处理站污泥收集于厂区一般工业固废临时贮存点，定期送填埋场填埋。</w:t>
      </w:r>
    </w:p>
    <w:p>
      <w:pPr>
        <w:ind w:firstLine="480" w:firstLineChars="200"/>
        <w:rPr>
          <w:rFonts w:hint="eastAsia"/>
          <w:lang w:val="en-US" w:eastAsia="zh-CN"/>
        </w:rPr>
      </w:pPr>
      <w:r>
        <w:rPr>
          <w:rFonts w:hint="eastAsia"/>
          <w:lang w:val="en-US" w:eastAsia="zh-CN"/>
        </w:rPr>
        <w:t>危险废物：废切削液渣、废硝酸钾、废网板、废油墨、废油墨桶、废玻璃保护液桶、废气治理设备废活性炭、设备维护废机油厂内统一收集后，暂存于危废暂存间，定期交由有资质的单位处理。含油抹布、手套混入生活垃圾一起交由环卫部门清运。危废暂存间按《危险废物贮存污染控制标准》（GB18597-2023）设置。</w:t>
      </w:r>
    </w:p>
    <w:p>
      <w:pPr>
        <w:ind w:firstLine="480" w:firstLineChars="200"/>
        <w:rPr>
          <w:rFonts w:hint="eastAsia"/>
          <w:lang w:val="en-US" w:eastAsia="zh-CN"/>
        </w:rPr>
      </w:pPr>
      <w:r>
        <w:rPr>
          <w:rFonts w:hint="eastAsia"/>
          <w:lang w:val="en-US" w:eastAsia="zh-CN"/>
        </w:rPr>
        <w:t>生活垃圾用垃圾桶收集后，交由环卫部门清运。</w:t>
      </w:r>
    </w:p>
    <w:p>
      <w:pPr>
        <w:pStyle w:val="4"/>
        <w:rPr>
          <w:rFonts w:hint="eastAsia" w:eastAsia="宋体"/>
          <w:lang w:val="zh-CN" w:eastAsia="zh-CN"/>
        </w:rPr>
      </w:pPr>
      <w:r>
        <w:t>10.1.</w:t>
      </w:r>
      <w:r>
        <w:rPr>
          <w:rFonts w:hint="eastAsia"/>
          <w:lang w:val="en-US" w:eastAsia="zh-CN"/>
        </w:rPr>
        <w:t>4</w:t>
      </w:r>
      <w:r>
        <w:t xml:space="preserve">  </w:t>
      </w:r>
      <w:r>
        <w:rPr>
          <w:rFonts w:hint="eastAsia"/>
          <w:lang w:eastAsia="zh-CN"/>
        </w:rPr>
        <w:t>其他</w:t>
      </w:r>
    </w:p>
    <w:p>
      <w:pPr>
        <w:adjustRightInd w:val="0"/>
        <w:snapToGrid w:val="0"/>
        <w:spacing w:line="360" w:lineRule="auto"/>
        <w:ind w:firstLine="480" w:firstLineChars="200"/>
        <w:jc w:val="both"/>
        <w:rPr>
          <w:rFonts w:hint="eastAsia"/>
          <w:color w:val="0000FF"/>
          <w:lang w:val="en-US" w:eastAsia="zh-CN"/>
        </w:rPr>
      </w:pPr>
      <w:r>
        <w:rPr>
          <w:rFonts w:hint="eastAsia" w:ascii="Times New Roman" w:hAnsi="Times New Roman" w:eastAsia="宋体" w:cs="Times New Roman"/>
          <w:color w:val="000000"/>
          <w:sz w:val="24"/>
          <w:szCs w:val="24"/>
          <w:lang w:val="en-US" w:eastAsia="zh-CN" w:bidi="ar-SA"/>
        </w:rPr>
        <w:t>该项目主要从事</w:t>
      </w:r>
      <w:r>
        <w:rPr>
          <w:rFonts w:hint="eastAsia"/>
          <w:color w:val="000000" w:themeColor="text1"/>
          <w:lang w:eastAsia="zh-CN"/>
          <w14:textFill>
            <w14:solidFill>
              <w14:schemeClr w14:val="tx1"/>
            </w14:solidFill>
          </w14:textFill>
        </w:rPr>
        <w:t>2.5D/3D手机、笔电消费电子玻璃盖板项目</w:t>
      </w:r>
      <w:r>
        <w:rPr>
          <w:rFonts w:hint="eastAsia" w:ascii="Times New Roman" w:hAnsi="Times New Roman" w:eastAsia="宋体" w:cs="Times New Roman"/>
          <w:color w:val="000000"/>
          <w:sz w:val="24"/>
          <w:szCs w:val="24"/>
          <w:lang w:val="en-US" w:eastAsia="zh-CN" w:bidi="ar-SA"/>
        </w:rPr>
        <w:t>，行业划分属于</w:t>
      </w:r>
      <w:r>
        <w:rPr>
          <w:rFonts w:hint="eastAsia" w:eastAsia="宋体" w:cs="Times New Roman"/>
          <w:color w:val="000000" w:themeColor="text1"/>
          <w:kern w:val="2"/>
          <w:sz w:val="24"/>
          <w:szCs w:val="24"/>
          <w:lang w:val="en-US" w:eastAsia="zh-CN" w:bidi="ar-SA"/>
          <w14:textFill>
            <w14:solidFill>
              <w14:schemeClr w14:val="tx1"/>
            </w14:solidFill>
          </w14:textFill>
        </w:rPr>
        <w:t>305玻璃制品制造</w:t>
      </w:r>
      <w:r>
        <w:rPr>
          <w:rFonts w:hint="eastAsia" w:ascii="Times New Roman" w:hAnsi="Times New Roman" w:eastAsia="宋体" w:cs="Times New Roman"/>
          <w:color w:val="000000"/>
          <w:sz w:val="24"/>
          <w:szCs w:val="24"/>
          <w:lang w:val="en-US" w:eastAsia="zh-CN" w:bidi="ar-SA"/>
        </w:rPr>
        <w:t>，根据固定污染源排污许可证分类管理名录（2019 年版）的相关要求，属于</w:t>
      </w:r>
      <w:r>
        <w:rPr>
          <w:rFonts w:hint="eastAsia"/>
          <w:color w:val="000000" w:themeColor="text1"/>
          <w:lang w:val="en-US" w:eastAsia="zh-CN"/>
          <w14:textFill>
            <w14:solidFill>
              <w14:schemeClr w14:val="tx1"/>
            </w14:solidFill>
          </w14:textFill>
        </w:rPr>
        <w:t>登记管理</w:t>
      </w:r>
      <w:r>
        <w:rPr>
          <w:rFonts w:hint="eastAsia" w:ascii="Times New Roman" w:hAnsi="Times New Roman" w:eastAsia="宋体" w:cs="Times New Roman"/>
          <w:color w:val="000000"/>
          <w:sz w:val="24"/>
          <w:szCs w:val="24"/>
          <w:lang w:val="en-US" w:eastAsia="zh-CN" w:bidi="ar-SA"/>
        </w:rPr>
        <w:t>，需要办理排污</w:t>
      </w:r>
      <w:r>
        <w:rPr>
          <w:rFonts w:hint="eastAsia" w:cs="Times New Roman"/>
          <w:color w:val="000000"/>
          <w:sz w:val="24"/>
          <w:szCs w:val="24"/>
          <w:lang w:val="en-US" w:eastAsia="zh-CN" w:bidi="ar-SA"/>
        </w:rPr>
        <w:t>登记。</w:t>
      </w:r>
      <w:r>
        <w:rPr>
          <w:rFonts w:hint="eastAsia" w:ascii="Times New Roman" w:hAnsi="Times New Roman" w:eastAsia="宋体" w:cs="Times New Roman"/>
          <w:color w:val="000000"/>
          <w:sz w:val="24"/>
          <w:szCs w:val="24"/>
          <w:lang w:val="en-US" w:eastAsia="zh-CN" w:bidi="ar-SA"/>
        </w:rPr>
        <w:t>企业于202</w:t>
      </w:r>
      <w:r>
        <w:rPr>
          <w:rFonts w:hint="eastAsia" w:cs="Times New Roman"/>
          <w:color w:val="000000"/>
          <w:sz w:val="24"/>
          <w:szCs w:val="24"/>
          <w:lang w:val="en-US" w:eastAsia="zh-CN" w:bidi="ar-SA"/>
        </w:rPr>
        <w:t>1</w:t>
      </w:r>
      <w:r>
        <w:rPr>
          <w:rFonts w:hint="eastAsia" w:ascii="Times New Roman" w:hAnsi="Times New Roman" w:eastAsia="宋体" w:cs="Times New Roman"/>
          <w:color w:val="000000"/>
          <w:sz w:val="24"/>
          <w:szCs w:val="24"/>
          <w:lang w:val="en-US" w:eastAsia="zh-CN" w:bidi="ar-SA"/>
        </w:rPr>
        <w:t>年</w:t>
      </w:r>
      <w:r>
        <w:rPr>
          <w:rFonts w:hint="eastAsia" w:cs="Times New Roman"/>
          <w:color w:val="000000"/>
          <w:sz w:val="24"/>
          <w:szCs w:val="24"/>
          <w:lang w:val="en-US" w:eastAsia="zh-CN" w:bidi="ar-SA"/>
        </w:rPr>
        <w:t>8</w:t>
      </w:r>
      <w:r>
        <w:rPr>
          <w:rFonts w:hint="eastAsia" w:ascii="Times New Roman" w:hAnsi="Times New Roman" w:eastAsia="宋体" w:cs="Times New Roman"/>
          <w:color w:val="000000"/>
          <w:sz w:val="24"/>
          <w:szCs w:val="24"/>
          <w:lang w:val="en-US" w:eastAsia="zh-CN" w:bidi="ar-SA"/>
        </w:rPr>
        <w:t>月</w:t>
      </w:r>
      <w:r>
        <w:rPr>
          <w:rFonts w:hint="eastAsia" w:cs="Times New Roman"/>
          <w:color w:val="000000"/>
          <w:sz w:val="24"/>
          <w:szCs w:val="24"/>
          <w:lang w:val="en-US" w:eastAsia="zh-CN" w:bidi="ar-SA"/>
        </w:rPr>
        <w:t>31</w:t>
      </w:r>
      <w:r>
        <w:rPr>
          <w:rFonts w:hint="eastAsia" w:ascii="Times New Roman" w:hAnsi="Times New Roman" w:eastAsia="宋体" w:cs="Times New Roman"/>
          <w:color w:val="000000"/>
          <w:sz w:val="24"/>
          <w:szCs w:val="24"/>
          <w:lang w:val="en-US" w:eastAsia="zh-CN" w:bidi="ar-SA"/>
        </w:rPr>
        <w:t>日审批通过排污许可证。</w:t>
      </w:r>
      <w:r>
        <w:rPr>
          <w:rFonts w:hint="eastAsia" w:cs="Times New Roman"/>
          <w:color w:val="000000"/>
          <w:sz w:val="24"/>
          <w:szCs w:val="24"/>
          <w:lang w:val="en-US" w:eastAsia="zh-CN" w:bidi="ar-SA"/>
        </w:rPr>
        <w:t>登记</w:t>
      </w:r>
      <w:r>
        <w:rPr>
          <w:rFonts w:hint="eastAsia" w:ascii="Times New Roman" w:hAnsi="Times New Roman" w:eastAsia="宋体" w:cs="Times New Roman"/>
          <w:color w:val="000000"/>
          <w:sz w:val="24"/>
          <w:szCs w:val="24"/>
          <w:lang w:val="en-US" w:eastAsia="zh-CN" w:bidi="ar-SA"/>
        </w:rPr>
        <w:t>编号：</w:t>
      </w:r>
      <w:r>
        <w:rPr>
          <w:rFonts w:hint="eastAsia" w:ascii="Times New Roman" w:hAnsi="Times New Roman" w:eastAsia="宋体" w:cs="Times New Roman"/>
          <w:color w:val="auto"/>
          <w:sz w:val="24"/>
          <w:szCs w:val="24"/>
          <w:lang w:val="en-US" w:eastAsia="zh-CN" w:bidi="ar-SA"/>
        </w:rPr>
        <w:t>91500101MA60U7W040</w:t>
      </w:r>
      <w:r>
        <w:rPr>
          <w:rFonts w:hint="eastAsia" w:cs="Times New Roman"/>
          <w:color w:val="auto"/>
          <w:sz w:val="24"/>
          <w:szCs w:val="24"/>
          <w:lang w:val="en-US" w:eastAsia="zh-CN" w:bidi="ar-SA"/>
        </w:rPr>
        <w:t>001Z</w:t>
      </w:r>
      <w:r>
        <w:rPr>
          <w:rFonts w:hint="eastAsia" w:ascii="Times New Roman" w:hAnsi="Times New Roman" w:eastAsia="宋体" w:cs="Times New Roman"/>
          <w:color w:val="000000"/>
          <w:sz w:val="24"/>
          <w:szCs w:val="24"/>
          <w:lang w:val="en-US" w:eastAsia="zh-CN" w:bidi="ar-SA"/>
        </w:rPr>
        <w:t>。项目在建设及试生产期间没有居民投诉。</w:t>
      </w:r>
    </w:p>
    <w:p>
      <w:pPr>
        <w:pStyle w:val="3"/>
      </w:pPr>
      <w:bookmarkStart w:id="146" w:name="_Toc497833639"/>
      <w:bookmarkStart w:id="147" w:name="_Toc6447"/>
      <w:bookmarkStart w:id="148" w:name="_Toc23702"/>
      <w:r>
        <w:t>10.2</w:t>
      </w:r>
      <w:bookmarkEnd w:id="146"/>
      <w:bookmarkEnd w:id="147"/>
      <w:bookmarkStart w:id="149" w:name="_Toc13754664"/>
      <w:bookmarkStart w:id="150" w:name="_Toc497833640"/>
      <w:bookmarkStart w:id="151" w:name="_Toc13610"/>
      <w:bookmarkStart w:id="152" w:name="_Toc497833641"/>
      <w:bookmarkStart w:id="153" w:name="_Toc3746"/>
      <w:r>
        <w:t>环境管理检查</w:t>
      </w:r>
      <w:bookmarkEnd w:id="148"/>
      <w:bookmarkEnd w:id="149"/>
      <w:bookmarkEnd w:id="150"/>
      <w:bookmarkEnd w:id="151"/>
    </w:p>
    <w:p>
      <w:pPr>
        <w:ind w:firstLine="480" w:firstLineChars="200"/>
        <w:rPr>
          <w:rFonts w:hint="eastAsia"/>
        </w:rPr>
      </w:pPr>
      <w:r>
        <w:rPr>
          <w:rFonts w:hint="eastAsia"/>
        </w:rPr>
        <w:t>与项目有关的各项环保档案资料（例如：环评报告</w:t>
      </w:r>
      <w:r>
        <w:rPr>
          <w:rFonts w:hint="eastAsia"/>
          <w:lang w:eastAsia="zh-CN"/>
        </w:rPr>
        <w:t>表</w:t>
      </w:r>
      <w:r>
        <w:rPr>
          <w:rFonts w:hint="eastAsia"/>
        </w:rPr>
        <w:t>、环评批复、执行标准等批复和文件）齐备，均由办公室归档保管，符合环保要求。</w:t>
      </w:r>
    </w:p>
    <w:p>
      <w:pPr>
        <w:pStyle w:val="3"/>
      </w:pPr>
      <w:bookmarkStart w:id="154" w:name="_Toc32178"/>
      <w:r>
        <w:t>10.</w:t>
      </w:r>
      <w:r>
        <w:rPr>
          <w:rFonts w:hint="eastAsia"/>
          <w:lang w:val="en-US" w:eastAsia="zh-CN"/>
        </w:rPr>
        <w:t>3</w:t>
      </w:r>
      <w:r>
        <w:t xml:space="preserve"> 综合结论</w:t>
      </w:r>
      <w:bookmarkEnd w:id="152"/>
      <w:bookmarkEnd w:id="153"/>
      <w:bookmarkEnd w:id="154"/>
    </w:p>
    <w:p>
      <w:pPr>
        <w:pStyle w:val="11"/>
        <w:ind w:firstLine="472" w:firstLineChars="200"/>
      </w:pPr>
      <w:r>
        <w:rPr>
          <w:rFonts w:hint="eastAsia"/>
          <w:lang w:eastAsia="zh-CN"/>
        </w:rPr>
        <w:t>重庆象征科技有限公司年产4000万片2.5D/3D手机、笔电消费电子玻璃盖板项目</w:t>
      </w:r>
      <w:r>
        <w:t>环保手续齐全，经现场检查已基本按环评及其批复要求落实了各项污染治理设施。</w:t>
      </w:r>
      <w:r>
        <w:rPr>
          <w:rFonts w:hint="eastAsia"/>
          <w:lang w:val="en-US" w:eastAsia="zh-CN"/>
        </w:rPr>
        <w:t>工程建设期间与调试运行过程中，未发生重大污染和环保投诉事件。现有环保设施能符合运营期污染物排放及处置要求，满足竣工环保验收条件。</w:t>
      </w:r>
      <w:r>
        <w:t>本次竣工环保验收经过为期2天的现场验收监测，各项监测指标均能满足相应标准要求。综上所述，</w:t>
      </w:r>
      <w:r>
        <w:rPr>
          <w:rFonts w:hint="eastAsia"/>
          <w:lang w:eastAsia="zh-CN"/>
        </w:rPr>
        <w:t>重庆象征科技有限公司年产4000万片2.5D/3D手机、笔电消费电子玻璃盖板项目</w:t>
      </w:r>
      <w:r>
        <w:t>符合竣工环保验收要求，建议通过环保竣工验收。</w:t>
      </w:r>
    </w:p>
    <w:p>
      <w:pPr>
        <w:pStyle w:val="3"/>
      </w:pPr>
      <w:bookmarkStart w:id="155" w:name="_Toc7985"/>
      <w:bookmarkStart w:id="156" w:name="_Toc497833642"/>
      <w:bookmarkStart w:id="157" w:name="_Toc26520"/>
      <w:r>
        <w:t>10.</w:t>
      </w:r>
      <w:r>
        <w:rPr>
          <w:rFonts w:hint="eastAsia"/>
          <w:lang w:val="en-US" w:eastAsia="zh-CN"/>
        </w:rPr>
        <w:t>4</w:t>
      </w:r>
      <w:r>
        <w:t xml:space="preserve"> 建议</w:t>
      </w:r>
      <w:bookmarkEnd w:id="155"/>
      <w:bookmarkEnd w:id="156"/>
      <w:r>
        <w:t>与要求</w:t>
      </w:r>
      <w:bookmarkEnd w:id="157"/>
    </w:p>
    <w:p>
      <w:pPr>
        <w:numPr>
          <w:ilvl w:val="0"/>
          <w:numId w:val="5"/>
        </w:numPr>
        <w:ind w:left="0" w:leftChars="0" w:firstLine="480" w:firstLineChars="200"/>
        <w:rPr>
          <w:bCs/>
          <w:color w:val="000000"/>
        </w:rPr>
      </w:pPr>
      <w:bookmarkStart w:id="158" w:name="_Toc17100877"/>
      <w:bookmarkStart w:id="159" w:name="_Toc16519460"/>
      <w:bookmarkStart w:id="160" w:name="_Toc27817"/>
      <w:r>
        <w:rPr>
          <w:rFonts w:hint="eastAsia" w:ascii="Times New Roman" w:hAnsi="Times New Roman" w:eastAsia="宋体"/>
          <w:kern w:val="2"/>
          <w:sz w:val="24"/>
          <w:szCs w:val="24"/>
        </w:rPr>
        <w:t>提高企业管理人员及全体员工的环保意识，加强环境管理。不断完善各项环境管理规章制度，减少</w:t>
      </w:r>
      <w:r>
        <w:rPr>
          <w:rFonts w:hint="eastAsia"/>
          <w:kern w:val="2"/>
          <w:sz w:val="24"/>
          <w:szCs w:val="24"/>
          <w:lang w:eastAsia="zh-CN"/>
        </w:rPr>
        <w:t>废水处理设备</w:t>
      </w:r>
      <w:r>
        <w:rPr>
          <w:rFonts w:hint="eastAsia" w:ascii="Times New Roman" w:hAnsi="Times New Roman" w:eastAsia="宋体"/>
          <w:kern w:val="2"/>
          <w:sz w:val="24"/>
          <w:szCs w:val="24"/>
        </w:rPr>
        <w:t>的跑、冒、滴、漏。加强生产各环节管理</w:t>
      </w:r>
      <w:r>
        <w:rPr>
          <w:rFonts w:hint="eastAsia" w:ascii="Times New Roman" w:hAnsi="Times New Roman" w:eastAsia="宋体"/>
          <w:kern w:val="2"/>
          <w:sz w:val="24"/>
          <w:szCs w:val="24"/>
          <w:lang w:eastAsia="zh-CN"/>
        </w:rPr>
        <w:t>。</w:t>
      </w:r>
    </w:p>
    <w:p>
      <w:pPr>
        <w:numPr>
          <w:ilvl w:val="0"/>
          <w:numId w:val="5"/>
        </w:numPr>
        <w:ind w:left="0" w:leftChars="0" w:firstLine="464" w:firstLineChars="200"/>
      </w:pPr>
      <w:r>
        <w:rPr>
          <w:rFonts w:hint="eastAsia" w:ascii="Times New Roman" w:hAnsi="宋体" w:eastAsia="宋体"/>
          <w:spacing w:val="-4"/>
          <w:sz w:val="24"/>
          <w:szCs w:val="24"/>
        </w:rPr>
        <w:t>加强环保设施的运行管理和维护，确保环保设施处于良好运行状态，以保证污染治理设施的处理效果</w:t>
      </w:r>
      <w:r>
        <w:rPr>
          <w:bCs/>
          <w:color w:val="000000"/>
        </w:rPr>
        <w:t>。</w:t>
      </w:r>
    </w:p>
    <w:p>
      <w:pPr>
        <w:pStyle w:val="30"/>
        <w:rPr>
          <w:rFonts w:hint="eastAsia"/>
          <w:lang w:val="en-US" w:eastAsia="zh-CN"/>
        </w:rPr>
      </w:pPr>
    </w:p>
    <w:bookmarkEnd w:id="158"/>
    <w:bookmarkEnd w:id="159"/>
    <w:bookmarkEnd w:id="160"/>
    <w:p>
      <w:pPr>
        <w:pStyle w:val="2"/>
        <w:keepNext/>
        <w:keepLines/>
        <w:pageBreakBefore/>
        <w:widowControl/>
        <w:kinsoku/>
        <w:wordWrap/>
        <w:overflowPunct/>
        <w:topLinePunct w:val="0"/>
        <w:autoSpaceDE/>
        <w:autoSpaceDN/>
        <w:bidi w:val="0"/>
        <w:adjustRightInd w:val="0"/>
        <w:snapToGrid w:val="0"/>
        <w:textAlignment w:val="auto"/>
      </w:pPr>
      <w:bookmarkStart w:id="161" w:name="_Toc15467"/>
      <w:bookmarkStart w:id="162" w:name="_Toc28981"/>
      <w:r>
        <w:rPr>
          <w:rFonts w:hint="eastAsia"/>
        </w:rPr>
        <w:t>1</w:t>
      </w:r>
      <w:r>
        <w:rPr>
          <w:rFonts w:hint="eastAsia"/>
          <w:lang w:val="en-US" w:eastAsia="zh-CN"/>
        </w:rPr>
        <w:t xml:space="preserve">1 </w:t>
      </w:r>
      <w:r>
        <w:t>附图附件</w:t>
      </w:r>
      <w:bookmarkEnd w:id="161"/>
      <w:bookmarkEnd w:id="162"/>
    </w:p>
    <w:p>
      <w:pPr>
        <w:pStyle w:val="3"/>
      </w:pPr>
      <w:bookmarkStart w:id="163" w:name="_Toc22482"/>
      <w:bookmarkStart w:id="164" w:name="_Toc15208"/>
      <w:r>
        <w:rPr>
          <w:rFonts w:hint="eastAsia"/>
        </w:rPr>
        <w:t>1</w:t>
      </w:r>
      <w:r>
        <w:rPr>
          <w:rFonts w:hint="eastAsia"/>
          <w:lang w:val="en-US" w:eastAsia="zh-CN"/>
        </w:rPr>
        <w:t>1</w:t>
      </w:r>
      <w:r>
        <w:t>.1附图:</w:t>
      </w:r>
      <w:bookmarkEnd w:id="163"/>
      <w:bookmarkEnd w:id="164"/>
    </w:p>
    <w:p>
      <w:pPr>
        <w:tabs>
          <w:tab w:val="left" w:pos="1455"/>
        </w:tabs>
        <w:spacing w:line="460" w:lineRule="atLeast"/>
        <w:ind w:firstLine="720" w:firstLineChars="300"/>
        <w:jc w:val="left"/>
        <w:rPr>
          <w:rFonts w:ascii="Times New Roman" w:hAnsi="Times New Roman" w:eastAsia="宋体"/>
          <w:color w:val="000000"/>
          <w:sz w:val="24"/>
          <w:szCs w:val="24"/>
        </w:rPr>
      </w:pPr>
      <w:r>
        <w:rPr>
          <w:rFonts w:ascii="Times New Roman" w:hAnsi="Times New Roman" w:eastAsia="宋体"/>
          <w:color w:val="000000"/>
          <w:sz w:val="24"/>
          <w:szCs w:val="24"/>
        </w:rPr>
        <w:t>附图1</w:t>
      </w:r>
      <w:r>
        <w:rPr>
          <w:rFonts w:hint="eastAsia" w:ascii="Times New Roman" w:hAnsi="Times New Roman" w:eastAsia="宋体"/>
          <w:color w:val="000000"/>
          <w:sz w:val="24"/>
          <w:szCs w:val="24"/>
          <w:lang w:val="en-US" w:eastAsia="zh-CN"/>
        </w:rPr>
        <w:t xml:space="preserve">  </w:t>
      </w:r>
      <w:r>
        <w:rPr>
          <w:rFonts w:ascii="Times New Roman" w:hAnsi="Times New Roman" w:eastAsia="宋体"/>
          <w:color w:val="000000"/>
          <w:sz w:val="24"/>
          <w:szCs w:val="24"/>
        </w:rPr>
        <w:t>项目地理位置图</w:t>
      </w:r>
      <w:r>
        <w:rPr>
          <w:rFonts w:ascii="Times New Roman" w:hAnsi="Times New Roman" w:eastAsia="宋体"/>
          <w:color w:val="000000"/>
          <w:sz w:val="24"/>
          <w:szCs w:val="24"/>
        </w:rPr>
        <w:tab/>
      </w:r>
    </w:p>
    <w:p>
      <w:pPr>
        <w:tabs>
          <w:tab w:val="left" w:pos="1455"/>
        </w:tabs>
        <w:spacing w:line="460" w:lineRule="atLeast"/>
        <w:ind w:firstLine="720" w:firstLineChars="300"/>
        <w:jc w:val="left"/>
        <w:rPr>
          <w:rFonts w:hint="eastAsia" w:ascii="Times New Roman" w:hAnsi="Times New Roman" w:eastAsia="宋体"/>
          <w:color w:val="000000"/>
          <w:sz w:val="24"/>
          <w:szCs w:val="24"/>
        </w:rPr>
      </w:pPr>
      <w:r>
        <w:rPr>
          <w:rFonts w:hint="eastAsia" w:ascii="Times New Roman" w:hAnsi="Times New Roman" w:eastAsia="宋体"/>
          <w:color w:val="000000"/>
          <w:sz w:val="24"/>
          <w:szCs w:val="24"/>
        </w:rPr>
        <w:t>附图2  本项目外环境关系图</w:t>
      </w:r>
    </w:p>
    <w:p>
      <w:pPr>
        <w:tabs>
          <w:tab w:val="left" w:pos="1455"/>
        </w:tabs>
        <w:spacing w:line="460" w:lineRule="atLeast"/>
        <w:ind w:firstLine="720" w:firstLineChars="300"/>
        <w:jc w:val="left"/>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eastAsia="zh-CN"/>
        </w:rPr>
        <w:t>附图</w:t>
      </w:r>
      <w:r>
        <w:rPr>
          <w:rFonts w:hint="eastAsia" w:ascii="Times New Roman" w:hAnsi="Times New Roman" w:eastAsia="宋体"/>
          <w:color w:val="000000"/>
          <w:sz w:val="24"/>
          <w:szCs w:val="24"/>
          <w:lang w:val="en-US" w:eastAsia="zh-CN"/>
        </w:rPr>
        <w:t xml:space="preserve">3  </w:t>
      </w:r>
      <w:r>
        <w:rPr>
          <w:rFonts w:hint="eastAsia" w:ascii="Times New Roman" w:hAnsi="Times New Roman" w:eastAsia="宋体"/>
          <w:color w:val="000000"/>
          <w:sz w:val="24"/>
          <w:szCs w:val="24"/>
        </w:rPr>
        <w:t>厂区</w:t>
      </w:r>
      <w:r>
        <w:rPr>
          <w:rFonts w:hint="eastAsia" w:ascii="Times New Roman" w:hAnsi="Times New Roman" w:eastAsia="宋体"/>
          <w:color w:val="000000"/>
          <w:sz w:val="24"/>
          <w:szCs w:val="24"/>
          <w:lang w:eastAsia="zh-CN"/>
        </w:rPr>
        <w:t>总</w:t>
      </w:r>
      <w:r>
        <w:rPr>
          <w:rFonts w:hint="eastAsia" w:ascii="Times New Roman" w:hAnsi="Times New Roman" w:eastAsia="宋体"/>
          <w:color w:val="000000"/>
          <w:sz w:val="24"/>
          <w:szCs w:val="24"/>
        </w:rPr>
        <w:t>平面布置图</w:t>
      </w:r>
    </w:p>
    <w:p>
      <w:pPr>
        <w:pStyle w:val="30"/>
        <w:rPr>
          <w:rFonts w:hint="default"/>
          <w:lang w:val="en-US" w:eastAsia="zh-CN"/>
        </w:rPr>
      </w:pPr>
    </w:p>
    <w:p>
      <w:pPr>
        <w:pStyle w:val="3"/>
      </w:pPr>
      <w:bookmarkStart w:id="165" w:name="_Toc9016"/>
      <w:bookmarkStart w:id="166" w:name="_Toc943"/>
      <w:r>
        <w:rPr>
          <w:rFonts w:hint="eastAsia"/>
        </w:rPr>
        <w:t>1</w:t>
      </w:r>
      <w:r>
        <w:rPr>
          <w:rFonts w:hint="eastAsia"/>
          <w:lang w:val="en-US" w:eastAsia="zh-CN"/>
        </w:rPr>
        <w:t>1</w:t>
      </w:r>
      <w:r>
        <w:t>.2附件:</w:t>
      </w:r>
      <w:bookmarkEnd w:id="165"/>
      <w:bookmarkEnd w:id="166"/>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附件1</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lang w:eastAsia="zh-CN"/>
        </w:rPr>
        <w:t>环评</w:t>
      </w:r>
      <w:r>
        <w:rPr>
          <w:rFonts w:hint="eastAsia"/>
          <w:color w:val="000000"/>
          <w:sz w:val="24"/>
          <w:szCs w:val="24"/>
          <w:lang w:val="en-US" w:eastAsia="zh-CN"/>
        </w:rPr>
        <w:t>批准书</w:t>
      </w:r>
    </w:p>
    <w:p>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eastAsia="zh-CN"/>
        </w:rPr>
        <w:t>附件</w:t>
      </w:r>
      <w:r>
        <w:rPr>
          <w:rFonts w:hint="eastAsia" w:ascii="Times New Roman" w:hAnsi="Times New Roman"/>
          <w:color w:val="000000"/>
          <w:sz w:val="24"/>
          <w:szCs w:val="24"/>
          <w:lang w:val="en-US" w:eastAsia="zh-CN"/>
        </w:rPr>
        <w:t>2  竣工验收监测报告</w:t>
      </w:r>
      <w:r>
        <w:rPr>
          <w:rFonts w:hint="eastAsia"/>
          <w:color w:val="000000"/>
          <w:sz w:val="24"/>
          <w:szCs w:val="24"/>
          <w:lang w:val="en-US" w:eastAsia="zh-CN"/>
        </w:rPr>
        <w:t>（新晨（检）字（2023）第 1000 号）、新晨（检）字﹝2023﹞第 1168 号</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附件3  危废协议</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附件4  排污许可证</w:t>
      </w:r>
    </w:p>
    <w:p>
      <w:pPr>
        <w:tabs>
          <w:tab w:val="left" w:pos="1455"/>
        </w:tabs>
        <w:spacing w:line="460" w:lineRule="atLeast"/>
        <w:ind w:firstLine="720" w:firstLineChars="300"/>
        <w:jc w:val="left"/>
        <w:rPr>
          <w:rFonts w:hint="default" w:ascii="Times New Roman" w:hAnsi="Times New Roman"/>
          <w:color w:val="000000"/>
          <w:sz w:val="24"/>
          <w:szCs w:val="24"/>
          <w:lang w:val="en-US" w:eastAsia="zh-CN"/>
        </w:rPr>
        <w:sectPr>
          <w:pgSz w:w="11905" w:h="16838"/>
          <w:pgMar w:top="1083" w:right="1440" w:bottom="1083" w:left="1440" w:header="851" w:footer="850" w:gutter="0"/>
          <w:pgBorders>
            <w:top w:val="none" w:sz="0" w:space="0"/>
            <w:left w:val="none" w:sz="0" w:space="0"/>
            <w:bottom w:val="none" w:sz="0" w:space="0"/>
            <w:right w:val="none" w:sz="0" w:space="0"/>
          </w:pgBorders>
          <w:cols w:space="0" w:num="1"/>
          <w:docGrid w:type="lines" w:linePitch="322" w:charSpace="0"/>
        </w:sectPr>
      </w:pPr>
      <w:r>
        <w:rPr>
          <w:rFonts w:hint="eastAsia" w:ascii="Times New Roman" w:hAnsi="Times New Roman"/>
          <w:color w:val="000000"/>
          <w:sz w:val="24"/>
          <w:szCs w:val="24"/>
          <w:lang w:val="en-US" w:eastAsia="zh-CN"/>
        </w:rPr>
        <w:t>附件5</w:t>
      </w:r>
      <w:r>
        <w:rPr>
          <w:rFonts w:hint="eastAsia"/>
          <w:color w:val="000000"/>
          <w:sz w:val="24"/>
          <w:szCs w:val="24"/>
          <w:lang w:val="en-US" w:eastAsia="zh-CN"/>
        </w:rPr>
        <w:t xml:space="preserve"> </w:t>
      </w:r>
      <w:r>
        <w:rPr>
          <w:rFonts w:hint="eastAsia" w:ascii="Times New Roman" w:hAnsi="Times New Roman"/>
          <w:color w:val="000000"/>
          <w:sz w:val="24"/>
          <w:szCs w:val="24"/>
          <w:lang w:val="en-US" w:eastAsia="zh-CN"/>
        </w:rPr>
        <w:t>专家意见及签到表</w:t>
      </w:r>
    </w:p>
    <w:p>
      <w:pPr>
        <w:spacing w:after="0" w:line="360" w:lineRule="auto"/>
        <w:jc w:val="center"/>
        <w:rPr>
          <w:rFonts w:eastAsia="黑体"/>
          <w:b/>
          <w:sz w:val="21"/>
          <w:szCs w:val="21"/>
        </w:rPr>
      </w:pPr>
      <w:r>
        <w:rPr>
          <w:rFonts w:eastAsia="黑体"/>
          <w:b/>
          <w:sz w:val="21"/>
          <w:szCs w:val="21"/>
        </w:rPr>
        <w:t>建设项目工程竣工环境保护“三同时”验收登记表</w:t>
      </w:r>
    </w:p>
    <w:p>
      <w:pPr>
        <w:spacing w:after="0" w:line="240" w:lineRule="auto"/>
        <w:ind w:firstLine="103" w:firstLineChars="49"/>
        <w:rPr>
          <w:rFonts w:ascii="宋体" w:hAnsi="宋体" w:eastAsia="宋体"/>
          <w:b/>
          <w:sz w:val="21"/>
          <w:szCs w:val="21"/>
        </w:rPr>
      </w:pPr>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w:t>
      </w:r>
      <w:r>
        <w:rPr>
          <w:rFonts w:hint="eastAsia" w:ascii="宋体" w:hAnsi="宋体" w:eastAsia="宋体"/>
          <w:b/>
          <w:sz w:val="21"/>
          <w:szCs w:val="21"/>
        </w:rPr>
        <w:t xml:space="preserve">                      </w:t>
      </w:r>
      <w:r>
        <w:rPr>
          <w:rFonts w:ascii="宋体" w:hAnsi="宋体" w:eastAsia="宋体"/>
          <w:b/>
          <w:sz w:val="21"/>
          <w:szCs w:val="21"/>
        </w:rPr>
        <w:t xml:space="preserve">   填表人（签字）：         </w:t>
      </w:r>
      <w:r>
        <w:rPr>
          <w:rFonts w:hint="eastAsia" w:ascii="宋体" w:hAnsi="宋体" w:eastAsia="宋体"/>
          <w:b/>
          <w:sz w:val="21"/>
          <w:szCs w:val="21"/>
        </w:rPr>
        <w:t xml:space="preserve">    </w:t>
      </w:r>
      <w:r>
        <w:rPr>
          <w:rFonts w:ascii="宋体" w:hAnsi="宋体" w:eastAsia="宋体"/>
          <w:b/>
          <w:sz w:val="21"/>
          <w:szCs w:val="21"/>
        </w:rPr>
        <w:t xml:space="preserve">                     项目经办人（签字）：</w:t>
      </w:r>
    </w:p>
    <w:tbl>
      <w:tblPr>
        <w:tblStyle w:val="23"/>
        <w:tblW w:w="15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649"/>
        <w:gridCol w:w="780"/>
        <w:gridCol w:w="1125"/>
        <w:gridCol w:w="211"/>
        <w:gridCol w:w="660"/>
        <w:gridCol w:w="254"/>
        <w:gridCol w:w="765"/>
        <w:gridCol w:w="150"/>
        <w:gridCol w:w="285"/>
        <w:gridCol w:w="814"/>
        <w:gridCol w:w="911"/>
        <w:gridCol w:w="244"/>
        <w:gridCol w:w="1166"/>
        <w:gridCol w:w="496"/>
        <w:gridCol w:w="854"/>
        <w:gridCol w:w="969"/>
        <w:gridCol w:w="816"/>
        <w:gridCol w:w="180"/>
        <w:gridCol w:w="345"/>
        <w:gridCol w:w="781"/>
        <w:gridCol w:w="424"/>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restart"/>
            <w:noWrap w:val="0"/>
            <w:textDirection w:val="tbRlV"/>
            <w:vAlign w:val="center"/>
          </w:tcPr>
          <w:p>
            <w:pPr>
              <w:spacing w:after="0" w:line="240" w:lineRule="auto"/>
              <w:ind w:firstLine="1801" w:firstLineChars="1200"/>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建设项目</w:t>
            </w: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项目名称</w:t>
            </w:r>
          </w:p>
        </w:tc>
        <w:tc>
          <w:tcPr>
            <w:tcW w:w="4230" w:type="dxa"/>
            <w:gridSpan w:val="8"/>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重庆象征科技有限公司</w:t>
            </w:r>
            <w:r>
              <w:rPr>
                <w:rFonts w:hint="eastAsia" w:ascii="Tahoma" w:hAnsi="Tahoma" w:eastAsia="微软雅黑" w:cs="Times New Roman"/>
                <w:kern w:val="2"/>
                <w:sz w:val="15"/>
                <w:szCs w:val="15"/>
              </w:rPr>
              <w:t xml:space="preserve"> </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项目代码</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2020-500101-75-03-123478</w:t>
            </w:r>
          </w:p>
        </w:tc>
        <w:tc>
          <w:tcPr>
            <w:tcW w:w="969" w:type="dxa"/>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建设地点</w:t>
            </w:r>
          </w:p>
        </w:tc>
        <w:tc>
          <w:tcPr>
            <w:tcW w:w="2971" w:type="dxa"/>
            <w:gridSpan w:val="6"/>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重庆市万州区经开区联合路1号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行业类别（分类管理名录）</w:t>
            </w:r>
          </w:p>
        </w:tc>
        <w:tc>
          <w:tcPr>
            <w:tcW w:w="4230" w:type="dxa"/>
            <w:gridSpan w:val="8"/>
            <w:noWrap w:val="0"/>
            <w:vAlign w:val="center"/>
          </w:tcPr>
          <w:p>
            <w:pPr>
              <w:spacing w:after="0" w:line="240" w:lineRule="auto"/>
              <w:rPr>
                <w:rFonts w:hint="eastAsia" w:ascii="Tahoma" w:hAnsi="Tahoma" w:eastAsia="微软雅黑" w:cs="Times New Roman"/>
                <w:b/>
                <w:kern w:val="2"/>
                <w:sz w:val="15"/>
                <w:szCs w:val="15"/>
                <w:lang w:eastAsia="zh-CN"/>
              </w:rPr>
            </w:pPr>
            <w:r>
              <w:rPr>
                <w:rFonts w:hint="eastAsia" w:ascii="Tahoma" w:hAnsi="Tahoma" w:eastAsia="微软雅黑" w:cs="Times New Roman"/>
                <w:b w:val="0"/>
                <w:bCs/>
                <w:kern w:val="2"/>
                <w:sz w:val="15"/>
                <w:szCs w:val="15"/>
                <w:lang w:val="en-US" w:eastAsia="zh-CN"/>
              </w:rPr>
              <w:t>C3052光学玻璃制造</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建设性质</w:t>
            </w:r>
          </w:p>
        </w:tc>
        <w:tc>
          <w:tcPr>
            <w:tcW w:w="6700" w:type="dxa"/>
            <w:gridSpan w:val="11"/>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☑新建  □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设计生产能力</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default" w:ascii="Tahoma" w:hAnsi="Tahoma" w:eastAsia="微软雅黑" w:cs="Times New Roman"/>
                <w:kern w:val="2"/>
                <w:sz w:val="15"/>
                <w:szCs w:val="15"/>
                <w:lang w:val="en-US" w:eastAsia="zh-CN"/>
              </w:rPr>
              <w:t>建设2.5D玻璃盖板生产线，年产量4000万片。</w:t>
            </w:r>
          </w:p>
        </w:tc>
        <w:tc>
          <w:tcPr>
            <w:tcW w:w="1725" w:type="dxa"/>
            <w:gridSpan w:val="2"/>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lang w:eastAsia="zh-CN"/>
              </w:rPr>
              <w:t>实际生产能力</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项目一阶段</w:t>
            </w:r>
            <w:r>
              <w:rPr>
                <w:rFonts w:hint="default" w:ascii="Tahoma" w:hAnsi="Tahoma" w:eastAsia="微软雅黑" w:cs="Times New Roman"/>
                <w:kern w:val="2"/>
                <w:sz w:val="15"/>
                <w:szCs w:val="15"/>
                <w:lang w:val="en-US" w:eastAsia="zh-CN"/>
              </w:rPr>
              <w:t>建设2.5D玻璃盖板生产线，年产量4000万片。</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环评单位</w:t>
            </w:r>
          </w:p>
        </w:tc>
        <w:tc>
          <w:tcPr>
            <w:tcW w:w="2155" w:type="dxa"/>
            <w:gridSpan w:val="5"/>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val="en-US" w:eastAsia="zh-CN"/>
              </w:rPr>
              <w:t>成都元页环保科技有限公司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环评文件审批机关</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万州区生态环境保护局</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审批文号</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渝（万）环准[2021]86号</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环评文件类型</w:t>
            </w:r>
          </w:p>
        </w:tc>
        <w:tc>
          <w:tcPr>
            <w:tcW w:w="2155" w:type="dxa"/>
            <w:gridSpan w:val="5"/>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环境影响报告</w:t>
            </w:r>
            <w:r>
              <w:rPr>
                <w:rFonts w:hint="eastAsia" w:ascii="Tahoma" w:hAnsi="Tahoma" w:eastAsia="微软雅黑" w:cs="Times New Roman"/>
                <w:kern w:val="2"/>
                <w:sz w:val="15"/>
                <w:szCs w:val="15"/>
                <w:lang w:eastAsia="zh-CN"/>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开工日期</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20</w:t>
            </w:r>
            <w:r>
              <w:rPr>
                <w:rFonts w:hint="eastAsia" w:ascii="Tahoma" w:hAnsi="Tahoma" w:eastAsia="微软雅黑" w:cs="Times New Roman"/>
                <w:kern w:val="2"/>
                <w:sz w:val="15"/>
                <w:szCs w:val="15"/>
                <w:lang w:val="en-US" w:eastAsia="zh-CN"/>
              </w:rPr>
              <w:t>21</w:t>
            </w:r>
            <w:r>
              <w:rPr>
                <w:rFonts w:hint="eastAsia" w:ascii="Tahoma" w:hAnsi="Tahoma" w:eastAsia="微软雅黑" w:cs="Times New Roman"/>
                <w:kern w:val="2"/>
                <w:sz w:val="15"/>
                <w:szCs w:val="15"/>
                <w:lang w:eastAsia="zh-CN"/>
              </w:rPr>
              <w:t>.</w:t>
            </w:r>
            <w:r>
              <w:rPr>
                <w:rFonts w:hint="eastAsia" w:ascii="Tahoma" w:hAnsi="Tahoma" w:eastAsia="微软雅黑" w:cs="Times New Roman"/>
                <w:kern w:val="2"/>
                <w:sz w:val="15"/>
                <w:szCs w:val="15"/>
                <w:lang w:val="en-US" w:eastAsia="zh-CN"/>
              </w:rPr>
              <w:t>9</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竣工日期</w:t>
            </w:r>
          </w:p>
        </w:tc>
        <w:tc>
          <w:tcPr>
            <w:tcW w:w="2760"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23</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11</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排污许可证申领时间</w:t>
            </w:r>
          </w:p>
        </w:tc>
        <w:tc>
          <w:tcPr>
            <w:tcW w:w="2155" w:type="dxa"/>
            <w:gridSpan w:val="5"/>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环保设施设计单位</w:t>
            </w:r>
          </w:p>
        </w:tc>
        <w:tc>
          <w:tcPr>
            <w:tcW w:w="4230" w:type="dxa"/>
            <w:gridSpan w:val="8"/>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重庆象征科技有限公司</w:t>
            </w:r>
            <w:r>
              <w:rPr>
                <w:rFonts w:hint="eastAsia" w:ascii="Tahoma" w:hAnsi="Tahoma" w:eastAsia="微软雅黑" w:cs="Times New Roman"/>
                <w:kern w:val="2"/>
                <w:sz w:val="15"/>
                <w:szCs w:val="15"/>
              </w:rPr>
              <w:t xml:space="preserve"> </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环保设施施工单位</w:t>
            </w:r>
          </w:p>
        </w:tc>
        <w:tc>
          <w:tcPr>
            <w:tcW w:w="2760" w:type="dxa"/>
            <w:gridSpan w:val="4"/>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重庆象征科技有限公司</w:t>
            </w:r>
            <w:r>
              <w:rPr>
                <w:rFonts w:hint="eastAsia" w:ascii="Tahoma" w:hAnsi="Tahoma" w:eastAsia="微软雅黑" w:cs="Times New Roman"/>
                <w:kern w:val="2"/>
                <w:sz w:val="15"/>
                <w:szCs w:val="15"/>
              </w:rPr>
              <w:t xml:space="preserve"> </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本工程排污许可证编号</w:t>
            </w:r>
          </w:p>
        </w:tc>
        <w:tc>
          <w:tcPr>
            <w:tcW w:w="2155" w:type="dxa"/>
            <w:gridSpan w:val="5"/>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验收单位</w:t>
            </w:r>
          </w:p>
        </w:tc>
        <w:tc>
          <w:tcPr>
            <w:tcW w:w="4230" w:type="dxa"/>
            <w:gridSpan w:val="8"/>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重庆象征科技有限公司</w:t>
            </w:r>
            <w:r>
              <w:rPr>
                <w:rFonts w:hint="eastAsia" w:ascii="Tahoma" w:hAnsi="Tahoma" w:eastAsia="微软雅黑" w:cs="Times New Roman"/>
                <w:kern w:val="2"/>
                <w:sz w:val="15"/>
                <w:szCs w:val="15"/>
              </w:rPr>
              <w:t xml:space="preserve"> </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环保设施监测单位</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重庆新晨环境监测有限公司</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验收监测时工况</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投资总概算（万元）</w:t>
            </w:r>
          </w:p>
        </w:tc>
        <w:tc>
          <w:tcPr>
            <w:tcW w:w="4230" w:type="dxa"/>
            <w:gridSpan w:val="8"/>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16000</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环保投资总概算（万元）</w:t>
            </w:r>
          </w:p>
        </w:tc>
        <w:tc>
          <w:tcPr>
            <w:tcW w:w="2760"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206</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实际总投资</w:t>
            </w:r>
          </w:p>
        </w:tc>
        <w:tc>
          <w:tcPr>
            <w:tcW w:w="4230" w:type="dxa"/>
            <w:gridSpan w:val="8"/>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10000</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实际环保投资（万元）</w:t>
            </w:r>
          </w:p>
        </w:tc>
        <w:tc>
          <w:tcPr>
            <w:tcW w:w="2760"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180</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废水治理（万元）</w:t>
            </w:r>
          </w:p>
        </w:tc>
        <w:tc>
          <w:tcPr>
            <w:tcW w:w="780" w:type="dxa"/>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30</w:t>
            </w:r>
          </w:p>
        </w:tc>
        <w:tc>
          <w:tcPr>
            <w:tcW w:w="1336" w:type="dxa"/>
            <w:gridSpan w:val="2"/>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rPr>
              <w:t>废气治理（万元）</w:t>
            </w:r>
          </w:p>
        </w:tc>
        <w:tc>
          <w:tcPr>
            <w:tcW w:w="660" w:type="dxa"/>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80</w:t>
            </w:r>
          </w:p>
        </w:tc>
        <w:tc>
          <w:tcPr>
            <w:tcW w:w="1454" w:type="dxa"/>
            <w:gridSpan w:val="4"/>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b/>
                <w:bCs/>
                <w:kern w:val="2"/>
                <w:sz w:val="15"/>
                <w:szCs w:val="15"/>
              </w:rPr>
              <w:t>噪声治理（万元）</w:t>
            </w:r>
          </w:p>
        </w:tc>
        <w:tc>
          <w:tcPr>
            <w:tcW w:w="1725" w:type="dxa"/>
            <w:gridSpan w:val="2"/>
            <w:noWrap w:val="0"/>
            <w:vAlign w:val="center"/>
          </w:tcPr>
          <w:p>
            <w:pPr>
              <w:spacing w:after="0" w:line="240" w:lineRule="auto"/>
              <w:rPr>
                <w:rFonts w:hint="default" w:ascii="Tahoma" w:hAnsi="Tahoma" w:eastAsia="微软雅黑" w:cs="Times New Roman"/>
                <w:kern w:val="2"/>
                <w:sz w:val="15"/>
                <w:szCs w:val="15"/>
                <w:lang w:val="en-US"/>
              </w:rPr>
            </w:pPr>
            <w:r>
              <w:rPr>
                <w:rFonts w:hint="eastAsia" w:ascii="Tahoma" w:hAnsi="Tahoma" w:eastAsia="微软雅黑" w:cs="Times New Roman"/>
                <w:kern w:val="2"/>
                <w:sz w:val="15"/>
                <w:szCs w:val="15"/>
                <w:lang w:val="en-US" w:eastAsia="zh-CN"/>
              </w:rPr>
              <w:t>50</w:t>
            </w:r>
          </w:p>
        </w:tc>
        <w:tc>
          <w:tcPr>
            <w:tcW w:w="1906" w:type="dxa"/>
            <w:gridSpan w:val="3"/>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固体废物治理（万元）</w:t>
            </w:r>
          </w:p>
        </w:tc>
        <w:tc>
          <w:tcPr>
            <w:tcW w:w="854" w:type="dxa"/>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10</w:t>
            </w:r>
          </w:p>
        </w:tc>
        <w:tc>
          <w:tcPr>
            <w:tcW w:w="1785" w:type="dxa"/>
            <w:gridSpan w:val="2"/>
            <w:noWrap w:val="0"/>
            <w:vAlign w:val="center"/>
          </w:tcPr>
          <w:p>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b/>
                <w:bCs/>
                <w:kern w:val="2"/>
                <w:sz w:val="15"/>
                <w:szCs w:val="15"/>
              </w:rPr>
              <w:t>绿化及生态（万元）</w:t>
            </w:r>
          </w:p>
        </w:tc>
        <w:tc>
          <w:tcPr>
            <w:tcW w:w="525" w:type="dxa"/>
            <w:gridSpan w:val="2"/>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0</w:t>
            </w:r>
          </w:p>
        </w:tc>
        <w:tc>
          <w:tcPr>
            <w:tcW w:w="1205" w:type="dxa"/>
            <w:gridSpan w:val="2"/>
            <w:noWrap w:val="0"/>
            <w:vAlign w:val="center"/>
          </w:tcPr>
          <w:p>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bCs/>
                <w:kern w:val="2"/>
                <w:sz w:val="15"/>
                <w:szCs w:val="15"/>
              </w:rPr>
              <w:t>其他（万元）</w:t>
            </w:r>
          </w:p>
        </w:tc>
        <w:tc>
          <w:tcPr>
            <w:tcW w:w="425" w:type="dxa"/>
            <w:noWrap w:val="0"/>
            <w:vAlign w:val="center"/>
          </w:tcPr>
          <w:p>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val="0"/>
                <w:bCs w:val="0"/>
                <w:kern w:val="2"/>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pPr>
              <w:spacing w:after="0"/>
              <w:rPr>
                <w:kern w:val="2"/>
                <w:sz w:val="15"/>
                <w:szCs w:val="15"/>
              </w:rPr>
            </w:pPr>
          </w:p>
        </w:tc>
        <w:tc>
          <w:tcPr>
            <w:tcW w:w="1952"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新增废水处理设施能力</w:t>
            </w:r>
          </w:p>
        </w:tc>
        <w:tc>
          <w:tcPr>
            <w:tcW w:w="4230" w:type="dxa"/>
            <w:gridSpan w:val="8"/>
            <w:noWrap w:val="0"/>
            <w:vAlign w:val="center"/>
          </w:tcPr>
          <w:p>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kern w:val="2"/>
                <w:sz w:val="15"/>
                <w:szCs w:val="15"/>
                <w:lang w:val="en-US" w:eastAsia="zh-CN"/>
              </w:rPr>
              <w:t>/</w:t>
            </w:r>
          </w:p>
        </w:tc>
        <w:tc>
          <w:tcPr>
            <w:tcW w:w="172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新增废气处理设施能力</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年平均工作时</w:t>
            </w:r>
          </w:p>
        </w:tc>
        <w:tc>
          <w:tcPr>
            <w:tcW w:w="2155" w:type="dxa"/>
            <w:gridSpan w:val="5"/>
            <w:noWrap w:val="0"/>
            <w:vAlign w:val="center"/>
          </w:tcPr>
          <w:p>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val="0"/>
                <w:bCs/>
                <w:kern w:val="2"/>
                <w:sz w:val="15"/>
                <w:szCs w:val="15"/>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392" w:type="dxa"/>
            <w:gridSpan w:val="4"/>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运营单位</w:t>
            </w:r>
          </w:p>
        </w:tc>
        <w:tc>
          <w:tcPr>
            <w:tcW w:w="3795" w:type="dxa"/>
            <w:gridSpan w:val="6"/>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重庆象征科技有限公司</w:t>
            </w:r>
          </w:p>
        </w:tc>
        <w:tc>
          <w:tcPr>
            <w:tcW w:w="2160" w:type="dxa"/>
            <w:gridSpan w:val="4"/>
            <w:noWrap w:val="0"/>
            <w:vAlign w:val="center"/>
          </w:tcPr>
          <w:p>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lang w:eastAsia="zh-CN"/>
              </w:rPr>
              <w:t>运营单位社会统一信用代码</w:t>
            </w:r>
          </w:p>
        </w:tc>
        <w:tc>
          <w:tcPr>
            <w:tcW w:w="2760" w:type="dxa"/>
            <w:gridSpan w:val="4"/>
            <w:noWrap w:val="0"/>
            <w:vAlign w:val="center"/>
          </w:tcPr>
          <w:p>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91500101MA60U7W040</w:t>
            </w:r>
          </w:p>
        </w:tc>
        <w:tc>
          <w:tcPr>
            <w:tcW w:w="178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验收时间</w:t>
            </w:r>
          </w:p>
        </w:tc>
        <w:tc>
          <w:tcPr>
            <w:tcW w:w="2155" w:type="dxa"/>
            <w:gridSpan w:val="5"/>
            <w:noWrap w:val="0"/>
            <w:vAlign w:val="center"/>
          </w:tcPr>
          <w:p>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23</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4" w:type="dxa"/>
            <w:gridSpan w:val="2"/>
            <w:vMerge w:val="restart"/>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物排</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放达</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标与</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总量</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控制（工</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业建</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设项</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目详填）</w:t>
            </w: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污染物</w:t>
            </w:r>
          </w:p>
        </w:tc>
        <w:tc>
          <w:tcPr>
            <w:tcW w:w="780"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原有排</w:t>
            </w:r>
          </w:p>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放量(1)</w:t>
            </w:r>
          </w:p>
        </w:tc>
        <w:tc>
          <w:tcPr>
            <w:tcW w:w="1125"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本期工程实际排放浓度(2)</w:t>
            </w:r>
          </w:p>
        </w:tc>
        <w:tc>
          <w:tcPr>
            <w:tcW w:w="1125" w:type="dxa"/>
            <w:gridSpan w:val="3"/>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本期工程允许排放浓度(3)</w:t>
            </w:r>
          </w:p>
        </w:tc>
        <w:tc>
          <w:tcPr>
            <w:tcW w:w="91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本期工程产生量(4)</w:t>
            </w:r>
          </w:p>
        </w:tc>
        <w:tc>
          <w:tcPr>
            <w:tcW w:w="1099"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本期工程自身削减量(5)</w:t>
            </w:r>
          </w:p>
        </w:tc>
        <w:tc>
          <w:tcPr>
            <w:tcW w:w="1155"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本期工程实际排放量(6)</w:t>
            </w:r>
          </w:p>
        </w:tc>
        <w:tc>
          <w:tcPr>
            <w:tcW w:w="1166"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本期工程核定排放总量(7)</w:t>
            </w:r>
          </w:p>
        </w:tc>
        <w:tc>
          <w:tcPr>
            <w:tcW w:w="1350"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本期工程“以新带老”削减量(8)</w:t>
            </w:r>
          </w:p>
        </w:tc>
        <w:tc>
          <w:tcPr>
            <w:tcW w:w="969" w:type="dxa"/>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全厂实际排放总量(9)</w:t>
            </w:r>
          </w:p>
        </w:tc>
        <w:tc>
          <w:tcPr>
            <w:tcW w:w="996"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全厂核定排放总量(10)</w:t>
            </w:r>
          </w:p>
        </w:tc>
        <w:tc>
          <w:tcPr>
            <w:tcW w:w="1126"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区域平衡替代削减量(11)</w:t>
            </w:r>
          </w:p>
        </w:tc>
        <w:tc>
          <w:tcPr>
            <w:tcW w:w="849"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化学需氧量</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氨氮</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石油类</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废气</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二氧化硫</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烟尘</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工业粉尘</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氮氧化物</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工业固体废物</w:t>
            </w: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129" w:type="dxa"/>
            <w:vMerge w:val="restart"/>
            <w:noWrap w:val="0"/>
            <w:vAlign w:val="center"/>
          </w:tcPr>
          <w:p>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与项目有关其他特征污染物</w:t>
            </w:r>
          </w:p>
        </w:tc>
        <w:tc>
          <w:tcPr>
            <w:tcW w:w="649" w:type="dxa"/>
            <w:noWrap w:val="0"/>
            <w:vAlign w:val="center"/>
          </w:tcPr>
          <w:p>
            <w:pPr>
              <w:spacing w:after="0" w:line="240" w:lineRule="auto"/>
              <w:rPr>
                <w:rFonts w:hint="eastAsia" w:ascii="Tahoma" w:hAnsi="Tahoma" w:eastAsia="微软雅黑" w:cs="Times New Roman"/>
                <w:b/>
                <w:kern w:val="2"/>
                <w:sz w:val="15"/>
                <w:szCs w:val="15"/>
              </w:rPr>
            </w:pP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pPr>
              <w:spacing w:after="0" w:line="240" w:lineRule="auto"/>
              <w:rPr>
                <w:rFonts w:hint="eastAsia" w:ascii="Tahoma" w:hAnsi="Tahoma" w:eastAsia="微软雅黑" w:cs="Times New Roman"/>
                <w:b/>
                <w:kern w:val="2"/>
                <w:sz w:val="15"/>
                <w:szCs w:val="15"/>
              </w:rPr>
            </w:pPr>
          </w:p>
        </w:tc>
        <w:tc>
          <w:tcPr>
            <w:tcW w:w="1129" w:type="dxa"/>
            <w:vMerge w:val="continue"/>
            <w:noWrap w:val="0"/>
            <w:vAlign w:val="center"/>
          </w:tcPr>
          <w:p>
            <w:pPr>
              <w:spacing w:after="0" w:line="240" w:lineRule="auto"/>
              <w:rPr>
                <w:rFonts w:hint="eastAsia" w:ascii="Tahoma" w:hAnsi="Tahoma" w:eastAsia="微软雅黑" w:cs="Times New Roman"/>
                <w:b/>
                <w:kern w:val="2"/>
                <w:sz w:val="15"/>
                <w:szCs w:val="15"/>
              </w:rPr>
            </w:pPr>
          </w:p>
        </w:tc>
        <w:tc>
          <w:tcPr>
            <w:tcW w:w="649" w:type="dxa"/>
            <w:noWrap w:val="0"/>
            <w:vAlign w:val="center"/>
          </w:tcPr>
          <w:p>
            <w:pPr>
              <w:spacing w:after="0" w:line="240" w:lineRule="auto"/>
              <w:rPr>
                <w:rFonts w:hint="eastAsia" w:ascii="Tahoma" w:hAnsi="Tahoma" w:eastAsia="微软雅黑" w:cs="Times New Roman"/>
                <w:b/>
                <w:kern w:val="2"/>
                <w:sz w:val="15"/>
                <w:szCs w:val="15"/>
              </w:rPr>
            </w:pPr>
          </w:p>
        </w:tc>
        <w:tc>
          <w:tcPr>
            <w:tcW w:w="780" w:type="dxa"/>
            <w:noWrap w:val="0"/>
            <w:vAlign w:val="center"/>
          </w:tcPr>
          <w:p>
            <w:pPr>
              <w:spacing w:after="0" w:line="240" w:lineRule="auto"/>
              <w:rPr>
                <w:rFonts w:hint="eastAsia" w:ascii="Tahoma" w:hAnsi="Tahoma" w:eastAsia="微软雅黑" w:cs="Times New Roman"/>
                <w:kern w:val="2"/>
                <w:sz w:val="15"/>
                <w:szCs w:val="15"/>
              </w:rPr>
            </w:pPr>
          </w:p>
        </w:tc>
        <w:tc>
          <w:tcPr>
            <w:tcW w:w="1125" w:type="dxa"/>
            <w:noWrap w:val="0"/>
            <w:vAlign w:val="center"/>
          </w:tcPr>
          <w:p>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pPr>
              <w:spacing w:after="0" w:line="240" w:lineRule="auto"/>
              <w:rPr>
                <w:rFonts w:hint="eastAsia" w:ascii="Tahoma" w:hAnsi="Tahoma" w:eastAsia="微软雅黑" w:cs="Times New Roman"/>
                <w:kern w:val="2"/>
                <w:sz w:val="15"/>
                <w:szCs w:val="15"/>
              </w:rPr>
            </w:pPr>
          </w:p>
        </w:tc>
        <w:tc>
          <w:tcPr>
            <w:tcW w:w="1166" w:type="dxa"/>
            <w:noWrap w:val="0"/>
            <w:vAlign w:val="center"/>
          </w:tcPr>
          <w:p>
            <w:pPr>
              <w:spacing w:after="0" w:line="240" w:lineRule="auto"/>
              <w:rPr>
                <w:rFonts w:hint="eastAsia" w:ascii="Tahoma" w:hAnsi="Tahoma" w:eastAsia="微软雅黑" w:cs="Times New Roman"/>
                <w:kern w:val="2"/>
                <w:sz w:val="15"/>
                <w:szCs w:val="15"/>
              </w:rPr>
            </w:pPr>
          </w:p>
        </w:tc>
        <w:tc>
          <w:tcPr>
            <w:tcW w:w="1350" w:type="dxa"/>
            <w:gridSpan w:val="2"/>
            <w:noWrap w:val="0"/>
            <w:vAlign w:val="center"/>
          </w:tcPr>
          <w:p>
            <w:pPr>
              <w:spacing w:after="0" w:line="240" w:lineRule="auto"/>
              <w:rPr>
                <w:rFonts w:hint="eastAsia" w:ascii="Tahoma" w:hAnsi="Tahoma" w:eastAsia="微软雅黑" w:cs="Times New Roman"/>
                <w:kern w:val="2"/>
                <w:sz w:val="15"/>
                <w:szCs w:val="15"/>
              </w:rPr>
            </w:pPr>
          </w:p>
        </w:tc>
        <w:tc>
          <w:tcPr>
            <w:tcW w:w="969" w:type="dxa"/>
            <w:noWrap w:val="0"/>
            <w:vAlign w:val="center"/>
          </w:tcPr>
          <w:p>
            <w:pPr>
              <w:spacing w:after="0" w:line="240" w:lineRule="auto"/>
              <w:rPr>
                <w:rFonts w:hint="eastAsia" w:ascii="Tahoma" w:hAnsi="Tahoma" w:eastAsia="微软雅黑" w:cs="Times New Roman"/>
                <w:kern w:val="2"/>
                <w:sz w:val="15"/>
                <w:szCs w:val="15"/>
              </w:rPr>
            </w:pPr>
          </w:p>
        </w:tc>
        <w:tc>
          <w:tcPr>
            <w:tcW w:w="996" w:type="dxa"/>
            <w:gridSpan w:val="2"/>
            <w:noWrap w:val="0"/>
            <w:vAlign w:val="center"/>
          </w:tcPr>
          <w:p>
            <w:pPr>
              <w:spacing w:after="0" w:line="240" w:lineRule="auto"/>
              <w:rPr>
                <w:rFonts w:hint="eastAsia" w:ascii="Tahoma" w:hAnsi="Tahoma" w:eastAsia="微软雅黑" w:cs="Times New Roman"/>
                <w:kern w:val="2"/>
                <w:sz w:val="15"/>
                <w:szCs w:val="15"/>
              </w:rPr>
            </w:pPr>
          </w:p>
        </w:tc>
        <w:tc>
          <w:tcPr>
            <w:tcW w:w="1126" w:type="dxa"/>
            <w:gridSpan w:val="2"/>
            <w:noWrap w:val="0"/>
            <w:vAlign w:val="center"/>
          </w:tcPr>
          <w:p>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pPr>
              <w:spacing w:after="0" w:line="240" w:lineRule="auto"/>
              <w:rPr>
                <w:rFonts w:hint="eastAsia" w:ascii="Tahoma" w:hAnsi="Tahoma" w:eastAsia="微软雅黑" w:cs="Times New Roman"/>
                <w:kern w:val="2"/>
                <w:sz w:val="15"/>
                <w:szCs w:val="15"/>
              </w:rPr>
            </w:pPr>
          </w:p>
        </w:tc>
      </w:tr>
    </w:tbl>
    <w:p>
      <w:pPr>
        <w:spacing w:after="0"/>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sectPr>
      <w:footerReference r:id="rId16" w:type="default"/>
      <w:pgSz w:w="16838" w:h="11906" w:orient="landscape"/>
      <w:pgMar w:top="1134" w:right="1440" w:bottom="1797" w:left="56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37"/>
      </w:rPr>
    </w:pPr>
    <w:r>
      <w:fldChar w:fldCharType="begin"/>
    </w:r>
    <w:r>
      <w:rPr>
        <w:rStyle w:val="37"/>
      </w:rPr>
      <w:instrText xml:space="preserve">PAGE  </w:instrText>
    </w:r>
    <w:r>
      <w:fldChar w:fldCharType="separate"/>
    </w:r>
    <w:r>
      <w:rPr>
        <w:rStyle w:val="37"/>
      </w:rPr>
      <w:t>36</w: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before="120"/>
      <w:ind w:firstLine="520"/>
      <w:jc w:val="center"/>
    </w:pPr>
  </w:p>
  <w:p>
    <w:pPr>
      <w:tabs>
        <w:tab w:val="center" w:pos="4153"/>
        <w:tab w:val="right" w:pos="8306"/>
      </w:tabs>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rPr>
        <w:rStyle w:val="26"/>
        <w:rFonts w:hint="eastAsia" w:eastAsia="宋体"/>
        <w:szCs w:val="21"/>
        <w:lang w:eastAsia="zh-CN"/>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jc w:val="cente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53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5SrA0AgAAZg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mbyJ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MQhs+y&#10;sNEPlkfoKI+3y32AnEnlKEqvBLoTDxi/1KfzqsT5/vOcoh7/H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UqwNAIAAGY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jc w:val="cente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53</w:t>
                    </w:r>
                    <w:r>
                      <w:rPr>
                        <w:sz w:val="21"/>
                        <w:szCs w:val="21"/>
                      </w:rPr>
                      <w:fldChar w:fldCharType="end"/>
                    </w:r>
                  </w:p>
                </w:txbxContent>
              </v:textbox>
            </v:shape>
          </w:pict>
        </mc:Fallback>
      </mc:AlternateContent>
    </w:r>
    <w:r>
      <w:rPr>
        <w:rFonts w:hint="eastAsia"/>
        <w:lang w:eastAsia="zh-CN"/>
      </w:rPr>
      <w:t>重庆象征科技有限公司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rPr>
        <w:rStyle w:val="26"/>
        <w:rFonts w:hint="eastAsia" w:eastAsia="宋体"/>
        <w:szCs w:val="21"/>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spacing w:line="240" w:lineRule="auto"/>
      <w:jc w:val="center"/>
      <w:rPr>
        <w:rFonts w:hint="default"/>
        <w:sz w:val="21"/>
        <w:szCs w:val="21"/>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年产4000万片2.5D/3D手机、笔电消费电子玻璃盖板项目</w:t>
    </w:r>
    <w:r>
      <w:rPr>
        <w:rFonts w:ascii="Times New Roman" w:hAnsi="Times New Roman" w:cs="Times New Roman" w:eastAsiaTheme="minorEastAsia"/>
        <w:color w:val="000000" w:themeColor="text1"/>
        <w:sz w:val="21"/>
        <w:szCs w:val="21"/>
        <w14:textFill>
          <w14:solidFill>
            <w14:schemeClr w14:val="tx1"/>
          </w14:solidFill>
        </w14:textFill>
      </w:rPr>
      <w:t>竣工环境保</w:t>
    </w:r>
    <w:bookmarkStart w:id="167" w:name="_GoBack"/>
    <w:bookmarkEnd w:id="167"/>
    <w:r>
      <w:rPr>
        <w:rFonts w:ascii="Times New Roman" w:hAnsi="Times New Roman" w:cs="Times New Roman" w:eastAsiaTheme="minorEastAsia"/>
        <w:color w:val="000000" w:themeColor="text1"/>
        <w:sz w:val="21"/>
        <w:szCs w:val="21"/>
        <w14:textFill>
          <w14:solidFill>
            <w14:schemeClr w14:val="tx1"/>
          </w14:solidFill>
        </w14:textFill>
      </w:rPr>
      <w:t>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DF65F463"/>
    <w:multiLevelType w:val="singleLevel"/>
    <w:tmpl w:val="DF65F463"/>
    <w:lvl w:ilvl="0" w:tentative="0">
      <w:start w:val="2"/>
      <w:numFmt w:val="decimal"/>
      <w:suff w:val="nothing"/>
      <w:lvlText w:val="（%1）"/>
      <w:lvlJc w:val="left"/>
    </w:lvl>
  </w:abstractNum>
  <w:abstractNum w:abstractNumId="2">
    <w:nsid w:val="EDC16E59"/>
    <w:multiLevelType w:val="singleLevel"/>
    <w:tmpl w:val="EDC16E59"/>
    <w:lvl w:ilvl="0" w:tentative="0">
      <w:start w:val="1"/>
      <w:numFmt w:val="decimal"/>
      <w:suff w:val="nothing"/>
      <w:lvlText w:val="（%1）"/>
      <w:lvlJc w:val="left"/>
    </w:lvl>
  </w:abstractNum>
  <w:abstractNum w:abstractNumId="3">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5"/>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4">
    <w:nsid w:val="73DDCEE1"/>
    <w:multiLevelType w:val="singleLevel"/>
    <w:tmpl w:val="73DDCEE1"/>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jZjM5M2FmNTBlYmZkZTU2MTk1ZDlhZWM5OWE2YjgifQ=="/>
  </w:docVars>
  <w:rsids>
    <w:rsidRoot w:val="6A8C6B19"/>
    <w:rsid w:val="00034320"/>
    <w:rsid w:val="00050C34"/>
    <w:rsid w:val="00056734"/>
    <w:rsid w:val="000657CA"/>
    <w:rsid w:val="00097837"/>
    <w:rsid w:val="000A4BED"/>
    <w:rsid w:val="000B2A65"/>
    <w:rsid w:val="000C04E8"/>
    <w:rsid w:val="000E1F98"/>
    <w:rsid w:val="000F7E86"/>
    <w:rsid w:val="0010718E"/>
    <w:rsid w:val="0012160E"/>
    <w:rsid w:val="00121DFF"/>
    <w:rsid w:val="001234D6"/>
    <w:rsid w:val="00124F9C"/>
    <w:rsid w:val="0012584F"/>
    <w:rsid w:val="001575F9"/>
    <w:rsid w:val="001731EF"/>
    <w:rsid w:val="00194FA9"/>
    <w:rsid w:val="001B3AD0"/>
    <w:rsid w:val="001E0AA8"/>
    <w:rsid w:val="00224259"/>
    <w:rsid w:val="0023432C"/>
    <w:rsid w:val="00264C4C"/>
    <w:rsid w:val="00281054"/>
    <w:rsid w:val="002C32A5"/>
    <w:rsid w:val="002D40AB"/>
    <w:rsid w:val="002E384F"/>
    <w:rsid w:val="003004A2"/>
    <w:rsid w:val="00303AD2"/>
    <w:rsid w:val="00340315"/>
    <w:rsid w:val="00346FA2"/>
    <w:rsid w:val="00353ABB"/>
    <w:rsid w:val="0036026E"/>
    <w:rsid w:val="003629BC"/>
    <w:rsid w:val="003669B5"/>
    <w:rsid w:val="00370B63"/>
    <w:rsid w:val="00391130"/>
    <w:rsid w:val="003C40C3"/>
    <w:rsid w:val="003D3DF3"/>
    <w:rsid w:val="003E1A15"/>
    <w:rsid w:val="003F1BA3"/>
    <w:rsid w:val="003F34BB"/>
    <w:rsid w:val="004246F1"/>
    <w:rsid w:val="0042794A"/>
    <w:rsid w:val="00433220"/>
    <w:rsid w:val="00454318"/>
    <w:rsid w:val="004A6743"/>
    <w:rsid w:val="004B3225"/>
    <w:rsid w:val="004B39E5"/>
    <w:rsid w:val="004C4627"/>
    <w:rsid w:val="004D3F74"/>
    <w:rsid w:val="004D74DD"/>
    <w:rsid w:val="004E7D2D"/>
    <w:rsid w:val="004F1C50"/>
    <w:rsid w:val="004F3DB5"/>
    <w:rsid w:val="005011CB"/>
    <w:rsid w:val="00541CAE"/>
    <w:rsid w:val="00576F25"/>
    <w:rsid w:val="005A5C85"/>
    <w:rsid w:val="005B68C8"/>
    <w:rsid w:val="005C1D8B"/>
    <w:rsid w:val="005F4A1A"/>
    <w:rsid w:val="005F7033"/>
    <w:rsid w:val="006068B4"/>
    <w:rsid w:val="0061251C"/>
    <w:rsid w:val="00624BC0"/>
    <w:rsid w:val="00635ED8"/>
    <w:rsid w:val="00660205"/>
    <w:rsid w:val="00670C3D"/>
    <w:rsid w:val="00670DB8"/>
    <w:rsid w:val="006763FE"/>
    <w:rsid w:val="0068092B"/>
    <w:rsid w:val="00685C67"/>
    <w:rsid w:val="00687F85"/>
    <w:rsid w:val="006A330D"/>
    <w:rsid w:val="006B2B67"/>
    <w:rsid w:val="006F2C9B"/>
    <w:rsid w:val="00712749"/>
    <w:rsid w:val="00713794"/>
    <w:rsid w:val="00715B2C"/>
    <w:rsid w:val="007855CB"/>
    <w:rsid w:val="00787D7C"/>
    <w:rsid w:val="007B778B"/>
    <w:rsid w:val="007C3BBD"/>
    <w:rsid w:val="007C3D92"/>
    <w:rsid w:val="007D1742"/>
    <w:rsid w:val="007D3984"/>
    <w:rsid w:val="007E3501"/>
    <w:rsid w:val="007F58B5"/>
    <w:rsid w:val="00825CF5"/>
    <w:rsid w:val="00843A0E"/>
    <w:rsid w:val="00850570"/>
    <w:rsid w:val="00885FBD"/>
    <w:rsid w:val="0089454D"/>
    <w:rsid w:val="00894696"/>
    <w:rsid w:val="008A0A71"/>
    <w:rsid w:val="008B10EF"/>
    <w:rsid w:val="008E0E51"/>
    <w:rsid w:val="008E6CD4"/>
    <w:rsid w:val="008E75EF"/>
    <w:rsid w:val="009366C1"/>
    <w:rsid w:val="00937388"/>
    <w:rsid w:val="00946150"/>
    <w:rsid w:val="00985279"/>
    <w:rsid w:val="009C2510"/>
    <w:rsid w:val="009F4475"/>
    <w:rsid w:val="00A25548"/>
    <w:rsid w:val="00A34D4C"/>
    <w:rsid w:val="00A4098F"/>
    <w:rsid w:val="00A533E3"/>
    <w:rsid w:val="00A80172"/>
    <w:rsid w:val="00A94B7D"/>
    <w:rsid w:val="00AC44B5"/>
    <w:rsid w:val="00AC705A"/>
    <w:rsid w:val="00AD343E"/>
    <w:rsid w:val="00AD66E8"/>
    <w:rsid w:val="00B14654"/>
    <w:rsid w:val="00B14E37"/>
    <w:rsid w:val="00B35FA6"/>
    <w:rsid w:val="00B46396"/>
    <w:rsid w:val="00B51644"/>
    <w:rsid w:val="00B64ADC"/>
    <w:rsid w:val="00B70569"/>
    <w:rsid w:val="00B7473B"/>
    <w:rsid w:val="00B85EC4"/>
    <w:rsid w:val="00B868DC"/>
    <w:rsid w:val="00B9549C"/>
    <w:rsid w:val="00BB01A2"/>
    <w:rsid w:val="00BB1405"/>
    <w:rsid w:val="00BB2029"/>
    <w:rsid w:val="00BB7100"/>
    <w:rsid w:val="00BD2570"/>
    <w:rsid w:val="00BE08E1"/>
    <w:rsid w:val="00BE723F"/>
    <w:rsid w:val="00C2272F"/>
    <w:rsid w:val="00C22BDC"/>
    <w:rsid w:val="00C47C5B"/>
    <w:rsid w:val="00C7130D"/>
    <w:rsid w:val="00C85052"/>
    <w:rsid w:val="00CB59A6"/>
    <w:rsid w:val="00CC27AA"/>
    <w:rsid w:val="00CC3467"/>
    <w:rsid w:val="00CD0FF7"/>
    <w:rsid w:val="00CD59AE"/>
    <w:rsid w:val="00D038B6"/>
    <w:rsid w:val="00D110B1"/>
    <w:rsid w:val="00D21D16"/>
    <w:rsid w:val="00D34F3D"/>
    <w:rsid w:val="00D904EC"/>
    <w:rsid w:val="00D90914"/>
    <w:rsid w:val="00D91C72"/>
    <w:rsid w:val="00DA4FE6"/>
    <w:rsid w:val="00DB003E"/>
    <w:rsid w:val="00DB4AB8"/>
    <w:rsid w:val="00DB6B83"/>
    <w:rsid w:val="00DC11FA"/>
    <w:rsid w:val="00DD49DE"/>
    <w:rsid w:val="00DE1FA5"/>
    <w:rsid w:val="00DF2A94"/>
    <w:rsid w:val="00E04CFA"/>
    <w:rsid w:val="00E04E50"/>
    <w:rsid w:val="00E31C44"/>
    <w:rsid w:val="00E47B20"/>
    <w:rsid w:val="00E541E8"/>
    <w:rsid w:val="00E761D3"/>
    <w:rsid w:val="00E85679"/>
    <w:rsid w:val="00EC33CC"/>
    <w:rsid w:val="00EE10BD"/>
    <w:rsid w:val="00EE22B2"/>
    <w:rsid w:val="00EE4AD3"/>
    <w:rsid w:val="00EE797F"/>
    <w:rsid w:val="00EF0B0F"/>
    <w:rsid w:val="00EF47DC"/>
    <w:rsid w:val="00F03557"/>
    <w:rsid w:val="00F062CD"/>
    <w:rsid w:val="00F1339B"/>
    <w:rsid w:val="00F20A61"/>
    <w:rsid w:val="00F531EC"/>
    <w:rsid w:val="00F631E2"/>
    <w:rsid w:val="00F80BA1"/>
    <w:rsid w:val="00F811B2"/>
    <w:rsid w:val="00F855A1"/>
    <w:rsid w:val="00F96BB0"/>
    <w:rsid w:val="00FD2C47"/>
    <w:rsid w:val="00FD3858"/>
    <w:rsid w:val="00FD6645"/>
    <w:rsid w:val="00FF10D6"/>
    <w:rsid w:val="00FF2D10"/>
    <w:rsid w:val="00FF727F"/>
    <w:rsid w:val="01331C81"/>
    <w:rsid w:val="01526522"/>
    <w:rsid w:val="01CF6C4A"/>
    <w:rsid w:val="01E8034C"/>
    <w:rsid w:val="024708C4"/>
    <w:rsid w:val="027D11F8"/>
    <w:rsid w:val="02A47C12"/>
    <w:rsid w:val="031156D4"/>
    <w:rsid w:val="032A2CC5"/>
    <w:rsid w:val="0339727C"/>
    <w:rsid w:val="035B78A4"/>
    <w:rsid w:val="039303A1"/>
    <w:rsid w:val="03B66DBB"/>
    <w:rsid w:val="03C95D69"/>
    <w:rsid w:val="03F630F7"/>
    <w:rsid w:val="03F64C51"/>
    <w:rsid w:val="042571A6"/>
    <w:rsid w:val="04371C26"/>
    <w:rsid w:val="045F748A"/>
    <w:rsid w:val="046D1B5D"/>
    <w:rsid w:val="04731F39"/>
    <w:rsid w:val="048A17F8"/>
    <w:rsid w:val="04905B8A"/>
    <w:rsid w:val="04B916B8"/>
    <w:rsid w:val="04CD36FF"/>
    <w:rsid w:val="04E32947"/>
    <w:rsid w:val="04F119E5"/>
    <w:rsid w:val="04F23C64"/>
    <w:rsid w:val="04F94195"/>
    <w:rsid w:val="0590764F"/>
    <w:rsid w:val="05A23342"/>
    <w:rsid w:val="05A743C6"/>
    <w:rsid w:val="05B54982"/>
    <w:rsid w:val="0627031F"/>
    <w:rsid w:val="0667369C"/>
    <w:rsid w:val="06B268E6"/>
    <w:rsid w:val="06B72CC9"/>
    <w:rsid w:val="06DA3E6D"/>
    <w:rsid w:val="06F47F3C"/>
    <w:rsid w:val="07765EBE"/>
    <w:rsid w:val="07A77539"/>
    <w:rsid w:val="07CA6357"/>
    <w:rsid w:val="08021DBF"/>
    <w:rsid w:val="080268EB"/>
    <w:rsid w:val="08275F0C"/>
    <w:rsid w:val="083A0718"/>
    <w:rsid w:val="08560F6B"/>
    <w:rsid w:val="08853A17"/>
    <w:rsid w:val="089433F0"/>
    <w:rsid w:val="08E832F6"/>
    <w:rsid w:val="08ED5089"/>
    <w:rsid w:val="091374D3"/>
    <w:rsid w:val="096A2B9D"/>
    <w:rsid w:val="0983556A"/>
    <w:rsid w:val="09D05346"/>
    <w:rsid w:val="09DB240D"/>
    <w:rsid w:val="09E36E59"/>
    <w:rsid w:val="0A187E23"/>
    <w:rsid w:val="0A271715"/>
    <w:rsid w:val="0A7F27E3"/>
    <w:rsid w:val="0A814668"/>
    <w:rsid w:val="0A9E7496"/>
    <w:rsid w:val="0B7D7164"/>
    <w:rsid w:val="0B9608C0"/>
    <w:rsid w:val="0BA56B58"/>
    <w:rsid w:val="0BAE38DD"/>
    <w:rsid w:val="0BBE3187"/>
    <w:rsid w:val="0BC47B0A"/>
    <w:rsid w:val="0C1050D5"/>
    <w:rsid w:val="0C426263"/>
    <w:rsid w:val="0C6A437E"/>
    <w:rsid w:val="0C8239E2"/>
    <w:rsid w:val="0CA86BB6"/>
    <w:rsid w:val="0CBD481A"/>
    <w:rsid w:val="0CE8698D"/>
    <w:rsid w:val="0DA71941"/>
    <w:rsid w:val="0DD13F4A"/>
    <w:rsid w:val="0DE4177D"/>
    <w:rsid w:val="0DF21979"/>
    <w:rsid w:val="0EB46C19"/>
    <w:rsid w:val="0EBB009A"/>
    <w:rsid w:val="0F5F0BE0"/>
    <w:rsid w:val="0F8B0743"/>
    <w:rsid w:val="0FE1712C"/>
    <w:rsid w:val="103F0874"/>
    <w:rsid w:val="10416587"/>
    <w:rsid w:val="10750CA0"/>
    <w:rsid w:val="109072EA"/>
    <w:rsid w:val="10E037A1"/>
    <w:rsid w:val="1171758C"/>
    <w:rsid w:val="11D02D23"/>
    <w:rsid w:val="11D24132"/>
    <w:rsid w:val="11F74600"/>
    <w:rsid w:val="12053B00"/>
    <w:rsid w:val="12226FFD"/>
    <w:rsid w:val="127C2AC4"/>
    <w:rsid w:val="12AD4026"/>
    <w:rsid w:val="130D16DD"/>
    <w:rsid w:val="132D011C"/>
    <w:rsid w:val="13395BF1"/>
    <w:rsid w:val="133F3A40"/>
    <w:rsid w:val="13456CBD"/>
    <w:rsid w:val="134D675D"/>
    <w:rsid w:val="135A3FB5"/>
    <w:rsid w:val="13661ADB"/>
    <w:rsid w:val="13814C45"/>
    <w:rsid w:val="13AE7D2D"/>
    <w:rsid w:val="13D65EA0"/>
    <w:rsid w:val="14056C1F"/>
    <w:rsid w:val="14183FD9"/>
    <w:rsid w:val="142E1332"/>
    <w:rsid w:val="144D67C7"/>
    <w:rsid w:val="14C37AA1"/>
    <w:rsid w:val="150A70C4"/>
    <w:rsid w:val="152D3536"/>
    <w:rsid w:val="157271EC"/>
    <w:rsid w:val="15967861"/>
    <w:rsid w:val="15BB7B15"/>
    <w:rsid w:val="15E57B99"/>
    <w:rsid w:val="16046724"/>
    <w:rsid w:val="168141CE"/>
    <w:rsid w:val="168A3200"/>
    <w:rsid w:val="17367F15"/>
    <w:rsid w:val="176B165F"/>
    <w:rsid w:val="179E2CFE"/>
    <w:rsid w:val="17B17961"/>
    <w:rsid w:val="180238A1"/>
    <w:rsid w:val="186E1F1C"/>
    <w:rsid w:val="190265CA"/>
    <w:rsid w:val="19B972D0"/>
    <w:rsid w:val="19C604C4"/>
    <w:rsid w:val="19EB1173"/>
    <w:rsid w:val="1A0103F5"/>
    <w:rsid w:val="1AAB5F7A"/>
    <w:rsid w:val="1AFC4CEC"/>
    <w:rsid w:val="1B0A4371"/>
    <w:rsid w:val="1B233F15"/>
    <w:rsid w:val="1B7455B7"/>
    <w:rsid w:val="1BB10CAF"/>
    <w:rsid w:val="1BF76289"/>
    <w:rsid w:val="1C114030"/>
    <w:rsid w:val="1C8D3F32"/>
    <w:rsid w:val="1CB26044"/>
    <w:rsid w:val="1CE96EA4"/>
    <w:rsid w:val="1D080412"/>
    <w:rsid w:val="1D08086F"/>
    <w:rsid w:val="1D2A1171"/>
    <w:rsid w:val="1D632114"/>
    <w:rsid w:val="1D6A023C"/>
    <w:rsid w:val="1D9803AF"/>
    <w:rsid w:val="1DC679C1"/>
    <w:rsid w:val="1DD9126D"/>
    <w:rsid w:val="1E3D2F4F"/>
    <w:rsid w:val="1E817713"/>
    <w:rsid w:val="1E8B51F6"/>
    <w:rsid w:val="1E9013B4"/>
    <w:rsid w:val="1E901AAD"/>
    <w:rsid w:val="1EBC290B"/>
    <w:rsid w:val="1EC35CFA"/>
    <w:rsid w:val="1ECD3794"/>
    <w:rsid w:val="1ECF54EC"/>
    <w:rsid w:val="1ED81D36"/>
    <w:rsid w:val="1F1B2467"/>
    <w:rsid w:val="1F62201B"/>
    <w:rsid w:val="1F7F237F"/>
    <w:rsid w:val="1FC532EB"/>
    <w:rsid w:val="1FE33E45"/>
    <w:rsid w:val="1FEA05A2"/>
    <w:rsid w:val="2010676A"/>
    <w:rsid w:val="208F2033"/>
    <w:rsid w:val="20E06834"/>
    <w:rsid w:val="20F86365"/>
    <w:rsid w:val="21316CAE"/>
    <w:rsid w:val="2246299A"/>
    <w:rsid w:val="22583A06"/>
    <w:rsid w:val="22721464"/>
    <w:rsid w:val="227B7A91"/>
    <w:rsid w:val="22981694"/>
    <w:rsid w:val="22AF0805"/>
    <w:rsid w:val="237D201D"/>
    <w:rsid w:val="23AA6AFD"/>
    <w:rsid w:val="23DB6515"/>
    <w:rsid w:val="23E82294"/>
    <w:rsid w:val="23EC24BE"/>
    <w:rsid w:val="241528AD"/>
    <w:rsid w:val="24582AAB"/>
    <w:rsid w:val="245918E6"/>
    <w:rsid w:val="2481344E"/>
    <w:rsid w:val="24C23F96"/>
    <w:rsid w:val="24CE5ADE"/>
    <w:rsid w:val="252466B1"/>
    <w:rsid w:val="25381017"/>
    <w:rsid w:val="25421AFB"/>
    <w:rsid w:val="257D5A30"/>
    <w:rsid w:val="258B26CE"/>
    <w:rsid w:val="25B413A7"/>
    <w:rsid w:val="25D93676"/>
    <w:rsid w:val="25E50610"/>
    <w:rsid w:val="25E65AEA"/>
    <w:rsid w:val="25FA4B70"/>
    <w:rsid w:val="267E3E43"/>
    <w:rsid w:val="26920D65"/>
    <w:rsid w:val="26CF55A5"/>
    <w:rsid w:val="276C7FA4"/>
    <w:rsid w:val="27C53483"/>
    <w:rsid w:val="27F357C2"/>
    <w:rsid w:val="27F9396B"/>
    <w:rsid w:val="288275CD"/>
    <w:rsid w:val="289D232A"/>
    <w:rsid w:val="291B225C"/>
    <w:rsid w:val="294A3B5B"/>
    <w:rsid w:val="29772727"/>
    <w:rsid w:val="297A029F"/>
    <w:rsid w:val="29AF6635"/>
    <w:rsid w:val="2A52100F"/>
    <w:rsid w:val="2A6D114D"/>
    <w:rsid w:val="2AA64AFB"/>
    <w:rsid w:val="2ACD0D36"/>
    <w:rsid w:val="2ADC20EA"/>
    <w:rsid w:val="2B2A34B0"/>
    <w:rsid w:val="2B4816C1"/>
    <w:rsid w:val="2C54363D"/>
    <w:rsid w:val="2C560423"/>
    <w:rsid w:val="2C6E04FD"/>
    <w:rsid w:val="2C8F6E47"/>
    <w:rsid w:val="2C9A0EE3"/>
    <w:rsid w:val="2CDE04A7"/>
    <w:rsid w:val="2D013A1E"/>
    <w:rsid w:val="2D194BC2"/>
    <w:rsid w:val="2D2813E7"/>
    <w:rsid w:val="2D4A3D6A"/>
    <w:rsid w:val="2D613AE4"/>
    <w:rsid w:val="2DCC0829"/>
    <w:rsid w:val="2DEB30E2"/>
    <w:rsid w:val="2E6E12C8"/>
    <w:rsid w:val="2E945A61"/>
    <w:rsid w:val="2E977E6D"/>
    <w:rsid w:val="2EB15ED7"/>
    <w:rsid w:val="2F1A38C9"/>
    <w:rsid w:val="2F9972E0"/>
    <w:rsid w:val="2FA02041"/>
    <w:rsid w:val="2FB1533B"/>
    <w:rsid w:val="300476C7"/>
    <w:rsid w:val="30263A95"/>
    <w:rsid w:val="30273F20"/>
    <w:rsid w:val="30565D21"/>
    <w:rsid w:val="30584E05"/>
    <w:rsid w:val="306F244D"/>
    <w:rsid w:val="30A1459E"/>
    <w:rsid w:val="30EA335D"/>
    <w:rsid w:val="311C08A9"/>
    <w:rsid w:val="311E17FA"/>
    <w:rsid w:val="312F3BE1"/>
    <w:rsid w:val="31BF2BE0"/>
    <w:rsid w:val="31EB7BC6"/>
    <w:rsid w:val="320D6599"/>
    <w:rsid w:val="32514FC3"/>
    <w:rsid w:val="32814A12"/>
    <w:rsid w:val="32DF7AF0"/>
    <w:rsid w:val="32E35080"/>
    <w:rsid w:val="32FC6DFD"/>
    <w:rsid w:val="332F4419"/>
    <w:rsid w:val="339521A4"/>
    <w:rsid w:val="33C37581"/>
    <w:rsid w:val="33C453CA"/>
    <w:rsid w:val="33FA42B7"/>
    <w:rsid w:val="340236BB"/>
    <w:rsid w:val="347831DE"/>
    <w:rsid w:val="34A55824"/>
    <w:rsid w:val="34A55FD1"/>
    <w:rsid w:val="34D8279F"/>
    <w:rsid w:val="35060910"/>
    <w:rsid w:val="358B5653"/>
    <w:rsid w:val="35BF4F60"/>
    <w:rsid w:val="35E50231"/>
    <w:rsid w:val="36047784"/>
    <w:rsid w:val="36A111CF"/>
    <w:rsid w:val="36E566E0"/>
    <w:rsid w:val="36F971B1"/>
    <w:rsid w:val="373B6AF8"/>
    <w:rsid w:val="37627E58"/>
    <w:rsid w:val="37EF7D82"/>
    <w:rsid w:val="37F662C9"/>
    <w:rsid w:val="381A1412"/>
    <w:rsid w:val="38B5309B"/>
    <w:rsid w:val="38C834F0"/>
    <w:rsid w:val="38E6506B"/>
    <w:rsid w:val="392F00D9"/>
    <w:rsid w:val="39AE3CFE"/>
    <w:rsid w:val="39FC639A"/>
    <w:rsid w:val="3A111F1C"/>
    <w:rsid w:val="3AC86342"/>
    <w:rsid w:val="3B375E37"/>
    <w:rsid w:val="3B3F348C"/>
    <w:rsid w:val="3B4130A6"/>
    <w:rsid w:val="3B5D442F"/>
    <w:rsid w:val="3B8636FC"/>
    <w:rsid w:val="3BD760D5"/>
    <w:rsid w:val="3BFA7896"/>
    <w:rsid w:val="3C0F6D83"/>
    <w:rsid w:val="3C1F3AC1"/>
    <w:rsid w:val="3C794E0D"/>
    <w:rsid w:val="3C9B240F"/>
    <w:rsid w:val="3CA109F6"/>
    <w:rsid w:val="3CD820AD"/>
    <w:rsid w:val="3CF64299"/>
    <w:rsid w:val="3D166C28"/>
    <w:rsid w:val="3D191EBD"/>
    <w:rsid w:val="3D3C0E60"/>
    <w:rsid w:val="3D690DCA"/>
    <w:rsid w:val="3D744A85"/>
    <w:rsid w:val="3DA0429D"/>
    <w:rsid w:val="3DA351F2"/>
    <w:rsid w:val="3DB66C5D"/>
    <w:rsid w:val="3DCF5EB9"/>
    <w:rsid w:val="3DEA3FE0"/>
    <w:rsid w:val="3ECD79B3"/>
    <w:rsid w:val="3F157615"/>
    <w:rsid w:val="3F383F9C"/>
    <w:rsid w:val="3F4B550C"/>
    <w:rsid w:val="3F506CC9"/>
    <w:rsid w:val="3F5964F8"/>
    <w:rsid w:val="3F740E51"/>
    <w:rsid w:val="3F7C77CB"/>
    <w:rsid w:val="3F9A4B2C"/>
    <w:rsid w:val="3FBA06F6"/>
    <w:rsid w:val="40343D71"/>
    <w:rsid w:val="404C382A"/>
    <w:rsid w:val="406F19D7"/>
    <w:rsid w:val="40B013D3"/>
    <w:rsid w:val="40FE3EF6"/>
    <w:rsid w:val="412610EA"/>
    <w:rsid w:val="4161544B"/>
    <w:rsid w:val="41697754"/>
    <w:rsid w:val="41A64BA4"/>
    <w:rsid w:val="41DA3187"/>
    <w:rsid w:val="41F37D7C"/>
    <w:rsid w:val="422E62C2"/>
    <w:rsid w:val="425751D9"/>
    <w:rsid w:val="427C16A9"/>
    <w:rsid w:val="42AA3695"/>
    <w:rsid w:val="42F004F3"/>
    <w:rsid w:val="43422597"/>
    <w:rsid w:val="438E451F"/>
    <w:rsid w:val="43A63334"/>
    <w:rsid w:val="43A65A39"/>
    <w:rsid w:val="43E628F2"/>
    <w:rsid w:val="43EA755B"/>
    <w:rsid w:val="43EB7AFB"/>
    <w:rsid w:val="43F07E6B"/>
    <w:rsid w:val="43FB4D75"/>
    <w:rsid w:val="445361BF"/>
    <w:rsid w:val="4486770D"/>
    <w:rsid w:val="44BB1862"/>
    <w:rsid w:val="45141826"/>
    <w:rsid w:val="456E2D3D"/>
    <w:rsid w:val="46080D77"/>
    <w:rsid w:val="46154BC6"/>
    <w:rsid w:val="46765817"/>
    <w:rsid w:val="46B36F40"/>
    <w:rsid w:val="46B6476D"/>
    <w:rsid w:val="477471F7"/>
    <w:rsid w:val="478B5AFD"/>
    <w:rsid w:val="47E2067E"/>
    <w:rsid w:val="47ED0C36"/>
    <w:rsid w:val="47F83E7B"/>
    <w:rsid w:val="48313B85"/>
    <w:rsid w:val="48390B1D"/>
    <w:rsid w:val="488859FB"/>
    <w:rsid w:val="48A27529"/>
    <w:rsid w:val="48AF39D0"/>
    <w:rsid w:val="48C071CD"/>
    <w:rsid w:val="48C63718"/>
    <w:rsid w:val="48F43E99"/>
    <w:rsid w:val="48FA7EDF"/>
    <w:rsid w:val="49045D12"/>
    <w:rsid w:val="492072CA"/>
    <w:rsid w:val="49887FC1"/>
    <w:rsid w:val="49AA1E60"/>
    <w:rsid w:val="49B33F47"/>
    <w:rsid w:val="49BB4B10"/>
    <w:rsid w:val="49E14099"/>
    <w:rsid w:val="4A3161ED"/>
    <w:rsid w:val="4A495446"/>
    <w:rsid w:val="4A4E6313"/>
    <w:rsid w:val="4A640D69"/>
    <w:rsid w:val="4AB84E72"/>
    <w:rsid w:val="4AC537B7"/>
    <w:rsid w:val="4AE97C1F"/>
    <w:rsid w:val="4AF71804"/>
    <w:rsid w:val="4B052AB6"/>
    <w:rsid w:val="4B235DE5"/>
    <w:rsid w:val="4B29263E"/>
    <w:rsid w:val="4B4F66EA"/>
    <w:rsid w:val="4BAC1C07"/>
    <w:rsid w:val="4BCD0EC1"/>
    <w:rsid w:val="4C1B3B19"/>
    <w:rsid w:val="4C260519"/>
    <w:rsid w:val="4C42103E"/>
    <w:rsid w:val="4CC2308A"/>
    <w:rsid w:val="4CC8273D"/>
    <w:rsid w:val="4CCA42E5"/>
    <w:rsid w:val="4CE103A8"/>
    <w:rsid w:val="4D094286"/>
    <w:rsid w:val="4D415110"/>
    <w:rsid w:val="4D7712FD"/>
    <w:rsid w:val="4DD329E0"/>
    <w:rsid w:val="4DF025FC"/>
    <w:rsid w:val="4E0679D6"/>
    <w:rsid w:val="4E4101BE"/>
    <w:rsid w:val="4E481196"/>
    <w:rsid w:val="4E7D1B40"/>
    <w:rsid w:val="4E894E48"/>
    <w:rsid w:val="4EF131D3"/>
    <w:rsid w:val="4EF242C4"/>
    <w:rsid w:val="4EF54A41"/>
    <w:rsid w:val="4F066929"/>
    <w:rsid w:val="4F0D108F"/>
    <w:rsid w:val="4F152018"/>
    <w:rsid w:val="4F505DC7"/>
    <w:rsid w:val="4F68065C"/>
    <w:rsid w:val="4FBE33CD"/>
    <w:rsid w:val="4FD040A0"/>
    <w:rsid w:val="4FF9279F"/>
    <w:rsid w:val="501C6CBB"/>
    <w:rsid w:val="502830BF"/>
    <w:rsid w:val="503F087B"/>
    <w:rsid w:val="50440A3E"/>
    <w:rsid w:val="50450B9D"/>
    <w:rsid w:val="50630C74"/>
    <w:rsid w:val="50886B10"/>
    <w:rsid w:val="5184017C"/>
    <w:rsid w:val="51A95C89"/>
    <w:rsid w:val="520376A3"/>
    <w:rsid w:val="521D05AC"/>
    <w:rsid w:val="5230313E"/>
    <w:rsid w:val="52592377"/>
    <w:rsid w:val="525A32F0"/>
    <w:rsid w:val="52C60894"/>
    <w:rsid w:val="52CA3970"/>
    <w:rsid w:val="52E31529"/>
    <w:rsid w:val="5348325B"/>
    <w:rsid w:val="53B51C0C"/>
    <w:rsid w:val="541F7EF1"/>
    <w:rsid w:val="553874EA"/>
    <w:rsid w:val="55486203"/>
    <w:rsid w:val="55685505"/>
    <w:rsid w:val="556B3432"/>
    <w:rsid w:val="557F4FEE"/>
    <w:rsid w:val="55AB575C"/>
    <w:rsid w:val="55AD0C72"/>
    <w:rsid w:val="56012821"/>
    <w:rsid w:val="56286B6D"/>
    <w:rsid w:val="5646409D"/>
    <w:rsid w:val="565C44BC"/>
    <w:rsid w:val="569C79DB"/>
    <w:rsid w:val="569E194D"/>
    <w:rsid w:val="56B15DEB"/>
    <w:rsid w:val="56D114E7"/>
    <w:rsid w:val="56D76AC3"/>
    <w:rsid w:val="573B7734"/>
    <w:rsid w:val="57AA60A4"/>
    <w:rsid w:val="57B307B8"/>
    <w:rsid w:val="57CB2772"/>
    <w:rsid w:val="57FF7D01"/>
    <w:rsid w:val="58477D48"/>
    <w:rsid w:val="58607B3C"/>
    <w:rsid w:val="58994606"/>
    <w:rsid w:val="589E7E84"/>
    <w:rsid w:val="589F3000"/>
    <w:rsid w:val="58BD0C6F"/>
    <w:rsid w:val="58F66D60"/>
    <w:rsid w:val="59B634CD"/>
    <w:rsid w:val="5A107AF6"/>
    <w:rsid w:val="5A5B1AC2"/>
    <w:rsid w:val="5A670914"/>
    <w:rsid w:val="5A8B1203"/>
    <w:rsid w:val="5ACB320D"/>
    <w:rsid w:val="5AE2105E"/>
    <w:rsid w:val="5AFE69E6"/>
    <w:rsid w:val="5B126296"/>
    <w:rsid w:val="5B1749E2"/>
    <w:rsid w:val="5BAD4E9C"/>
    <w:rsid w:val="5BCE6206"/>
    <w:rsid w:val="5BD96904"/>
    <w:rsid w:val="5C3D7264"/>
    <w:rsid w:val="5C4559A2"/>
    <w:rsid w:val="5C795CCA"/>
    <w:rsid w:val="5C8752FC"/>
    <w:rsid w:val="5C910D46"/>
    <w:rsid w:val="5C930C12"/>
    <w:rsid w:val="5CC54BA8"/>
    <w:rsid w:val="5CC7715C"/>
    <w:rsid w:val="5CCF71B5"/>
    <w:rsid w:val="5D0E0843"/>
    <w:rsid w:val="5D131F93"/>
    <w:rsid w:val="5D1C4ADB"/>
    <w:rsid w:val="5D954237"/>
    <w:rsid w:val="5E100F81"/>
    <w:rsid w:val="5E4755BA"/>
    <w:rsid w:val="5E7B2C2D"/>
    <w:rsid w:val="5EC013F2"/>
    <w:rsid w:val="5F1B764F"/>
    <w:rsid w:val="5F1D30CA"/>
    <w:rsid w:val="5F9206A9"/>
    <w:rsid w:val="5FA026CC"/>
    <w:rsid w:val="5FBB673B"/>
    <w:rsid w:val="5FCD72AD"/>
    <w:rsid w:val="604C0C84"/>
    <w:rsid w:val="608B6A7B"/>
    <w:rsid w:val="60BB4FB2"/>
    <w:rsid w:val="60DF2BFB"/>
    <w:rsid w:val="60F30A64"/>
    <w:rsid w:val="611265C4"/>
    <w:rsid w:val="61384A0A"/>
    <w:rsid w:val="61641086"/>
    <w:rsid w:val="616B793B"/>
    <w:rsid w:val="6184421F"/>
    <w:rsid w:val="61C01E1C"/>
    <w:rsid w:val="61CF0E01"/>
    <w:rsid w:val="62116619"/>
    <w:rsid w:val="621970BF"/>
    <w:rsid w:val="62763D2F"/>
    <w:rsid w:val="62C01B71"/>
    <w:rsid w:val="62D228D0"/>
    <w:rsid w:val="62E07E00"/>
    <w:rsid w:val="62E56E06"/>
    <w:rsid w:val="62EB6259"/>
    <w:rsid w:val="62F32570"/>
    <w:rsid w:val="630617C4"/>
    <w:rsid w:val="630B6DE6"/>
    <w:rsid w:val="63141482"/>
    <w:rsid w:val="635E3F7F"/>
    <w:rsid w:val="63C23956"/>
    <w:rsid w:val="63EF27D4"/>
    <w:rsid w:val="63FB6077"/>
    <w:rsid w:val="646F579F"/>
    <w:rsid w:val="65433540"/>
    <w:rsid w:val="654D6439"/>
    <w:rsid w:val="655E54C2"/>
    <w:rsid w:val="65885141"/>
    <w:rsid w:val="65B35B99"/>
    <w:rsid w:val="65BB3C4B"/>
    <w:rsid w:val="660B335F"/>
    <w:rsid w:val="67032B17"/>
    <w:rsid w:val="67760B74"/>
    <w:rsid w:val="67D84A08"/>
    <w:rsid w:val="68063A92"/>
    <w:rsid w:val="683F1354"/>
    <w:rsid w:val="6866197D"/>
    <w:rsid w:val="68694F49"/>
    <w:rsid w:val="68C0224A"/>
    <w:rsid w:val="68C114EA"/>
    <w:rsid w:val="68C124DE"/>
    <w:rsid w:val="68DE1D98"/>
    <w:rsid w:val="68FE6154"/>
    <w:rsid w:val="69607DF4"/>
    <w:rsid w:val="69DD2B0E"/>
    <w:rsid w:val="69DF1DD3"/>
    <w:rsid w:val="69F05568"/>
    <w:rsid w:val="6A0F3B85"/>
    <w:rsid w:val="6A4D163E"/>
    <w:rsid w:val="6A8C6B19"/>
    <w:rsid w:val="6AF2373B"/>
    <w:rsid w:val="6B367A63"/>
    <w:rsid w:val="6B5871D6"/>
    <w:rsid w:val="6BCB5EFA"/>
    <w:rsid w:val="6BDE06EC"/>
    <w:rsid w:val="6C144BF0"/>
    <w:rsid w:val="6C9304FE"/>
    <w:rsid w:val="6CA36525"/>
    <w:rsid w:val="6CD416A9"/>
    <w:rsid w:val="6CDF57DC"/>
    <w:rsid w:val="6D761E41"/>
    <w:rsid w:val="6E391797"/>
    <w:rsid w:val="6E513D4E"/>
    <w:rsid w:val="6E9B2131"/>
    <w:rsid w:val="6ED633CC"/>
    <w:rsid w:val="6EDD38DE"/>
    <w:rsid w:val="6EE57196"/>
    <w:rsid w:val="6EF66D91"/>
    <w:rsid w:val="6EFD3207"/>
    <w:rsid w:val="6F1748FB"/>
    <w:rsid w:val="6F2C03FD"/>
    <w:rsid w:val="6F4253F4"/>
    <w:rsid w:val="6F437AF8"/>
    <w:rsid w:val="6FBA2403"/>
    <w:rsid w:val="6FF44496"/>
    <w:rsid w:val="6FF80CBC"/>
    <w:rsid w:val="70183E19"/>
    <w:rsid w:val="702029A9"/>
    <w:rsid w:val="70461C2B"/>
    <w:rsid w:val="709B3F75"/>
    <w:rsid w:val="70C1488E"/>
    <w:rsid w:val="70D358B4"/>
    <w:rsid w:val="70D85F9B"/>
    <w:rsid w:val="70DB15B1"/>
    <w:rsid w:val="70E26CF1"/>
    <w:rsid w:val="70E93029"/>
    <w:rsid w:val="71CB3AC6"/>
    <w:rsid w:val="71F46ABC"/>
    <w:rsid w:val="71F672E5"/>
    <w:rsid w:val="72783FFE"/>
    <w:rsid w:val="729F2122"/>
    <w:rsid w:val="72D674C1"/>
    <w:rsid w:val="72EB2FF0"/>
    <w:rsid w:val="72EE5331"/>
    <w:rsid w:val="73AC4BE6"/>
    <w:rsid w:val="73D4169F"/>
    <w:rsid w:val="746B28A2"/>
    <w:rsid w:val="749964BF"/>
    <w:rsid w:val="749C05EB"/>
    <w:rsid w:val="74FB2290"/>
    <w:rsid w:val="75305C68"/>
    <w:rsid w:val="7554101F"/>
    <w:rsid w:val="75A45C2E"/>
    <w:rsid w:val="75C22EDB"/>
    <w:rsid w:val="75D01965"/>
    <w:rsid w:val="75E84C97"/>
    <w:rsid w:val="75EC47DD"/>
    <w:rsid w:val="76125E26"/>
    <w:rsid w:val="763C4EAA"/>
    <w:rsid w:val="763F4074"/>
    <w:rsid w:val="7697627D"/>
    <w:rsid w:val="76AC37F0"/>
    <w:rsid w:val="76C171CA"/>
    <w:rsid w:val="77095D26"/>
    <w:rsid w:val="773C5543"/>
    <w:rsid w:val="77680380"/>
    <w:rsid w:val="77C23E38"/>
    <w:rsid w:val="77C90159"/>
    <w:rsid w:val="780E21D8"/>
    <w:rsid w:val="7831723E"/>
    <w:rsid w:val="78510525"/>
    <w:rsid w:val="788A3B42"/>
    <w:rsid w:val="78CF4594"/>
    <w:rsid w:val="79393FA7"/>
    <w:rsid w:val="796857F0"/>
    <w:rsid w:val="79940979"/>
    <w:rsid w:val="79BE2EB7"/>
    <w:rsid w:val="79C94977"/>
    <w:rsid w:val="79FF10D8"/>
    <w:rsid w:val="7A2C1258"/>
    <w:rsid w:val="7AA96CD3"/>
    <w:rsid w:val="7ADD5F87"/>
    <w:rsid w:val="7B1D3565"/>
    <w:rsid w:val="7B6A08C6"/>
    <w:rsid w:val="7B6E672A"/>
    <w:rsid w:val="7B9A6366"/>
    <w:rsid w:val="7BEE18EF"/>
    <w:rsid w:val="7C3518B1"/>
    <w:rsid w:val="7C3B10D3"/>
    <w:rsid w:val="7C475D5D"/>
    <w:rsid w:val="7C6C4E03"/>
    <w:rsid w:val="7C746E51"/>
    <w:rsid w:val="7C976514"/>
    <w:rsid w:val="7CD30E81"/>
    <w:rsid w:val="7CF53687"/>
    <w:rsid w:val="7E024E93"/>
    <w:rsid w:val="7E3644BD"/>
    <w:rsid w:val="7E6E3701"/>
    <w:rsid w:val="7EAE7885"/>
    <w:rsid w:val="7EB10BA2"/>
    <w:rsid w:val="7EC01CB4"/>
    <w:rsid w:val="7ECB117E"/>
    <w:rsid w:val="7ED60F5E"/>
    <w:rsid w:val="7F0D0736"/>
    <w:rsid w:val="7F63424F"/>
    <w:rsid w:val="7FAC1137"/>
    <w:rsid w:val="7FEB7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imes New Roman" w:hAnsi="Times New Roman" w:eastAsia="宋体" w:cstheme="minorBidi"/>
      <w:sz w:val="24"/>
      <w:szCs w:val="22"/>
      <w:lang w:val="en-US" w:eastAsia="zh-CN" w:bidi="ar-SA"/>
    </w:rPr>
  </w:style>
  <w:style w:type="paragraph" w:styleId="2">
    <w:name w:val="heading 1"/>
    <w:basedOn w:val="1"/>
    <w:next w:val="1"/>
    <w:qFormat/>
    <w:uiPriority w:val="9"/>
    <w:pPr>
      <w:keepNext/>
      <w:keepLines/>
      <w:tabs>
        <w:tab w:val="left" w:pos="371"/>
        <w:tab w:val="left" w:pos="432"/>
      </w:tabs>
      <w:spacing w:before="120"/>
      <w:jc w:val="center"/>
      <w:outlineLvl w:val="0"/>
    </w:pPr>
    <w:rPr>
      <w:rFonts w:ascii="黑体" w:hAnsi="黑体"/>
      <w:b/>
      <w:kern w:val="44"/>
      <w:sz w:val="32"/>
    </w:rPr>
  </w:style>
  <w:style w:type="paragraph" w:styleId="3">
    <w:name w:val="heading 2"/>
    <w:basedOn w:val="1"/>
    <w:next w:val="1"/>
    <w:qFormat/>
    <w:uiPriority w:val="9"/>
    <w:pPr>
      <w:keepNext/>
      <w:keepLines/>
      <w:tabs>
        <w:tab w:val="left" w:pos="541"/>
        <w:tab w:val="left" w:pos="576"/>
      </w:tabs>
      <w:spacing w:before="120"/>
      <w:outlineLvl w:val="1"/>
    </w:pPr>
    <w:rPr>
      <w:b/>
      <w:sz w:val="28"/>
      <w:szCs w:val="26"/>
    </w:rPr>
  </w:style>
  <w:style w:type="paragraph" w:styleId="4">
    <w:name w:val="heading 3"/>
    <w:basedOn w:val="1"/>
    <w:next w:val="1"/>
    <w:qFormat/>
    <w:uiPriority w:val="0"/>
    <w:pPr>
      <w:keepNext/>
      <w:keepLines/>
      <w:tabs>
        <w:tab w:val="left" w:pos="0"/>
        <w:tab w:val="left" w:pos="91"/>
        <w:tab w:val="left" w:pos="132"/>
        <w:tab w:val="left" w:pos="377"/>
        <w:tab w:val="left" w:pos="479"/>
        <w:tab w:val="left" w:pos="561"/>
        <w:tab w:val="left" w:pos="582"/>
        <w:tab w:val="left" w:pos="643"/>
      </w:tabs>
      <w:outlineLvl w:val="2"/>
    </w:pPr>
    <w:rPr>
      <w:b/>
      <w:szCs w:val="26"/>
    </w:rPr>
  </w:style>
  <w:style w:type="paragraph" w:styleId="5">
    <w:name w:val="heading 4"/>
    <w:basedOn w:val="1"/>
    <w:next w:val="1"/>
    <w:qFormat/>
    <w:uiPriority w:val="0"/>
    <w:pPr>
      <w:keepNext/>
      <w:keepLines/>
      <w:numPr>
        <w:ilvl w:val="3"/>
        <w:numId w:val="1"/>
      </w:numPr>
      <w:spacing w:before="280" w:after="290" w:line="376" w:lineRule="atLeast"/>
      <w:textAlignment w:val="baseline"/>
      <w:outlineLvl w:val="3"/>
    </w:pPr>
    <w:rPr>
      <w:rFonts w:ascii="Arial" w:hAnsi="Arial" w:eastAsia="黑体"/>
      <w:b/>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List 3"/>
    <w:basedOn w:val="1"/>
    <w:next w:val="1"/>
    <w:qFormat/>
    <w:uiPriority w:val="0"/>
    <w:pPr>
      <w:ind w:left="100" w:leftChars="400" w:hanging="200" w:hangingChars="200"/>
      <w:contextualSpacing/>
    </w:pPr>
    <w:rPr>
      <w:szCs w:val="24"/>
    </w:rPr>
  </w:style>
  <w:style w:type="paragraph" w:styleId="7">
    <w:name w:val="Normal Indent"/>
    <w:basedOn w:val="1"/>
    <w:next w:val="1"/>
    <w:unhideWhenUsed/>
    <w:qFormat/>
    <w:uiPriority w:val="0"/>
    <w:pPr>
      <w:ind w:firstLine="420"/>
    </w:pPr>
    <w:rPr>
      <w:rFonts w:ascii="Calibri" w:hAnsi="Calibri"/>
    </w:rPr>
  </w:style>
  <w:style w:type="paragraph" w:styleId="8">
    <w:name w:val="annotation text"/>
    <w:basedOn w:val="1"/>
    <w:link w:val="50"/>
    <w:qFormat/>
    <w:uiPriority w:val="0"/>
  </w:style>
  <w:style w:type="paragraph" w:styleId="9">
    <w:name w:val="Body Text"/>
    <w:basedOn w:val="1"/>
    <w:next w:val="1"/>
    <w:qFormat/>
    <w:uiPriority w:val="0"/>
    <w:pPr>
      <w:spacing w:line="460" w:lineRule="atLeast"/>
      <w:outlineLvl w:val="0"/>
    </w:pPr>
    <w:rPr>
      <w:color w:val="000000"/>
    </w:rPr>
  </w:style>
  <w:style w:type="paragraph" w:styleId="10">
    <w:name w:val="Body Text Indent"/>
    <w:basedOn w:val="1"/>
    <w:qFormat/>
    <w:uiPriority w:val="0"/>
    <w:pPr>
      <w:ind w:firstLine="480"/>
    </w:pPr>
    <w:rPr>
      <w:rFonts w:ascii="楷体_GB2312" w:eastAsia="楷体_GB2312"/>
      <w:snapToGrid w:val="0"/>
      <w:sz w:val="28"/>
    </w:rPr>
  </w:style>
  <w:style w:type="paragraph" w:styleId="11">
    <w:name w:val="Block Text"/>
    <w:basedOn w:val="1"/>
    <w:qFormat/>
    <w:uiPriority w:val="0"/>
    <w:pPr>
      <w:textAlignment w:val="baseline"/>
    </w:pPr>
    <w:rPr>
      <w:spacing w:val="-2"/>
    </w:rPr>
  </w:style>
  <w:style w:type="paragraph" w:styleId="12">
    <w:name w:val="toc 3"/>
    <w:basedOn w:val="1"/>
    <w:next w:val="1"/>
    <w:qFormat/>
    <w:uiPriority w:val="0"/>
    <w:pPr>
      <w:ind w:left="840" w:leftChars="400"/>
    </w:pPr>
  </w:style>
  <w:style w:type="paragraph" w:styleId="13">
    <w:name w:val="Plain Text"/>
    <w:basedOn w:val="1"/>
    <w:qFormat/>
    <w:uiPriority w:val="0"/>
    <w:rPr>
      <w:rFonts w:ascii="宋体" w:hAnsi="Courier New"/>
    </w:rPr>
  </w:style>
  <w:style w:type="paragraph" w:styleId="14">
    <w:name w:val="List Bullet 5"/>
    <w:basedOn w:val="1"/>
    <w:qFormat/>
    <w:uiPriority w:val="0"/>
    <w:pPr>
      <w:numPr>
        <w:ilvl w:val="0"/>
        <w:numId w:val="2"/>
      </w:numPr>
    </w:pPr>
  </w:style>
  <w:style w:type="paragraph" w:styleId="15">
    <w:name w:val="Balloon Text"/>
    <w:basedOn w:val="1"/>
    <w:link w:val="52"/>
    <w:qFormat/>
    <w:uiPriority w:val="0"/>
    <w:rPr>
      <w:sz w:val="18"/>
      <w:szCs w:val="18"/>
    </w:rPr>
  </w:style>
  <w:style w:type="paragraph" w:styleId="16">
    <w:name w:val="footer"/>
    <w:basedOn w:val="1"/>
    <w:qFormat/>
    <w:uiPriority w:val="0"/>
    <w:pPr>
      <w:tabs>
        <w:tab w:val="center" w:pos="4153"/>
        <w:tab w:val="right" w:pos="8306"/>
      </w:tabs>
    </w:pPr>
    <w:rPr>
      <w:sz w:val="18"/>
      <w:szCs w:val="18"/>
    </w:rPr>
  </w:style>
  <w:style w:type="paragraph" w:styleId="17">
    <w:name w:val="header"/>
    <w:basedOn w:val="1"/>
    <w:qFormat/>
    <w:uiPriority w:val="99"/>
    <w:pPr>
      <w:pBdr>
        <w:bottom w:val="single" w:color="auto" w:sz="6" w:space="1"/>
      </w:pBdr>
      <w:tabs>
        <w:tab w:val="center" w:pos="4153"/>
        <w:tab w:val="right" w:pos="8306"/>
      </w:tabs>
      <w:jc w:val="right"/>
    </w:pPr>
    <w:rPr>
      <w:rFonts w:hint="eastAsia" w:ascii="宋体" w:hAnsi="宋体" w:cs="宋体"/>
      <w:sz w:val="18"/>
      <w:szCs w:val="18"/>
    </w:rPr>
  </w:style>
  <w:style w:type="paragraph" w:styleId="18">
    <w:name w:val="toc 1"/>
    <w:basedOn w:val="1"/>
    <w:next w:val="1"/>
    <w:qFormat/>
    <w:uiPriority w:val="39"/>
    <w:rPr>
      <w:rFonts w:ascii="黑体" w:hAnsi="黑体" w:eastAsia="黑体"/>
    </w:rPr>
  </w:style>
  <w:style w:type="paragraph" w:styleId="19">
    <w:name w:val="toc 2"/>
    <w:basedOn w:val="1"/>
    <w:next w:val="1"/>
    <w:qFormat/>
    <w:uiPriority w:val="39"/>
    <w:pPr>
      <w:ind w:left="420" w:leftChars="200"/>
    </w:pPr>
  </w:style>
  <w:style w:type="paragraph" w:styleId="20">
    <w:name w:val="Normal (Web)"/>
    <w:basedOn w:val="1"/>
    <w:qFormat/>
    <w:uiPriority w:val="0"/>
    <w:pPr>
      <w:spacing w:before="100" w:beforeAutospacing="1" w:after="100" w:afterAutospacing="1"/>
    </w:pPr>
    <w:rPr>
      <w:rFonts w:ascii="宋体" w:hAnsi="宋体" w:cs="宋体"/>
      <w:szCs w:val="24"/>
    </w:rPr>
  </w:style>
  <w:style w:type="paragraph" w:styleId="21">
    <w:name w:val="annotation subject"/>
    <w:basedOn w:val="8"/>
    <w:next w:val="8"/>
    <w:link w:val="51"/>
    <w:qFormat/>
    <w:uiPriority w:val="0"/>
    <w:rPr>
      <w:b/>
      <w:bCs/>
    </w:rPr>
  </w:style>
  <w:style w:type="paragraph" w:styleId="22">
    <w:name w:val="Body Text First Indent 2"/>
    <w:basedOn w:val="10"/>
    <w:qFormat/>
    <w:uiPriority w:val="0"/>
    <w:pPr>
      <w:spacing w:after="120" w:line="240" w:lineRule="auto"/>
      <w:ind w:left="420" w:leftChars="200" w:firstLine="420" w:firstLineChars="200"/>
    </w:pPr>
    <w:rPr>
      <w:rFonts w:eastAsia="宋体"/>
      <w:kern w:val="2"/>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FollowedHyperlink"/>
    <w:basedOn w:val="25"/>
    <w:qFormat/>
    <w:uiPriority w:val="0"/>
    <w:rPr>
      <w:color w:val="185ECF"/>
      <w:u w:val="none"/>
    </w:rPr>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basedOn w:val="25"/>
    <w:qFormat/>
    <w:uiPriority w:val="0"/>
    <w:rPr>
      <w:sz w:val="21"/>
      <w:szCs w:val="21"/>
    </w:rPr>
  </w:style>
  <w:style w:type="paragraph" w:customStyle="1" w:styleId="30">
    <w:name w:val="Default"/>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1">
    <w:name w:val="正文 首行缩进:  2 字符"/>
    <w:basedOn w:val="1"/>
    <w:qFormat/>
    <w:uiPriority w:val="0"/>
    <w:rPr>
      <w:rFonts w:ascii="Calibri" w:hAnsi="Calibri" w:cs="宋体"/>
      <w:szCs w:val="20"/>
    </w:rPr>
  </w:style>
  <w:style w:type="character" w:customStyle="1" w:styleId="32">
    <w:name w:val="标题 3 Char"/>
    <w:basedOn w:val="25"/>
    <w:qFormat/>
    <w:uiPriority w:val="0"/>
    <w:rPr>
      <w:rFonts w:ascii="Times New Roman" w:hAnsi="Times New Roman" w:eastAsia="黑体"/>
      <w:b/>
      <w:sz w:val="26"/>
      <w:szCs w:val="26"/>
    </w:rPr>
  </w:style>
  <w:style w:type="paragraph" w:customStyle="1" w:styleId="33">
    <w:name w:val="正文文本缩进 21"/>
    <w:basedOn w:val="1"/>
    <w:qFormat/>
    <w:uiPriority w:val="0"/>
    <w:pPr>
      <w:widowControl w:val="0"/>
      <w:snapToGrid/>
      <w:spacing w:line="312" w:lineRule="atLeast"/>
      <w:ind w:firstLine="570"/>
      <w:jc w:val="distribute"/>
      <w:textAlignment w:val="baseline"/>
    </w:pPr>
    <w:rPr>
      <w:rFonts w:eastAsia="仿宋_GB2312" w:cs="Times New Roman"/>
      <w:sz w:val="28"/>
      <w:szCs w:val="20"/>
    </w:rPr>
  </w:style>
  <w:style w:type="paragraph" w:customStyle="1" w:styleId="34">
    <w:name w:val="正文文本缩进1"/>
    <w:basedOn w:val="1"/>
    <w:qFormat/>
    <w:uiPriority w:val="0"/>
    <w:pPr>
      <w:widowControl w:val="0"/>
      <w:snapToGrid/>
      <w:spacing w:line="233" w:lineRule="auto"/>
      <w:ind w:firstLine="570"/>
      <w:jc w:val="both"/>
      <w:textAlignment w:val="baseline"/>
    </w:pPr>
    <w:rPr>
      <w:rFonts w:ascii="仿宋_GB2312" w:eastAsia="仿宋_GB2312" w:cs="Times New Roman"/>
      <w:sz w:val="28"/>
      <w:szCs w:val="20"/>
    </w:rPr>
  </w:style>
  <w:style w:type="paragraph" w:customStyle="1" w:styleId="35">
    <w:name w:val="普通(网站)1"/>
    <w:basedOn w:val="1"/>
    <w:qFormat/>
    <w:uiPriority w:val="0"/>
    <w:pPr>
      <w:adjustRightInd/>
      <w:snapToGrid/>
      <w:spacing w:before="100" w:beforeAutospacing="1" w:after="100" w:afterAutospacing="1"/>
    </w:pPr>
    <w:rPr>
      <w:rFonts w:ascii="宋体" w:hAnsi="宋体" w:cs="宋体"/>
      <w:szCs w:val="24"/>
    </w:rPr>
  </w:style>
  <w:style w:type="paragraph" w:customStyle="1" w:styleId="36">
    <w:name w:val="纯文本1"/>
    <w:basedOn w:val="1"/>
    <w:qFormat/>
    <w:uiPriority w:val="0"/>
    <w:pPr>
      <w:widowControl w:val="0"/>
      <w:adjustRightInd/>
      <w:snapToGrid/>
      <w:jc w:val="both"/>
    </w:pPr>
    <w:rPr>
      <w:rFonts w:ascii="宋体" w:hAnsi="Courier New" w:cs="Times New Roman"/>
      <w:kern w:val="2"/>
      <w:sz w:val="21"/>
      <w:szCs w:val="20"/>
    </w:rPr>
  </w:style>
  <w:style w:type="character" w:customStyle="1" w:styleId="37">
    <w:name w:val="页码1"/>
    <w:basedOn w:val="25"/>
    <w:qFormat/>
    <w:uiPriority w:val="0"/>
  </w:style>
  <w:style w:type="paragraph" w:customStyle="1" w:styleId="38">
    <w:name w:val="正文01"/>
    <w:basedOn w:val="1"/>
    <w:qFormat/>
    <w:uiPriority w:val="0"/>
    <w:pPr>
      <w:spacing w:before="60" w:line="460" w:lineRule="exact"/>
      <w:ind w:firstLine="200" w:firstLineChars="200"/>
    </w:pPr>
    <w:rPr>
      <w:bCs/>
    </w:rPr>
  </w:style>
  <w:style w:type="paragraph" w:customStyle="1" w:styleId="39">
    <w:name w:val="表格"/>
    <w:basedOn w:val="1"/>
    <w:next w:val="1"/>
    <w:qFormat/>
    <w:uiPriority w:val="0"/>
    <w:pPr>
      <w:autoSpaceDE w:val="0"/>
      <w:autoSpaceDN w:val="0"/>
      <w:spacing w:before="60" w:after="40"/>
      <w:jc w:val="center"/>
    </w:pPr>
  </w:style>
  <w:style w:type="paragraph" w:customStyle="1" w:styleId="40">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41">
    <w:name w:val="表格222"/>
    <w:basedOn w:val="1"/>
    <w:qFormat/>
    <w:uiPriority w:val="0"/>
    <w:pPr>
      <w:spacing w:line="320" w:lineRule="exact"/>
      <w:jc w:val="center"/>
    </w:pPr>
    <w:rPr>
      <w:kern w:val="10"/>
    </w:rPr>
  </w:style>
  <w:style w:type="character" w:customStyle="1" w:styleId="42">
    <w:name w:val="样式 宋体 小三"/>
    <w:qFormat/>
    <w:uiPriority w:val="0"/>
    <w:rPr>
      <w:rFonts w:ascii="宋体"/>
      <w:sz w:val="28"/>
    </w:rPr>
  </w:style>
  <w:style w:type="paragraph" w:customStyle="1" w:styleId="43">
    <w:name w:val="样式 样式 正文首行缩进 2 + 四号 首行缩进:  2 字符 + 首行缩进:  2 字符"/>
    <w:basedOn w:val="1"/>
    <w:qFormat/>
    <w:uiPriority w:val="0"/>
    <w:pPr>
      <w:ind w:firstLine="480" w:firstLineChars="200"/>
    </w:pPr>
    <w:rPr>
      <w:rFonts w:cs="宋体"/>
      <w:szCs w:val="24"/>
    </w:rPr>
  </w:style>
  <w:style w:type="paragraph" w:customStyle="1" w:styleId="44">
    <w:name w:val="xl24"/>
    <w:basedOn w:val="1"/>
    <w:qFormat/>
    <w:uiPriority w:val="0"/>
    <w:pPr>
      <w:spacing w:before="100" w:beforeAutospacing="1" w:after="100" w:afterAutospacing="1"/>
      <w:jc w:val="center"/>
      <w:textAlignment w:val="center"/>
    </w:pPr>
    <w:rPr>
      <w:rFonts w:ascii="Arial Unicode MS" w:hAnsi="Arial Unicode MS" w:eastAsia="Arial Unicode MS"/>
    </w:rPr>
  </w:style>
  <w:style w:type="paragraph" w:customStyle="1" w:styleId="45">
    <w:name w:val="样式11"/>
    <w:basedOn w:val="46"/>
    <w:qFormat/>
    <w:uiPriority w:val="0"/>
    <w:pPr>
      <w:keepNext w:val="0"/>
      <w:keepLines w:val="0"/>
      <w:adjustRightInd w:val="0"/>
      <w:spacing w:line="480" w:lineRule="exact"/>
      <w:ind w:firstLine="200" w:firstLineChars="200"/>
      <w:outlineLvl w:val="9"/>
    </w:pPr>
    <w:rPr>
      <w:rFonts w:ascii="宋体" w:hAnsi="宋体" w:eastAsia="宋体"/>
      <w:b w:val="0"/>
      <w:bCs w:val="0"/>
      <w:color w:val="000000"/>
      <w:spacing w:val="0"/>
      <w:sz w:val="26"/>
      <w:szCs w:val="26"/>
    </w:rPr>
  </w:style>
  <w:style w:type="paragraph" w:customStyle="1" w:styleId="46">
    <w:name w:val="样式4"/>
    <w:basedOn w:val="5"/>
    <w:qFormat/>
    <w:uiPriority w:val="0"/>
    <w:pPr>
      <w:numPr>
        <w:numId w:val="0"/>
      </w:numPr>
      <w:adjustRightInd/>
      <w:spacing w:before="0" w:after="0" w:line="540" w:lineRule="exact"/>
      <w:ind w:firstLine="578"/>
      <w:textAlignment w:val="auto"/>
    </w:pPr>
    <w:rPr>
      <w:bCs/>
      <w:spacing w:val="8"/>
      <w:kern w:val="2"/>
      <w:szCs w:val="28"/>
    </w:rPr>
  </w:style>
  <w:style w:type="paragraph" w:customStyle="1" w:styleId="47">
    <w:name w:val="样式2"/>
    <w:basedOn w:val="48"/>
    <w:qFormat/>
    <w:uiPriority w:val="0"/>
    <w:pPr>
      <w:spacing w:beforeLines="50"/>
      <w:ind w:firstLine="0"/>
      <w:jc w:val="center"/>
      <w:outlineLvl w:val="4"/>
    </w:pPr>
    <w:rPr>
      <w:rFonts w:ascii="宋体"/>
    </w:rPr>
  </w:style>
  <w:style w:type="paragraph" w:customStyle="1" w:styleId="48">
    <w:name w:val="样式1"/>
    <w:basedOn w:val="1"/>
    <w:qFormat/>
    <w:uiPriority w:val="0"/>
    <w:pPr>
      <w:spacing w:line="480" w:lineRule="exact"/>
      <w:ind w:firstLine="520"/>
    </w:pPr>
    <w:rPr>
      <w:rFonts w:hAnsi="宋体" w:cs="宋体"/>
      <w:kern w:val="2"/>
      <w:sz w:val="26"/>
      <w:szCs w:val="26"/>
    </w:rPr>
  </w:style>
  <w:style w:type="character" w:customStyle="1" w:styleId="49">
    <w:name w:val="font01"/>
    <w:basedOn w:val="25"/>
    <w:qFormat/>
    <w:uiPriority w:val="0"/>
    <w:rPr>
      <w:rFonts w:hint="eastAsia" w:ascii="宋体" w:hAnsi="宋体" w:eastAsia="宋体"/>
      <w:color w:val="000000"/>
      <w:sz w:val="22"/>
      <w:szCs w:val="22"/>
      <w:u w:val="none"/>
    </w:rPr>
  </w:style>
  <w:style w:type="character" w:customStyle="1" w:styleId="50">
    <w:name w:val="批注文字 字符"/>
    <w:basedOn w:val="25"/>
    <w:link w:val="8"/>
    <w:qFormat/>
    <w:uiPriority w:val="0"/>
    <w:rPr>
      <w:rFonts w:ascii="Tahoma" w:hAnsi="Tahoma" w:eastAsia="微软雅黑" w:cstheme="minorBidi"/>
      <w:sz w:val="22"/>
      <w:szCs w:val="22"/>
    </w:rPr>
  </w:style>
  <w:style w:type="character" w:customStyle="1" w:styleId="51">
    <w:name w:val="批注主题 字符"/>
    <w:basedOn w:val="50"/>
    <w:link w:val="21"/>
    <w:qFormat/>
    <w:uiPriority w:val="0"/>
    <w:rPr>
      <w:rFonts w:ascii="Tahoma" w:hAnsi="Tahoma" w:eastAsia="微软雅黑" w:cstheme="minorBidi"/>
      <w:b/>
      <w:bCs/>
      <w:sz w:val="22"/>
      <w:szCs w:val="22"/>
    </w:rPr>
  </w:style>
  <w:style w:type="character" w:customStyle="1" w:styleId="52">
    <w:name w:val="批注框文本 字符"/>
    <w:basedOn w:val="25"/>
    <w:link w:val="15"/>
    <w:qFormat/>
    <w:uiPriority w:val="0"/>
    <w:rPr>
      <w:rFonts w:ascii="Tahoma" w:hAnsi="Tahoma" w:eastAsia="微软雅黑" w:cstheme="minorBidi"/>
      <w:sz w:val="18"/>
      <w:szCs w:val="18"/>
    </w:rPr>
  </w:style>
  <w:style w:type="table" w:customStyle="1" w:styleId="53">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54">
    <w:name w:val="样式3"/>
    <w:basedOn w:val="1"/>
    <w:link w:val="55"/>
    <w:qFormat/>
    <w:uiPriority w:val="0"/>
    <w:pPr>
      <w:pBdr>
        <w:top w:val="single" w:color="auto" w:sz="4" w:space="1"/>
      </w:pBdr>
      <w:tabs>
        <w:tab w:val="center" w:pos="4153"/>
        <w:tab w:val="right" w:pos="8306"/>
      </w:tabs>
    </w:pPr>
    <w:rPr>
      <w:sz w:val="21"/>
    </w:rPr>
  </w:style>
  <w:style w:type="character" w:customStyle="1" w:styleId="55">
    <w:name w:val="样式3 Char"/>
    <w:basedOn w:val="25"/>
    <w:link w:val="54"/>
    <w:qFormat/>
    <w:uiPriority w:val="0"/>
    <w:rPr>
      <w:rFonts w:ascii="Tahoma" w:hAnsi="Tahoma" w:eastAsia="微软雅黑" w:cstheme="minorBidi"/>
      <w:sz w:val="21"/>
      <w:szCs w:val="22"/>
    </w:rPr>
  </w:style>
  <w:style w:type="paragraph" w:customStyle="1" w:styleId="56">
    <w:name w:val="表内容"/>
    <w:basedOn w:val="1"/>
    <w:qFormat/>
    <w:uiPriority w:val="0"/>
    <w:pPr>
      <w:jc w:val="center"/>
    </w:pPr>
    <w:rPr>
      <w:snapToGrid w:val="0"/>
      <w:szCs w:val="21"/>
    </w:rPr>
  </w:style>
  <w:style w:type="paragraph" w:customStyle="1" w:styleId="57">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58">
    <w:name w:val="CCGL正文"/>
    <w:basedOn w:val="1"/>
    <w:qFormat/>
    <w:uiPriority w:val="0"/>
    <w:pPr>
      <w:spacing w:line="460" w:lineRule="exact"/>
      <w:ind w:firstLine="420" w:firstLineChars="200"/>
    </w:pPr>
    <w:rPr>
      <w:sz w:val="26"/>
      <w:szCs w:val="22"/>
    </w:rPr>
  </w:style>
  <w:style w:type="paragraph" w:customStyle="1" w:styleId="59">
    <w:name w:val="CCGL表"/>
    <w:basedOn w:val="1"/>
    <w:qFormat/>
    <w:uiPriority w:val="0"/>
    <w:pPr>
      <w:spacing w:line="240" w:lineRule="auto"/>
      <w:jc w:val="center"/>
    </w:pPr>
    <w:rPr>
      <w:sz w:val="22"/>
    </w:rPr>
  </w:style>
  <w:style w:type="paragraph" w:customStyle="1" w:styleId="60">
    <w:name w:val="样式 左 首行缩进:  1.01 厘米"/>
    <w:qFormat/>
    <w:uiPriority w:val="0"/>
    <w:pPr>
      <w:adjustRightInd w:val="0"/>
      <w:snapToGrid w:val="0"/>
      <w:spacing w:line="460" w:lineRule="exact"/>
      <w:ind w:firstLine="200" w:firstLineChars="200"/>
    </w:pPr>
    <w:rPr>
      <w:rFonts w:ascii="Times New Roman" w:hAnsi="Times New Roman" w:eastAsia="宋体" w:cs="宋体"/>
      <w:sz w:val="26"/>
      <w:szCs w:val="26"/>
      <w:lang w:val="en-US" w:eastAsia="zh-CN" w:bidi="ar-SA"/>
    </w:rPr>
  </w:style>
  <w:style w:type="paragraph" w:styleId="61">
    <w:name w:val="List Paragraph"/>
    <w:basedOn w:val="1"/>
    <w:qFormat/>
    <w:uiPriority w:val="1"/>
    <w:pPr>
      <w:ind w:left="1357" w:hanging="601"/>
    </w:pPr>
    <w:rPr>
      <w:rFonts w:ascii="宋体" w:hAnsi="宋体" w:eastAsia="宋体" w:cs="宋体"/>
      <w:lang w:val="zh-CN" w:eastAsia="zh-CN" w:bidi="zh-CN"/>
    </w:rPr>
  </w:style>
  <w:style w:type="paragraph" w:customStyle="1" w:styleId="62">
    <w:name w:val="表格1"/>
    <w:basedOn w:val="63"/>
    <w:qFormat/>
    <w:uiPriority w:val="0"/>
    <w:pPr>
      <w:jc w:val="center"/>
    </w:pPr>
    <w:rPr>
      <w:rFonts w:cs="Times New Roman"/>
      <w:b/>
      <w:color w:val="000000"/>
      <w:szCs w:val="22"/>
    </w:rPr>
  </w:style>
  <w:style w:type="paragraph" w:customStyle="1" w:styleId="63">
    <w:name w:val="表格格式1-2"/>
    <w:basedOn w:val="1"/>
    <w:qFormat/>
    <w:uiPriority w:val="0"/>
    <w:pPr>
      <w:jc w:val="center"/>
    </w:pPr>
    <w:rPr>
      <w:rFonts w:ascii="Times New Roman" w:hAnsi="Times New Roman"/>
      <w:szCs w:val="21"/>
    </w:rPr>
  </w:style>
  <w:style w:type="paragraph" w:customStyle="1" w:styleId="64">
    <w:name w:val="Table Paragraph"/>
    <w:basedOn w:val="1"/>
    <w:qFormat/>
    <w:uiPriority w:val="1"/>
    <w:pPr>
      <w:autoSpaceDE w:val="0"/>
      <w:autoSpaceDN w:val="0"/>
      <w:adjustRightInd w:val="0"/>
      <w:jc w:val="left"/>
    </w:pPr>
    <w:rPr>
      <w:rFonts w:ascii="Times New Roman" w:hAnsi="Times New Roman" w:eastAsia="宋体"/>
      <w:kern w:val="0"/>
      <w:sz w:val="24"/>
      <w:szCs w:val="24"/>
    </w:rPr>
  </w:style>
  <w:style w:type="paragraph" w:customStyle="1" w:styleId="65">
    <w:name w:val="表格样式"/>
    <w:basedOn w:val="1"/>
    <w:qFormat/>
    <w:uiPriority w:val="0"/>
    <w:pPr>
      <w:spacing w:line="320" w:lineRule="exact"/>
      <w:contextualSpacing/>
    </w:pPr>
    <w:rPr>
      <w:sz w:val="22"/>
      <w:szCs w:val="24"/>
    </w:rPr>
  </w:style>
  <w:style w:type="paragraph" w:customStyle="1" w:styleId="66">
    <w:name w:val="表头"/>
    <w:basedOn w:val="67"/>
    <w:next w:val="1"/>
    <w:qFormat/>
    <w:uiPriority w:val="0"/>
    <w:pPr>
      <w:adjustRightInd w:val="0"/>
      <w:snapToGrid w:val="0"/>
      <w:spacing w:line="480" w:lineRule="exact"/>
      <w:jc w:val="center"/>
    </w:pPr>
    <w:rPr>
      <w:b/>
      <w:sz w:val="24"/>
      <w:szCs w:val="20"/>
      <w:lang w:val="zh-CN"/>
    </w:rPr>
  </w:style>
  <w:style w:type="paragraph" w:customStyle="1" w:styleId="67">
    <w:name w:val="表文"/>
    <w:basedOn w:val="9"/>
    <w:next w:val="7"/>
    <w:qFormat/>
    <w:uiPriority w:val="0"/>
    <w:pPr>
      <w:spacing w:before="62" w:beforeLines="20" w:after="62" w:afterLines="20" w:line="280" w:lineRule="exact"/>
      <w:jc w:val="center"/>
    </w:pPr>
    <w:rPr>
      <w:rFonts w:ascii="黑体" w:hAnsi="宋体"/>
    </w:rPr>
  </w:style>
  <w:style w:type="paragraph" w:customStyle="1" w:styleId="68">
    <w:name w:val="表格格式"/>
    <w:basedOn w:val="1"/>
    <w:qFormat/>
    <w:uiPriority w:val="0"/>
    <w:pPr>
      <w:widowControl/>
      <w:adjustRightInd w:val="0"/>
      <w:snapToGrid w:val="0"/>
      <w:spacing w:after="200"/>
      <w:jc w:val="center"/>
    </w:pPr>
    <w:rPr>
      <w:rFonts w:ascii="Tahoma" w:hAnsi="Tahoma" w:eastAsia="微软雅黑"/>
      <w:kern w:val="0"/>
    </w:rPr>
  </w:style>
  <w:style w:type="character" w:customStyle="1" w:styleId="69">
    <w:name w:val="15"/>
    <w:qFormat/>
    <w:uiPriority w:val="0"/>
    <w:rPr>
      <w:rFonts w:hint="default" w:ascii="Times New Roman" w:hAnsi="Times New Roman" w:cs="Times New Roman"/>
    </w:rPr>
  </w:style>
  <w:style w:type="character" w:customStyle="1" w:styleId="70">
    <w:name w:val="font11"/>
    <w:basedOn w:val="25"/>
    <w:qFormat/>
    <w:uiPriority w:val="0"/>
    <w:rPr>
      <w:rFonts w:hint="eastAsia" w:ascii="宋体" w:hAnsi="宋体" w:eastAsia="宋体" w:cs="宋体"/>
      <w:color w:val="000000"/>
      <w:sz w:val="20"/>
      <w:szCs w:val="20"/>
      <w:u w:val="none"/>
    </w:rPr>
  </w:style>
  <w:style w:type="character" w:customStyle="1" w:styleId="71">
    <w:name w:val="font31"/>
    <w:basedOn w:val="25"/>
    <w:qFormat/>
    <w:uiPriority w:val="0"/>
    <w:rPr>
      <w:rFonts w:hint="eastAsia" w:ascii="宋体" w:hAnsi="宋体" w:eastAsia="宋体" w:cs="宋体"/>
      <w:color w:val="000000"/>
      <w:sz w:val="20"/>
      <w:szCs w:val="20"/>
      <w:u w:val="none"/>
    </w:rPr>
  </w:style>
  <w:style w:type="paragraph" w:customStyle="1" w:styleId="72">
    <w:name w:val="表格内容"/>
    <w:basedOn w:val="1"/>
    <w:qFormat/>
    <w:uiPriority w:val="0"/>
    <w:pPr>
      <w:snapToGrid w:val="0"/>
      <w:spacing w:line="240" w:lineRule="auto"/>
      <w:ind w:firstLine="0" w:firstLineChars="0"/>
      <w:jc w:val="center"/>
    </w:pPr>
    <w:rPr>
      <w:rFonts w:cs="Times New Roman"/>
      <w:kern w:val="2"/>
      <w:sz w:val="21"/>
    </w:rPr>
  </w:style>
  <w:style w:type="paragraph" w:customStyle="1" w:styleId="73">
    <w:name w:val="BGZW"/>
    <w:qFormat/>
    <w:uiPriority w:val="0"/>
    <w:pPr>
      <w:widowControl w:val="0"/>
      <w:spacing w:line="360" w:lineRule="auto"/>
      <w:ind w:firstLine="480" w:firstLineChars="200"/>
      <w:jc w:val="both"/>
    </w:pPr>
    <w:rPr>
      <w:rFonts w:ascii="Times New Roman" w:hAnsi="Times New Roman" w:eastAsia="宋体" w:cs="宋体"/>
      <w:snapToGrid w:val="0"/>
      <w:sz w:val="24"/>
      <w:lang w:val="en-US" w:eastAsia="zh-CN" w:bidi="ar-SA"/>
    </w:rPr>
  </w:style>
  <w:style w:type="paragraph" w:customStyle="1" w:styleId="74">
    <w:name w:val="表格名称"/>
    <w:basedOn w:val="1"/>
    <w:qFormat/>
    <w:uiPriority w:val="0"/>
    <w:pPr>
      <w:spacing w:line="360" w:lineRule="auto"/>
      <w:ind w:firstLine="200" w:firstLineChars="200"/>
      <w:jc w:val="center"/>
    </w:pPr>
    <w:rPr>
      <w:rFonts w:ascii="Times New Roman" w:hAnsi="Times New Roman"/>
      <w:b/>
      <w:bCs/>
      <w:sz w:val="24"/>
      <w:szCs w:val="24"/>
    </w:rPr>
  </w:style>
  <w:style w:type="character" w:customStyle="1" w:styleId="75">
    <w:name w:val="checkbox"/>
    <w:basedOn w:val="25"/>
    <w:qFormat/>
    <w:uiPriority w:val="0"/>
  </w:style>
  <w:style w:type="character" w:customStyle="1" w:styleId="76">
    <w:name w:val="shenbao"/>
    <w:basedOn w:val="25"/>
    <w:qFormat/>
    <w:uiPriority w:val="0"/>
    <w:rPr>
      <w:color w:val="EF6334"/>
    </w:rPr>
  </w:style>
  <w:style w:type="character" w:customStyle="1" w:styleId="77">
    <w:name w:val="chakan"/>
    <w:basedOn w:val="25"/>
    <w:qFormat/>
    <w:uiPriority w:val="0"/>
    <w:rPr>
      <w:color w:val="0064EA"/>
    </w:rPr>
  </w:style>
  <w:style w:type="paragraph" w:customStyle="1" w:styleId="78">
    <w:name w:val="Z表内文字"/>
    <w:basedOn w:val="1"/>
    <w:next w:val="79"/>
    <w:qFormat/>
    <w:uiPriority w:val="0"/>
    <w:pPr>
      <w:adjustRightInd w:val="0"/>
      <w:snapToGrid w:val="0"/>
      <w:spacing w:beforeLines="0" w:afterLines="0"/>
      <w:jc w:val="center"/>
    </w:pPr>
    <w:rPr>
      <w:rFonts w:ascii="Times New Roman" w:hAnsi="Times New Roman" w:eastAsia="宋体"/>
      <w:bCs/>
      <w:szCs w:val="21"/>
    </w:rPr>
  </w:style>
  <w:style w:type="paragraph" w:customStyle="1" w:styleId="79">
    <w:name w:val="Z正文内容"/>
    <w:basedOn w:val="1"/>
    <w:link w:val="83"/>
    <w:qFormat/>
    <w:uiPriority w:val="0"/>
    <w:pPr>
      <w:spacing w:line="360" w:lineRule="auto"/>
      <w:ind w:firstLine="720" w:firstLineChars="200"/>
      <w:jc w:val="left"/>
    </w:pPr>
    <w:rPr>
      <w:rFonts w:ascii="Times New Roman" w:hAnsi="Times New Roman" w:eastAsia="宋体"/>
      <w:sz w:val="24"/>
    </w:rPr>
  </w:style>
  <w:style w:type="paragraph" w:customStyle="1" w:styleId="80">
    <w:name w:val="张_gege的表格文字"/>
    <w:next w:val="81"/>
    <w:qFormat/>
    <w:uiPriority w:val="99"/>
    <w:pPr>
      <w:jc w:val="center"/>
    </w:pPr>
    <w:rPr>
      <w:rFonts w:ascii="Times New Roman" w:hAnsi="Times New Roman" w:eastAsia="宋体" w:cs="Times New Roman"/>
      <w:color w:val="000000" w:themeColor="text1"/>
      <w:kern w:val="2"/>
      <w:sz w:val="21"/>
      <w:lang w:val="en-US" w:eastAsia="zh-CN" w:bidi="ar-SA"/>
      <w14:textFill>
        <w14:solidFill>
          <w14:schemeClr w14:val="tx1"/>
        </w14:solidFill>
      </w14:textFill>
    </w:rPr>
  </w:style>
  <w:style w:type="paragraph" w:customStyle="1" w:styleId="81">
    <w:name w:val="张_gege的正文文本"/>
    <w:qFormat/>
    <w:uiPriority w:val="99"/>
    <w:pPr>
      <w:widowControl w:val="0"/>
      <w:spacing w:line="360" w:lineRule="auto"/>
      <w:ind w:firstLine="200" w:firstLineChars="200"/>
    </w:pPr>
    <w:rPr>
      <w:rFonts w:ascii="Times New Roman" w:hAnsi="Times New Roman" w:cs="Times New Roman" w:eastAsiaTheme="minorEastAsia"/>
      <w:bCs/>
      <w:color w:val="000000" w:themeColor="text1"/>
      <w:kern w:val="2"/>
      <w:sz w:val="24"/>
      <w:lang w:val="en-US" w:eastAsia="zh-CN" w:bidi="ar-SA"/>
      <w14:textFill>
        <w14:solidFill>
          <w14:schemeClr w14:val="tx1"/>
        </w14:solidFill>
      </w14:textFill>
    </w:rPr>
  </w:style>
  <w:style w:type="paragraph" w:customStyle="1" w:styleId="82">
    <w:name w:val="Z图表号"/>
    <w:basedOn w:val="1"/>
    <w:next w:val="79"/>
    <w:link w:val="87"/>
    <w:qFormat/>
    <w:uiPriority w:val="0"/>
    <w:pPr>
      <w:spacing w:line="240" w:lineRule="auto"/>
      <w:ind w:firstLine="0" w:firstLineChars="0"/>
      <w:jc w:val="center"/>
    </w:pPr>
    <w:rPr>
      <w:rFonts w:ascii="Times New Roman" w:hAnsi="Times New Roman" w:eastAsia="宋体"/>
      <w:b/>
    </w:rPr>
  </w:style>
  <w:style w:type="character" w:customStyle="1" w:styleId="83">
    <w:name w:val="Z正文内容 Char"/>
    <w:link w:val="79"/>
    <w:qFormat/>
    <w:uiPriority w:val="0"/>
    <w:rPr>
      <w:rFonts w:ascii="Times New Roman" w:hAnsi="Times New Roman" w:eastAsia="宋体"/>
      <w:sz w:val="24"/>
    </w:rPr>
  </w:style>
  <w:style w:type="paragraph" w:customStyle="1" w:styleId="84">
    <w:name w:val="Z一级标题"/>
    <w:basedOn w:val="1"/>
    <w:next w:val="85"/>
    <w:qFormat/>
    <w:uiPriority w:val="0"/>
    <w:pPr>
      <w:spacing w:line="360" w:lineRule="auto"/>
      <w:jc w:val="left"/>
      <w:outlineLvl w:val="1"/>
    </w:pPr>
    <w:rPr>
      <w:rFonts w:ascii="Times New Roman" w:hAnsi="Times New Roman" w:eastAsia="宋体"/>
      <w:b/>
      <w:color w:val="auto"/>
      <w:sz w:val="24"/>
    </w:rPr>
  </w:style>
  <w:style w:type="paragraph" w:customStyle="1" w:styleId="85">
    <w:name w:val="Z二级标题"/>
    <w:basedOn w:val="1"/>
    <w:next w:val="79"/>
    <w:qFormat/>
    <w:uiPriority w:val="0"/>
    <w:pPr>
      <w:spacing w:line="360" w:lineRule="auto"/>
      <w:ind w:firstLine="480" w:firstLineChars="200"/>
      <w:jc w:val="left"/>
    </w:pPr>
    <w:rPr>
      <w:rFonts w:ascii="Times New Roman" w:hAnsi="Times New Roman" w:eastAsia="宋体" w:cs="宋体"/>
      <w:b/>
      <w:sz w:val="24"/>
    </w:rPr>
  </w:style>
  <w:style w:type="paragraph" w:customStyle="1" w:styleId="86">
    <w:name w:val="小四  缩进2 行距24"/>
    <w:basedOn w:val="1"/>
    <w:qFormat/>
    <w:uiPriority w:val="0"/>
    <w:pPr>
      <w:spacing w:line="480" w:lineRule="exact"/>
      <w:ind w:firstLine="480" w:firstLineChars="200"/>
    </w:pPr>
    <w:rPr>
      <w:rFonts w:cs="宋体"/>
      <w:sz w:val="24"/>
      <w:szCs w:val="20"/>
    </w:rPr>
  </w:style>
  <w:style w:type="character" w:customStyle="1" w:styleId="87">
    <w:name w:val="Z图表号 Char"/>
    <w:link w:val="82"/>
    <w:qFormat/>
    <w:uiPriority w:val="0"/>
    <w:rPr>
      <w:rFonts w:ascii="Times New Roman" w:hAnsi="Times New Roman" w:eastAsia="宋体"/>
      <w:b/>
    </w:rPr>
  </w:style>
  <w:style w:type="paragraph" w:customStyle="1" w:styleId="88">
    <w:name w:val="Table Text"/>
    <w:basedOn w:val="1"/>
    <w:semiHidden/>
    <w:qFormat/>
    <w:uiPriority w:val="0"/>
    <w:rPr>
      <w:rFonts w:ascii="宋体" w:hAnsi="宋体" w:eastAsia="宋体" w:cs="宋体"/>
      <w:sz w:val="20"/>
      <w:szCs w:val="20"/>
      <w:lang w:val="en-US" w:eastAsia="en-US" w:bidi="ar-SA"/>
    </w:rPr>
  </w:style>
  <w:style w:type="table" w:customStyle="1" w:styleId="8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lVOQWhJaUlpSWlJaUlsWkRRWWVJaUlpSWlJaUlXQTBGSFNJaUlpSWlJaUppTlJSMGlJaUlpSWlJaUlqVitIOVZwa05paVRQRXh3QUFBQUJKUlU1RXJrSmdnZz09IiwKCSJUaGVtZSIgOiAiIiwKCSJUeXBlIiA6ICJmbG93IiwKCSJWZXJzaW9uIiA6ICI5N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39</Pages>
  <Words>18728</Words>
  <Characters>21666</Characters>
  <Lines>237</Lines>
  <Paragraphs>66</Paragraphs>
  <TotalTime>5</TotalTime>
  <ScaleCrop>false</ScaleCrop>
  <LinksUpToDate>false</LinksUpToDate>
  <CharactersWithSpaces>22319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2019-11-24T12:37:00Z</dcterms:created>
  <dc:creator>给我一个小笼包</dc:creator>
  <cp:lastModifiedBy>柳慧敏</cp:lastModifiedBy>
  <dcterms:modified xsi:type="dcterms:W3CDTF">2023-12-27T02:46:42Z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EA62A1FEA6604979842C081CCE8F6E73_13</vt:lpwstr>
  </property>
</Properties>
</file>