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keepNext w:val="0"/>
        <w:keepLines w:val="0"/>
        <w:widowControl/>
        <w:suppressLineNumbers w:val="0"/>
        <w:jc w:val="center"/>
        <w:rPr>
          <w:rFonts w:hint="eastAsia" w:ascii="宋体" w:hAnsi="宋体" w:eastAsia="宋体" w:cs="宋体"/>
          <w:b/>
          <w:color w:val="000000"/>
          <w:kern w:val="0"/>
          <w:sz w:val="72"/>
          <w:szCs w:val="72"/>
          <w:lang w:val="en-US" w:eastAsia="zh-CN" w:bidi="ar"/>
        </w:rPr>
      </w:pPr>
    </w:p>
    <w:p>
      <w:pPr>
        <w:keepNext w:val="0"/>
        <w:keepLines w:val="0"/>
        <w:widowControl/>
        <w:suppressLineNumbers w:val="0"/>
        <w:jc w:val="center"/>
        <w:rPr>
          <w:rFonts w:hint="eastAsia" w:ascii="宋体" w:hAnsi="宋体" w:eastAsia="宋体" w:cs="宋体"/>
          <w:b/>
          <w:color w:val="000000"/>
          <w:kern w:val="0"/>
          <w:sz w:val="72"/>
          <w:szCs w:val="72"/>
          <w:lang w:val="en-US" w:eastAsia="zh-CN" w:bidi="ar"/>
        </w:rPr>
      </w:pPr>
    </w:p>
    <w:p>
      <w:pPr>
        <w:keepNext w:val="0"/>
        <w:keepLines w:val="0"/>
        <w:widowControl/>
        <w:suppressLineNumbers w:val="0"/>
        <w:jc w:val="center"/>
      </w:pPr>
      <w:r>
        <w:rPr>
          <w:rFonts w:hint="eastAsia" w:ascii="宋体" w:hAnsi="宋体" w:eastAsia="宋体" w:cs="宋体"/>
          <w:b/>
          <w:color w:val="000000"/>
          <w:kern w:val="0"/>
          <w:sz w:val="72"/>
          <w:szCs w:val="72"/>
          <w:lang w:val="en-US" w:eastAsia="zh-CN" w:bidi="ar"/>
        </w:rPr>
        <w:t>建设项目竣工环境保护</w:t>
      </w:r>
    </w:p>
    <w:p>
      <w:pPr>
        <w:keepNext w:val="0"/>
        <w:keepLines w:val="0"/>
        <w:widowControl/>
        <w:suppressLineNumbers w:val="0"/>
        <w:jc w:val="center"/>
        <w:rPr>
          <w:rFonts w:hint="eastAsia" w:ascii="宋体" w:hAnsi="宋体" w:eastAsia="宋体" w:cs="宋体"/>
          <w:b/>
          <w:color w:val="000000"/>
          <w:kern w:val="0"/>
          <w:sz w:val="72"/>
          <w:szCs w:val="72"/>
          <w:lang w:val="en-US" w:eastAsia="zh-CN" w:bidi="ar"/>
        </w:rPr>
      </w:pPr>
      <w:r>
        <w:rPr>
          <w:rFonts w:hint="eastAsia" w:ascii="宋体" w:hAnsi="宋体" w:eastAsia="宋体" w:cs="宋体"/>
          <w:b/>
          <w:color w:val="000000"/>
          <w:kern w:val="0"/>
          <w:sz w:val="72"/>
          <w:szCs w:val="72"/>
          <w:lang w:val="en-US" w:eastAsia="zh-CN" w:bidi="ar"/>
        </w:rPr>
        <w:t>验收监测报告表</w:t>
      </w:r>
    </w:p>
    <w:p>
      <w:pPr>
        <w:keepNext w:val="0"/>
        <w:keepLines w:val="0"/>
        <w:widowControl/>
        <w:suppressLineNumbers w:val="0"/>
        <w:jc w:val="center"/>
        <w:rPr>
          <w:rFonts w:hint="eastAsia" w:ascii="宋体" w:hAnsi="宋体" w:eastAsia="宋体" w:cs="宋体"/>
          <w:b/>
          <w:color w:val="000000"/>
          <w:kern w:val="0"/>
          <w:sz w:val="72"/>
          <w:szCs w:val="72"/>
          <w:lang w:val="en-US" w:eastAsia="zh-CN" w:bidi="ar"/>
        </w:rPr>
      </w:pPr>
    </w:p>
    <w:p>
      <w:pPr>
        <w:keepNext w:val="0"/>
        <w:keepLines w:val="0"/>
        <w:widowControl/>
        <w:suppressLineNumbers w:val="0"/>
        <w:jc w:val="left"/>
        <w:rPr>
          <w:rFonts w:hint="eastAsia" w:ascii="宋体" w:hAnsi="宋体" w:eastAsia="宋体" w:cs="宋体"/>
          <w:b/>
          <w:color w:val="000000"/>
          <w:kern w:val="0"/>
          <w:sz w:val="72"/>
          <w:szCs w:val="72"/>
          <w:lang w:val="en-US" w:eastAsia="zh-CN" w:bidi="ar"/>
        </w:rPr>
      </w:pPr>
    </w:p>
    <w:p>
      <w:pPr>
        <w:keepNext w:val="0"/>
        <w:keepLines w:val="0"/>
        <w:widowControl/>
        <w:suppressLineNumbers w:val="0"/>
        <w:jc w:val="left"/>
        <w:rPr>
          <w:rFonts w:hint="eastAsia" w:ascii="宋体" w:hAnsi="宋体" w:eastAsia="宋体" w:cs="宋体"/>
          <w:b/>
          <w:color w:val="000000"/>
          <w:kern w:val="0"/>
          <w:sz w:val="72"/>
          <w:szCs w:val="72"/>
          <w:lang w:val="en-US" w:eastAsia="zh-CN" w:bidi="ar"/>
        </w:rPr>
      </w:pPr>
    </w:p>
    <w:p>
      <w:pPr>
        <w:keepNext w:val="0"/>
        <w:keepLines w:val="0"/>
        <w:widowControl/>
        <w:suppressLineNumbers w:val="0"/>
        <w:jc w:val="left"/>
        <w:rPr>
          <w:rFonts w:hint="eastAsia" w:ascii="宋体" w:hAnsi="宋体" w:eastAsia="宋体" w:cs="宋体"/>
          <w:b/>
          <w:color w:val="000000"/>
          <w:kern w:val="0"/>
          <w:sz w:val="72"/>
          <w:szCs w:val="72"/>
          <w:lang w:val="en-US" w:eastAsia="zh-CN" w:bidi="ar"/>
        </w:rPr>
      </w:pPr>
    </w:p>
    <w:p>
      <w:pPr>
        <w:ind w:left="2108" w:hanging="2108" w:hangingChars="700"/>
        <w:jc w:val="both"/>
        <w:rPr>
          <w:rFonts w:hint="eastAsia" w:ascii="宋体" w:hAnsi="宋体" w:cs="宋体"/>
          <w:b/>
          <w:color w:val="000000"/>
          <w:kern w:val="0"/>
          <w:sz w:val="30"/>
          <w:szCs w:val="30"/>
          <w:u w:val="single"/>
          <w:lang w:val="en-US" w:eastAsia="zh-CN" w:bidi="ar"/>
        </w:rPr>
      </w:pPr>
      <w:r>
        <w:rPr>
          <w:rFonts w:hint="eastAsia" w:ascii="宋体" w:hAnsi="宋体" w:eastAsia="宋体" w:cs="宋体"/>
          <w:b/>
          <w:color w:val="000000"/>
          <w:kern w:val="0"/>
          <w:sz w:val="30"/>
          <w:szCs w:val="30"/>
          <w:lang w:val="en-US" w:eastAsia="zh-CN" w:bidi="ar"/>
        </w:rPr>
        <w:t>建设项目名称：</w:t>
      </w:r>
      <w:r>
        <w:rPr>
          <w:rFonts w:hint="eastAsia" w:ascii="宋体" w:hAnsi="宋体" w:cs="宋体"/>
          <w:b/>
          <w:color w:val="000000"/>
          <w:kern w:val="0"/>
          <w:sz w:val="30"/>
          <w:szCs w:val="30"/>
          <w:u w:val="single"/>
          <w:lang w:val="en-US" w:eastAsia="zh-CN" w:bidi="ar"/>
        </w:rPr>
        <w:t>中国石油天然气股份有限公司万州金龙加油站</w:t>
      </w:r>
    </w:p>
    <w:p>
      <w:pPr>
        <w:ind w:left="2094" w:leftChars="997" w:firstLine="0" w:firstLineChars="0"/>
        <w:jc w:val="both"/>
        <w:rPr>
          <w:rFonts w:hint="eastAsia" w:ascii="宋体" w:hAnsi="宋体" w:eastAsia="宋体" w:cs="宋体"/>
          <w:b/>
          <w:color w:val="000000"/>
          <w:kern w:val="0"/>
          <w:sz w:val="30"/>
          <w:szCs w:val="30"/>
          <w:u w:val="single"/>
          <w:lang w:val="en-US" w:eastAsia="zh-CN" w:bidi="ar"/>
        </w:rPr>
      </w:pPr>
      <w:r>
        <w:rPr>
          <w:rFonts w:hint="eastAsia" w:ascii="宋体" w:hAnsi="宋体" w:cs="宋体"/>
          <w:b/>
          <w:color w:val="000000"/>
          <w:kern w:val="0"/>
          <w:sz w:val="30"/>
          <w:szCs w:val="30"/>
          <w:u w:val="single"/>
          <w:lang w:val="en-US" w:eastAsia="zh-CN" w:bidi="ar"/>
        </w:rPr>
        <w:t>新建工程</w:t>
      </w:r>
      <w:r>
        <w:rPr>
          <w:rFonts w:hint="eastAsia" w:ascii="宋体" w:hAnsi="宋体" w:eastAsia="宋体" w:cs="宋体"/>
          <w:b/>
          <w:color w:val="000000"/>
          <w:kern w:val="0"/>
          <w:sz w:val="30"/>
          <w:szCs w:val="30"/>
          <w:u w:val="single"/>
          <w:lang w:val="en-US" w:eastAsia="zh-CN" w:bidi="ar"/>
        </w:rPr>
        <w:t xml:space="preserve">   </w:t>
      </w:r>
      <w:r>
        <w:rPr>
          <w:rFonts w:hint="eastAsia" w:ascii="宋体" w:hAnsi="宋体" w:cs="宋体"/>
          <w:b/>
          <w:color w:val="000000"/>
          <w:kern w:val="0"/>
          <w:sz w:val="30"/>
          <w:szCs w:val="30"/>
          <w:u w:val="single"/>
          <w:lang w:val="en-US" w:eastAsia="zh-CN" w:bidi="ar"/>
        </w:rPr>
        <w:t xml:space="preserve">                          </w:t>
      </w:r>
      <w:r>
        <w:rPr>
          <w:rFonts w:hint="eastAsia" w:ascii="宋体" w:hAnsi="宋体" w:eastAsia="宋体" w:cs="宋体"/>
          <w:b/>
          <w:color w:val="000000"/>
          <w:kern w:val="0"/>
          <w:sz w:val="30"/>
          <w:szCs w:val="30"/>
          <w:u w:val="single"/>
          <w:lang w:val="en-US" w:eastAsia="zh-CN" w:bidi="ar"/>
        </w:rPr>
        <w:t xml:space="preserve">  </w:t>
      </w:r>
    </w:p>
    <w:p>
      <w:pPr>
        <w:jc w:val="both"/>
        <w:rPr>
          <w:rFonts w:hint="default" w:ascii="宋体" w:hAnsi="宋体" w:eastAsia="宋体" w:cs="宋体"/>
          <w:b/>
          <w:color w:val="000000"/>
          <w:kern w:val="0"/>
          <w:sz w:val="30"/>
          <w:szCs w:val="30"/>
          <w:u w:val="single"/>
          <w:lang w:val="en-US" w:eastAsia="zh-CN" w:bidi="ar"/>
        </w:rPr>
      </w:pPr>
      <w:r>
        <w:rPr>
          <w:rFonts w:hint="eastAsia" w:ascii="宋体" w:hAnsi="宋体" w:eastAsia="宋体" w:cs="宋体"/>
          <w:b/>
          <w:color w:val="000000"/>
          <w:kern w:val="0"/>
          <w:sz w:val="30"/>
          <w:szCs w:val="30"/>
          <w:lang w:val="en-US" w:eastAsia="zh-CN" w:bidi="ar"/>
        </w:rPr>
        <w:t>建设单位：</w:t>
      </w:r>
      <w:r>
        <w:rPr>
          <w:rFonts w:hint="default" w:ascii="宋体" w:hAnsi="宋体" w:eastAsia="宋体" w:cs="宋体"/>
          <w:b/>
          <w:color w:val="000000"/>
          <w:kern w:val="0"/>
          <w:sz w:val="30"/>
          <w:szCs w:val="30"/>
          <w:u w:val="single"/>
          <w:lang w:val="en-US" w:eastAsia="zh-CN" w:bidi="ar"/>
        </w:rPr>
        <w:t>中国石油天然气股份有限公司重庆万州销售分公司</w:t>
      </w:r>
    </w:p>
    <w:p>
      <w:pPr>
        <w:keepNext w:val="0"/>
        <w:keepLines w:val="0"/>
        <w:widowControl/>
        <w:suppressLineNumbers w:val="0"/>
        <w:jc w:val="both"/>
        <w:rPr>
          <w:sz w:val="30"/>
          <w:szCs w:val="30"/>
        </w:rPr>
      </w:pPr>
    </w:p>
    <w:p>
      <w:pPr>
        <w:keepNext w:val="0"/>
        <w:keepLines w:val="0"/>
        <w:widowControl/>
        <w:suppressLineNumbers w:val="0"/>
        <w:jc w:val="both"/>
        <w:rPr>
          <w:sz w:val="30"/>
          <w:szCs w:val="30"/>
        </w:rPr>
      </w:pPr>
    </w:p>
    <w:p>
      <w:pPr>
        <w:jc w:val="center"/>
        <w:rPr>
          <w:rFonts w:hint="eastAsia" w:ascii="宋体" w:hAnsi="宋体" w:eastAsia="宋体" w:cs="宋体"/>
          <w:b/>
          <w:color w:val="000000"/>
          <w:kern w:val="0"/>
          <w:sz w:val="30"/>
          <w:szCs w:val="30"/>
          <w:lang w:val="en-US" w:eastAsia="zh-CN" w:bidi="ar"/>
        </w:rPr>
      </w:pPr>
      <w:r>
        <w:rPr>
          <w:rFonts w:hint="eastAsia" w:ascii="宋体" w:hAnsi="宋体" w:eastAsia="宋体" w:cs="宋体"/>
          <w:b/>
          <w:color w:val="000000"/>
          <w:kern w:val="0"/>
          <w:sz w:val="30"/>
          <w:szCs w:val="30"/>
          <w:lang w:val="en-US" w:eastAsia="zh-CN" w:bidi="ar"/>
        </w:rPr>
        <w:t>重庆开元环境监测有限公司万州分公司</w:t>
      </w:r>
    </w:p>
    <w:p>
      <w:pPr>
        <w:jc w:val="center"/>
        <w:rPr>
          <w:rFonts w:hint="default" w:ascii="宋体" w:hAnsi="宋体" w:eastAsia="宋体" w:cs="宋体"/>
          <w:b/>
          <w:color w:val="000000"/>
          <w:kern w:val="0"/>
          <w:sz w:val="30"/>
          <w:szCs w:val="30"/>
          <w:lang w:val="en-US" w:eastAsia="zh-CN" w:bidi="ar"/>
        </w:rPr>
      </w:pPr>
      <w:r>
        <w:rPr>
          <w:rFonts w:hint="eastAsia" w:ascii="宋体" w:hAnsi="宋体" w:eastAsia="宋体" w:cs="宋体"/>
          <w:b/>
          <w:color w:val="000000"/>
          <w:kern w:val="0"/>
          <w:sz w:val="30"/>
          <w:szCs w:val="30"/>
          <w:lang w:val="en-US" w:eastAsia="zh-CN" w:bidi="ar"/>
        </w:rPr>
        <w:t>202</w:t>
      </w:r>
      <w:r>
        <w:rPr>
          <w:rFonts w:hint="eastAsia" w:ascii="宋体" w:hAnsi="宋体" w:cs="宋体"/>
          <w:b/>
          <w:color w:val="000000"/>
          <w:kern w:val="0"/>
          <w:sz w:val="30"/>
          <w:szCs w:val="30"/>
          <w:lang w:val="en-US" w:eastAsia="zh-CN" w:bidi="ar"/>
        </w:rPr>
        <w:t>4</w:t>
      </w:r>
      <w:r>
        <w:rPr>
          <w:rFonts w:hint="eastAsia" w:ascii="宋体" w:hAnsi="宋体" w:eastAsia="宋体" w:cs="宋体"/>
          <w:b/>
          <w:color w:val="000000"/>
          <w:kern w:val="0"/>
          <w:sz w:val="30"/>
          <w:szCs w:val="30"/>
          <w:lang w:val="en-US" w:eastAsia="zh-CN" w:bidi="ar"/>
        </w:rPr>
        <w:t>年</w:t>
      </w:r>
      <w:r>
        <w:rPr>
          <w:rFonts w:hint="eastAsia" w:ascii="宋体" w:hAnsi="宋体" w:cs="宋体"/>
          <w:b/>
          <w:color w:val="000000"/>
          <w:kern w:val="0"/>
          <w:sz w:val="30"/>
          <w:szCs w:val="30"/>
          <w:lang w:val="en-US" w:eastAsia="zh-CN" w:bidi="ar"/>
        </w:rPr>
        <w:t>1</w:t>
      </w:r>
      <w:r>
        <w:rPr>
          <w:rFonts w:hint="eastAsia" w:ascii="宋体" w:hAnsi="宋体" w:eastAsia="宋体" w:cs="宋体"/>
          <w:b/>
          <w:color w:val="000000"/>
          <w:kern w:val="0"/>
          <w:sz w:val="30"/>
          <w:szCs w:val="30"/>
          <w:lang w:val="en-US" w:eastAsia="zh-CN" w:bidi="ar"/>
        </w:rPr>
        <w:t>月</w:t>
      </w:r>
    </w:p>
    <w:p>
      <w:pPr>
        <w:keepNext w:val="0"/>
        <w:keepLines w:val="0"/>
        <w:widowControl/>
        <w:suppressLineNumbers w:val="0"/>
        <w:jc w:val="center"/>
        <w:rPr>
          <w:rFonts w:hint="eastAsia" w:ascii="宋体" w:hAnsi="宋体" w:eastAsia="宋体" w:cs="宋体"/>
          <w:b/>
          <w:color w:val="000000"/>
          <w:kern w:val="0"/>
          <w:sz w:val="28"/>
          <w:szCs w:val="28"/>
          <w:lang w:val="en-US" w:eastAsia="zh-CN" w:bidi="ar"/>
        </w:rPr>
        <w:sectPr>
          <w:pgSz w:w="11906" w:h="16838"/>
          <w:pgMar w:top="1440" w:right="1800" w:bottom="1440" w:left="1800" w:header="851" w:footer="992" w:gutter="0"/>
          <w:cols w:space="425" w:num="1"/>
          <w:docGrid w:type="lines" w:linePitch="312" w:charSpace="0"/>
        </w:sectPr>
      </w:pPr>
    </w:p>
    <w:p>
      <w:pPr>
        <w:spacing w:line="600" w:lineRule="auto"/>
        <w:ind w:firstLine="562" w:firstLineChars="200"/>
        <w:rPr>
          <w:b/>
          <w:sz w:val="28"/>
          <w:szCs w:val="28"/>
        </w:rPr>
      </w:pPr>
      <w:bookmarkStart w:id="0" w:name="_Toc130912622"/>
    </w:p>
    <w:p>
      <w:pPr>
        <w:spacing w:line="600" w:lineRule="auto"/>
        <w:ind w:left="559" w:leftChars="266" w:firstLine="0" w:firstLineChars="0"/>
        <w:rPr>
          <w:rFonts w:hint="eastAsia"/>
          <w:b/>
          <w:sz w:val="28"/>
          <w:szCs w:val="28"/>
          <w:lang w:eastAsia="zh-CN"/>
        </w:rPr>
      </w:pPr>
      <w:r>
        <w:rPr>
          <w:rFonts w:hint="eastAsia"/>
          <w:b/>
          <w:sz w:val="28"/>
          <w:szCs w:val="28"/>
        </w:rPr>
        <w:t>建设单位:</w:t>
      </w:r>
      <w:r>
        <w:rPr>
          <w:rFonts w:hint="eastAsia"/>
          <w:b/>
          <w:sz w:val="28"/>
          <w:szCs w:val="28"/>
          <w:lang w:eastAsia="zh-CN"/>
        </w:rPr>
        <w:t>中国石油天然气股份有限公司重庆万州销售分公司</w:t>
      </w:r>
    </w:p>
    <w:p>
      <w:pPr>
        <w:spacing w:line="600" w:lineRule="auto"/>
        <w:ind w:left="559" w:leftChars="266" w:firstLine="0" w:firstLineChars="0"/>
        <w:rPr>
          <w:rFonts w:hint="eastAsia" w:eastAsia="宋体"/>
          <w:b/>
          <w:sz w:val="28"/>
          <w:szCs w:val="28"/>
          <w:lang w:eastAsia="zh-CN"/>
        </w:rPr>
      </w:pPr>
      <w:r>
        <w:rPr>
          <w:rFonts w:hint="eastAsia"/>
          <w:b/>
          <w:sz w:val="28"/>
          <w:szCs w:val="28"/>
        </w:rPr>
        <w:t xml:space="preserve">法人代表: </w:t>
      </w:r>
      <w:r>
        <w:rPr>
          <w:rFonts w:hint="eastAsia"/>
          <w:b/>
          <w:sz w:val="28"/>
          <w:szCs w:val="28"/>
          <w:lang w:eastAsia="zh-CN"/>
        </w:rPr>
        <w:t>吴波</w:t>
      </w:r>
    </w:p>
    <w:p>
      <w:pPr>
        <w:spacing w:line="600" w:lineRule="auto"/>
        <w:ind w:firstLine="562" w:firstLineChars="200"/>
        <w:rPr>
          <w:b/>
          <w:sz w:val="28"/>
          <w:szCs w:val="28"/>
        </w:rPr>
      </w:pPr>
    </w:p>
    <w:p>
      <w:pPr>
        <w:spacing w:before="100" w:beforeAutospacing="1" w:after="100" w:afterAutospacing="1"/>
        <w:ind w:firstLine="562" w:firstLineChars="200"/>
        <w:jc w:val="left"/>
        <w:rPr>
          <w:b/>
          <w:sz w:val="28"/>
          <w:szCs w:val="28"/>
        </w:rPr>
      </w:pPr>
      <w:r>
        <w:rPr>
          <w:rFonts w:hint="eastAsia"/>
          <w:b/>
          <w:sz w:val="28"/>
          <w:szCs w:val="28"/>
        </w:rPr>
        <w:t>编制单位：</w:t>
      </w:r>
      <w:r>
        <w:rPr>
          <w:rFonts w:hint="eastAsia"/>
          <w:b/>
          <w:spacing w:val="10"/>
          <w:sz w:val="28"/>
          <w:szCs w:val="28"/>
        </w:rPr>
        <w:t>重庆开元环境监测有限公司万州分公司</w:t>
      </w:r>
    </w:p>
    <w:p>
      <w:pPr>
        <w:spacing w:line="360" w:lineRule="auto"/>
        <w:ind w:firstLine="562" w:firstLineChars="200"/>
        <w:rPr>
          <w:rFonts w:hint="eastAsia"/>
          <w:b/>
          <w:sz w:val="28"/>
          <w:szCs w:val="28"/>
        </w:rPr>
      </w:pPr>
      <w:r>
        <w:rPr>
          <w:rFonts w:hint="eastAsia"/>
          <w:b/>
          <w:sz w:val="28"/>
          <w:szCs w:val="28"/>
        </w:rPr>
        <w:t xml:space="preserve">法人代表：徐永胜 </w:t>
      </w:r>
    </w:p>
    <w:p>
      <w:pPr>
        <w:spacing w:line="360" w:lineRule="auto"/>
        <w:rPr>
          <w:sz w:val="28"/>
        </w:rPr>
      </w:pPr>
    </w:p>
    <w:p>
      <w:pPr>
        <w:spacing w:line="360" w:lineRule="auto"/>
        <w:rPr>
          <w:sz w:val="28"/>
        </w:rPr>
      </w:pPr>
    </w:p>
    <w:p>
      <w:pPr>
        <w:spacing w:line="360" w:lineRule="auto"/>
        <w:rPr>
          <w:sz w:val="28"/>
        </w:rPr>
      </w:pPr>
    </w:p>
    <w:p>
      <w:pPr>
        <w:spacing w:line="360" w:lineRule="auto"/>
        <w:rPr>
          <w:sz w:val="28"/>
        </w:rPr>
      </w:pPr>
    </w:p>
    <w:p>
      <w:pPr>
        <w:spacing w:line="360" w:lineRule="auto"/>
        <w:rPr>
          <w:sz w:val="28"/>
        </w:rPr>
      </w:pPr>
    </w:p>
    <w:p>
      <w:pPr>
        <w:widowControl/>
        <w:jc w:val="left"/>
        <w:rPr>
          <w:sz w:val="36"/>
        </w:rPr>
      </w:pPr>
    </w:p>
    <w:p>
      <w:pPr>
        <w:widowControl/>
        <w:jc w:val="left"/>
        <w:rPr>
          <w:sz w:val="36"/>
        </w:rPr>
      </w:pPr>
    </w:p>
    <w:p>
      <w:pPr>
        <w:pStyle w:val="36"/>
        <w:rPr>
          <w:sz w:val="36"/>
        </w:rPr>
      </w:pPr>
    </w:p>
    <w:p>
      <w:pPr>
        <w:pStyle w:val="36"/>
        <w:rPr>
          <w:sz w:val="36"/>
        </w:rPr>
      </w:pPr>
    </w:p>
    <w:p>
      <w:pPr>
        <w:pStyle w:val="36"/>
        <w:rPr>
          <w:sz w:val="36"/>
        </w:rPr>
      </w:pPr>
    </w:p>
    <w:p>
      <w:pPr>
        <w:widowControl/>
        <w:jc w:val="left"/>
        <w:rPr>
          <w:sz w:val="36"/>
        </w:rPr>
      </w:pPr>
    </w:p>
    <w:tbl>
      <w:tblPr>
        <w:tblStyle w:val="27"/>
        <w:tblW w:w="97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70"/>
        <w:gridCol w:w="46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070" w:type="dxa"/>
          </w:tcPr>
          <w:p>
            <w:pPr>
              <w:spacing w:line="500" w:lineRule="exact"/>
              <w:ind w:left="280" w:right="105" w:rightChars="50" w:hanging="280" w:hangingChars="100"/>
              <w:jc w:val="left"/>
              <w:rPr>
                <w:rFonts w:hint="eastAsia" w:eastAsia="宋体"/>
                <w:sz w:val="28"/>
                <w:lang w:eastAsia="zh-CN"/>
              </w:rPr>
            </w:pPr>
            <w:r>
              <w:rPr>
                <w:rFonts w:hint="eastAsia"/>
                <w:sz w:val="28"/>
              </w:rPr>
              <w:t>建设单位</w:t>
            </w:r>
            <w:r>
              <w:rPr>
                <w:rFonts w:hint="eastAsia"/>
                <w:sz w:val="28"/>
                <w:lang w:eastAsia="zh-CN"/>
              </w:rPr>
              <w:t>：中国石油天然气股份有限公司重庆万州销售分公司（盖章）</w:t>
            </w:r>
          </w:p>
        </w:tc>
        <w:tc>
          <w:tcPr>
            <w:tcW w:w="4677" w:type="dxa"/>
          </w:tcPr>
          <w:p>
            <w:pPr>
              <w:spacing w:line="500" w:lineRule="exact"/>
              <w:ind w:left="1288" w:hanging="1288" w:hangingChars="460"/>
              <w:rPr>
                <w:rFonts w:hint="eastAsia" w:eastAsia="宋体"/>
                <w:sz w:val="28"/>
                <w:lang w:eastAsia="zh-CN"/>
              </w:rPr>
            </w:pPr>
            <w:r>
              <w:rPr>
                <w:rFonts w:hint="eastAsia"/>
                <w:sz w:val="28"/>
              </w:rPr>
              <w:t>编制单位</w:t>
            </w:r>
            <w:r>
              <w:rPr>
                <w:rFonts w:hint="eastAsia"/>
                <w:sz w:val="28"/>
                <w:lang w:eastAsia="zh-CN"/>
              </w:rPr>
              <w:t>：</w:t>
            </w:r>
            <w:r>
              <w:rPr>
                <w:rFonts w:hint="eastAsia"/>
                <w:sz w:val="28"/>
              </w:rPr>
              <w:t>重庆开元环境监测有限公司万州分公司</w:t>
            </w:r>
            <w:r>
              <w:rPr>
                <w:rFonts w:hint="eastAsia"/>
                <w:sz w:val="28"/>
                <w:lang w:eastAsia="zh-CN"/>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070" w:type="dxa"/>
          </w:tcPr>
          <w:p>
            <w:pPr>
              <w:spacing w:line="500" w:lineRule="exact"/>
              <w:ind w:right="105" w:rightChars="50"/>
              <w:rPr>
                <w:rFonts w:hint="eastAsia" w:ascii="Times New Roman" w:hAnsi="Times New Roman" w:eastAsia="宋体" w:cs="Times New Roman"/>
                <w:sz w:val="28"/>
              </w:rPr>
            </w:pPr>
            <w:r>
              <w:rPr>
                <w:rFonts w:hint="eastAsia" w:ascii="Times New Roman" w:hAnsi="Times New Roman" w:eastAsia="宋体" w:cs="Times New Roman"/>
                <w:sz w:val="28"/>
              </w:rPr>
              <w:t>电话</w:t>
            </w:r>
            <w:r>
              <w:rPr>
                <w:rFonts w:hint="eastAsia" w:ascii="Times New Roman" w:hAnsi="Times New Roman" w:eastAsia="宋体" w:cs="Times New Roman"/>
                <w:sz w:val="28"/>
                <w:lang w:eastAsia="zh-CN"/>
              </w:rPr>
              <w:t>：</w:t>
            </w:r>
            <w:r>
              <w:rPr>
                <w:rFonts w:hint="default" w:ascii="Times New Roman" w:hAnsi="Times New Roman" w:eastAsia="宋体" w:cs="Times New Roman"/>
                <w:sz w:val="28"/>
                <w:lang w:val="en-US" w:eastAsia="zh-CN"/>
              </w:rPr>
              <w:t>13509437575</w:t>
            </w:r>
          </w:p>
        </w:tc>
        <w:tc>
          <w:tcPr>
            <w:tcW w:w="4677" w:type="dxa"/>
          </w:tcPr>
          <w:p>
            <w:pPr>
              <w:spacing w:line="500" w:lineRule="exact"/>
              <w:ind w:right="105" w:rightChars="50"/>
              <w:rPr>
                <w:sz w:val="28"/>
              </w:rPr>
            </w:pPr>
            <w:r>
              <w:rPr>
                <w:rFonts w:hint="eastAsia"/>
                <w:sz w:val="28"/>
              </w:rPr>
              <w:t>电话</w:t>
            </w:r>
            <w:r>
              <w:rPr>
                <w:rFonts w:hint="eastAsia"/>
                <w:sz w:val="28"/>
                <w:lang w:eastAsia="zh-CN"/>
              </w:rPr>
              <w:t>：</w:t>
            </w:r>
            <w:r>
              <w:rPr>
                <w:rFonts w:hint="eastAsia"/>
                <w:sz w:val="28"/>
              </w:rPr>
              <w:t>58600211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070" w:type="dxa"/>
          </w:tcPr>
          <w:p>
            <w:pPr>
              <w:spacing w:line="500" w:lineRule="exact"/>
              <w:ind w:right="105" w:rightChars="50"/>
              <w:rPr>
                <w:rFonts w:hint="eastAsia" w:ascii="Times New Roman" w:hAnsi="Times New Roman" w:eastAsia="宋体" w:cs="Times New Roman"/>
                <w:sz w:val="28"/>
              </w:rPr>
            </w:pPr>
            <w:r>
              <w:rPr>
                <w:rFonts w:hint="eastAsia" w:ascii="Times New Roman" w:hAnsi="Times New Roman" w:eastAsia="宋体" w:cs="Times New Roman"/>
                <w:sz w:val="28"/>
              </w:rPr>
              <w:t>邮编</w:t>
            </w:r>
            <w:r>
              <w:rPr>
                <w:rFonts w:hint="eastAsia" w:ascii="Times New Roman" w:hAnsi="Times New Roman" w:eastAsia="宋体" w:cs="Times New Roman"/>
                <w:sz w:val="28"/>
                <w:lang w:eastAsia="zh-CN"/>
              </w:rPr>
              <w:t>：</w:t>
            </w:r>
            <w:r>
              <w:rPr>
                <w:rFonts w:hint="eastAsia" w:ascii="Times New Roman" w:hAnsi="Times New Roman" w:eastAsia="宋体" w:cs="Times New Roman"/>
                <w:sz w:val="28"/>
              </w:rPr>
              <w:t xml:space="preserve"> 404</w:t>
            </w:r>
            <w:r>
              <w:rPr>
                <w:rFonts w:hint="eastAsia" w:ascii="Times New Roman" w:hAnsi="Times New Roman" w:eastAsia="宋体" w:cs="Times New Roman"/>
                <w:sz w:val="28"/>
                <w:lang w:val="en-US" w:eastAsia="zh-CN"/>
              </w:rPr>
              <w:t>0</w:t>
            </w:r>
            <w:r>
              <w:rPr>
                <w:rFonts w:hint="eastAsia" w:ascii="Times New Roman" w:hAnsi="Times New Roman" w:eastAsia="宋体" w:cs="Times New Roman"/>
                <w:sz w:val="28"/>
              </w:rPr>
              <w:t>00</w:t>
            </w:r>
          </w:p>
        </w:tc>
        <w:tc>
          <w:tcPr>
            <w:tcW w:w="4677" w:type="dxa"/>
          </w:tcPr>
          <w:p>
            <w:pPr>
              <w:spacing w:line="500" w:lineRule="exact"/>
              <w:rPr>
                <w:sz w:val="28"/>
              </w:rPr>
            </w:pPr>
            <w:r>
              <w:rPr>
                <w:rFonts w:hint="eastAsia"/>
                <w:sz w:val="28"/>
              </w:rPr>
              <w:t>邮编</w:t>
            </w:r>
            <w:r>
              <w:rPr>
                <w:rFonts w:hint="eastAsia"/>
                <w:sz w:val="28"/>
                <w:lang w:eastAsia="zh-CN"/>
              </w:rPr>
              <w:t>：</w:t>
            </w:r>
            <w:r>
              <w:rPr>
                <w:rFonts w:hint="eastAsia"/>
                <w:sz w:val="28"/>
              </w:rPr>
              <w:t xml:space="preserve"> 404000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070" w:type="dxa"/>
          </w:tcPr>
          <w:p>
            <w:pPr>
              <w:spacing w:line="500" w:lineRule="exact"/>
              <w:ind w:right="51"/>
              <w:rPr>
                <w:spacing w:val="-12"/>
                <w:sz w:val="28"/>
              </w:rPr>
            </w:pPr>
            <w:r>
              <w:rPr>
                <w:rFonts w:hint="eastAsia"/>
                <w:spacing w:val="-12"/>
                <w:sz w:val="28"/>
              </w:rPr>
              <w:t>地址</w:t>
            </w:r>
            <w:r>
              <w:rPr>
                <w:rFonts w:hint="eastAsia"/>
                <w:spacing w:val="-12"/>
                <w:sz w:val="28"/>
                <w:lang w:eastAsia="zh-CN"/>
              </w:rPr>
              <w:t>：</w:t>
            </w:r>
            <w:r>
              <w:rPr>
                <w:rFonts w:hint="eastAsia"/>
                <w:spacing w:val="-12"/>
                <w:sz w:val="28"/>
              </w:rPr>
              <w:t>重庆市万州区沙龙路三段286号</w:t>
            </w:r>
          </w:p>
        </w:tc>
        <w:tc>
          <w:tcPr>
            <w:tcW w:w="4677" w:type="dxa"/>
          </w:tcPr>
          <w:p>
            <w:pPr>
              <w:spacing w:line="500" w:lineRule="exact"/>
              <w:rPr>
                <w:spacing w:val="-12"/>
                <w:sz w:val="28"/>
              </w:rPr>
            </w:pPr>
            <w:r>
              <w:rPr>
                <w:rFonts w:hint="eastAsia"/>
                <w:spacing w:val="-12"/>
                <w:sz w:val="28"/>
              </w:rPr>
              <w:t>地址</w:t>
            </w:r>
            <w:r>
              <w:rPr>
                <w:rFonts w:hint="eastAsia"/>
                <w:spacing w:val="-12"/>
                <w:sz w:val="28"/>
                <w:lang w:eastAsia="zh-CN"/>
              </w:rPr>
              <w:t>：</w:t>
            </w:r>
            <w:r>
              <w:rPr>
                <w:rFonts w:hint="eastAsia"/>
                <w:spacing w:val="-12"/>
                <w:sz w:val="28"/>
              </w:rPr>
              <w:t>重庆市万州区沙龙路三段观音岩富乐花园256号1单元201</w:t>
            </w:r>
          </w:p>
        </w:tc>
      </w:tr>
    </w:tbl>
    <w:p>
      <w:pPr>
        <w:widowControl/>
        <w:jc w:val="left"/>
        <w:rPr>
          <w:sz w:val="36"/>
        </w:rPr>
      </w:pPr>
      <w:r>
        <w:rPr>
          <w:sz w:val="36"/>
        </w:rPr>
        <w:br w:type="page"/>
      </w:r>
    </w:p>
    <w:bookmarkEnd w:id="0"/>
    <w:p>
      <w:pPr>
        <w:spacing w:line="360" w:lineRule="auto"/>
        <w:jc w:val="center"/>
        <w:rPr>
          <w:b/>
          <w:sz w:val="36"/>
        </w:rPr>
      </w:pPr>
      <w:r>
        <w:rPr>
          <w:b/>
          <w:sz w:val="36"/>
        </w:rPr>
        <w:t>目   录</w:t>
      </w:r>
    </w:p>
    <w:p>
      <w:pPr>
        <w:pStyle w:val="21"/>
        <w:tabs>
          <w:tab w:val="right" w:leader="dot" w:pos="9412"/>
          <w:tab w:val="clear" w:pos="9402"/>
        </w:tabs>
      </w:pPr>
      <w:r>
        <w:rPr>
          <w:sz w:val="36"/>
        </w:rPr>
        <w:fldChar w:fldCharType="begin"/>
      </w:r>
      <w:r>
        <w:rPr>
          <w:sz w:val="36"/>
        </w:rPr>
        <w:instrText xml:space="preserve"> TOC \o "1-3" \h \z \u </w:instrText>
      </w:r>
      <w:r>
        <w:rPr>
          <w:sz w:val="36"/>
        </w:rPr>
        <w:fldChar w:fldCharType="separate"/>
      </w:r>
      <w:r>
        <w:fldChar w:fldCharType="begin"/>
      </w:r>
      <w:r>
        <w:instrText xml:space="preserve"> HYPERLINK \l _Toc30549 </w:instrText>
      </w:r>
      <w:r>
        <w:fldChar w:fldCharType="separate"/>
      </w:r>
      <w:r>
        <w:rPr>
          <w:rFonts w:cs="Times New Roman"/>
        </w:rPr>
        <w:t xml:space="preserve">1 </w:t>
      </w:r>
      <w:r>
        <w:rPr>
          <w:rFonts w:hint="eastAsia" w:cs="Times New Roman"/>
        </w:rPr>
        <w:t>验收项目概况</w:t>
      </w:r>
      <w:r>
        <w:tab/>
      </w:r>
      <w:r>
        <w:fldChar w:fldCharType="begin"/>
      </w:r>
      <w:r>
        <w:instrText xml:space="preserve"> PAGEREF _Toc30549 </w:instrText>
      </w:r>
      <w:r>
        <w:fldChar w:fldCharType="separate"/>
      </w:r>
      <w:r>
        <w:t>1</w:t>
      </w:r>
      <w:r>
        <w:fldChar w:fldCharType="end"/>
      </w:r>
      <w:r>
        <w:fldChar w:fldCharType="end"/>
      </w:r>
    </w:p>
    <w:p>
      <w:pPr>
        <w:pStyle w:val="21"/>
        <w:tabs>
          <w:tab w:val="right" w:leader="dot" w:pos="9412"/>
          <w:tab w:val="clear" w:pos="9402"/>
        </w:tabs>
      </w:pPr>
      <w:r>
        <w:fldChar w:fldCharType="begin"/>
      </w:r>
      <w:r>
        <w:instrText xml:space="preserve"> HYPERLINK \l _Toc15635 </w:instrText>
      </w:r>
      <w:r>
        <w:fldChar w:fldCharType="separate"/>
      </w:r>
      <w:r>
        <w:rPr>
          <w:rFonts w:hint="eastAsia" w:cs="Times New Roman"/>
        </w:rPr>
        <w:t>2验收依据</w:t>
      </w:r>
      <w:r>
        <w:tab/>
      </w:r>
      <w:r>
        <w:fldChar w:fldCharType="begin"/>
      </w:r>
      <w:r>
        <w:instrText xml:space="preserve"> PAGEREF _Toc15635 </w:instrText>
      </w:r>
      <w:r>
        <w:fldChar w:fldCharType="separate"/>
      </w:r>
      <w:r>
        <w:t>3</w:t>
      </w:r>
      <w:r>
        <w:fldChar w:fldCharType="end"/>
      </w:r>
      <w:r>
        <w:fldChar w:fldCharType="end"/>
      </w:r>
    </w:p>
    <w:p>
      <w:pPr>
        <w:pStyle w:val="23"/>
        <w:tabs>
          <w:tab w:val="right" w:leader="dot" w:pos="9412"/>
          <w:tab w:val="clear" w:pos="9402"/>
        </w:tabs>
      </w:pPr>
      <w:r>
        <w:fldChar w:fldCharType="begin"/>
      </w:r>
      <w:r>
        <w:instrText xml:space="preserve"> HYPERLINK \l _Toc31378 </w:instrText>
      </w:r>
      <w:r>
        <w:fldChar w:fldCharType="separate"/>
      </w:r>
      <w:r>
        <w:rPr>
          <w:rFonts w:hint="eastAsia" w:cs="Times New Roman"/>
        </w:rPr>
        <w:t>2</w:t>
      </w:r>
      <w:r>
        <w:rPr>
          <w:rFonts w:cs="Times New Roman"/>
        </w:rPr>
        <w:t>.1 环境保护有关法规、政策</w:t>
      </w:r>
      <w:r>
        <w:tab/>
      </w:r>
      <w:r>
        <w:fldChar w:fldCharType="begin"/>
      </w:r>
      <w:r>
        <w:instrText xml:space="preserve"> PAGEREF _Toc31378 </w:instrText>
      </w:r>
      <w:r>
        <w:fldChar w:fldCharType="separate"/>
      </w:r>
      <w:r>
        <w:t>3</w:t>
      </w:r>
      <w:r>
        <w:fldChar w:fldCharType="end"/>
      </w:r>
      <w:r>
        <w:fldChar w:fldCharType="end"/>
      </w:r>
    </w:p>
    <w:p>
      <w:pPr>
        <w:pStyle w:val="23"/>
        <w:tabs>
          <w:tab w:val="right" w:leader="dot" w:pos="9412"/>
          <w:tab w:val="clear" w:pos="9402"/>
        </w:tabs>
      </w:pPr>
      <w:r>
        <w:fldChar w:fldCharType="begin"/>
      </w:r>
      <w:r>
        <w:instrText xml:space="preserve"> HYPERLINK \l _Toc4123 </w:instrText>
      </w:r>
      <w:r>
        <w:fldChar w:fldCharType="separate"/>
      </w:r>
      <w:r>
        <w:rPr>
          <w:rFonts w:hint="eastAsia" w:cs="Times New Roman"/>
        </w:rPr>
        <w:t>2</w:t>
      </w:r>
      <w:r>
        <w:rPr>
          <w:rFonts w:cs="Times New Roman"/>
        </w:rPr>
        <w:t xml:space="preserve">.2 </w:t>
      </w:r>
      <w:r>
        <w:rPr>
          <w:rFonts w:hint="eastAsia" w:cs="Times New Roman"/>
        </w:rPr>
        <w:t>建设项目竣工环境保护验收技术规范</w:t>
      </w:r>
      <w:r>
        <w:tab/>
      </w:r>
      <w:r>
        <w:fldChar w:fldCharType="begin"/>
      </w:r>
      <w:r>
        <w:instrText xml:space="preserve"> PAGEREF _Toc4123 </w:instrText>
      </w:r>
      <w:r>
        <w:fldChar w:fldCharType="separate"/>
      </w:r>
      <w:r>
        <w:t>3</w:t>
      </w:r>
      <w:r>
        <w:fldChar w:fldCharType="end"/>
      </w:r>
      <w:r>
        <w:fldChar w:fldCharType="end"/>
      </w:r>
    </w:p>
    <w:p>
      <w:pPr>
        <w:pStyle w:val="23"/>
        <w:tabs>
          <w:tab w:val="right" w:leader="dot" w:pos="9412"/>
          <w:tab w:val="clear" w:pos="9402"/>
        </w:tabs>
      </w:pPr>
      <w:r>
        <w:fldChar w:fldCharType="begin"/>
      </w:r>
      <w:r>
        <w:instrText xml:space="preserve"> HYPERLINK \l _Toc14049 </w:instrText>
      </w:r>
      <w:r>
        <w:fldChar w:fldCharType="separate"/>
      </w:r>
      <w:r>
        <w:rPr>
          <w:rFonts w:hint="eastAsia" w:cs="Times New Roman"/>
        </w:rPr>
        <w:t>2</w:t>
      </w:r>
      <w:r>
        <w:rPr>
          <w:rFonts w:cs="Times New Roman"/>
        </w:rPr>
        <w:t>.3建设项目</w:t>
      </w:r>
      <w:r>
        <w:rPr>
          <w:rFonts w:hint="eastAsia" w:cs="Times New Roman"/>
        </w:rPr>
        <w:t>环境影响报告书（表）及审批部门审批决定</w:t>
      </w:r>
      <w:r>
        <w:tab/>
      </w:r>
      <w:r>
        <w:fldChar w:fldCharType="begin"/>
      </w:r>
      <w:r>
        <w:instrText xml:space="preserve"> PAGEREF _Toc14049 </w:instrText>
      </w:r>
      <w:r>
        <w:fldChar w:fldCharType="separate"/>
      </w:r>
      <w:r>
        <w:t>3</w:t>
      </w:r>
      <w:r>
        <w:fldChar w:fldCharType="end"/>
      </w:r>
      <w:r>
        <w:fldChar w:fldCharType="end"/>
      </w:r>
    </w:p>
    <w:p>
      <w:pPr>
        <w:pStyle w:val="21"/>
        <w:tabs>
          <w:tab w:val="right" w:leader="dot" w:pos="9412"/>
          <w:tab w:val="clear" w:pos="9402"/>
        </w:tabs>
      </w:pPr>
      <w:r>
        <w:fldChar w:fldCharType="begin"/>
      </w:r>
      <w:r>
        <w:instrText xml:space="preserve"> HYPERLINK \l _Toc22559 </w:instrText>
      </w:r>
      <w:r>
        <w:fldChar w:fldCharType="separate"/>
      </w:r>
      <w:r>
        <w:rPr>
          <w:rFonts w:hint="eastAsia" w:cs="Times New Roman"/>
        </w:rPr>
        <w:t>3工程建设情况</w:t>
      </w:r>
      <w:r>
        <w:tab/>
      </w:r>
      <w:r>
        <w:fldChar w:fldCharType="begin"/>
      </w:r>
      <w:r>
        <w:instrText xml:space="preserve"> PAGEREF _Toc22559 </w:instrText>
      </w:r>
      <w:r>
        <w:fldChar w:fldCharType="separate"/>
      </w:r>
      <w:r>
        <w:t>5</w:t>
      </w:r>
      <w:r>
        <w:fldChar w:fldCharType="end"/>
      </w:r>
      <w:r>
        <w:fldChar w:fldCharType="end"/>
      </w:r>
    </w:p>
    <w:p>
      <w:pPr>
        <w:pStyle w:val="23"/>
        <w:tabs>
          <w:tab w:val="right" w:leader="dot" w:pos="9412"/>
          <w:tab w:val="clear" w:pos="9402"/>
        </w:tabs>
      </w:pPr>
      <w:r>
        <w:fldChar w:fldCharType="begin"/>
      </w:r>
      <w:r>
        <w:instrText xml:space="preserve"> HYPERLINK \l _Toc4255 </w:instrText>
      </w:r>
      <w:r>
        <w:fldChar w:fldCharType="separate"/>
      </w:r>
      <w:r>
        <w:rPr>
          <w:rFonts w:hint="eastAsia" w:cs="Times New Roman"/>
        </w:rPr>
        <w:t>3</w:t>
      </w:r>
      <w:r>
        <w:rPr>
          <w:rFonts w:cs="Times New Roman"/>
        </w:rPr>
        <w:t>.1</w:t>
      </w:r>
      <w:r>
        <w:rPr>
          <w:rFonts w:hint="eastAsia" w:cs="Times New Roman"/>
        </w:rPr>
        <w:t>地理位置及平面布置</w:t>
      </w:r>
      <w:r>
        <w:tab/>
      </w:r>
      <w:r>
        <w:fldChar w:fldCharType="begin"/>
      </w:r>
      <w:r>
        <w:instrText xml:space="preserve"> PAGEREF _Toc4255 </w:instrText>
      </w:r>
      <w:r>
        <w:fldChar w:fldCharType="separate"/>
      </w:r>
      <w:r>
        <w:t>5</w:t>
      </w:r>
      <w:r>
        <w:fldChar w:fldCharType="end"/>
      </w:r>
      <w:r>
        <w:fldChar w:fldCharType="end"/>
      </w:r>
    </w:p>
    <w:p>
      <w:pPr>
        <w:pStyle w:val="23"/>
        <w:tabs>
          <w:tab w:val="right" w:leader="dot" w:pos="9412"/>
          <w:tab w:val="clear" w:pos="9402"/>
        </w:tabs>
      </w:pPr>
      <w:r>
        <w:fldChar w:fldCharType="begin"/>
      </w:r>
      <w:r>
        <w:instrText xml:space="preserve"> HYPERLINK \l _Toc15271 </w:instrText>
      </w:r>
      <w:r>
        <w:fldChar w:fldCharType="separate"/>
      </w:r>
      <w:r>
        <w:rPr>
          <w:rFonts w:hint="eastAsia" w:cs="Times New Roman"/>
        </w:rPr>
        <w:t>3</w:t>
      </w:r>
      <w:r>
        <w:rPr>
          <w:rFonts w:cs="Times New Roman"/>
        </w:rPr>
        <w:t>.</w:t>
      </w:r>
      <w:r>
        <w:rPr>
          <w:rFonts w:hint="eastAsia" w:cs="Times New Roman"/>
        </w:rPr>
        <w:t>2建设内容</w:t>
      </w:r>
      <w:r>
        <w:tab/>
      </w:r>
      <w:r>
        <w:fldChar w:fldCharType="begin"/>
      </w:r>
      <w:r>
        <w:instrText xml:space="preserve"> PAGEREF _Toc15271 </w:instrText>
      </w:r>
      <w:r>
        <w:fldChar w:fldCharType="separate"/>
      </w:r>
      <w:r>
        <w:t>5</w:t>
      </w:r>
      <w:r>
        <w:fldChar w:fldCharType="end"/>
      </w:r>
      <w:r>
        <w:fldChar w:fldCharType="end"/>
      </w:r>
    </w:p>
    <w:p>
      <w:pPr>
        <w:pStyle w:val="23"/>
        <w:tabs>
          <w:tab w:val="right" w:leader="dot" w:pos="9412"/>
          <w:tab w:val="clear" w:pos="9402"/>
        </w:tabs>
      </w:pPr>
      <w:r>
        <w:fldChar w:fldCharType="begin"/>
      </w:r>
      <w:r>
        <w:instrText xml:space="preserve"> HYPERLINK \l _Toc363 </w:instrText>
      </w:r>
      <w:r>
        <w:fldChar w:fldCharType="separate"/>
      </w:r>
      <w:r>
        <w:rPr>
          <w:rFonts w:hint="eastAsia" w:cs="Times New Roman"/>
        </w:rPr>
        <w:t>3</w:t>
      </w:r>
      <w:r>
        <w:rPr>
          <w:rFonts w:cs="Times New Roman"/>
        </w:rPr>
        <w:t>.</w:t>
      </w:r>
      <w:r>
        <w:rPr>
          <w:rFonts w:hint="eastAsia" w:cs="Times New Roman"/>
        </w:rPr>
        <w:t>3主要原辅材料及燃料</w:t>
      </w:r>
      <w:r>
        <w:tab/>
      </w:r>
      <w:r>
        <w:fldChar w:fldCharType="begin"/>
      </w:r>
      <w:r>
        <w:instrText xml:space="preserve"> PAGEREF _Toc363 </w:instrText>
      </w:r>
      <w:r>
        <w:fldChar w:fldCharType="separate"/>
      </w:r>
      <w:r>
        <w:t>8</w:t>
      </w:r>
      <w:r>
        <w:fldChar w:fldCharType="end"/>
      </w:r>
      <w:r>
        <w:fldChar w:fldCharType="end"/>
      </w:r>
    </w:p>
    <w:p>
      <w:pPr>
        <w:pStyle w:val="23"/>
        <w:tabs>
          <w:tab w:val="right" w:leader="dot" w:pos="9412"/>
          <w:tab w:val="clear" w:pos="9402"/>
        </w:tabs>
      </w:pPr>
      <w:r>
        <w:fldChar w:fldCharType="begin"/>
      </w:r>
      <w:r>
        <w:instrText xml:space="preserve"> HYPERLINK \l _Toc20024 </w:instrText>
      </w:r>
      <w:r>
        <w:fldChar w:fldCharType="separate"/>
      </w:r>
      <w:r>
        <w:rPr>
          <w:rFonts w:hint="eastAsia" w:cs="Times New Roman"/>
        </w:rPr>
        <w:t>3</w:t>
      </w:r>
      <w:r>
        <w:rPr>
          <w:rFonts w:cs="Times New Roman"/>
        </w:rPr>
        <w:t>.</w:t>
      </w:r>
      <w:r>
        <w:rPr>
          <w:rFonts w:hint="eastAsia" w:cs="Times New Roman"/>
        </w:rPr>
        <w:t>4水源</w:t>
      </w:r>
      <w:r>
        <w:tab/>
      </w:r>
      <w:r>
        <w:fldChar w:fldCharType="begin"/>
      </w:r>
      <w:r>
        <w:instrText xml:space="preserve"> PAGEREF _Toc20024 </w:instrText>
      </w:r>
      <w:r>
        <w:fldChar w:fldCharType="separate"/>
      </w:r>
      <w:r>
        <w:t>9</w:t>
      </w:r>
      <w:r>
        <w:fldChar w:fldCharType="end"/>
      </w:r>
      <w:r>
        <w:fldChar w:fldCharType="end"/>
      </w:r>
    </w:p>
    <w:p>
      <w:pPr>
        <w:pStyle w:val="23"/>
        <w:tabs>
          <w:tab w:val="right" w:leader="dot" w:pos="9412"/>
          <w:tab w:val="clear" w:pos="9402"/>
        </w:tabs>
      </w:pPr>
      <w:r>
        <w:fldChar w:fldCharType="begin"/>
      </w:r>
      <w:r>
        <w:instrText xml:space="preserve"> HYPERLINK \l _Toc30068 </w:instrText>
      </w:r>
      <w:r>
        <w:fldChar w:fldCharType="separate"/>
      </w:r>
      <w:r>
        <w:rPr>
          <w:rFonts w:hint="eastAsia" w:cs="Times New Roman"/>
        </w:rPr>
        <w:t>3.5生产工艺</w:t>
      </w:r>
      <w:r>
        <w:tab/>
      </w:r>
      <w:r>
        <w:fldChar w:fldCharType="begin"/>
      </w:r>
      <w:r>
        <w:instrText xml:space="preserve"> PAGEREF _Toc30068 </w:instrText>
      </w:r>
      <w:r>
        <w:fldChar w:fldCharType="separate"/>
      </w:r>
      <w:r>
        <w:t>9</w:t>
      </w:r>
      <w:r>
        <w:fldChar w:fldCharType="end"/>
      </w:r>
      <w:r>
        <w:fldChar w:fldCharType="end"/>
      </w:r>
    </w:p>
    <w:p>
      <w:pPr>
        <w:pStyle w:val="23"/>
        <w:tabs>
          <w:tab w:val="right" w:leader="dot" w:pos="9412"/>
          <w:tab w:val="clear" w:pos="9402"/>
        </w:tabs>
      </w:pPr>
      <w:r>
        <w:fldChar w:fldCharType="begin"/>
      </w:r>
      <w:r>
        <w:instrText xml:space="preserve"> HYPERLINK \l _Toc24325 </w:instrText>
      </w:r>
      <w:r>
        <w:fldChar w:fldCharType="separate"/>
      </w:r>
      <w:r>
        <w:rPr>
          <w:rFonts w:hint="eastAsia" w:cs="Times New Roman"/>
        </w:rPr>
        <w:t>3.6项目变动情况</w:t>
      </w:r>
      <w:r>
        <w:tab/>
      </w:r>
      <w:r>
        <w:fldChar w:fldCharType="begin"/>
      </w:r>
      <w:r>
        <w:instrText xml:space="preserve"> PAGEREF _Toc24325 </w:instrText>
      </w:r>
      <w:r>
        <w:fldChar w:fldCharType="separate"/>
      </w:r>
      <w:r>
        <w:t>12</w:t>
      </w:r>
      <w:r>
        <w:fldChar w:fldCharType="end"/>
      </w:r>
      <w:r>
        <w:fldChar w:fldCharType="end"/>
      </w:r>
    </w:p>
    <w:p>
      <w:pPr>
        <w:pStyle w:val="21"/>
        <w:tabs>
          <w:tab w:val="right" w:leader="dot" w:pos="9412"/>
          <w:tab w:val="clear" w:pos="9402"/>
        </w:tabs>
      </w:pPr>
      <w:r>
        <w:fldChar w:fldCharType="begin"/>
      </w:r>
      <w:r>
        <w:instrText xml:space="preserve"> HYPERLINK \l _Toc11256 </w:instrText>
      </w:r>
      <w:r>
        <w:fldChar w:fldCharType="separate"/>
      </w:r>
      <w:r>
        <w:rPr>
          <w:rFonts w:hint="eastAsia" w:cs="Times New Roman"/>
        </w:rPr>
        <w:t>4环境保护设施</w:t>
      </w:r>
      <w:r>
        <w:tab/>
      </w:r>
      <w:r>
        <w:fldChar w:fldCharType="begin"/>
      </w:r>
      <w:r>
        <w:instrText xml:space="preserve"> PAGEREF _Toc11256 </w:instrText>
      </w:r>
      <w:r>
        <w:fldChar w:fldCharType="separate"/>
      </w:r>
      <w:r>
        <w:t>13</w:t>
      </w:r>
      <w:r>
        <w:fldChar w:fldCharType="end"/>
      </w:r>
      <w:r>
        <w:fldChar w:fldCharType="end"/>
      </w:r>
    </w:p>
    <w:p>
      <w:pPr>
        <w:pStyle w:val="23"/>
        <w:tabs>
          <w:tab w:val="right" w:leader="dot" w:pos="9412"/>
          <w:tab w:val="clear" w:pos="9402"/>
        </w:tabs>
      </w:pPr>
      <w:r>
        <w:fldChar w:fldCharType="begin"/>
      </w:r>
      <w:r>
        <w:instrText xml:space="preserve"> HYPERLINK \l _Toc29145 </w:instrText>
      </w:r>
      <w:r>
        <w:fldChar w:fldCharType="separate"/>
      </w:r>
      <w:r>
        <w:rPr>
          <w:rFonts w:hint="eastAsia" w:cs="Times New Roman"/>
        </w:rPr>
        <w:t>4.1污染物治理及处置设施</w:t>
      </w:r>
      <w:r>
        <w:tab/>
      </w:r>
      <w:r>
        <w:fldChar w:fldCharType="begin"/>
      </w:r>
      <w:r>
        <w:instrText xml:space="preserve"> PAGEREF _Toc29145 </w:instrText>
      </w:r>
      <w:r>
        <w:fldChar w:fldCharType="separate"/>
      </w:r>
      <w:r>
        <w:t>13</w:t>
      </w:r>
      <w:r>
        <w:fldChar w:fldCharType="end"/>
      </w:r>
      <w:r>
        <w:fldChar w:fldCharType="end"/>
      </w:r>
    </w:p>
    <w:p>
      <w:pPr>
        <w:pStyle w:val="23"/>
        <w:tabs>
          <w:tab w:val="right" w:leader="dot" w:pos="9412"/>
          <w:tab w:val="clear" w:pos="9402"/>
        </w:tabs>
      </w:pPr>
      <w:r>
        <w:fldChar w:fldCharType="begin"/>
      </w:r>
      <w:r>
        <w:instrText xml:space="preserve"> HYPERLINK \l _Toc31986 </w:instrText>
      </w:r>
      <w:r>
        <w:fldChar w:fldCharType="separate"/>
      </w:r>
      <w:r>
        <w:rPr>
          <w:rFonts w:hint="eastAsia" w:cs="Times New Roman"/>
        </w:rPr>
        <w:t>4.2其他环保设施</w:t>
      </w:r>
      <w:r>
        <w:tab/>
      </w:r>
      <w:r>
        <w:fldChar w:fldCharType="begin"/>
      </w:r>
      <w:r>
        <w:instrText xml:space="preserve"> PAGEREF _Toc31986 </w:instrText>
      </w:r>
      <w:r>
        <w:fldChar w:fldCharType="separate"/>
      </w:r>
      <w:r>
        <w:t>14</w:t>
      </w:r>
      <w:r>
        <w:fldChar w:fldCharType="end"/>
      </w:r>
      <w:r>
        <w:fldChar w:fldCharType="end"/>
      </w:r>
    </w:p>
    <w:p>
      <w:pPr>
        <w:pStyle w:val="23"/>
        <w:tabs>
          <w:tab w:val="right" w:leader="dot" w:pos="9412"/>
          <w:tab w:val="clear" w:pos="9402"/>
        </w:tabs>
      </w:pPr>
      <w:r>
        <w:fldChar w:fldCharType="begin"/>
      </w:r>
      <w:r>
        <w:instrText xml:space="preserve"> HYPERLINK \l _Toc23715 </w:instrText>
      </w:r>
      <w:r>
        <w:fldChar w:fldCharType="separate"/>
      </w:r>
      <w:r>
        <w:rPr>
          <w:rFonts w:hint="eastAsia" w:cs="Times New Roman"/>
        </w:rPr>
        <w:t>4.3环保设施投资及“三同时”落实情况</w:t>
      </w:r>
      <w:r>
        <w:tab/>
      </w:r>
      <w:r>
        <w:fldChar w:fldCharType="begin"/>
      </w:r>
      <w:r>
        <w:instrText xml:space="preserve"> PAGEREF _Toc23715 </w:instrText>
      </w:r>
      <w:r>
        <w:fldChar w:fldCharType="separate"/>
      </w:r>
      <w:r>
        <w:t>16</w:t>
      </w:r>
      <w:r>
        <w:fldChar w:fldCharType="end"/>
      </w:r>
      <w:r>
        <w:fldChar w:fldCharType="end"/>
      </w:r>
    </w:p>
    <w:p>
      <w:pPr>
        <w:pStyle w:val="21"/>
        <w:tabs>
          <w:tab w:val="right" w:leader="dot" w:pos="9412"/>
          <w:tab w:val="clear" w:pos="9402"/>
        </w:tabs>
      </w:pPr>
      <w:r>
        <w:fldChar w:fldCharType="begin"/>
      </w:r>
      <w:r>
        <w:instrText xml:space="preserve"> HYPERLINK \l _Toc13581 </w:instrText>
      </w:r>
      <w:r>
        <w:fldChar w:fldCharType="separate"/>
      </w:r>
      <w:r>
        <w:rPr>
          <w:rFonts w:hint="eastAsia" w:cs="Times New Roman"/>
        </w:rPr>
        <w:t>5建设项目环评报告表的主要结论及审批部门审批决定</w:t>
      </w:r>
      <w:r>
        <w:tab/>
      </w:r>
      <w:r>
        <w:fldChar w:fldCharType="begin"/>
      </w:r>
      <w:r>
        <w:instrText xml:space="preserve"> PAGEREF _Toc13581 </w:instrText>
      </w:r>
      <w:r>
        <w:fldChar w:fldCharType="separate"/>
      </w:r>
      <w:r>
        <w:t>17</w:t>
      </w:r>
      <w:r>
        <w:fldChar w:fldCharType="end"/>
      </w:r>
      <w:r>
        <w:fldChar w:fldCharType="end"/>
      </w:r>
    </w:p>
    <w:p>
      <w:pPr>
        <w:pStyle w:val="23"/>
        <w:tabs>
          <w:tab w:val="right" w:leader="dot" w:pos="9412"/>
          <w:tab w:val="clear" w:pos="9402"/>
        </w:tabs>
      </w:pPr>
      <w:r>
        <w:fldChar w:fldCharType="begin"/>
      </w:r>
      <w:r>
        <w:instrText xml:space="preserve"> HYPERLINK \l _Toc5643 </w:instrText>
      </w:r>
      <w:r>
        <w:fldChar w:fldCharType="separate"/>
      </w:r>
      <w:r>
        <w:rPr>
          <w:rFonts w:hint="eastAsia" w:cs="Times New Roman"/>
        </w:rPr>
        <w:t>5</w:t>
      </w:r>
      <w:r>
        <w:rPr>
          <w:rFonts w:cs="Times New Roman"/>
        </w:rPr>
        <w:t xml:space="preserve">.1 </w:t>
      </w:r>
      <w:r>
        <w:rPr>
          <w:rFonts w:hint="eastAsia" w:cs="Times New Roman"/>
        </w:rPr>
        <w:t>建设项目环评报告表的主要结论与建议</w:t>
      </w:r>
      <w:r>
        <w:tab/>
      </w:r>
      <w:r>
        <w:fldChar w:fldCharType="begin"/>
      </w:r>
      <w:r>
        <w:instrText xml:space="preserve"> PAGEREF _Toc5643 </w:instrText>
      </w:r>
      <w:r>
        <w:fldChar w:fldCharType="separate"/>
      </w:r>
      <w:r>
        <w:t>17</w:t>
      </w:r>
      <w:r>
        <w:fldChar w:fldCharType="end"/>
      </w:r>
      <w:r>
        <w:fldChar w:fldCharType="end"/>
      </w:r>
    </w:p>
    <w:p>
      <w:pPr>
        <w:pStyle w:val="23"/>
        <w:tabs>
          <w:tab w:val="right" w:leader="dot" w:pos="9412"/>
          <w:tab w:val="clear" w:pos="9402"/>
        </w:tabs>
      </w:pPr>
      <w:r>
        <w:fldChar w:fldCharType="begin"/>
      </w:r>
      <w:r>
        <w:instrText xml:space="preserve"> HYPERLINK \l _Toc592 </w:instrText>
      </w:r>
      <w:r>
        <w:fldChar w:fldCharType="separate"/>
      </w:r>
      <w:r>
        <w:rPr>
          <w:rFonts w:hint="eastAsia" w:cs="Times New Roman"/>
        </w:rPr>
        <w:t>5.2 环评批复要求</w:t>
      </w:r>
      <w:r>
        <w:tab/>
      </w:r>
      <w:r>
        <w:fldChar w:fldCharType="begin"/>
      </w:r>
      <w:r>
        <w:instrText xml:space="preserve"> PAGEREF _Toc592 </w:instrText>
      </w:r>
      <w:r>
        <w:fldChar w:fldCharType="separate"/>
      </w:r>
      <w:r>
        <w:t>20</w:t>
      </w:r>
      <w:r>
        <w:fldChar w:fldCharType="end"/>
      </w:r>
      <w:r>
        <w:fldChar w:fldCharType="end"/>
      </w:r>
    </w:p>
    <w:p>
      <w:pPr>
        <w:pStyle w:val="21"/>
        <w:tabs>
          <w:tab w:val="right" w:leader="dot" w:pos="9412"/>
          <w:tab w:val="clear" w:pos="9402"/>
        </w:tabs>
      </w:pPr>
      <w:r>
        <w:fldChar w:fldCharType="begin"/>
      </w:r>
      <w:r>
        <w:instrText xml:space="preserve"> HYPERLINK \l _Toc26098 </w:instrText>
      </w:r>
      <w:r>
        <w:fldChar w:fldCharType="separate"/>
      </w:r>
      <w:r>
        <w:rPr>
          <w:rFonts w:hint="eastAsia" w:cs="Times New Roman"/>
        </w:rPr>
        <w:t>6验收执行</w:t>
      </w:r>
      <w:r>
        <w:rPr>
          <w:rFonts w:cs="Times New Roman"/>
        </w:rPr>
        <w:t>标准</w:t>
      </w:r>
      <w:r>
        <w:tab/>
      </w:r>
      <w:r>
        <w:fldChar w:fldCharType="begin"/>
      </w:r>
      <w:r>
        <w:instrText xml:space="preserve"> PAGEREF _Toc26098 </w:instrText>
      </w:r>
      <w:r>
        <w:fldChar w:fldCharType="separate"/>
      </w:r>
      <w:r>
        <w:t>22</w:t>
      </w:r>
      <w:r>
        <w:fldChar w:fldCharType="end"/>
      </w:r>
      <w:r>
        <w:fldChar w:fldCharType="end"/>
      </w:r>
    </w:p>
    <w:p>
      <w:pPr>
        <w:pStyle w:val="23"/>
        <w:tabs>
          <w:tab w:val="right" w:leader="dot" w:pos="9412"/>
          <w:tab w:val="clear" w:pos="9402"/>
        </w:tabs>
      </w:pPr>
      <w:r>
        <w:fldChar w:fldCharType="begin"/>
      </w:r>
      <w:r>
        <w:instrText xml:space="preserve"> HYPERLINK \l _Toc32554 </w:instrText>
      </w:r>
      <w:r>
        <w:fldChar w:fldCharType="separate"/>
      </w:r>
      <w:r>
        <w:rPr>
          <w:rFonts w:hint="eastAsia" w:cs="Times New Roman"/>
        </w:rPr>
        <w:t>6</w:t>
      </w:r>
      <w:r>
        <w:rPr>
          <w:rFonts w:cs="Times New Roman"/>
        </w:rPr>
        <w:t>.1 废水</w:t>
      </w:r>
      <w:r>
        <w:tab/>
      </w:r>
      <w:r>
        <w:fldChar w:fldCharType="begin"/>
      </w:r>
      <w:r>
        <w:instrText xml:space="preserve"> PAGEREF _Toc32554 </w:instrText>
      </w:r>
      <w:r>
        <w:fldChar w:fldCharType="separate"/>
      </w:r>
      <w:r>
        <w:t>22</w:t>
      </w:r>
      <w:r>
        <w:fldChar w:fldCharType="end"/>
      </w:r>
      <w:r>
        <w:fldChar w:fldCharType="end"/>
      </w:r>
    </w:p>
    <w:p>
      <w:pPr>
        <w:pStyle w:val="23"/>
        <w:tabs>
          <w:tab w:val="right" w:leader="dot" w:pos="9412"/>
          <w:tab w:val="clear" w:pos="9402"/>
        </w:tabs>
      </w:pPr>
      <w:r>
        <w:fldChar w:fldCharType="begin"/>
      </w:r>
      <w:r>
        <w:instrText xml:space="preserve"> HYPERLINK \l _Toc28377 </w:instrText>
      </w:r>
      <w:r>
        <w:fldChar w:fldCharType="separate"/>
      </w:r>
      <w:r>
        <w:rPr>
          <w:rFonts w:hint="eastAsia" w:cs="Times New Roman"/>
        </w:rPr>
        <w:t>6</w:t>
      </w:r>
      <w:r>
        <w:rPr>
          <w:rFonts w:cs="Times New Roman"/>
        </w:rPr>
        <w:t>.</w:t>
      </w:r>
      <w:r>
        <w:rPr>
          <w:rFonts w:hint="eastAsia" w:cs="Times New Roman"/>
        </w:rPr>
        <w:t>2废气</w:t>
      </w:r>
      <w:r>
        <w:tab/>
      </w:r>
      <w:r>
        <w:fldChar w:fldCharType="begin"/>
      </w:r>
      <w:r>
        <w:instrText xml:space="preserve"> PAGEREF _Toc28377 </w:instrText>
      </w:r>
      <w:r>
        <w:fldChar w:fldCharType="separate"/>
      </w:r>
      <w:r>
        <w:t>22</w:t>
      </w:r>
      <w:r>
        <w:fldChar w:fldCharType="end"/>
      </w:r>
      <w:r>
        <w:fldChar w:fldCharType="end"/>
      </w:r>
    </w:p>
    <w:p>
      <w:pPr>
        <w:pStyle w:val="23"/>
        <w:tabs>
          <w:tab w:val="right" w:leader="dot" w:pos="9412"/>
          <w:tab w:val="clear" w:pos="9402"/>
        </w:tabs>
      </w:pPr>
      <w:r>
        <w:fldChar w:fldCharType="begin"/>
      </w:r>
      <w:r>
        <w:instrText xml:space="preserve"> HYPERLINK \l _Toc5819 </w:instrText>
      </w:r>
      <w:r>
        <w:fldChar w:fldCharType="separate"/>
      </w:r>
      <w:r>
        <w:rPr>
          <w:rFonts w:hint="eastAsia" w:cs="Times New Roman"/>
        </w:rPr>
        <w:t>6</w:t>
      </w:r>
      <w:r>
        <w:rPr>
          <w:rFonts w:cs="Times New Roman"/>
        </w:rPr>
        <w:t>.3 噪声</w:t>
      </w:r>
      <w:r>
        <w:tab/>
      </w:r>
      <w:r>
        <w:fldChar w:fldCharType="begin"/>
      </w:r>
      <w:r>
        <w:instrText xml:space="preserve"> PAGEREF _Toc5819 </w:instrText>
      </w:r>
      <w:r>
        <w:fldChar w:fldCharType="separate"/>
      </w:r>
      <w:r>
        <w:t>22</w:t>
      </w:r>
      <w:r>
        <w:fldChar w:fldCharType="end"/>
      </w:r>
      <w:r>
        <w:fldChar w:fldCharType="end"/>
      </w:r>
    </w:p>
    <w:p>
      <w:pPr>
        <w:pStyle w:val="21"/>
        <w:tabs>
          <w:tab w:val="right" w:leader="dot" w:pos="9412"/>
          <w:tab w:val="clear" w:pos="9402"/>
        </w:tabs>
      </w:pPr>
      <w:r>
        <w:fldChar w:fldCharType="begin"/>
      </w:r>
      <w:r>
        <w:instrText xml:space="preserve"> HYPERLINK \l _Toc32629 </w:instrText>
      </w:r>
      <w:r>
        <w:fldChar w:fldCharType="separate"/>
      </w:r>
      <w:r>
        <w:rPr>
          <w:rFonts w:hint="eastAsia" w:cs="Times New Roman"/>
        </w:rPr>
        <w:t>7</w:t>
      </w:r>
      <w:r>
        <w:rPr>
          <w:rFonts w:cs="Times New Roman"/>
        </w:rPr>
        <w:t>验收监测内容</w:t>
      </w:r>
      <w:r>
        <w:tab/>
      </w:r>
      <w:r>
        <w:fldChar w:fldCharType="begin"/>
      </w:r>
      <w:r>
        <w:instrText xml:space="preserve"> PAGEREF _Toc32629 </w:instrText>
      </w:r>
      <w:r>
        <w:fldChar w:fldCharType="separate"/>
      </w:r>
      <w:r>
        <w:t>24</w:t>
      </w:r>
      <w:r>
        <w:fldChar w:fldCharType="end"/>
      </w:r>
      <w:r>
        <w:fldChar w:fldCharType="end"/>
      </w:r>
    </w:p>
    <w:p>
      <w:pPr>
        <w:pStyle w:val="23"/>
        <w:tabs>
          <w:tab w:val="right" w:leader="dot" w:pos="9412"/>
          <w:tab w:val="clear" w:pos="9402"/>
        </w:tabs>
      </w:pPr>
      <w:r>
        <w:fldChar w:fldCharType="begin"/>
      </w:r>
      <w:r>
        <w:instrText xml:space="preserve"> HYPERLINK \l _Toc5268 </w:instrText>
      </w:r>
      <w:r>
        <w:fldChar w:fldCharType="separate"/>
      </w:r>
      <w:r>
        <w:rPr>
          <w:rFonts w:hint="eastAsia" w:cs="Times New Roman"/>
        </w:rPr>
        <w:t>7</w:t>
      </w:r>
      <w:r>
        <w:rPr>
          <w:rFonts w:cs="Times New Roman"/>
        </w:rPr>
        <w:t xml:space="preserve">.1 </w:t>
      </w:r>
      <w:r>
        <w:rPr>
          <w:rFonts w:hint="eastAsia" w:cs="Times New Roman"/>
        </w:rPr>
        <w:t>废水</w:t>
      </w:r>
      <w:r>
        <w:tab/>
      </w:r>
      <w:r>
        <w:fldChar w:fldCharType="begin"/>
      </w:r>
      <w:r>
        <w:instrText xml:space="preserve"> PAGEREF _Toc5268 </w:instrText>
      </w:r>
      <w:r>
        <w:fldChar w:fldCharType="separate"/>
      </w:r>
      <w:r>
        <w:t>24</w:t>
      </w:r>
      <w:r>
        <w:fldChar w:fldCharType="end"/>
      </w:r>
      <w:r>
        <w:fldChar w:fldCharType="end"/>
      </w:r>
    </w:p>
    <w:p>
      <w:pPr>
        <w:pStyle w:val="23"/>
        <w:tabs>
          <w:tab w:val="right" w:leader="dot" w:pos="9412"/>
          <w:tab w:val="clear" w:pos="9402"/>
        </w:tabs>
      </w:pPr>
      <w:r>
        <w:fldChar w:fldCharType="begin"/>
      </w:r>
      <w:r>
        <w:instrText xml:space="preserve"> HYPERLINK \l _Toc22019 </w:instrText>
      </w:r>
      <w:r>
        <w:fldChar w:fldCharType="separate"/>
      </w:r>
      <w:r>
        <w:rPr>
          <w:rFonts w:hint="eastAsia" w:cs="Times New Roman"/>
        </w:rPr>
        <w:t>7</w:t>
      </w:r>
      <w:r>
        <w:rPr>
          <w:rFonts w:cs="Times New Roman"/>
        </w:rPr>
        <w:t>.</w:t>
      </w:r>
      <w:r>
        <w:rPr>
          <w:rFonts w:hint="eastAsia" w:cs="Times New Roman"/>
        </w:rPr>
        <w:t>2废气</w:t>
      </w:r>
      <w:r>
        <w:tab/>
      </w:r>
      <w:r>
        <w:fldChar w:fldCharType="begin"/>
      </w:r>
      <w:r>
        <w:instrText xml:space="preserve"> PAGEREF _Toc22019 </w:instrText>
      </w:r>
      <w:r>
        <w:fldChar w:fldCharType="separate"/>
      </w:r>
      <w:r>
        <w:t>24</w:t>
      </w:r>
      <w:r>
        <w:fldChar w:fldCharType="end"/>
      </w:r>
      <w:r>
        <w:fldChar w:fldCharType="end"/>
      </w:r>
    </w:p>
    <w:p>
      <w:pPr>
        <w:pStyle w:val="23"/>
        <w:tabs>
          <w:tab w:val="right" w:leader="dot" w:pos="9412"/>
          <w:tab w:val="clear" w:pos="9402"/>
        </w:tabs>
      </w:pPr>
      <w:r>
        <w:fldChar w:fldCharType="begin"/>
      </w:r>
      <w:r>
        <w:instrText xml:space="preserve"> HYPERLINK \l _Toc832 </w:instrText>
      </w:r>
      <w:r>
        <w:fldChar w:fldCharType="separate"/>
      </w:r>
      <w:r>
        <w:rPr>
          <w:rFonts w:hint="eastAsia" w:cs="Times New Roman"/>
        </w:rPr>
        <w:t>7</w:t>
      </w:r>
      <w:r>
        <w:rPr>
          <w:rFonts w:cs="Times New Roman"/>
        </w:rPr>
        <w:t>.</w:t>
      </w:r>
      <w:r>
        <w:rPr>
          <w:rFonts w:hint="eastAsia" w:cs="Times New Roman"/>
        </w:rPr>
        <w:t>3</w:t>
      </w:r>
      <w:r>
        <w:rPr>
          <w:rFonts w:cs="Times New Roman"/>
        </w:rPr>
        <w:t>噪</w:t>
      </w:r>
      <w:r>
        <w:rPr>
          <w:rFonts w:hint="eastAsia" w:cs="Times New Roman"/>
          <w:lang w:eastAsia="zh-CN"/>
        </w:rPr>
        <w:t>声</w:t>
      </w:r>
      <w:r>
        <w:tab/>
      </w:r>
      <w:r>
        <w:fldChar w:fldCharType="begin"/>
      </w:r>
      <w:r>
        <w:instrText xml:space="preserve"> PAGEREF _Toc832 </w:instrText>
      </w:r>
      <w:r>
        <w:fldChar w:fldCharType="separate"/>
      </w:r>
      <w:r>
        <w:t>25</w:t>
      </w:r>
      <w:r>
        <w:fldChar w:fldCharType="end"/>
      </w:r>
      <w:r>
        <w:fldChar w:fldCharType="end"/>
      </w:r>
    </w:p>
    <w:p>
      <w:pPr>
        <w:pStyle w:val="21"/>
        <w:tabs>
          <w:tab w:val="right" w:leader="dot" w:pos="9412"/>
          <w:tab w:val="clear" w:pos="9402"/>
        </w:tabs>
      </w:pPr>
      <w:r>
        <w:fldChar w:fldCharType="begin"/>
      </w:r>
      <w:r>
        <w:instrText xml:space="preserve"> HYPERLINK \l _Toc2840 </w:instrText>
      </w:r>
      <w:r>
        <w:fldChar w:fldCharType="separate"/>
      </w:r>
      <w:r>
        <w:rPr>
          <w:rFonts w:hint="eastAsia" w:ascii="Times New Roman" w:hAnsi="Times New Roman" w:cs="Times New Roman"/>
        </w:rPr>
        <w:t>8质量保证及质量控制</w:t>
      </w:r>
      <w:r>
        <w:tab/>
      </w:r>
      <w:r>
        <w:fldChar w:fldCharType="begin"/>
      </w:r>
      <w:r>
        <w:instrText xml:space="preserve"> PAGEREF _Toc2840 </w:instrText>
      </w:r>
      <w:r>
        <w:fldChar w:fldCharType="separate"/>
      </w:r>
      <w:r>
        <w:t>26</w:t>
      </w:r>
      <w:r>
        <w:fldChar w:fldCharType="end"/>
      </w:r>
      <w:r>
        <w:fldChar w:fldCharType="end"/>
      </w:r>
    </w:p>
    <w:p>
      <w:pPr>
        <w:pStyle w:val="23"/>
        <w:tabs>
          <w:tab w:val="right" w:leader="dot" w:pos="9412"/>
          <w:tab w:val="clear" w:pos="9402"/>
        </w:tabs>
      </w:pPr>
      <w:r>
        <w:fldChar w:fldCharType="begin"/>
      </w:r>
      <w:r>
        <w:instrText xml:space="preserve"> HYPERLINK \l _Toc22615 </w:instrText>
      </w:r>
      <w:r>
        <w:fldChar w:fldCharType="separate"/>
      </w:r>
      <w:r>
        <w:rPr>
          <w:rFonts w:hint="eastAsia" w:cs="Times New Roman"/>
        </w:rPr>
        <w:t>8</w:t>
      </w:r>
      <w:r>
        <w:rPr>
          <w:rFonts w:cs="Times New Roman"/>
        </w:rPr>
        <w:t>.1 监测分析方法</w:t>
      </w:r>
      <w:r>
        <w:tab/>
      </w:r>
      <w:r>
        <w:fldChar w:fldCharType="begin"/>
      </w:r>
      <w:r>
        <w:instrText xml:space="preserve"> PAGEREF _Toc22615 </w:instrText>
      </w:r>
      <w:r>
        <w:fldChar w:fldCharType="separate"/>
      </w:r>
      <w:r>
        <w:t>26</w:t>
      </w:r>
      <w:r>
        <w:fldChar w:fldCharType="end"/>
      </w:r>
      <w:r>
        <w:fldChar w:fldCharType="end"/>
      </w:r>
    </w:p>
    <w:p>
      <w:pPr>
        <w:pStyle w:val="23"/>
        <w:tabs>
          <w:tab w:val="right" w:leader="dot" w:pos="9412"/>
          <w:tab w:val="clear" w:pos="9402"/>
        </w:tabs>
      </w:pPr>
      <w:r>
        <w:fldChar w:fldCharType="begin"/>
      </w:r>
      <w:r>
        <w:instrText xml:space="preserve"> HYPERLINK \l _Toc18423 </w:instrText>
      </w:r>
      <w:r>
        <w:fldChar w:fldCharType="separate"/>
      </w:r>
      <w:r>
        <w:rPr>
          <w:rFonts w:hint="eastAsia" w:cs="Times New Roman"/>
        </w:rPr>
        <w:t>8</w:t>
      </w:r>
      <w:r>
        <w:rPr>
          <w:rFonts w:cs="Times New Roman"/>
        </w:rPr>
        <w:t xml:space="preserve">.2 </w:t>
      </w:r>
      <w:r>
        <w:rPr>
          <w:rFonts w:hint="eastAsia" w:cs="Times New Roman"/>
        </w:rPr>
        <w:t>监测仪器</w:t>
      </w:r>
      <w:r>
        <w:tab/>
      </w:r>
      <w:r>
        <w:fldChar w:fldCharType="begin"/>
      </w:r>
      <w:r>
        <w:instrText xml:space="preserve"> PAGEREF _Toc18423 </w:instrText>
      </w:r>
      <w:r>
        <w:fldChar w:fldCharType="separate"/>
      </w:r>
      <w:r>
        <w:t>26</w:t>
      </w:r>
      <w:r>
        <w:fldChar w:fldCharType="end"/>
      </w:r>
      <w:r>
        <w:fldChar w:fldCharType="end"/>
      </w:r>
    </w:p>
    <w:p>
      <w:pPr>
        <w:pStyle w:val="23"/>
        <w:tabs>
          <w:tab w:val="right" w:leader="dot" w:pos="9412"/>
          <w:tab w:val="clear" w:pos="9402"/>
        </w:tabs>
      </w:pPr>
      <w:r>
        <w:fldChar w:fldCharType="begin"/>
      </w:r>
      <w:r>
        <w:instrText xml:space="preserve"> HYPERLINK \l _Toc8684 </w:instrText>
      </w:r>
      <w:r>
        <w:fldChar w:fldCharType="separate"/>
      </w:r>
      <w:r>
        <w:rPr>
          <w:rFonts w:hint="eastAsia" w:cs="Times New Roman"/>
        </w:rPr>
        <w:t>8</w:t>
      </w:r>
      <w:r>
        <w:rPr>
          <w:rFonts w:cs="Times New Roman"/>
        </w:rPr>
        <w:t>.</w:t>
      </w:r>
      <w:r>
        <w:rPr>
          <w:rFonts w:hint="eastAsia" w:cs="Times New Roman"/>
        </w:rPr>
        <w:t>3人员资质</w:t>
      </w:r>
      <w:r>
        <w:tab/>
      </w:r>
      <w:r>
        <w:fldChar w:fldCharType="begin"/>
      </w:r>
      <w:r>
        <w:instrText xml:space="preserve"> PAGEREF _Toc8684 </w:instrText>
      </w:r>
      <w:r>
        <w:fldChar w:fldCharType="separate"/>
      </w:r>
      <w:r>
        <w:t>26</w:t>
      </w:r>
      <w:r>
        <w:fldChar w:fldCharType="end"/>
      </w:r>
      <w:r>
        <w:fldChar w:fldCharType="end"/>
      </w:r>
    </w:p>
    <w:p>
      <w:pPr>
        <w:pStyle w:val="23"/>
        <w:tabs>
          <w:tab w:val="right" w:leader="dot" w:pos="9412"/>
          <w:tab w:val="clear" w:pos="9402"/>
        </w:tabs>
      </w:pPr>
      <w:r>
        <w:fldChar w:fldCharType="begin"/>
      </w:r>
      <w:r>
        <w:instrText xml:space="preserve"> HYPERLINK \l _Toc19650 </w:instrText>
      </w:r>
      <w:r>
        <w:fldChar w:fldCharType="separate"/>
      </w:r>
      <w:r>
        <w:rPr>
          <w:rFonts w:hint="eastAsia" w:cs="Times New Roman"/>
        </w:rPr>
        <w:t>8</w:t>
      </w:r>
      <w:r>
        <w:rPr>
          <w:rFonts w:cs="Times New Roman"/>
        </w:rPr>
        <w:t>.</w:t>
      </w:r>
      <w:r>
        <w:rPr>
          <w:rFonts w:hint="eastAsia" w:cs="Times New Roman"/>
        </w:rPr>
        <w:t>4</w:t>
      </w:r>
      <w:r>
        <w:rPr>
          <w:rFonts w:cs="Times New Roman"/>
        </w:rPr>
        <w:t>质量保证和质量控制</w:t>
      </w:r>
      <w:r>
        <w:tab/>
      </w:r>
      <w:r>
        <w:fldChar w:fldCharType="begin"/>
      </w:r>
      <w:r>
        <w:instrText xml:space="preserve"> PAGEREF _Toc19650 </w:instrText>
      </w:r>
      <w:r>
        <w:fldChar w:fldCharType="separate"/>
      </w:r>
      <w:r>
        <w:t>27</w:t>
      </w:r>
      <w:r>
        <w:fldChar w:fldCharType="end"/>
      </w:r>
      <w:r>
        <w:fldChar w:fldCharType="end"/>
      </w:r>
    </w:p>
    <w:p>
      <w:pPr>
        <w:pStyle w:val="21"/>
        <w:tabs>
          <w:tab w:val="right" w:leader="dot" w:pos="9412"/>
          <w:tab w:val="clear" w:pos="9402"/>
        </w:tabs>
      </w:pPr>
      <w:r>
        <w:fldChar w:fldCharType="begin"/>
      </w:r>
      <w:r>
        <w:instrText xml:space="preserve"> HYPERLINK \l _Toc18572 </w:instrText>
      </w:r>
      <w:r>
        <w:fldChar w:fldCharType="separate"/>
      </w:r>
      <w:r>
        <w:rPr>
          <w:rFonts w:hint="eastAsia" w:ascii="Times New Roman" w:hAnsi="Times New Roman" w:cs="Times New Roman"/>
        </w:rPr>
        <w:t>9验收监测结果及分析</w:t>
      </w:r>
      <w:r>
        <w:tab/>
      </w:r>
      <w:r>
        <w:fldChar w:fldCharType="begin"/>
      </w:r>
      <w:r>
        <w:instrText xml:space="preserve"> PAGEREF _Toc18572 </w:instrText>
      </w:r>
      <w:r>
        <w:fldChar w:fldCharType="separate"/>
      </w:r>
      <w:r>
        <w:t>28</w:t>
      </w:r>
      <w:r>
        <w:fldChar w:fldCharType="end"/>
      </w:r>
      <w:r>
        <w:fldChar w:fldCharType="end"/>
      </w:r>
    </w:p>
    <w:p>
      <w:pPr>
        <w:pStyle w:val="23"/>
        <w:tabs>
          <w:tab w:val="right" w:leader="dot" w:pos="9412"/>
          <w:tab w:val="clear" w:pos="9402"/>
        </w:tabs>
      </w:pPr>
      <w:r>
        <w:fldChar w:fldCharType="begin"/>
      </w:r>
      <w:r>
        <w:instrText xml:space="preserve"> HYPERLINK \l _Toc11516 </w:instrText>
      </w:r>
      <w:r>
        <w:fldChar w:fldCharType="separate"/>
      </w:r>
      <w:r>
        <w:rPr>
          <w:rFonts w:hint="eastAsia" w:cs="Times New Roman"/>
        </w:rPr>
        <w:t>9</w:t>
      </w:r>
      <w:r>
        <w:rPr>
          <w:rFonts w:cs="Times New Roman"/>
        </w:rPr>
        <w:t>.1 监测期间工况</w:t>
      </w:r>
      <w:r>
        <w:tab/>
      </w:r>
      <w:r>
        <w:fldChar w:fldCharType="begin"/>
      </w:r>
      <w:r>
        <w:instrText xml:space="preserve"> PAGEREF _Toc11516 </w:instrText>
      </w:r>
      <w:r>
        <w:fldChar w:fldCharType="separate"/>
      </w:r>
      <w:r>
        <w:t>28</w:t>
      </w:r>
      <w:r>
        <w:fldChar w:fldCharType="end"/>
      </w:r>
      <w:r>
        <w:fldChar w:fldCharType="end"/>
      </w:r>
    </w:p>
    <w:p>
      <w:pPr>
        <w:pStyle w:val="23"/>
        <w:tabs>
          <w:tab w:val="right" w:leader="dot" w:pos="9412"/>
          <w:tab w:val="clear" w:pos="9402"/>
        </w:tabs>
      </w:pPr>
      <w:r>
        <w:fldChar w:fldCharType="begin"/>
      </w:r>
      <w:r>
        <w:instrText xml:space="preserve"> HYPERLINK \l _Toc21042 </w:instrText>
      </w:r>
      <w:r>
        <w:fldChar w:fldCharType="separate"/>
      </w:r>
      <w:r>
        <w:rPr>
          <w:rFonts w:hint="eastAsia" w:cs="Times New Roman"/>
        </w:rPr>
        <w:t>9</w:t>
      </w:r>
      <w:r>
        <w:rPr>
          <w:rFonts w:cs="Times New Roman"/>
        </w:rPr>
        <w:t xml:space="preserve">.2 </w:t>
      </w:r>
      <w:r>
        <w:rPr>
          <w:rFonts w:hint="eastAsia" w:cs="Times New Roman"/>
        </w:rPr>
        <w:t>环境保护设施调试效果</w:t>
      </w:r>
      <w:r>
        <w:tab/>
      </w:r>
      <w:r>
        <w:fldChar w:fldCharType="begin"/>
      </w:r>
      <w:r>
        <w:instrText xml:space="preserve"> PAGEREF _Toc21042 </w:instrText>
      </w:r>
      <w:r>
        <w:fldChar w:fldCharType="separate"/>
      </w:r>
      <w:r>
        <w:t>28</w:t>
      </w:r>
      <w:r>
        <w:fldChar w:fldCharType="end"/>
      </w:r>
      <w:r>
        <w:fldChar w:fldCharType="end"/>
      </w:r>
    </w:p>
    <w:p>
      <w:pPr>
        <w:pStyle w:val="21"/>
        <w:tabs>
          <w:tab w:val="right" w:leader="dot" w:pos="9412"/>
          <w:tab w:val="clear" w:pos="9402"/>
        </w:tabs>
      </w:pPr>
      <w:r>
        <w:fldChar w:fldCharType="begin"/>
      </w:r>
      <w:r>
        <w:instrText xml:space="preserve"> HYPERLINK \l _Toc7469 </w:instrText>
      </w:r>
      <w:r>
        <w:fldChar w:fldCharType="separate"/>
      </w:r>
      <w:r>
        <w:rPr>
          <w:rFonts w:hint="eastAsia" w:ascii="Times New Roman" w:hAnsi="Times New Roman" w:cs="Times New Roman"/>
        </w:rPr>
        <w:t>10 验收监测结论</w:t>
      </w:r>
      <w:r>
        <w:tab/>
      </w:r>
      <w:r>
        <w:fldChar w:fldCharType="begin"/>
      </w:r>
      <w:r>
        <w:instrText xml:space="preserve"> PAGEREF _Toc7469 </w:instrText>
      </w:r>
      <w:r>
        <w:fldChar w:fldCharType="separate"/>
      </w:r>
      <w:r>
        <w:t>31</w:t>
      </w:r>
      <w:r>
        <w:fldChar w:fldCharType="end"/>
      </w:r>
      <w:r>
        <w:fldChar w:fldCharType="end"/>
      </w:r>
    </w:p>
    <w:p>
      <w:pPr>
        <w:pStyle w:val="23"/>
        <w:tabs>
          <w:tab w:val="right" w:leader="dot" w:pos="9412"/>
          <w:tab w:val="clear" w:pos="9402"/>
        </w:tabs>
      </w:pPr>
      <w:r>
        <w:fldChar w:fldCharType="begin"/>
      </w:r>
      <w:r>
        <w:instrText xml:space="preserve"> HYPERLINK \l _Toc13784 </w:instrText>
      </w:r>
      <w:r>
        <w:fldChar w:fldCharType="separate"/>
      </w:r>
      <w:r>
        <w:rPr>
          <w:rFonts w:cs="Times New Roman"/>
        </w:rPr>
        <w:t>10.1</w:t>
      </w:r>
      <w:r>
        <w:rPr>
          <w:rFonts w:hint="eastAsia" w:cs="Times New Roman"/>
        </w:rPr>
        <w:t>环境保护设施调试效果</w:t>
      </w:r>
      <w:r>
        <w:tab/>
      </w:r>
      <w:r>
        <w:fldChar w:fldCharType="begin"/>
      </w:r>
      <w:r>
        <w:instrText xml:space="preserve"> PAGEREF _Toc13784 </w:instrText>
      </w:r>
      <w:r>
        <w:fldChar w:fldCharType="separate"/>
      </w:r>
      <w:r>
        <w:t>31</w:t>
      </w:r>
      <w:r>
        <w:fldChar w:fldCharType="end"/>
      </w:r>
      <w:r>
        <w:fldChar w:fldCharType="end"/>
      </w:r>
    </w:p>
    <w:p>
      <w:pPr>
        <w:pStyle w:val="23"/>
        <w:tabs>
          <w:tab w:val="right" w:leader="dot" w:pos="9412"/>
          <w:tab w:val="clear" w:pos="9402"/>
        </w:tabs>
      </w:pPr>
      <w:r>
        <w:fldChar w:fldCharType="begin"/>
      </w:r>
      <w:r>
        <w:instrText xml:space="preserve"> HYPERLINK \l _Toc17073 </w:instrText>
      </w:r>
      <w:r>
        <w:fldChar w:fldCharType="separate"/>
      </w:r>
      <w:r>
        <w:rPr>
          <w:rFonts w:cs="Times New Roman"/>
        </w:rPr>
        <w:t>10.</w:t>
      </w:r>
      <w:r>
        <w:rPr>
          <w:rFonts w:hint="eastAsia" w:cs="Times New Roman"/>
        </w:rPr>
        <w:t>2</w:t>
      </w:r>
      <w:r>
        <w:rPr>
          <w:rFonts w:cs="Times New Roman"/>
        </w:rPr>
        <w:t>环境风险措施检查结论</w:t>
      </w:r>
      <w:r>
        <w:tab/>
      </w:r>
      <w:r>
        <w:fldChar w:fldCharType="begin"/>
      </w:r>
      <w:r>
        <w:instrText xml:space="preserve"> PAGEREF _Toc17073 </w:instrText>
      </w:r>
      <w:r>
        <w:fldChar w:fldCharType="separate"/>
      </w:r>
      <w:r>
        <w:t>32</w:t>
      </w:r>
      <w:r>
        <w:fldChar w:fldCharType="end"/>
      </w:r>
      <w:r>
        <w:fldChar w:fldCharType="end"/>
      </w:r>
    </w:p>
    <w:p>
      <w:pPr>
        <w:pStyle w:val="23"/>
        <w:tabs>
          <w:tab w:val="right" w:leader="dot" w:pos="9412"/>
          <w:tab w:val="clear" w:pos="9402"/>
        </w:tabs>
      </w:pPr>
      <w:r>
        <w:fldChar w:fldCharType="begin"/>
      </w:r>
      <w:r>
        <w:instrText xml:space="preserve"> HYPERLINK \l _Toc3212 </w:instrText>
      </w:r>
      <w:r>
        <w:fldChar w:fldCharType="separate"/>
      </w:r>
      <w:r>
        <w:rPr>
          <w:rFonts w:cs="Times New Roman"/>
        </w:rPr>
        <w:t>10.</w:t>
      </w:r>
      <w:r>
        <w:rPr>
          <w:rFonts w:hint="eastAsia" w:cs="Times New Roman"/>
        </w:rPr>
        <w:t>3综合结论</w:t>
      </w:r>
      <w:r>
        <w:tab/>
      </w:r>
      <w:r>
        <w:fldChar w:fldCharType="begin"/>
      </w:r>
      <w:r>
        <w:instrText xml:space="preserve"> PAGEREF _Toc3212 </w:instrText>
      </w:r>
      <w:r>
        <w:fldChar w:fldCharType="separate"/>
      </w:r>
      <w:r>
        <w:t>32</w:t>
      </w:r>
      <w:r>
        <w:fldChar w:fldCharType="end"/>
      </w:r>
      <w:r>
        <w:fldChar w:fldCharType="end"/>
      </w:r>
    </w:p>
    <w:p>
      <w:pPr>
        <w:pStyle w:val="23"/>
        <w:tabs>
          <w:tab w:val="right" w:leader="dot" w:pos="9412"/>
          <w:tab w:val="clear" w:pos="9402"/>
        </w:tabs>
      </w:pPr>
      <w:r>
        <w:fldChar w:fldCharType="begin"/>
      </w:r>
      <w:r>
        <w:instrText xml:space="preserve"> HYPERLINK \l _Toc16118 </w:instrText>
      </w:r>
      <w:r>
        <w:fldChar w:fldCharType="separate"/>
      </w:r>
      <w:r>
        <w:rPr>
          <w:rFonts w:cs="Times New Roman"/>
        </w:rPr>
        <w:t>10.</w:t>
      </w:r>
      <w:r>
        <w:rPr>
          <w:rFonts w:hint="eastAsia" w:cs="Times New Roman"/>
        </w:rPr>
        <w:t>4建议</w:t>
      </w:r>
      <w:r>
        <w:tab/>
      </w:r>
      <w:r>
        <w:fldChar w:fldCharType="begin"/>
      </w:r>
      <w:r>
        <w:instrText xml:space="preserve"> PAGEREF _Toc16118 </w:instrText>
      </w:r>
      <w:r>
        <w:fldChar w:fldCharType="separate"/>
      </w:r>
      <w:r>
        <w:t>32</w:t>
      </w:r>
      <w:r>
        <w:fldChar w:fldCharType="end"/>
      </w:r>
      <w:r>
        <w:fldChar w:fldCharType="end"/>
      </w:r>
    </w:p>
    <w:p>
      <w:pPr>
        <w:pStyle w:val="21"/>
        <w:spacing w:line="276" w:lineRule="auto"/>
        <w:rPr>
          <w:rFonts w:asciiTheme="minorHAnsi" w:hAnsiTheme="minorHAnsi" w:eastAsiaTheme="minorEastAsia" w:cstheme="minorBidi"/>
          <w:b w:val="0"/>
          <w:caps w:val="0"/>
          <w:sz w:val="22"/>
          <w:szCs w:val="22"/>
        </w:rPr>
      </w:pPr>
      <w:r>
        <w:fldChar w:fldCharType="end"/>
      </w:r>
    </w:p>
    <w:p>
      <w:pPr>
        <w:pStyle w:val="21"/>
        <w:spacing w:line="276" w:lineRule="auto"/>
        <w:rPr>
          <w:rFonts w:asciiTheme="minorHAnsi" w:hAnsiTheme="minorHAnsi" w:eastAsiaTheme="minorEastAsia" w:cstheme="minorBidi"/>
          <w:b w:val="0"/>
          <w:caps w:val="0"/>
          <w:sz w:val="22"/>
          <w:szCs w:val="22"/>
        </w:rPr>
      </w:pPr>
    </w:p>
    <w:p>
      <w:pPr>
        <w:pStyle w:val="61"/>
        <w:spacing w:before="240"/>
        <w:rPr>
          <w:rFonts w:cs="Times New Roman"/>
          <w:sz w:val="40"/>
          <w:szCs w:val="28"/>
        </w:rPr>
        <w:sectPr>
          <w:pgSz w:w="11906" w:h="16838"/>
          <w:pgMar w:top="1247" w:right="1247" w:bottom="1247" w:left="1247" w:header="851" w:footer="851" w:gutter="0"/>
          <w:pgNumType w:start="1"/>
          <w:cols w:space="425" w:num="1"/>
          <w:titlePg/>
          <w:docGrid w:linePitch="381" w:charSpace="0"/>
        </w:sectPr>
      </w:pPr>
      <w:bookmarkStart w:id="1" w:name="_Toc333501100"/>
      <w:bookmarkStart w:id="2" w:name="_Toc312829599"/>
    </w:p>
    <w:bookmarkEnd w:id="1"/>
    <w:bookmarkEnd w:id="2"/>
    <w:p>
      <w:pPr>
        <w:pStyle w:val="61"/>
        <w:spacing w:beforeLines="50"/>
        <w:rPr>
          <w:rFonts w:cs="Times New Roman"/>
          <w:sz w:val="36"/>
        </w:rPr>
      </w:pPr>
      <w:bookmarkStart w:id="3" w:name="_Toc332553908"/>
      <w:bookmarkStart w:id="4" w:name="_Toc341357465"/>
      <w:bookmarkStart w:id="5" w:name="_Toc341293099"/>
      <w:bookmarkStart w:id="6" w:name="_Toc321042406"/>
      <w:bookmarkStart w:id="7" w:name="_Toc341278414"/>
      <w:bookmarkStart w:id="8" w:name="_Toc341431718"/>
      <w:bookmarkStart w:id="9" w:name="_Toc305059553"/>
      <w:bookmarkStart w:id="10" w:name="_Toc256171691"/>
      <w:bookmarkStart w:id="11" w:name="_Toc30549"/>
      <w:r>
        <w:rPr>
          <w:rFonts w:cs="Times New Roman"/>
          <w:sz w:val="36"/>
        </w:rPr>
        <w:t xml:space="preserve">1 </w:t>
      </w:r>
      <w:bookmarkEnd w:id="3"/>
      <w:bookmarkEnd w:id="4"/>
      <w:bookmarkEnd w:id="5"/>
      <w:bookmarkEnd w:id="6"/>
      <w:bookmarkEnd w:id="7"/>
      <w:bookmarkEnd w:id="8"/>
      <w:bookmarkEnd w:id="9"/>
      <w:bookmarkEnd w:id="10"/>
      <w:r>
        <w:rPr>
          <w:rFonts w:hint="eastAsia" w:cs="Times New Roman"/>
          <w:sz w:val="36"/>
        </w:rPr>
        <w:t>验收项目概况</w:t>
      </w:r>
      <w:bookmarkEnd w:id="11"/>
    </w:p>
    <w:p>
      <w:pPr>
        <w:spacing w:line="540" w:lineRule="exact"/>
        <w:ind w:firstLine="480" w:firstLineChars="200"/>
        <w:rPr>
          <w:rFonts w:hint="eastAsia" w:hAnsi="宋体"/>
          <w:sz w:val="24"/>
          <w:szCs w:val="24"/>
        </w:rPr>
      </w:pPr>
      <w:r>
        <w:rPr>
          <w:rFonts w:hint="eastAsia"/>
          <w:color w:val="000000"/>
          <w:sz w:val="24"/>
          <w:szCs w:val="24"/>
          <w:lang w:eastAsia="zh-CN"/>
        </w:rPr>
        <w:t>中国石油天然气股份有限公司万州金龙加油站新建工程建设项目</w:t>
      </w:r>
      <w:r>
        <w:rPr>
          <w:color w:val="000000"/>
          <w:sz w:val="24"/>
          <w:szCs w:val="24"/>
        </w:rPr>
        <w:t>位于</w:t>
      </w:r>
      <w:r>
        <w:rPr>
          <w:rFonts w:hint="eastAsia"/>
          <w:color w:val="000000"/>
          <w:sz w:val="24"/>
          <w:szCs w:val="24"/>
          <w:lang w:eastAsia="zh-CN"/>
        </w:rPr>
        <w:t>重庆市万州区九池街道大包村8社</w:t>
      </w:r>
      <w:r>
        <w:rPr>
          <w:rFonts w:hint="eastAsia"/>
          <w:color w:val="000000"/>
          <w:sz w:val="24"/>
          <w:szCs w:val="24"/>
        </w:rPr>
        <w:t>，项目占地面积1799.30m</w:t>
      </w:r>
      <w:r>
        <w:rPr>
          <w:rFonts w:hint="eastAsia"/>
          <w:color w:val="000000"/>
          <w:sz w:val="24"/>
          <w:szCs w:val="24"/>
          <w:vertAlign w:val="superscript"/>
        </w:rPr>
        <w:t>2</w:t>
      </w:r>
      <w:r>
        <w:rPr>
          <w:rFonts w:hint="eastAsia"/>
          <w:color w:val="000000"/>
          <w:sz w:val="24"/>
          <w:szCs w:val="24"/>
        </w:rPr>
        <w:t>，总建筑面积 322.06m</w:t>
      </w:r>
      <w:r>
        <w:rPr>
          <w:rFonts w:hint="eastAsia"/>
          <w:color w:val="000000"/>
          <w:sz w:val="24"/>
          <w:szCs w:val="24"/>
          <w:vertAlign w:val="superscript"/>
        </w:rPr>
        <w:t>2</w:t>
      </w:r>
      <w:r>
        <w:rPr>
          <w:rFonts w:hint="eastAsia"/>
          <w:color w:val="000000"/>
          <w:sz w:val="24"/>
          <w:szCs w:val="24"/>
        </w:rPr>
        <w:t>，新建双层FF卧式罐3个、2座加油岛、1 座1F站房和1座加油罩棚，另配套建设公用设施、环保设施及储运工程等。销售规模为92#汽油1 t/d（365 t/a）、95#汽油1 t/d（365 t/a）、0#柴油1 t/d（365 t/a）。汽油、柴油运输由中石油万州分公司从6910油库用油罐车配送。项目提供洗车服务，配套设置1个通过式洗车区。项目预留充电停车位</w:t>
      </w:r>
      <w:r>
        <w:rPr>
          <w:rFonts w:hint="eastAsia" w:hAnsi="宋体"/>
          <w:sz w:val="24"/>
          <w:szCs w:val="24"/>
        </w:rPr>
        <w:t>。</w:t>
      </w:r>
    </w:p>
    <w:p>
      <w:pPr>
        <w:spacing w:line="540" w:lineRule="exact"/>
        <w:ind w:firstLine="480" w:firstLineChars="200"/>
        <w:rPr>
          <w:color w:val="000000"/>
          <w:sz w:val="24"/>
          <w:szCs w:val="24"/>
        </w:rPr>
      </w:pPr>
      <w:r>
        <w:rPr>
          <w:color w:val="000000"/>
          <w:sz w:val="24"/>
          <w:szCs w:val="24"/>
        </w:rPr>
        <w:t>20</w:t>
      </w:r>
      <w:r>
        <w:rPr>
          <w:rFonts w:hint="eastAsia"/>
          <w:color w:val="000000"/>
          <w:sz w:val="24"/>
          <w:szCs w:val="24"/>
          <w:lang w:val="en-US" w:eastAsia="zh-CN"/>
        </w:rPr>
        <w:t>23</w:t>
      </w:r>
      <w:r>
        <w:rPr>
          <w:color w:val="000000"/>
          <w:sz w:val="24"/>
          <w:szCs w:val="24"/>
        </w:rPr>
        <w:t>年</w:t>
      </w:r>
      <w:r>
        <w:rPr>
          <w:rFonts w:hint="eastAsia"/>
          <w:color w:val="000000"/>
          <w:sz w:val="24"/>
          <w:szCs w:val="24"/>
          <w:lang w:val="en-US" w:eastAsia="zh-CN"/>
        </w:rPr>
        <w:t>6</w:t>
      </w:r>
      <w:r>
        <w:rPr>
          <w:color w:val="000000"/>
          <w:sz w:val="24"/>
          <w:szCs w:val="24"/>
        </w:rPr>
        <w:t>月</w:t>
      </w:r>
      <w:r>
        <w:rPr>
          <w:rFonts w:hint="eastAsia"/>
          <w:color w:val="000000"/>
          <w:sz w:val="24"/>
          <w:szCs w:val="24"/>
          <w:lang w:eastAsia="zh-CN"/>
        </w:rPr>
        <w:t>，中国石油天然气股份有限公司重庆万州销售分公司</w:t>
      </w:r>
      <w:r>
        <w:rPr>
          <w:rFonts w:hint="eastAsia"/>
          <w:color w:val="000000"/>
          <w:sz w:val="24"/>
          <w:szCs w:val="24"/>
        </w:rPr>
        <w:t>委托</w:t>
      </w:r>
      <w:r>
        <w:rPr>
          <w:rFonts w:hint="eastAsia"/>
          <w:color w:val="000000"/>
          <w:sz w:val="24"/>
          <w:szCs w:val="24"/>
          <w:lang w:eastAsia="zh-CN"/>
        </w:rPr>
        <w:t>重庆长嵘环保科技有限公司</w:t>
      </w:r>
      <w:r>
        <w:rPr>
          <w:rFonts w:hint="eastAsia"/>
          <w:color w:val="000000"/>
          <w:sz w:val="24"/>
          <w:szCs w:val="24"/>
        </w:rPr>
        <w:t>对本项目进行环境影响评价；</w:t>
      </w:r>
      <w:r>
        <w:rPr>
          <w:color w:val="000000"/>
          <w:sz w:val="24"/>
          <w:szCs w:val="24"/>
        </w:rPr>
        <w:t>20</w:t>
      </w:r>
      <w:r>
        <w:rPr>
          <w:rFonts w:hint="eastAsia"/>
          <w:color w:val="000000"/>
          <w:sz w:val="24"/>
          <w:szCs w:val="24"/>
          <w:lang w:val="en-US" w:eastAsia="zh-CN"/>
        </w:rPr>
        <w:t>23</w:t>
      </w:r>
      <w:r>
        <w:rPr>
          <w:color w:val="000000"/>
          <w:sz w:val="24"/>
          <w:szCs w:val="24"/>
        </w:rPr>
        <w:t>年</w:t>
      </w:r>
      <w:r>
        <w:rPr>
          <w:rFonts w:hint="eastAsia"/>
          <w:color w:val="000000"/>
          <w:sz w:val="24"/>
          <w:szCs w:val="24"/>
          <w:lang w:val="en-US" w:eastAsia="zh-CN"/>
        </w:rPr>
        <w:t>7</w:t>
      </w:r>
      <w:r>
        <w:rPr>
          <w:color w:val="000000"/>
          <w:sz w:val="24"/>
          <w:szCs w:val="24"/>
        </w:rPr>
        <w:t>月</w:t>
      </w:r>
      <w:r>
        <w:rPr>
          <w:rFonts w:hint="eastAsia"/>
          <w:color w:val="000000"/>
          <w:sz w:val="24"/>
          <w:szCs w:val="24"/>
          <w:lang w:val="en-US" w:eastAsia="zh-CN"/>
        </w:rPr>
        <w:t>4日</w:t>
      </w:r>
      <w:r>
        <w:rPr>
          <w:color w:val="000000"/>
          <w:sz w:val="24"/>
          <w:szCs w:val="24"/>
        </w:rPr>
        <w:t>，重庆市</w:t>
      </w:r>
      <w:r>
        <w:rPr>
          <w:rFonts w:hint="eastAsia"/>
          <w:color w:val="000000"/>
          <w:sz w:val="24"/>
          <w:szCs w:val="24"/>
          <w:lang w:eastAsia="zh-CN"/>
        </w:rPr>
        <w:t>万州区</w:t>
      </w:r>
      <w:r>
        <w:rPr>
          <w:color w:val="000000"/>
          <w:sz w:val="24"/>
          <w:szCs w:val="24"/>
        </w:rPr>
        <w:t>生态环境局以（</w:t>
      </w:r>
      <w:r>
        <w:rPr>
          <w:rFonts w:hint="eastAsia"/>
          <w:color w:val="000000"/>
          <w:sz w:val="24"/>
          <w:szCs w:val="24"/>
          <w:lang w:eastAsia="zh-CN"/>
        </w:rPr>
        <w:t>渝（万）环准[2023]038号</w:t>
      </w:r>
      <w:r>
        <w:rPr>
          <w:color w:val="000000"/>
          <w:sz w:val="24"/>
          <w:szCs w:val="24"/>
        </w:rPr>
        <w:t>）文批复了</w:t>
      </w:r>
      <w:r>
        <w:rPr>
          <w:rFonts w:hint="eastAsia"/>
          <w:color w:val="000000"/>
          <w:sz w:val="24"/>
          <w:szCs w:val="24"/>
          <w:lang w:eastAsia="zh-CN"/>
        </w:rPr>
        <w:t>中国石油天然气股份有限公司万州金龙加油站新建工程</w:t>
      </w:r>
      <w:r>
        <w:rPr>
          <w:color w:val="000000"/>
          <w:sz w:val="24"/>
          <w:szCs w:val="24"/>
        </w:rPr>
        <w:t>环境影响报告</w:t>
      </w:r>
      <w:r>
        <w:rPr>
          <w:rFonts w:hint="eastAsia"/>
          <w:color w:val="000000"/>
          <w:sz w:val="24"/>
          <w:szCs w:val="24"/>
        </w:rPr>
        <w:t>表</w:t>
      </w:r>
      <w:r>
        <w:rPr>
          <w:rFonts w:hint="eastAsia"/>
          <w:color w:val="000000" w:themeColor="text1"/>
          <w:sz w:val="24"/>
          <w:szCs w:val="24"/>
        </w:rPr>
        <w:t>；20</w:t>
      </w:r>
      <w:r>
        <w:rPr>
          <w:rFonts w:hint="eastAsia"/>
          <w:color w:val="000000" w:themeColor="text1"/>
          <w:sz w:val="24"/>
          <w:szCs w:val="24"/>
          <w:lang w:val="en-US" w:eastAsia="zh-CN"/>
        </w:rPr>
        <w:t>24</w:t>
      </w:r>
      <w:r>
        <w:rPr>
          <w:rFonts w:hint="eastAsia"/>
          <w:color w:val="000000" w:themeColor="text1"/>
          <w:sz w:val="24"/>
          <w:szCs w:val="24"/>
        </w:rPr>
        <w:t>年</w:t>
      </w:r>
      <w:r>
        <w:rPr>
          <w:rFonts w:hint="eastAsia"/>
          <w:color w:val="000000" w:themeColor="text1"/>
          <w:sz w:val="24"/>
          <w:szCs w:val="24"/>
          <w:lang w:val="en-US" w:eastAsia="zh-CN"/>
        </w:rPr>
        <w:t>1</w:t>
      </w:r>
      <w:r>
        <w:rPr>
          <w:rFonts w:hint="eastAsia"/>
          <w:color w:val="000000" w:themeColor="text1"/>
          <w:sz w:val="24"/>
          <w:szCs w:val="24"/>
        </w:rPr>
        <w:t>月</w:t>
      </w:r>
      <w:r>
        <w:rPr>
          <w:rFonts w:hint="eastAsia"/>
          <w:color w:val="000000" w:themeColor="text1"/>
          <w:sz w:val="24"/>
          <w:szCs w:val="24"/>
          <w:lang w:eastAsia="zh-CN"/>
        </w:rPr>
        <w:t>中国石油天然气股份有限公司万州金龙加油站新建工程</w:t>
      </w:r>
      <w:r>
        <w:rPr>
          <w:rFonts w:hint="eastAsia"/>
          <w:color w:val="000000"/>
          <w:sz w:val="24"/>
          <w:szCs w:val="24"/>
        </w:rPr>
        <w:t>建设完成并投入运营。</w:t>
      </w:r>
    </w:p>
    <w:p>
      <w:pPr>
        <w:spacing w:line="540" w:lineRule="exact"/>
        <w:ind w:firstLine="480" w:firstLineChars="200"/>
        <w:rPr>
          <w:color w:val="000000"/>
          <w:sz w:val="24"/>
          <w:szCs w:val="24"/>
        </w:rPr>
      </w:pPr>
      <w:r>
        <w:rPr>
          <w:color w:val="000000"/>
          <w:sz w:val="24"/>
          <w:szCs w:val="24"/>
        </w:rPr>
        <w:t>根据</w:t>
      </w:r>
      <w:r>
        <w:rPr>
          <w:rFonts w:hint="eastAsia"/>
          <w:color w:val="000000"/>
          <w:sz w:val="24"/>
          <w:szCs w:val="24"/>
        </w:rPr>
        <w:t>中华人民共和国国务院令第682</w:t>
      </w:r>
      <w:r>
        <w:rPr>
          <w:color w:val="000000"/>
          <w:sz w:val="24"/>
          <w:szCs w:val="24"/>
        </w:rPr>
        <w:t>号《建设项目</w:t>
      </w:r>
      <w:r>
        <w:rPr>
          <w:rFonts w:hint="eastAsia"/>
          <w:color w:val="000000"/>
          <w:sz w:val="24"/>
          <w:szCs w:val="24"/>
        </w:rPr>
        <w:t>环境保护管理条例</w:t>
      </w:r>
      <w:r>
        <w:rPr>
          <w:color w:val="000000"/>
          <w:sz w:val="24"/>
          <w:szCs w:val="24"/>
        </w:rPr>
        <w:t>》和</w:t>
      </w:r>
      <w:r>
        <w:rPr>
          <w:rFonts w:hint="eastAsia"/>
          <w:color w:val="000000"/>
          <w:sz w:val="24"/>
          <w:szCs w:val="24"/>
        </w:rPr>
        <w:t>渝</w:t>
      </w:r>
      <w:r>
        <w:rPr>
          <w:color w:val="000000"/>
          <w:sz w:val="24"/>
          <w:szCs w:val="24"/>
        </w:rPr>
        <w:t>环</w:t>
      </w:r>
      <w:r>
        <w:rPr>
          <w:rFonts w:hint="eastAsia"/>
          <w:color w:val="000000"/>
          <w:sz w:val="24"/>
          <w:szCs w:val="24"/>
        </w:rPr>
        <w:t>办</w:t>
      </w:r>
      <w:r>
        <w:rPr>
          <w:color w:val="000000"/>
          <w:sz w:val="24"/>
          <w:szCs w:val="24"/>
        </w:rPr>
        <w:t>[</w:t>
      </w:r>
      <w:r>
        <w:rPr>
          <w:rFonts w:hint="eastAsia"/>
          <w:color w:val="000000"/>
          <w:sz w:val="24"/>
          <w:szCs w:val="24"/>
        </w:rPr>
        <w:t>2017</w:t>
      </w:r>
      <w:r>
        <w:rPr>
          <w:color w:val="000000"/>
          <w:sz w:val="24"/>
          <w:szCs w:val="24"/>
        </w:rPr>
        <w:t>]</w:t>
      </w:r>
      <w:r>
        <w:rPr>
          <w:rFonts w:hint="eastAsia"/>
          <w:color w:val="000000"/>
          <w:sz w:val="24"/>
          <w:szCs w:val="24"/>
        </w:rPr>
        <w:t>404</w:t>
      </w:r>
      <w:r>
        <w:rPr>
          <w:color w:val="000000"/>
          <w:sz w:val="24"/>
          <w:szCs w:val="24"/>
        </w:rPr>
        <w:t>号文《</w:t>
      </w:r>
      <w:r>
        <w:rPr>
          <w:rFonts w:hint="eastAsia"/>
          <w:color w:val="000000"/>
          <w:sz w:val="24"/>
          <w:szCs w:val="24"/>
        </w:rPr>
        <w:t>重庆市环境保护局办公室关于不再受理建设项目竣工环境保护验收申请事项的通知</w:t>
      </w:r>
      <w:r>
        <w:rPr>
          <w:color w:val="000000"/>
          <w:sz w:val="24"/>
          <w:szCs w:val="24"/>
        </w:rPr>
        <w:t>》，</w:t>
      </w:r>
      <w:r>
        <w:rPr>
          <w:rFonts w:hint="eastAsia"/>
          <w:color w:val="000000"/>
          <w:sz w:val="24"/>
          <w:szCs w:val="24"/>
        </w:rPr>
        <w:t>“编制环境影响报告书、环境影响报告表的建设项目竣工后，建设单位应当按照国务院环境保护行政主管部门规定的标准和程序，对配套建设的环境保护设施进行验收，编制验收报告”。</w:t>
      </w:r>
      <w:r>
        <w:rPr>
          <w:rFonts w:hint="eastAsia"/>
          <w:color w:val="000000"/>
          <w:sz w:val="24"/>
          <w:szCs w:val="24"/>
          <w:lang w:eastAsia="zh-CN"/>
        </w:rPr>
        <w:t>中国石油天然气股份有限公司重庆万州销售分公司</w:t>
      </w:r>
      <w:r>
        <w:rPr>
          <w:color w:val="000000"/>
          <w:sz w:val="24"/>
          <w:szCs w:val="24"/>
        </w:rPr>
        <w:t>开展</w:t>
      </w:r>
      <w:r>
        <w:rPr>
          <w:rFonts w:hint="eastAsia"/>
          <w:color w:val="000000"/>
          <w:sz w:val="24"/>
          <w:szCs w:val="24"/>
        </w:rPr>
        <w:t>了</w:t>
      </w:r>
      <w:r>
        <w:rPr>
          <w:rFonts w:hint="eastAsia"/>
          <w:color w:val="000000"/>
          <w:sz w:val="24"/>
          <w:szCs w:val="24"/>
          <w:lang w:eastAsia="zh-CN"/>
        </w:rPr>
        <w:t>中国石油天然气股份有限公司万州金龙加油站新建工程</w:t>
      </w:r>
      <w:r>
        <w:rPr>
          <w:color w:val="000000"/>
          <w:sz w:val="24"/>
          <w:szCs w:val="24"/>
        </w:rPr>
        <w:t>环保设施竣工验收工作。20</w:t>
      </w:r>
      <w:r>
        <w:rPr>
          <w:rFonts w:hint="eastAsia"/>
          <w:color w:val="000000"/>
          <w:sz w:val="24"/>
          <w:szCs w:val="24"/>
          <w:lang w:val="en-US" w:eastAsia="zh-CN"/>
        </w:rPr>
        <w:t>24</w:t>
      </w:r>
      <w:r>
        <w:rPr>
          <w:color w:val="000000"/>
          <w:sz w:val="24"/>
          <w:szCs w:val="24"/>
        </w:rPr>
        <w:t>年</w:t>
      </w:r>
      <w:r>
        <w:rPr>
          <w:rFonts w:hint="eastAsia"/>
          <w:color w:val="000000"/>
          <w:sz w:val="24"/>
          <w:szCs w:val="24"/>
          <w:lang w:val="en-US" w:eastAsia="zh-CN"/>
        </w:rPr>
        <w:t>1</w:t>
      </w:r>
      <w:r>
        <w:rPr>
          <w:color w:val="000000"/>
          <w:sz w:val="24"/>
          <w:szCs w:val="24"/>
        </w:rPr>
        <w:t>月经现场踏勘、查阅资料后，编制了《</w:t>
      </w:r>
      <w:r>
        <w:rPr>
          <w:rFonts w:hint="eastAsia"/>
          <w:color w:val="000000"/>
          <w:sz w:val="24"/>
          <w:szCs w:val="24"/>
          <w:lang w:eastAsia="zh-CN"/>
        </w:rPr>
        <w:t>中国石油天然气股份有限公司万州金龙加油站新建工程</w:t>
      </w:r>
      <w:r>
        <w:rPr>
          <w:color w:val="000000"/>
          <w:sz w:val="24"/>
          <w:szCs w:val="24"/>
        </w:rPr>
        <w:t>竣工环境保护验收监测方案》，</w:t>
      </w:r>
      <w:r>
        <w:rPr>
          <w:rFonts w:hint="eastAsia"/>
          <w:color w:val="000000"/>
          <w:sz w:val="24"/>
          <w:szCs w:val="24"/>
          <w:lang w:eastAsia="zh-CN"/>
        </w:rPr>
        <w:t>中国石油天然气股份有限公司重庆万州销售分公司</w:t>
      </w:r>
      <w:r>
        <w:rPr>
          <w:rFonts w:hint="eastAsia"/>
          <w:color w:val="000000"/>
          <w:sz w:val="24"/>
          <w:szCs w:val="24"/>
        </w:rPr>
        <w:t>委托重庆新晨环境监测有限公司于20</w:t>
      </w:r>
      <w:r>
        <w:rPr>
          <w:rFonts w:hint="eastAsia"/>
          <w:color w:val="000000"/>
          <w:sz w:val="24"/>
          <w:szCs w:val="24"/>
          <w:lang w:val="en-US" w:eastAsia="zh-CN"/>
        </w:rPr>
        <w:t>23</w:t>
      </w:r>
      <w:r>
        <w:rPr>
          <w:rFonts w:hint="eastAsia"/>
          <w:color w:val="000000"/>
          <w:sz w:val="24"/>
          <w:szCs w:val="24"/>
        </w:rPr>
        <w:t>年</w:t>
      </w:r>
      <w:r>
        <w:rPr>
          <w:rFonts w:hint="eastAsia"/>
          <w:color w:val="000000"/>
          <w:sz w:val="24"/>
          <w:szCs w:val="24"/>
          <w:lang w:val="en-US" w:eastAsia="zh-CN"/>
        </w:rPr>
        <w:t>12</w:t>
      </w:r>
      <w:r>
        <w:rPr>
          <w:rFonts w:hint="eastAsia"/>
          <w:color w:val="000000"/>
          <w:sz w:val="24"/>
          <w:szCs w:val="24"/>
        </w:rPr>
        <w:t>月2</w:t>
      </w:r>
      <w:r>
        <w:rPr>
          <w:rFonts w:hint="eastAsia"/>
          <w:color w:val="000000"/>
          <w:sz w:val="24"/>
          <w:szCs w:val="24"/>
          <w:lang w:val="en-US" w:eastAsia="zh-CN"/>
        </w:rPr>
        <w:t>9</w:t>
      </w:r>
      <w:r>
        <w:rPr>
          <w:rFonts w:hint="eastAsia"/>
          <w:color w:val="000000"/>
          <w:sz w:val="24"/>
          <w:szCs w:val="24"/>
        </w:rPr>
        <w:t>-</w:t>
      </w:r>
      <w:r>
        <w:rPr>
          <w:rFonts w:hint="eastAsia"/>
          <w:color w:val="000000"/>
          <w:sz w:val="24"/>
          <w:szCs w:val="24"/>
          <w:lang w:val="en-US" w:eastAsia="zh-CN"/>
        </w:rPr>
        <w:t>30</w:t>
      </w:r>
      <w:r>
        <w:rPr>
          <w:rFonts w:hint="eastAsia"/>
          <w:color w:val="000000"/>
          <w:sz w:val="24"/>
          <w:szCs w:val="24"/>
        </w:rPr>
        <w:t>日</w:t>
      </w:r>
      <w:r>
        <w:rPr>
          <w:color w:val="000000"/>
          <w:sz w:val="24"/>
          <w:szCs w:val="24"/>
        </w:rPr>
        <w:t>对</w:t>
      </w:r>
      <w:r>
        <w:rPr>
          <w:rFonts w:hint="eastAsia"/>
          <w:color w:val="000000"/>
          <w:sz w:val="24"/>
          <w:szCs w:val="24"/>
        </w:rPr>
        <w:t>本</w:t>
      </w:r>
      <w:r>
        <w:rPr>
          <w:color w:val="000000"/>
          <w:sz w:val="24"/>
          <w:szCs w:val="24"/>
        </w:rPr>
        <w:t>项目实施了竣工环保验收的现场监测。根据验收监测结果以及现场环境管理检查结果，编制了《</w:t>
      </w:r>
      <w:r>
        <w:rPr>
          <w:rFonts w:hint="eastAsia"/>
          <w:color w:val="000000"/>
          <w:sz w:val="24"/>
          <w:szCs w:val="24"/>
          <w:lang w:eastAsia="zh-CN"/>
        </w:rPr>
        <w:t>中国石油天然气股份有限公司万州金龙加油站新建工程</w:t>
      </w:r>
      <w:r>
        <w:rPr>
          <w:color w:val="000000"/>
          <w:sz w:val="24"/>
          <w:szCs w:val="24"/>
        </w:rPr>
        <w:t>竣工环境保护验收</w:t>
      </w:r>
      <w:r>
        <w:rPr>
          <w:rFonts w:hint="eastAsia"/>
          <w:color w:val="000000"/>
          <w:sz w:val="24"/>
          <w:szCs w:val="24"/>
        </w:rPr>
        <w:t>监测</w:t>
      </w:r>
      <w:r>
        <w:rPr>
          <w:color w:val="000000"/>
          <w:sz w:val="24"/>
          <w:szCs w:val="24"/>
        </w:rPr>
        <w:t>报告》。</w:t>
      </w:r>
    </w:p>
    <w:p>
      <w:pPr>
        <w:spacing w:line="540" w:lineRule="exact"/>
        <w:ind w:firstLine="480" w:firstLineChars="200"/>
        <w:rPr>
          <w:color w:val="000000"/>
          <w:sz w:val="28"/>
          <w:szCs w:val="28"/>
        </w:rPr>
      </w:pPr>
      <w:r>
        <w:rPr>
          <w:color w:val="000000"/>
          <w:sz w:val="24"/>
          <w:szCs w:val="24"/>
        </w:rPr>
        <w:t>该报告的编制得到了重庆市</w:t>
      </w:r>
      <w:r>
        <w:rPr>
          <w:rFonts w:hint="eastAsia"/>
          <w:color w:val="000000"/>
          <w:sz w:val="24"/>
          <w:szCs w:val="24"/>
          <w:lang w:eastAsia="zh-CN"/>
        </w:rPr>
        <w:t>万州区</w:t>
      </w:r>
      <w:r>
        <w:rPr>
          <w:rFonts w:hint="eastAsia"/>
          <w:color w:val="000000"/>
          <w:sz w:val="24"/>
          <w:szCs w:val="24"/>
        </w:rPr>
        <w:t>生态</w:t>
      </w:r>
      <w:r>
        <w:rPr>
          <w:color w:val="000000"/>
          <w:sz w:val="24"/>
          <w:szCs w:val="24"/>
        </w:rPr>
        <w:t>环境局的大力支持，也得到了</w:t>
      </w:r>
      <w:r>
        <w:rPr>
          <w:rFonts w:hint="eastAsia"/>
          <w:color w:val="000000"/>
          <w:sz w:val="24"/>
          <w:szCs w:val="24"/>
        </w:rPr>
        <w:t>重庆新晨环境监测有限公司</w:t>
      </w:r>
      <w:r>
        <w:rPr>
          <w:color w:val="000000"/>
          <w:sz w:val="24"/>
          <w:szCs w:val="24"/>
        </w:rPr>
        <w:t>的大力配合，在此，一并表示诚挚的谢意！</w:t>
      </w:r>
      <w:r>
        <w:rPr>
          <w:color w:val="000000"/>
          <w:sz w:val="24"/>
          <w:szCs w:val="24"/>
        </w:rPr>
        <w:br w:type="page"/>
      </w:r>
    </w:p>
    <w:p>
      <w:pPr>
        <w:pStyle w:val="61"/>
        <w:spacing w:beforeLines="50"/>
        <w:rPr>
          <w:rFonts w:cs="Times New Roman"/>
          <w:sz w:val="36"/>
        </w:rPr>
      </w:pPr>
      <w:bookmarkStart w:id="12" w:name="_Toc15635"/>
      <w:r>
        <w:rPr>
          <w:rFonts w:hint="eastAsia" w:cs="Times New Roman"/>
          <w:sz w:val="36"/>
        </w:rPr>
        <w:t>2验收依据</w:t>
      </w:r>
      <w:bookmarkEnd w:id="12"/>
    </w:p>
    <w:p>
      <w:pPr>
        <w:pStyle w:val="62"/>
        <w:rPr>
          <w:rFonts w:cs="Times New Roman"/>
          <w:sz w:val="32"/>
        </w:rPr>
      </w:pPr>
      <w:bookmarkStart w:id="13" w:name="_Toc31378"/>
      <w:r>
        <w:rPr>
          <w:rFonts w:hint="eastAsia" w:cs="Times New Roman"/>
          <w:sz w:val="32"/>
        </w:rPr>
        <w:t>2</w:t>
      </w:r>
      <w:r>
        <w:rPr>
          <w:rFonts w:cs="Times New Roman"/>
          <w:sz w:val="32"/>
        </w:rPr>
        <w:t>.1 环境保护有关法规、政策</w:t>
      </w:r>
      <w:bookmarkEnd w:id="13"/>
    </w:p>
    <w:p>
      <w:pPr>
        <w:spacing w:line="540" w:lineRule="exact"/>
        <w:ind w:firstLine="240" w:firstLineChars="1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（1）《中华人民共和国环境保护法》（2015年修订）；</w:t>
      </w:r>
    </w:p>
    <w:p>
      <w:pPr>
        <w:spacing w:line="540" w:lineRule="exact"/>
        <w:ind w:firstLine="240" w:firstLineChars="100"/>
        <w:rPr>
          <w:rFonts w:hint="eastAsia"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（2）《中华人民共和国环境影响评价法》（201</w:t>
      </w: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年修订）；</w:t>
      </w:r>
    </w:p>
    <w:p>
      <w:pPr>
        <w:spacing w:line="540" w:lineRule="exact"/>
        <w:ind w:firstLine="240" w:firstLineChars="1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（3）《中华人民共和国大气污染防治法》（2016年1月1日实施）；</w:t>
      </w:r>
    </w:p>
    <w:p>
      <w:pPr>
        <w:spacing w:line="540" w:lineRule="exact"/>
        <w:ind w:firstLine="240" w:firstLineChars="100"/>
        <w:rPr>
          <w:rFonts w:hint="eastAsia" w:ascii="Times New Roman" w:hAnsi="Times New Roman" w:eastAsia="宋体" w:cs="Times New Roman"/>
          <w:color w:val="000000"/>
          <w:sz w:val="24"/>
          <w:szCs w:val="24"/>
        </w:rPr>
      </w:pPr>
      <w:r>
        <w:rPr>
          <w:rFonts w:ascii="Times New Roman" w:hAnsi="Times New Roman" w:eastAsia="宋体" w:cs="Times New Roman"/>
          <w:color w:val="000000"/>
          <w:sz w:val="24"/>
          <w:szCs w:val="24"/>
        </w:rPr>
        <w:t>（4）《中华人民共和国水污染防治法》（20</w:t>
      </w:r>
      <w:r>
        <w:rPr>
          <w:rFonts w:hint="eastAsia" w:ascii="Times New Roman" w:hAnsi="Times New Roman" w:eastAsia="宋体" w:cs="Times New Roman"/>
          <w:color w:val="000000"/>
          <w:sz w:val="24"/>
          <w:szCs w:val="24"/>
        </w:rPr>
        <w:t>1</w:t>
      </w:r>
      <w:r>
        <w:rPr>
          <w:rFonts w:ascii="Times New Roman" w:hAnsi="Times New Roman" w:eastAsia="宋体" w:cs="Times New Roman"/>
          <w:color w:val="000000"/>
          <w:sz w:val="24"/>
          <w:szCs w:val="24"/>
        </w:rPr>
        <w:t>8年</w:t>
      </w:r>
      <w:r>
        <w:rPr>
          <w:rFonts w:hint="eastAsia" w:ascii="Times New Roman" w:hAnsi="Times New Roman" w:eastAsia="宋体" w:cs="Times New Roman"/>
          <w:color w:val="000000"/>
          <w:sz w:val="24"/>
          <w:szCs w:val="24"/>
        </w:rPr>
        <w:t>1</w:t>
      </w:r>
      <w:r>
        <w:rPr>
          <w:rFonts w:ascii="Times New Roman" w:hAnsi="Times New Roman" w:eastAsia="宋体" w:cs="Times New Roman"/>
          <w:color w:val="000000"/>
          <w:sz w:val="24"/>
          <w:szCs w:val="24"/>
        </w:rPr>
        <w:t>月修订）；</w:t>
      </w:r>
    </w:p>
    <w:p>
      <w:pPr>
        <w:spacing w:line="540" w:lineRule="exact"/>
        <w:ind w:firstLine="240" w:firstLineChars="100"/>
        <w:rPr>
          <w:rFonts w:hint="eastAsia" w:ascii="Times New Roman" w:hAnsi="Times New Roman" w:eastAsia="宋体" w:cs="Times New Roman"/>
          <w:color w:val="000000"/>
          <w:sz w:val="24"/>
          <w:szCs w:val="24"/>
        </w:rPr>
      </w:pPr>
      <w:r>
        <w:rPr>
          <w:rFonts w:ascii="Times New Roman" w:hAnsi="Times New Roman" w:eastAsia="宋体" w:cs="Times New Roman"/>
          <w:color w:val="000000"/>
          <w:sz w:val="24"/>
          <w:szCs w:val="24"/>
        </w:rPr>
        <w:t>（5）《中华人民共和国固体废物污染环境防治法》（20</w:t>
      </w:r>
      <w:r>
        <w:rPr>
          <w:rFonts w:hint="eastAsia" w:ascii="Times New Roman" w:hAnsi="Times New Roman" w:eastAsia="宋体" w:cs="Times New Roman"/>
          <w:color w:val="000000"/>
          <w:sz w:val="24"/>
          <w:szCs w:val="24"/>
          <w:lang w:val="en-US" w:eastAsia="zh-CN"/>
        </w:rPr>
        <w:t>20</w:t>
      </w:r>
      <w:r>
        <w:rPr>
          <w:rFonts w:ascii="Times New Roman" w:hAnsi="Times New Roman" w:eastAsia="宋体" w:cs="Times New Roman"/>
          <w:color w:val="000000"/>
          <w:sz w:val="24"/>
          <w:szCs w:val="24"/>
        </w:rPr>
        <w:t>年</w:t>
      </w:r>
      <w:r>
        <w:rPr>
          <w:rFonts w:hint="eastAsia" w:ascii="Times New Roman" w:hAnsi="Times New Roman" w:eastAsia="宋体" w:cs="Times New Roman"/>
          <w:color w:val="000000"/>
          <w:sz w:val="24"/>
          <w:szCs w:val="24"/>
          <w:lang w:val="en-US" w:eastAsia="zh-CN"/>
        </w:rPr>
        <w:t>9</w:t>
      </w:r>
      <w:r>
        <w:rPr>
          <w:rFonts w:ascii="Times New Roman" w:hAnsi="Times New Roman" w:eastAsia="宋体" w:cs="Times New Roman"/>
          <w:color w:val="000000"/>
          <w:sz w:val="24"/>
          <w:szCs w:val="24"/>
        </w:rPr>
        <w:t>月</w:t>
      </w:r>
      <w:r>
        <w:rPr>
          <w:rFonts w:hint="eastAsia" w:ascii="Times New Roman" w:hAnsi="Times New Roman" w:eastAsia="宋体" w:cs="Times New Roman"/>
          <w:color w:val="000000"/>
          <w:sz w:val="24"/>
          <w:szCs w:val="24"/>
          <w:lang w:val="en-US" w:eastAsia="zh-CN"/>
        </w:rPr>
        <w:t>1</w:t>
      </w:r>
      <w:r>
        <w:rPr>
          <w:rFonts w:ascii="Times New Roman" w:hAnsi="Times New Roman" w:eastAsia="宋体" w:cs="Times New Roman"/>
          <w:color w:val="000000"/>
          <w:sz w:val="24"/>
          <w:szCs w:val="24"/>
        </w:rPr>
        <w:t>日</w:t>
      </w:r>
      <w:r>
        <w:rPr>
          <w:rFonts w:hint="eastAsia" w:ascii="Times New Roman" w:hAnsi="Times New Roman" w:eastAsia="宋体" w:cs="Times New Roman"/>
          <w:color w:val="000000"/>
          <w:sz w:val="24"/>
          <w:szCs w:val="24"/>
          <w:lang w:eastAsia="zh-CN"/>
        </w:rPr>
        <w:t>实施</w:t>
      </w:r>
      <w:r>
        <w:rPr>
          <w:rFonts w:ascii="Times New Roman" w:hAnsi="Times New Roman" w:eastAsia="宋体" w:cs="Times New Roman"/>
          <w:color w:val="000000"/>
          <w:sz w:val="24"/>
          <w:szCs w:val="24"/>
        </w:rPr>
        <w:t>）；</w:t>
      </w:r>
    </w:p>
    <w:p>
      <w:pPr>
        <w:spacing w:line="540" w:lineRule="exact"/>
        <w:ind w:firstLine="240" w:firstLineChars="100"/>
        <w:rPr>
          <w:rFonts w:hint="eastAsia" w:ascii="Times New Roman" w:hAnsi="Times New Roman" w:eastAsia="宋体" w:cs="Times New Roman"/>
          <w:color w:val="000000"/>
          <w:sz w:val="24"/>
          <w:szCs w:val="24"/>
          <w:lang w:eastAsia="zh-CN"/>
        </w:rPr>
      </w:pPr>
      <w:r>
        <w:rPr>
          <w:rFonts w:ascii="Times New Roman" w:hAnsi="Times New Roman" w:eastAsia="宋体" w:cs="Times New Roman"/>
          <w:color w:val="000000"/>
          <w:sz w:val="24"/>
          <w:szCs w:val="24"/>
        </w:rPr>
        <w:t>（6）《中华人民共和国噪声污染防治法》（</w:t>
      </w:r>
      <w:r>
        <w:rPr>
          <w:rFonts w:hint="eastAsia" w:ascii="Times New Roman" w:hAnsi="Times New Roman" w:eastAsia="宋体" w:cs="Times New Roman"/>
          <w:color w:val="000000"/>
          <w:sz w:val="24"/>
          <w:szCs w:val="24"/>
        </w:rPr>
        <w:t>20</w:t>
      </w:r>
      <w:r>
        <w:rPr>
          <w:rFonts w:hint="eastAsia" w:ascii="Times New Roman" w:hAnsi="Times New Roman" w:eastAsia="宋体" w:cs="Times New Roman"/>
          <w:color w:val="000000"/>
          <w:sz w:val="24"/>
          <w:szCs w:val="24"/>
          <w:lang w:val="en-US" w:eastAsia="zh-CN"/>
        </w:rPr>
        <w:t>22</w:t>
      </w:r>
      <w:r>
        <w:rPr>
          <w:rFonts w:ascii="Times New Roman" w:hAnsi="Times New Roman" w:eastAsia="宋体" w:cs="Times New Roman"/>
          <w:color w:val="000000"/>
          <w:sz w:val="24"/>
          <w:szCs w:val="24"/>
        </w:rPr>
        <w:t>年</w:t>
      </w:r>
      <w:r>
        <w:rPr>
          <w:rFonts w:hint="eastAsia" w:ascii="Times New Roman" w:hAnsi="Times New Roman" w:eastAsia="宋体" w:cs="Times New Roman"/>
          <w:color w:val="000000"/>
          <w:sz w:val="24"/>
          <w:szCs w:val="24"/>
          <w:lang w:eastAsia="zh-CN"/>
        </w:rPr>
        <w:t>）。</w:t>
      </w:r>
    </w:p>
    <w:p>
      <w:pPr>
        <w:pStyle w:val="62"/>
        <w:rPr>
          <w:szCs w:val="28"/>
        </w:rPr>
      </w:pPr>
      <w:bookmarkStart w:id="14" w:name="_Toc249167418"/>
      <w:bookmarkStart w:id="15" w:name="_Toc249351090"/>
      <w:bookmarkStart w:id="16" w:name="_Toc341293101"/>
      <w:bookmarkStart w:id="17" w:name="_Toc332553910"/>
      <w:bookmarkStart w:id="18" w:name="_Toc341278416"/>
      <w:bookmarkStart w:id="19" w:name="_Toc305059555"/>
      <w:bookmarkStart w:id="20" w:name="_Toc249179016"/>
      <w:bookmarkStart w:id="21" w:name="_Toc249168133"/>
      <w:bookmarkStart w:id="22" w:name="_Toc280605145"/>
      <w:bookmarkStart w:id="23" w:name="_Toc321042408"/>
      <w:bookmarkStart w:id="24" w:name="_Toc184529243"/>
      <w:bookmarkStart w:id="25" w:name="_Toc341357467"/>
      <w:bookmarkStart w:id="26" w:name="_Toc249179230"/>
      <w:bookmarkStart w:id="27" w:name="_Toc341431720"/>
      <w:bookmarkStart w:id="28" w:name="_Toc4123"/>
      <w:r>
        <w:rPr>
          <w:rFonts w:hint="eastAsia" w:cs="Times New Roman"/>
          <w:sz w:val="32"/>
        </w:rPr>
        <w:t>2</w:t>
      </w:r>
      <w:r>
        <w:rPr>
          <w:rFonts w:cs="Times New Roman"/>
          <w:sz w:val="32"/>
        </w:rPr>
        <w:t xml:space="preserve">.2 </w:t>
      </w:r>
      <w:bookmarkEnd w:id="14"/>
      <w:bookmarkEnd w:id="15"/>
      <w:bookmarkEnd w:id="16"/>
      <w:bookmarkEnd w:id="17"/>
      <w:bookmarkEnd w:id="18"/>
      <w:bookmarkEnd w:id="19"/>
      <w:bookmarkEnd w:id="20"/>
      <w:bookmarkEnd w:id="21"/>
      <w:bookmarkEnd w:id="22"/>
      <w:bookmarkEnd w:id="23"/>
      <w:bookmarkEnd w:id="24"/>
      <w:bookmarkEnd w:id="25"/>
      <w:bookmarkEnd w:id="26"/>
      <w:bookmarkEnd w:id="27"/>
      <w:r>
        <w:rPr>
          <w:rFonts w:hint="eastAsia" w:cs="Times New Roman"/>
          <w:sz w:val="32"/>
        </w:rPr>
        <w:t>建设项目竣工环境保护验收技术规范</w:t>
      </w:r>
      <w:bookmarkEnd w:id="28"/>
    </w:p>
    <w:p>
      <w:pPr>
        <w:spacing w:line="540" w:lineRule="exact"/>
        <w:ind w:firstLine="240" w:firstLineChars="1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（1）《建设项目环境保护管理条例》（国务院令第</w:t>
      </w:r>
      <w:r>
        <w:rPr>
          <w:rFonts w:hint="eastAsia" w:ascii="Times New Roman" w:hAnsi="Times New Roman" w:eastAsia="宋体" w:cs="Times New Roman"/>
          <w:color w:val="000000"/>
          <w:sz w:val="24"/>
          <w:szCs w:val="24"/>
          <w:lang w:val="en-US" w:eastAsia="zh-CN"/>
        </w:rPr>
        <w:t>682</w:t>
      </w:r>
      <w:r>
        <w:rPr>
          <w:rFonts w:hint="eastAsia" w:ascii="Times New Roman" w:hAnsi="Times New Roman" w:eastAsia="宋体" w:cs="Times New Roman"/>
          <w:color w:val="000000"/>
          <w:sz w:val="24"/>
          <w:szCs w:val="24"/>
          <w:lang w:eastAsia="zh-CN"/>
        </w:rPr>
        <w:t>号）；</w:t>
      </w:r>
    </w:p>
    <w:p>
      <w:pPr>
        <w:spacing w:line="540" w:lineRule="exact"/>
        <w:ind w:firstLine="240" w:firstLineChars="1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（2）《建设项目竣工环境保护验收暂行办法》（国环规环评〔2017〕4号）；</w:t>
      </w:r>
    </w:p>
    <w:p>
      <w:pPr>
        <w:spacing w:line="540" w:lineRule="exact"/>
        <w:ind w:firstLine="240" w:firstLineChars="1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（3）《建设项目环境影响评价分类管理名录》（2021年版）；</w:t>
      </w:r>
    </w:p>
    <w:p>
      <w:pPr>
        <w:spacing w:line="540" w:lineRule="exact"/>
        <w:ind w:firstLine="240" w:firstLineChars="1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（4）《突发环境事件应急预案管理暂行办法》环发[2010]113号；</w:t>
      </w:r>
    </w:p>
    <w:p>
      <w:pPr>
        <w:spacing w:line="540" w:lineRule="exact"/>
        <w:ind w:firstLine="240" w:firstLineChars="1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（5）《国务院关于印发水污染防治行动计划的通知》（国发[2015]17号）；</w:t>
      </w:r>
    </w:p>
    <w:p>
      <w:pPr>
        <w:spacing w:line="540" w:lineRule="exact"/>
        <w:ind w:firstLine="240" w:firstLineChars="1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（6） 《建设项目竣工环境保护验收技术指南 污染影响类》（生态环境部公告2018年 第9号）；</w:t>
      </w:r>
    </w:p>
    <w:p>
      <w:pPr>
        <w:spacing w:line="540" w:lineRule="exact"/>
        <w:ind w:firstLine="240" w:firstLineChars="1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（7）重庆市人民代表大会常务委员会公告[2010]第22号《重庆市环境保护条例》（修正）；</w:t>
      </w:r>
    </w:p>
    <w:p>
      <w:pPr>
        <w:spacing w:line="540" w:lineRule="exact"/>
        <w:ind w:firstLine="240" w:firstLineChars="1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（8）重庆市人民政府第270号《重庆市环境噪声污染防治办法》。</w:t>
      </w:r>
    </w:p>
    <w:p>
      <w:pPr>
        <w:pStyle w:val="62"/>
        <w:rPr>
          <w:rFonts w:cs="Times New Roman"/>
          <w:sz w:val="32"/>
        </w:rPr>
      </w:pPr>
      <w:bookmarkStart w:id="29" w:name="_Toc14049"/>
      <w:bookmarkStart w:id="30" w:name="_Toc341431721"/>
      <w:bookmarkStart w:id="31" w:name="_Toc305059556"/>
      <w:bookmarkStart w:id="32" w:name="_Toc341278417"/>
      <w:bookmarkStart w:id="33" w:name="_Toc321042409"/>
      <w:bookmarkStart w:id="34" w:name="_Toc341357468"/>
      <w:bookmarkStart w:id="35" w:name="_Toc332553911"/>
      <w:bookmarkStart w:id="36" w:name="_Toc341293102"/>
      <w:r>
        <w:rPr>
          <w:rFonts w:hint="eastAsia" w:cs="Times New Roman"/>
          <w:sz w:val="32"/>
        </w:rPr>
        <w:t>2</w:t>
      </w:r>
      <w:r>
        <w:rPr>
          <w:rFonts w:cs="Times New Roman"/>
          <w:sz w:val="32"/>
        </w:rPr>
        <w:t>.3建设项目</w:t>
      </w:r>
      <w:r>
        <w:rPr>
          <w:rFonts w:hint="eastAsia" w:cs="Times New Roman"/>
          <w:sz w:val="32"/>
        </w:rPr>
        <w:t>环境影响报告书（表）及审批部门审批决定</w:t>
      </w:r>
      <w:bookmarkEnd w:id="29"/>
    </w:p>
    <w:p>
      <w:pPr>
        <w:spacing w:line="540" w:lineRule="exact"/>
        <w:ind w:firstLine="240" w:firstLineChars="100"/>
        <w:rPr>
          <w:bCs/>
          <w:sz w:val="24"/>
          <w:szCs w:val="24"/>
        </w:rPr>
      </w:pPr>
      <w:r>
        <w:rPr>
          <w:color w:val="000000"/>
          <w:sz w:val="24"/>
          <w:szCs w:val="24"/>
        </w:rPr>
        <w:t>（</w:t>
      </w:r>
      <w:r>
        <w:rPr>
          <w:rFonts w:hint="eastAsia"/>
          <w:color w:val="000000"/>
          <w:sz w:val="24"/>
          <w:szCs w:val="24"/>
        </w:rPr>
        <w:t>1</w:t>
      </w:r>
      <w:r>
        <w:rPr>
          <w:color w:val="000000"/>
          <w:sz w:val="24"/>
          <w:szCs w:val="24"/>
        </w:rPr>
        <w:t>）</w:t>
      </w:r>
      <w:r>
        <w:rPr>
          <w:rFonts w:hint="eastAsia"/>
          <w:color w:val="000000"/>
          <w:sz w:val="24"/>
          <w:szCs w:val="24"/>
          <w:lang w:eastAsia="zh-CN"/>
        </w:rPr>
        <w:t>重庆长嵘环保科技有限公司</w:t>
      </w:r>
      <w:r>
        <w:rPr>
          <w:color w:val="000000"/>
          <w:sz w:val="24"/>
          <w:szCs w:val="24"/>
        </w:rPr>
        <w:t>《</w:t>
      </w:r>
      <w:r>
        <w:rPr>
          <w:rFonts w:hint="eastAsia"/>
          <w:color w:val="000000"/>
          <w:sz w:val="24"/>
          <w:szCs w:val="24"/>
          <w:lang w:eastAsia="zh-CN"/>
        </w:rPr>
        <w:t>中国石油天然气股份有限公司万州金龙加油站新建工程</w:t>
      </w:r>
      <w:r>
        <w:rPr>
          <w:color w:val="000000"/>
          <w:sz w:val="24"/>
          <w:szCs w:val="24"/>
        </w:rPr>
        <w:t>环境影响报告</w:t>
      </w:r>
      <w:r>
        <w:rPr>
          <w:rFonts w:hint="eastAsia"/>
          <w:color w:val="000000"/>
          <w:sz w:val="24"/>
          <w:szCs w:val="24"/>
        </w:rPr>
        <w:t>表</w:t>
      </w:r>
      <w:r>
        <w:rPr>
          <w:color w:val="000000"/>
          <w:sz w:val="24"/>
          <w:szCs w:val="24"/>
        </w:rPr>
        <w:t>》（20</w:t>
      </w:r>
      <w:r>
        <w:rPr>
          <w:rFonts w:hint="eastAsia"/>
          <w:color w:val="000000"/>
          <w:sz w:val="24"/>
          <w:szCs w:val="24"/>
          <w:lang w:val="en-US" w:eastAsia="zh-CN"/>
        </w:rPr>
        <w:t>23</w:t>
      </w:r>
      <w:r>
        <w:rPr>
          <w:color w:val="000000"/>
          <w:sz w:val="24"/>
          <w:szCs w:val="24"/>
        </w:rPr>
        <w:t>.</w:t>
      </w:r>
      <w:r>
        <w:rPr>
          <w:rFonts w:hint="eastAsia"/>
          <w:color w:val="000000"/>
          <w:sz w:val="24"/>
          <w:szCs w:val="24"/>
          <w:lang w:val="en-US" w:eastAsia="zh-CN"/>
        </w:rPr>
        <w:t>6</w:t>
      </w:r>
      <w:r>
        <w:rPr>
          <w:color w:val="000000"/>
          <w:sz w:val="24"/>
          <w:szCs w:val="24"/>
        </w:rPr>
        <w:t>）；</w:t>
      </w:r>
    </w:p>
    <w:p>
      <w:pPr>
        <w:spacing w:line="540" w:lineRule="exact"/>
        <w:ind w:firstLine="240" w:firstLineChars="100"/>
        <w:rPr>
          <w:rFonts w:hint="eastAsia" w:eastAsia="宋体"/>
          <w:color w:val="000000"/>
          <w:sz w:val="24"/>
          <w:szCs w:val="24"/>
          <w:lang w:eastAsia="zh-CN"/>
        </w:rPr>
      </w:pPr>
      <w:r>
        <w:rPr>
          <w:color w:val="000000"/>
          <w:sz w:val="24"/>
          <w:szCs w:val="24"/>
        </w:rPr>
        <w:t>（</w:t>
      </w:r>
      <w:r>
        <w:rPr>
          <w:rFonts w:hint="eastAsia"/>
          <w:color w:val="000000"/>
          <w:sz w:val="24"/>
          <w:szCs w:val="24"/>
        </w:rPr>
        <w:t>2</w:t>
      </w:r>
      <w:r>
        <w:rPr>
          <w:color w:val="000000"/>
          <w:sz w:val="24"/>
          <w:szCs w:val="24"/>
        </w:rPr>
        <w:t>）重庆市</w:t>
      </w:r>
      <w:r>
        <w:rPr>
          <w:rFonts w:hint="eastAsia"/>
          <w:color w:val="000000"/>
          <w:sz w:val="24"/>
          <w:szCs w:val="24"/>
          <w:lang w:eastAsia="zh-CN"/>
        </w:rPr>
        <w:t>万州区</w:t>
      </w:r>
      <w:r>
        <w:rPr>
          <w:rFonts w:hint="eastAsia"/>
          <w:color w:val="000000"/>
          <w:sz w:val="24"/>
          <w:szCs w:val="24"/>
        </w:rPr>
        <w:t>生态</w:t>
      </w:r>
      <w:r>
        <w:rPr>
          <w:color w:val="000000"/>
          <w:sz w:val="24"/>
          <w:szCs w:val="24"/>
        </w:rPr>
        <w:t>环境局（</w:t>
      </w:r>
      <w:r>
        <w:rPr>
          <w:rFonts w:hint="eastAsia"/>
          <w:color w:val="000000"/>
          <w:sz w:val="24"/>
          <w:szCs w:val="24"/>
          <w:lang w:eastAsia="zh-CN"/>
        </w:rPr>
        <w:t>渝（万）环准[2023]038号</w:t>
      </w:r>
      <w:r>
        <w:rPr>
          <w:color w:val="000000"/>
          <w:sz w:val="24"/>
          <w:szCs w:val="24"/>
        </w:rPr>
        <w:t>）《重庆市建设项目环境影响评价文件批准书》（20</w:t>
      </w:r>
      <w:r>
        <w:rPr>
          <w:rFonts w:hint="eastAsia"/>
          <w:color w:val="000000"/>
          <w:sz w:val="24"/>
          <w:szCs w:val="24"/>
          <w:lang w:val="en-US" w:eastAsia="zh-CN"/>
        </w:rPr>
        <w:t>23</w:t>
      </w:r>
      <w:r>
        <w:rPr>
          <w:color w:val="000000"/>
          <w:sz w:val="24"/>
          <w:szCs w:val="24"/>
        </w:rPr>
        <w:t>.</w:t>
      </w:r>
      <w:r>
        <w:rPr>
          <w:rFonts w:hint="eastAsia"/>
          <w:color w:val="000000"/>
          <w:sz w:val="24"/>
          <w:szCs w:val="24"/>
          <w:lang w:val="en-US" w:eastAsia="zh-CN"/>
        </w:rPr>
        <w:t>7</w:t>
      </w:r>
      <w:r>
        <w:rPr>
          <w:color w:val="000000"/>
          <w:sz w:val="24"/>
          <w:szCs w:val="24"/>
        </w:rPr>
        <w:t>）</w:t>
      </w:r>
      <w:r>
        <w:rPr>
          <w:rFonts w:hint="eastAsia"/>
          <w:color w:val="000000"/>
          <w:sz w:val="24"/>
          <w:szCs w:val="24"/>
          <w:lang w:eastAsia="zh-CN"/>
        </w:rPr>
        <w:t>。</w:t>
      </w:r>
    </w:p>
    <w:p>
      <w:pPr>
        <w:spacing w:line="540" w:lineRule="exact"/>
        <w:ind w:firstLine="280" w:firstLineChars="100"/>
        <w:rPr>
          <w:color w:val="000000"/>
          <w:sz w:val="28"/>
          <w:szCs w:val="28"/>
        </w:rPr>
      </w:pPr>
    </w:p>
    <w:p>
      <w:pPr>
        <w:widowControl/>
        <w:jc w:val="left"/>
        <w:rPr>
          <w:color w:val="000000"/>
          <w:sz w:val="28"/>
          <w:szCs w:val="28"/>
        </w:rPr>
      </w:pPr>
      <w:r>
        <w:rPr>
          <w:color w:val="000000"/>
          <w:sz w:val="28"/>
          <w:szCs w:val="28"/>
        </w:rPr>
        <w:br w:type="page"/>
      </w:r>
    </w:p>
    <w:bookmarkEnd w:id="30"/>
    <w:bookmarkEnd w:id="31"/>
    <w:bookmarkEnd w:id="32"/>
    <w:bookmarkEnd w:id="33"/>
    <w:bookmarkEnd w:id="34"/>
    <w:bookmarkEnd w:id="35"/>
    <w:bookmarkEnd w:id="36"/>
    <w:p>
      <w:pPr>
        <w:pStyle w:val="61"/>
        <w:spacing w:beforeLines="50"/>
        <w:rPr>
          <w:rFonts w:cs="Times New Roman"/>
          <w:sz w:val="36"/>
        </w:rPr>
      </w:pPr>
      <w:bookmarkStart w:id="37" w:name="_Toc305059558"/>
      <w:bookmarkStart w:id="38" w:name="_Toc341357470"/>
      <w:bookmarkStart w:id="39" w:name="_Toc332553913"/>
      <w:bookmarkStart w:id="40" w:name="_Toc341431723"/>
      <w:bookmarkStart w:id="41" w:name="_Toc341293104"/>
      <w:bookmarkStart w:id="42" w:name="_Toc321042411"/>
      <w:bookmarkStart w:id="43" w:name="_Toc341278419"/>
      <w:bookmarkStart w:id="44" w:name="_Toc22559"/>
      <w:r>
        <w:rPr>
          <w:rFonts w:hint="eastAsia" w:cs="Times New Roman"/>
          <w:sz w:val="36"/>
        </w:rPr>
        <w:t>3</w:t>
      </w:r>
      <w:bookmarkEnd w:id="37"/>
      <w:bookmarkEnd w:id="38"/>
      <w:bookmarkEnd w:id="39"/>
      <w:bookmarkEnd w:id="40"/>
      <w:bookmarkEnd w:id="41"/>
      <w:bookmarkEnd w:id="42"/>
      <w:bookmarkEnd w:id="43"/>
      <w:r>
        <w:rPr>
          <w:rFonts w:hint="eastAsia" w:cs="Times New Roman"/>
          <w:sz w:val="36"/>
        </w:rPr>
        <w:t>工程建设情况</w:t>
      </w:r>
      <w:bookmarkEnd w:id="44"/>
    </w:p>
    <w:p>
      <w:pPr>
        <w:pStyle w:val="62"/>
        <w:rPr>
          <w:rFonts w:cs="Times New Roman"/>
          <w:sz w:val="32"/>
        </w:rPr>
      </w:pPr>
      <w:bookmarkStart w:id="45" w:name="_Toc341357471"/>
      <w:bookmarkStart w:id="46" w:name="_Toc307902787"/>
      <w:bookmarkStart w:id="47" w:name="_Toc341431724"/>
      <w:bookmarkStart w:id="48" w:name="_Toc341293105"/>
      <w:bookmarkStart w:id="49" w:name="_Toc325099457"/>
      <w:bookmarkStart w:id="50" w:name="_Toc324514075"/>
      <w:bookmarkStart w:id="51" w:name="_Toc341278420"/>
      <w:bookmarkStart w:id="52" w:name="_Toc4255"/>
      <w:bookmarkStart w:id="53" w:name="_Toc305059559"/>
      <w:bookmarkStart w:id="54" w:name="_Toc321042412"/>
      <w:bookmarkStart w:id="55" w:name="_Toc332553914"/>
      <w:r>
        <w:rPr>
          <w:rFonts w:hint="eastAsia" w:cs="Times New Roman"/>
          <w:sz w:val="32"/>
        </w:rPr>
        <w:t>3</w:t>
      </w:r>
      <w:r>
        <w:rPr>
          <w:rFonts w:cs="Times New Roman"/>
          <w:sz w:val="32"/>
        </w:rPr>
        <w:t>.1</w:t>
      </w:r>
      <w:bookmarkEnd w:id="45"/>
      <w:bookmarkEnd w:id="46"/>
      <w:bookmarkEnd w:id="47"/>
      <w:bookmarkEnd w:id="48"/>
      <w:bookmarkEnd w:id="49"/>
      <w:bookmarkEnd w:id="50"/>
      <w:bookmarkEnd w:id="51"/>
      <w:r>
        <w:rPr>
          <w:rFonts w:hint="eastAsia" w:cs="Times New Roman"/>
          <w:sz w:val="32"/>
        </w:rPr>
        <w:t>地理位置及平面布置</w:t>
      </w:r>
      <w:bookmarkEnd w:id="52"/>
    </w:p>
    <w:p>
      <w:pPr>
        <w:spacing w:line="540" w:lineRule="exact"/>
        <w:ind w:firstLine="480" w:firstLineChars="200"/>
        <w:rPr>
          <w:rFonts w:hAnsi="宋体"/>
          <w:sz w:val="24"/>
          <w:szCs w:val="24"/>
        </w:rPr>
      </w:pPr>
      <w:r>
        <w:rPr>
          <w:rFonts w:hint="eastAsia" w:hAnsi="宋体"/>
          <w:sz w:val="24"/>
          <w:szCs w:val="24"/>
          <w:lang w:eastAsia="zh-CN"/>
        </w:rPr>
        <w:t>中国石油天然气股份有限公司万州金龙加油站新建工程</w:t>
      </w:r>
      <w:r>
        <w:rPr>
          <w:rFonts w:hAnsi="宋体"/>
          <w:sz w:val="24"/>
          <w:szCs w:val="24"/>
        </w:rPr>
        <w:t>位于</w:t>
      </w:r>
      <w:r>
        <w:rPr>
          <w:rFonts w:hint="eastAsia" w:hAnsi="宋体"/>
          <w:sz w:val="24"/>
          <w:szCs w:val="24"/>
          <w:lang w:eastAsia="zh-CN"/>
        </w:rPr>
        <w:t>重庆市万州区九池街道大包村8社</w:t>
      </w:r>
      <w:r>
        <w:rPr>
          <w:rFonts w:hint="eastAsia" w:hAnsi="宋体"/>
          <w:sz w:val="24"/>
          <w:szCs w:val="24"/>
        </w:rPr>
        <w:t>。</w:t>
      </w:r>
      <w:r>
        <w:rPr>
          <w:rFonts w:hint="eastAsia" w:hAnsi="宋体"/>
          <w:sz w:val="24"/>
          <w:szCs w:val="24"/>
          <w:lang w:eastAsia="zh-CN"/>
        </w:rPr>
        <w:t>项目西北侧临清泉路，隔路为黄金龙门业和重庆市原野实业有限公司，其余侧为空地</w:t>
      </w:r>
      <w:r>
        <w:rPr>
          <w:rFonts w:hint="eastAsia" w:hAnsi="宋体"/>
          <w:sz w:val="24"/>
          <w:szCs w:val="24"/>
        </w:rPr>
        <w:t>。</w:t>
      </w:r>
      <w:r>
        <w:rPr>
          <w:rFonts w:hAnsi="宋体"/>
          <w:sz w:val="24"/>
          <w:szCs w:val="24"/>
        </w:rPr>
        <w:t>项目地理位置见</w:t>
      </w:r>
      <w:r>
        <w:rPr>
          <w:rFonts w:hint="eastAsia" w:hAnsi="宋体"/>
          <w:sz w:val="24"/>
          <w:szCs w:val="24"/>
        </w:rPr>
        <w:t>附图1。</w:t>
      </w:r>
    </w:p>
    <w:p>
      <w:pPr>
        <w:spacing w:line="540" w:lineRule="exact"/>
        <w:ind w:firstLine="480" w:firstLineChars="200"/>
        <w:rPr>
          <w:rFonts w:hint="eastAsia" w:hAnsi="宋体"/>
          <w:sz w:val="24"/>
          <w:szCs w:val="24"/>
        </w:rPr>
      </w:pPr>
      <w:r>
        <w:rPr>
          <w:rFonts w:hint="eastAsia" w:hAnsi="宋体"/>
          <w:sz w:val="24"/>
          <w:szCs w:val="24"/>
        </w:rPr>
        <w:t>项目为三级加油站，所在地块呈矩形，总体分为加油区、埋地油罐区、站房区等。</w:t>
      </w:r>
    </w:p>
    <w:p>
      <w:pPr>
        <w:spacing w:line="540" w:lineRule="exact"/>
        <w:ind w:firstLine="480" w:firstLineChars="200"/>
        <w:rPr>
          <w:rFonts w:hint="eastAsia" w:hAnsi="宋体"/>
          <w:sz w:val="24"/>
          <w:szCs w:val="24"/>
        </w:rPr>
      </w:pPr>
      <w:r>
        <w:rPr>
          <w:rFonts w:hint="eastAsia" w:hAnsi="宋体"/>
          <w:sz w:val="24"/>
          <w:szCs w:val="24"/>
        </w:rPr>
        <w:t>加油区位于站区中部，设置1座罩棚，布置2座加油岛，设四枪四油品加油机2台；埋地油罐区位于罩棚中间地下，设3个双层FF卧式罐，通气管沿罩棚立柱敷设，管口高出罩棚顶2m，并安装阻火器；卸油区位于站区西南侧；站房位于站区东侧，为1层建筑物，占地面积165.56m</w:t>
      </w:r>
      <w:r>
        <w:rPr>
          <w:rFonts w:hint="eastAsia" w:hAnsi="宋体"/>
          <w:sz w:val="24"/>
          <w:szCs w:val="24"/>
          <w:vertAlign w:val="superscript"/>
        </w:rPr>
        <w:t>2</w:t>
      </w:r>
      <w:r>
        <w:rPr>
          <w:rFonts w:hint="eastAsia" w:hAnsi="宋体"/>
          <w:sz w:val="24"/>
          <w:szCs w:val="24"/>
        </w:rPr>
        <w:t>，建筑面积165.56m</w:t>
      </w:r>
      <w:r>
        <w:rPr>
          <w:rFonts w:hint="eastAsia" w:hAnsi="宋体"/>
          <w:sz w:val="24"/>
          <w:szCs w:val="24"/>
          <w:vertAlign w:val="superscript"/>
        </w:rPr>
        <w:t>2</w:t>
      </w:r>
      <w:r>
        <w:rPr>
          <w:rFonts w:hint="eastAsia" w:hAnsi="宋体"/>
          <w:sz w:val="24"/>
          <w:szCs w:val="24"/>
        </w:rPr>
        <w:t>。建筑结构高度4.82m，设置储藏间、综合办公室、配电间、值班间、便利店、杂物间、卫生间、生活间、淋浴间等。</w:t>
      </w:r>
    </w:p>
    <w:p>
      <w:pPr>
        <w:spacing w:line="540" w:lineRule="exact"/>
        <w:ind w:firstLine="480" w:firstLineChars="200"/>
        <w:rPr>
          <w:rFonts w:hint="eastAsia" w:hAnsi="宋体"/>
          <w:sz w:val="24"/>
          <w:szCs w:val="24"/>
        </w:rPr>
      </w:pPr>
      <w:r>
        <w:rPr>
          <w:rFonts w:hint="eastAsia" w:hAnsi="宋体"/>
          <w:sz w:val="24"/>
          <w:szCs w:val="24"/>
        </w:rPr>
        <w:t>加油站入口位于站区西南侧，出口位于站区西北侧，出入口与清泉路相连，交通便利，便于车辆进出加油。</w:t>
      </w:r>
    </w:p>
    <w:p>
      <w:pPr>
        <w:spacing w:line="540" w:lineRule="exact"/>
        <w:ind w:firstLine="480" w:firstLineChars="200"/>
        <w:rPr>
          <w:rFonts w:hAnsi="宋体"/>
          <w:sz w:val="28"/>
          <w:szCs w:val="28"/>
        </w:rPr>
      </w:pPr>
      <w:r>
        <w:rPr>
          <w:rFonts w:hint="eastAsia" w:hAnsi="宋体"/>
          <w:sz w:val="24"/>
          <w:szCs w:val="24"/>
        </w:rPr>
        <w:t>项目生化池位于站房外北侧，收集处理生活污水；三段式水封隔油池位于站区西北侧，收集处理地面冲洗废水、初期雨水和洗车废水；站区南侧设置危废暂存柜，便于危废的收集转运，站房内设生活垃圾收集箱，便于生活垃圾的收运处置。厂区总平面图见附图2。</w:t>
      </w:r>
      <w:r>
        <w:rPr>
          <w:rFonts w:hAnsi="宋体"/>
          <w:sz w:val="28"/>
          <w:szCs w:val="28"/>
        </w:rPr>
        <w:tab/>
      </w:r>
    </w:p>
    <w:p>
      <w:pPr>
        <w:pStyle w:val="62"/>
        <w:rPr>
          <w:rFonts w:cs="Times New Roman"/>
          <w:sz w:val="32"/>
        </w:rPr>
      </w:pPr>
      <w:bookmarkStart w:id="56" w:name="_Toc15271"/>
      <w:r>
        <w:rPr>
          <w:rFonts w:hint="eastAsia" w:cs="Times New Roman"/>
          <w:sz w:val="32"/>
        </w:rPr>
        <w:t>3</w:t>
      </w:r>
      <w:r>
        <w:rPr>
          <w:rFonts w:cs="Times New Roman"/>
          <w:sz w:val="32"/>
        </w:rPr>
        <w:t>.</w:t>
      </w:r>
      <w:r>
        <w:rPr>
          <w:rFonts w:hint="eastAsia" w:cs="Times New Roman"/>
          <w:sz w:val="32"/>
        </w:rPr>
        <w:t>2建设内容</w:t>
      </w:r>
      <w:bookmarkEnd w:id="56"/>
    </w:p>
    <w:p>
      <w:pPr>
        <w:spacing w:line="540" w:lineRule="exact"/>
        <w:ind w:firstLine="480" w:firstLineChars="200"/>
        <w:rPr>
          <w:rFonts w:hAnsi="宋体"/>
          <w:sz w:val="24"/>
          <w:szCs w:val="24"/>
        </w:rPr>
      </w:pPr>
      <w:r>
        <w:rPr>
          <w:rFonts w:hint="eastAsia" w:hAnsi="宋体"/>
          <w:sz w:val="24"/>
          <w:szCs w:val="24"/>
        </w:rPr>
        <w:t>1、建设内容</w:t>
      </w:r>
    </w:p>
    <w:p>
      <w:pPr>
        <w:spacing w:line="540" w:lineRule="exact"/>
        <w:ind w:firstLine="480" w:firstLineChars="200"/>
        <w:rPr>
          <w:rFonts w:hAnsi="宋体"/>
          <w:sz w:val="24"/>
          <w:szCs w:val="24"/>
        </w:rPr>
      </w:pPr>
      <w:r>
        <w:rPr>
          <w:rFonts w:hint="eastAsia" w:hAnsi="宋体"/>
          <w:sz w:val="24"/>
          <w:szCs w:val="24"/>
          <w:lang w:eastAsia="zh-CN"/>
        </w:rPr>
        <w:t>中国石油天然气股份有限公司万州金龙加油站新建工程</w:t>
      </w:r>
      <w:r>
        <w:rPr>
          <w:rFonts w:hint="eastAsia" w:hAnsi="宋体"/>
          <w:sz w:val="24"/>
          <w:szCs w:val="24"/>
        </w:rPr>
        <w:t>为新建</w:t>
      </w:r>
      <w:r>
        <w:rPr>
          <w:rFonts w:hAnsi="宋体"/>
          <w:sz w:val="24"/>
          <w:szCs w:val="24"/>
        </w:rPr>
        <w:t>项目</w:t>
      </w:r>
      <w:r>
        <w:rPr>
          <w:rFonts w:hint="eastAsia" w:hAnsi="宋体"/>
          <w:sz w:val="24"/>
          <w:szCs w:val="24"/>
        </w:rPr>
        <w:t>。</w:t>
      </w:r>
    </w:p>
    <w:p>
      <w:pPr>
        <w:spacing w:line="540" w:lineRule="exact"/>
        <w:ind w:firstLine="480" w:firstLineChars="200"/>
        <w:rPr>
          <w:rFonts w:hint="eastAsia" w:hAnsi="宋体"/>
          <w:sz w:val="24"/>
          <w:szCs w:val="24"/>
          <w:lang w:eastAsia="zh-CN"/>
        </w:rPr>
      </w:pPr>
      <w:r>
        <w:rPr>
          <w:rFonts w:hint="eastAsia" w:hAnsi="宋体"/>
          <w:sz w:val="24"/>
          <w:szCs w:val="24"/>
        </w:rPr>
        <w:t>占地面积1799.30m</w:t>
      </w:r>
      <w:r>
        <w:rPr>
          <w:rFonts w:hint="eastAsia" w:hAnsi="宋体"/>
          <w:sz w:val="24"/>
          <w:szCs w:val="24"/>
          <w:vertAlign w:val="superscript"/>
        </w:rPr>
        <w:t>2</w:t>
      </w:r>
      <w:r>
        <w:rPr>
          <w:rFonts w:hint="eastAsia" w:hAnsi="宋体"/>
          <w:sz w:val="24"/>
          <w:szCs w:val="24"/>
        </w:rPr>
        <w:t>，总建筑面积322.06m</w:t>
      </w:r>
      <w:r>
        <w:rPr>
          <w:rFonts w:hint="eastAsia" w:hAnsi="宋体"/>
          <w:sz w:val="24"/>
          <w:szCs w:val="24"/>
          <w:vertAlign w:val="superscript"/>
        </w:rPr>
        <w:t>2</w:t>
      </w:r>
      <w:r>
        <w:rPr>
          <w:rFonts w:hint="eastAsia" w:hAnsi="宋体"/>
          <w:sz w:val="24"/>
          <w:szCs w:val="24"/>
        </w:rPr>
        <w:t>。新建双层 FF 卧式罐 3个、2座加油岛、1 座1F 站房和1 座加油罩棚，另配套建设公用设施、环保设施及储运工程等。项目提供洗车服务，配套设置1个通过式洗车区。项目预留充电停车位。项目采用SF双层储罐+防渗罐池，包括1个25m</w:t>
      </w:r>
      <w:r>
        <w:rPr>
          <w:rFonts w:hint="eastAsia" w:hAnsi="宋体"/>
          <w:sz w:val="24"/>
          <w:szCs w:val="24"/>
          <w:vertAlign w:val="superscript"/>
        </w:rPr>
        <w:t>3</w:t>
      </w:r>
      <w:r>
        <w:rPr>
          <w:rFonts w:hint="eastAsia" w:hAnsi="宋体"/>
          <w:sz w:val="24"/>
          <w:szCs w:val="24"/>
        </w:rPr>
        <w:t>的0#柴油罐、1个25m</w:t>
      </w:r>
      <w:r>
        <w:rPr>
          <w:rFonts w:hint="eastAsia" w:hAnsi="宋体"/>
          <w:sz w:val="24"/>
          <w:szCs w:val="24"/>
          <w:vertAlign w:val="superscript"/>
        </w:rPr>
        <w:t>3</w:t>
      </w:r>
      <w:r>
        <w:rPr>
          <w:rFonts w:hint="eastAsia" w:hAnsi="宋体"/>
          <w:sz w:val="24"/>
          <w:szCs w:val="24"/>
        </w:rPr>
        <w:t>的92#汽油罐、1个25m</w:t>
      </w:r>
      <w:r>
        <w:rPr>
          <w:rFonts w:hint="eastAsia" w:hAnsi="宋体"/>
          <w:sz w:val="24"/>
          <w:szCs w:val="24"/>
          <w:vertAlign w:val="superscript"/>
        </w:rPr>
        <w:t>3</w:t>
      </w:r>
      <w:r>
        <w:rPr>
          <w:rFonts w:hint="eastAsia" w:hAnsi="宋体"/>
          <w:sz w:val="24"/>
          <w:szCs w:val="24"/>
        </w:rPr>
        <w:t>的95#汽油罐，油罐总容积 V=62.5m</w:t>
      </w:r>
      <w:r>
        <w:rPr>
          <w:rFonts w:hint="eastAsia" w:hAnsi="宋体"/>
          <w:sz w:val="24"/>
          <w:szCs w:val="24"/>
          <w:vertAlign w:val="superscript"/>
        </w:rPr>
        <w:t>3</w:t>
      </w:r>
      <w:r>
        <w:rPr>
          <w:rFonts w:hint="eastAsia" w:hAnsi="宋体"/>
          <w:sz w:val="24"/>
          <w:szCs w:val="24"/>
        </w:rPr>
        <w:t>（柴油折半计）；安装2台四枪加油机，并配套汽油油气回收系统；加油区（油罐区）等重点区域防渗工程；汽油、柴油运输由中石油万州分公司从6910油库用油罐车配送。项目基本组成见表3-1</w:t>
      </w:r>
      <w:r>
        <w:rPr>
          <w:rFonts w:hint="eastAsia" w:hAnsi="宋体"/>
          <w:sz w:val="24"/>
          <w:szCs w:val="24"/>
          <w:lang w:eastAsia="zh-CN"/>
        </w:rPr>
        <w:t>。</w:t>
      </w:r>
    </w:p>
    <w:p>
      <w:pPr>
        <w:spacing w:line="540" w:lineRule="exact"/>
        <w:jc w:val="center"/>
        <w:rPr>
          <w:rFonts w:hAnsi="宋体"/>
          <w:b/>
          <w:sz w:val="28"/>
          <w:szCs w:val="28"/>
        </w:rPr>
      </w:pPr>
      <w:r>
        <w:rPr>
          <w:rFonts w:hint="eastAsia" w:hAnsi="宋体"/>
          <w:b/>
          <w:sz w:val="24"/>
          <w:szCs w:val="24"/>
        </w:rPr>
        <w:t>表3-1  工程基本组成</w:t>
      </w:r>
    </w:p>
    <w:tbl>
      <w:tblPr>
        <w:tblStyle w:val="26"/>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9"/>
        <w:gridCol w:w="1400"/>
        <w:gridCol w:w="4367"/>
        <w:gridCol w:w="28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059" w:type="dxa"/>
            <w:gridSpan w:val="2"/>
            <w:vAlign w:val="center"/>
          </w:tcPr>
          <w:p>
            <w:pPr>
              <w:jc w:val="center"/>
              <w:rPr>
                <w:rFonts w:hAnsi="宋体"/>
                <w:b/>
                <w:sz w:val="21"/>
                <w:szCs w:val="21"/>
              </w:rPr>
            </w:pPr>
            <w:r>
              <w:rPr>
                <w:rFonts w:hint="eastAsia" w:hAnsi="宋体"/>
                <w:b/>
                <w:sz w:val="21"/>
                <w:szCs w:val="21"/>
              </w:rPr>
              <w:t>项目组成</w:t>
            </w:r>
          </w:p>
        </w:tc>
        <w:tc>
          <w:tcPr>
            <w:tcW w:w="4367" w:type="dxa"/>
            <w:tcBorders>
              <w:right w:val="single" w:color="auto" w:sz="4" w:space="0"/>
            </w:tcBorders>
            <w:vAlign w:val="center"/>
          </w:tcPr>
          <w:p>
            <w:pPr>
              <w:jc w:val="center"/>
              <w:rPr>
                <w:rFonts w:hAnsi="宋体"/>
                <w:b/>
                <w:sz w:val="21"/>
                <w:szCs w:val="21"/>
              </w:rPr>
            </w:pPr>
            <w:r>
              <w:rPr>
                <w:rFonts w:hint="eastAsia" w:hAnsi="宋体"/>
                <w:b/>
                <w:sz w:val="21"/>
                <w:szCs w:val="21"/>
              </w:rPr>
              <w:t>设计建设规模及内容</w:t>
            </w:r>
          </w:p>
        </w:tc>
        <w:tc>
          <w:tcPr>
            <w:tcW w:w="2860" w:type="dxa"/>
            <w:tcBorders>
              <w:left w:val="single" w:color="auto" w:sz="4" w:space="0"/>
            </w:tcBorders>
            <w:vAlign w:val="center"/>
          </w:tcPr>
          <w:p>
            <w:pPr>
              <w:jc w:val="center"/>
              <w:rPr>
                <w:rFonts w:hAnsi="宋体"/>
                <w:b/>
                <w:sz w:val="21"/>
                <w:szCs w:val="21"/>
              </w:rPr>
            </w:pPr>
            <w:r>
              <w:rPr>
                <w:rFonts w:hint="eastAsia" w:hAnsi="宋体"/>
                <w:b/>
                <w:sz w:val="21"/>
                <w:szCs w:val="21"/>
              </w:rPr>
              <w:t>实际建设规模及内容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restart"/>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r>
              <w:rPr>
                <w:bCs/>
                <w:color w:val="auto"/>
                <w:sz w:val="21"/>
                <w:szCs w:val="21"/>
              </w:rPr>
              <w:t>主体工程</w:t>
            </w: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r>
              <w:rPr>
                <w:bCs/>
                <w:color w:val="auto"/>
                <w:sz w:val="21"/>
                <w:szCs w:val="21"/>
              </w:rPr>
              <w:t>埋地油罐区</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rFonts w:hAnsi="宋体"/>
                <w:sz w:val="21"/>
                <w:szCs w:val="21"/>
              </w:rPr>
            </w:pPr>
            <w:r>
              <w:rPr>
                <w:rFonts w:hint="eastAsia"/>
                <w:color w:val="auto"/>
                <w:sz w:val="21"/>
                <w:szCs w:val="21"/>
                <w:lang w:val="en-US" w:eastAsia="zh-CN"/>
              </w:rPr>
              <w:t>位于站区中部，</w:t>
            </w:r>
            <w:r>
              <w:rPr>
                <w:color w:val="auto"/>
                <w:sz w:val="21"/>
                <w:szCs w:val="21"/>
              </w:rPr>
              <w:t>油罐总储量折合为</w:t>
            </w:r>
            <w:r>
              <w:rPr>
                <w:rFonts w:hint="eastAsia"/>
                <w:color w:val="auto"/>
                <w:sz w:val="21"/>
                <w:szCs w:val="21"/>
                <w:lang w:val="en-US" w:eastAsia="zh-CN"/>
              </w:rPr>
              <w:t>62.5</w:t>
            </w:r>
            <w:r>
              <w:rPr>
                <w:color w:val="auto"/>
                <w:sz w:val="21"/>
                <w:szCs w:val="21"/>
              </w:rPr>
              <w:t>m</w:t>
            </w:r>
            <w:r>
              <w:rPr>
                <w:color w:val="auto"/>
                <w:sz w:val="21"/>
                <w:szCs w:val="21"/>
                <w:vertAlign w:val="superscript"/>
              </w:rPr>
              <w:t>3</w:t>
            </w:r>
            <w:r>
              <w:rPr>
                <w:color w:val="auto"/>
                <w:sz w:val="21"/>
                <w:szCs w:val="21"/>
              </w:rPr>
              <w:t>（柴油折半），其中92#汽油罐</w:t>
            </w:r>
            <w:r>
              <w:rPr>
                <w:rFonts w:hint="eastAsia"/>
                <w:color w:val="auto"/>
                <w:sz w:val="21"/>
                <w:szCs w:val="21"/>
                <w:lang w:val="en-US" w:eastAsia="zh-CN"/>
              </w:rPr>
              <w:t>25</w:t>
            </w:r>
            <w:r>
              <w:rPr>
                <w:color w:val="auto"/>
                <w:sz w:val="21"/>
                <w:szCs w:val="21"/>
              </w:rPr>
              <w:t>m</w:t>
            </w:r>
            <w:r>
              <w:rPr>
                <w:color w:val="auto"/>
                <w:sz w:val="21"/>
                <w:szCs w:val="21"/>
                <w:vertAlign w:val="superscript"/>
              </w:rPr>
              <w:t>3</w:t>
            </w:r>
            <w:r>
              <w:rPr>
                <w:color w:val="auto"/>
                <w:sz w:val="21"/>
                <w:szCs w:val="21"/>
              </w:rPr>
              <w:t>×</w:t>
            </w:r>
            <w:r>
              <w:rPr>
                <w:rFonts w:hint="eastAsia"/>
                <w:color w:val="auto"/>
                <w:sz w:val="21"/>
                <w:szCs w:val="21"/>
                <w:lang w:val="en-US" w:eastAsia="zh-CN"/>
              </w:rPr>
              <w:t>1</w:t>
            </w:r>
            <w:r>
              <w:rPr>
                <w:color w:val="auto"/>
                <w:sz w:val="21"/>
                <w:szCs w:val="21"/>
              </w:rPr>
              <w:t>个，95#汽油罐</w:t>
            </w:r>
            <w:r>
              <w:rPr>
                <w:rFonts w:hint="eastAsia"/>
                <w:color w:val="auto"/>
                <w:sz w:val="21"/>
                <w:szCs w:val="21"/>
                <w:lang w:val="en-US" w:eastAsia="zh-CN"/>
              </w:rPr>
              <w:t>25</w:t>
            </w:r>
            <w:r>
              <w:rPr>
                <w:color w:val="auto"/>
                <w:sz w:val="21"/>
                <w:szCs w:val="21"/>
              </w:rPr>
              <w:t>m</w:t>
            </w:r>
            <w:r>
              <w:rPr>
                <w:color w:val="auto"/>
                <w:sz w:val="21"/>
                <w:szCs w:val="21"/>
                <w:vertAlign w:val="superscript"/>
              </w:rPr>
              <w:t>3</w:t>
            </w:r>
            <w:r>
              <w:rPr>
                <w:color w:val="auto"/>
                <w:sz w:val="21"/>
                <w:szCs w:val="21"/>
              </w:rPr>
              <w:t>×1个，0#柴油罐</w:t>
            </w:r>
            <w:r>
              <w:rPr>
                <w:rFonts w:hint="eastAsia"/>
                <w:color w:val="auto"/>
                <w:sz w:val="21"/>
                <w:szCs w:val="21"/>
                <w:lang w:val="en-US" w:eastAsia="zh-CN"/>
              </w:rPr>
              <w:t>25</w:t>
            </w:r>
            <w:r>
              <w:rPr>
                <w:color w:val="auto"/>
                <w:sz w:val="21"/>
                <w:szCs w:val="21"/>
              </w:rPr>
              <w:t>m</w:t>
            </w:r>
            <w:r>
              <w:rPr>
                <w:color w:val="auto"/>
                <w:sz w:val="21"/>
                <w:szCs w:val="21"/>
                <w:vertAlign w:val="superscript"/>
              </w:rPr>
              <w:t>3</w:t>
            </w:r>
            <w:r>
              <w:rPr>
                <w:color w:val="auto"/>
                <w:sz w:val="21"/>
                <w:szCs w:val="21"/>
              </w:rPr>
              <w:t>×</w:t>
            </w:r>
            <w:r>
              <w:rPr>
                <w:rFonts w:hint="eastAsia"/>
                <w:color w:val="auto"/>
                <w:sz w:val="21"/>
                <w:szCs w:val="21"/>
                <w:lang w:val="en-US" w:eastAsia="zh-CN"/>
              </w:rPr>
              <w:t>1</w:t>
            </w:r>
            <w:r>
              <w:rPr>
                <w:color w:val="auto"/>
                <w:sz w:val="21"/>
                <w:szCs w:val="21"/>
              </w:rPr>
              <w:t>个，采用</w:t>
            </w:r>
            <w:r>
              <w:rPr>
                <w:rFonts w:hint="eastAsia"/>
                <w:color w:val="auto"/>
                <w:sz w:val="21"/>
                <w:szCs w:val="21"/>
                <w:lang w:val="en-US" w:eastAsia="zh-CN"/>
              </w:rPr>
              <w:t>双</w:t>
            </w:r>
            <w:r>
              <w:rPr>
                <w:color w:val="auto"/>
                <w:sz w:val="21"/>
                <w:szCs w:val="21"/>
              </w:rPr>
              <w:t>层卧式</w:t>
            </w:r>
            <w:r>
              <w:rPr>
                <w:rFonts w:hint="eastAsia"/>
                <w:color w:val="auto"/>
                <w:sz w:val="21"/>
                <w:szCs w:val="21"/>
                <w:lang w:val="en-US" w:eastAsia="zh-CN"/>
              </w:rPr>
              <w:t>FF</w:t>
            </w:r>
            <w:r>
              <w:rPr>
                <w:color w:val="auto"/>
                <w:sz w:val="21"/>
                <w:szCs w:val="21"/>
              </w:rPr>
              <w:t>埋地油罐结构</w:t>
            </w:r>
            <w:r>
              <w:rPr>
                <w:rFonts w:hint="eastAsia"/>
                <w:color w:val="auto"/>
                <w:sz w:val="21"/>
                <w:szCs w:val="21"/>
                <w:lang w:eastAsia="zh-CN"/>
              </w:rPr>
              <w:t>，</w:t>
            </w:r>
            <w:r>
              <w:rPr>
                <w:rFonts w:hint="eastAsia"/>
                <w:color w:val="auto"/>
                <w:sz w:val="21"/>
                <w:szCs w:val="21"/>
                <w:lang w:val="en-US" w:eastAsia="zh-CN"/>
              </w:rPr>
              <w:t>不设置防渗池</w:t>
            </w:r>
            <w:r>
              <w:rPr>
                <w:rFonts w:hint="eastAsia"/>
                <w:color w:val="auto"/>
                <w:sz w:val="21"/>
                <w:szCs w:val="21"/>
                <w:lang w:eastAsia="zh-CN"/>
              </w:rPr>
              <w:t>。</w:t>
            </w:r>
          </w:p>
        </w:tc>
        <w:tc>
          <w:tcPr>
            <w:tcW w:w="2860" w:type="dxa"/>
            <w:tcBorders>
              <w:left w:val="single" w:color="auto" w:sz="4" w:space="0"/>
            </w:tcBorders>
            <w:vAlign w:val="center"/>
          </w:tcPr>
          <w:p>
            <w:pPr>
              <w:jc w:val="center"/>
              <w:rPr>
                <w:rFonts w:ascii="Times New Roman" w:hAnsi="Times New Roman" w:eastAsia="宋体" w:cs="TimesNewRomanPSMT"/>
                <w:bCs/>
                <w:snapToGrid w:val="0"/>
                <w:color w:val="auto"/>
                <w:kern w:val="0"/>
                <w:sz w:val="21"/>
                <w:szCs w:val="21"/>
                <w:lang w:val="en-US" w:eastAsia="zh-CN" w:bidi="ar-SA"/>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r>
              <w:rPr>
                <w:bCs/>
                <w:color w:val="auto"/>
                <w:sz w:val="21"/>
                <w:szCs w:val="21"/>
              </w:rPr>
              <w:t>加油罩棚</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rFonts w:hAnsi="宋体"/>
                <w:sz w:val="21"/>
                <w:szCs w:val="21"/>
              </w:rPr>
            </w:pPr>
            <w:r>
              <w:rPr>
                <w:rFonts w:hint="eastAsia"/>
                <w:color w:val="auto"/>
                <w:sz w:val="21"/>
                <w:szCs w:val="21"/>
                <w:lang w:val="en-US" w:eastAsia="zh-CN"/>
              </w:rPr>
              <w:t>位于站区中部，</w:t>
            </w:r>
            <w:r>
              <w:rPr>
                <w:color w:val="auto"/>
                <w:sz w:val="21"/>
                <w:szCs w:val="21"/>
              </w:rPr>
              <w:t>型钢结构，建筑面积</w:t>
            </w:r>
            <w:r>
              <w:rPr>
                <w:rFonts w:hint="eastAsia"/>
                <w:color w:val="auto"/>
                <w:sz w:val="21"/>
                <w:szCs w:val="21"/>
                <w:lang w:val="en-US" w:eastAsia="zh-CN"/>
              </w:rPr>
              <w:t>125</w:t>
            </w:r>
            <w:r>
              <w:rPr>
                <w:color w:val="auto"/>
                <w:sz w:val="21"/>
                <w:szCs w:val="21"/>
              </w:rPr>
              <w:t>㎡，柱高6.5m。罩棚下设置</w:t>
            </w:r>
            <w:r>
              <w:rPr>
                <w:rFonts w:hint="eastAsia"/>
                <w:color w:val="auto"/>
                <w:sz w:val="21"/>
                <w:szCs w:val="21"/>
                <w:lang w:val="en-US" w:eastAsia="zh-CN"/>
              </w:rPr>
              <w:t>2</w:t>
            </w:r>
            <w:r>
              <w:rPr>
                <w:color w:val="auto"/>
                <w:sz w:val="21"/>
                <w:szCs w:val="21"/>
              </w:rPr>
              <w:t>个加油岛。设置</w:t>
            </w:r>
            <w:r>
              <w:rPr>
                <w:rFonts w:hint="eastAsia"/>
                <w:color w:val="auto"/>
                <w:sz w:val="21"/>
                <w:szCs w:val="21"/>
                <w:lang w:val="en-US" w:eastAsia="zh-CN"/>
              </w:rPr>
              <w:t>2</w:t>
            </w:r>
            <w:r>
              <w:rPr>
                <w:color w:val="auto"/>
                <w:sz w:val="21"/>
                <w:szCs w:val="21"/>
              </w:rPr>
              <w:t>台</w:t>
            </w:r>
            <w:r>
              <w:rPr>
                <w:rFonts w:hint="eastAsia"/>
                <w:color w:val="auto"/>
                <w:sz w:val="21"/>
                <w:szCs w:val="21"/>
                <w:lang w:val="en-US" w:eastAsia="zh-CN"/>
              </w:rPr>
              <w:t>四</w:t>
            </w:r>
            <w:r>
              <w:rPr>
                <w:color w:val="auto"/>
                <w:sz w:val="21"/>
                <w:szCs w:val="21"/>
              </w:rPr>
              <w:t>枪</w:t>
            </w:r>
            <w:r>
              <w:rPr>
                <w:rFonts w:hint="eastAsia"/>
                <w:color w:val="auto"/>
                <w:sz w:val="21"/>
                <w:szCs w:val="21"/>
                <w:lang w:val="en-US" w:eastAsia="zh-CN"/>
              </w:rPr>
              <w:t>四</w:t>
            </w:r>
            <w:r>
              <w:rPr>
                <w:color w:val="auto"/>
                <w:sz w:val="21"/>
                <w:szCs w:val="21"/>
              </w:rPr>
              <w:t>油品加油机。</w:t>
            </w:r>
          </w:p>
        </w:tc>
        <w:tc>
          <w:tcPr>
            <w:tcW w:w="2860" w:type="dxa"/>
            <w:tcBorders>
              <w:left w:val="single" w:color="auto" w:sz="4" w:space="0"/>
            </w:tcBorders>
            <w:vAlign w:val="center"/>
          </w:tcPr>
          <w:p>
            <w:pPr>
              <w:jc w:val="center"/>
              <w:rPr>
                <w:rFonts w:hAnsi="宋体"/>
                <w:sz w:val="21"/>
                <w:szCs w:val="21"/>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r>
              <w:rPr>
                <w:rFonts w:hint="default" w:eastAsia="宋体"/>
                <w:bCs/>
                <w:color w:val="auto"/>
                <w:sz w:val="21"/>
                <w:szCs w:val="21"/>
                <w:lang w:val="en-US" w:eastAsia="zh-CN"/>
              </w:rPr>
              <w:t>卸油区</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rFonts w:hAnsi="宋体"/>
                <w:sz w:val="21"/>
                <w:szCs w:val="21"/>
              </w:rPr>
            </w:pPr>
            <w:r>
              <w:rPr>
                <w:rFonts w:hint="eastAsia"/>
                <w:color w:val="auto"/>
                <w:sz w:val="21"/>
                <w:szCs w:val="21"/>
                <w:lang w:val="en-US" w:eastAsia="zh-CN"/>
              </w:rPr>
              <w:t>设卸油车位1处，位于项目西南侧，占地面积40m</w:t>
            </w:r>
            <w:r>
              <w:rPr>
                <w:rFonts w:hint="eastAsia"/>
                <w:color w:val="auto"/>
                <w:sz w:val="21"/>
                <w:szCs w:val="21"/>
                <w:vertAlign w:val="superscript"/>
                <w:lang w:val="en-US" w:eastAsia="zh-CN"/>
              </w:rPr>
              <w:t>2</w:t>
            </w:r>
            <w:r>
              <w:rPr>
                <w:rFonts w:hint="eastAsia"/>
                <w:color w:val="auto"/>
                <w:sz w:val="21"/>
                <w:szCs w:val="21"/>
                <w:lang w:val="en-US" w:eastAsia="zh-CN"/>
              </w:rPr>
              <w:t>，设置92#汽油卸油口1个，95#汽油卸油口1个，0#柴油卸油口1个。</w:t>
            </w:r>
          </w:p>
        </w:tc>
        <w:tc>
          <w:tcPr>
            <w:tcW w:w="2860" w:type="dxa"/>
            <w:tcBorders>
              <w:left w:val="single" w:color="auto" w:sz="4" w:space="0"/>
            </w:tcBorders>
            <w:vAlign w:val="center"/>
          </w:tcPr>
          <w:p>
            <w:pPr>
              <w:jc w:val="center"/>
              <w:rPr>
                <w:rFonts w:hAnsi="宋体"/>
                <w:sz w:val="21"/>
                <w:szCs w:val="21"/>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restart"/>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r>
              <w:rPr>
                <w:bCs/>
                <w:color w:val="auto"/>
                <w:sz w:val="21"/>
                <w:szCs w:val="21"/>
              </w:rPr>
              <w:t>辅助工程</w:t>
            </w: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r>
              <w:rPr>
                <w:bCs/>
                <w:color w:val="auto"/>
                <w:sz w:val="21"/>
                <w:szCs w:val="21"/>
              </w:rPr>
              <w:t>综合站房</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rFonts w:hAnsi="宋体"/>
                <w:sz w:val="21"/>
                <w:szCs w:val="21"/>
              </w:rPr>
            </w:pPr>
            <w:r>
              <w:rPr>
                <w:rFonts w:hint="eastAsia"/>
                <w:color w:val="auto"/>
                <w:sz w:val="21"/>
                <w:szCs w:val="21"/>
                <w:lang w:val="en-US" w:eastAsia="zh-CN"/>
              </w:rPr>
              <w:t>位于站区东侧，</w:t>
            </w:r>
            <w:r>
              <w:rPr>
                <w:color w:val="auto"/>
                <w:sz w:val="21"/>
                <w:szCs w:val="21"/>
              </w:rPr>
              <w:t>站房为</w:t>
            </w:r>
            <w:r>
              <w:rPr>
                <w:rFonts w:hint="eastAsia"/>
                <w:color w:val="auto"/>
                <w:sz w:val="21"/>
                <w:szCs w:val="21"/>
                <w:lang w:val="en-US" w:eastAsia="zh-CN"/>
              </w:rPr>
              <w:t>1</w:t>
            </w:r>
            <w:r>
              <w:rPr>
                <w:color w:val="auto"/>
                <w:sz w:val="21"/>
                <w:szCs w:val="21"/>
              </w:rPr>
              <w:t>层建筑物，占地面积</w:t>
            </w:r>
            <w:r>
              <w:rPr>
                <w:rFonts w:hint="eastAsia"/>
                <w:color w:val="auto"/>
                <w:sz w:val="21"/>
                <w:szCs w:val="21"/>
                <w:lang w:val="en-US" w:eastAsia="zh-CN"/>
              </w:rPr>
              <w:t>165.56m</w:t>
            </w:r>
            <w:r>
              <w:rPr>
                <w:rFonts w:hint="eastAsia"/>
                <w:color w:val="auto"/>
                <w:sz w:val="21"/>
                <w:szCs w:val="21"/>
                <w:vertAlign w:val="superscript"/>
                <w:lang w:val="en-US" w:eastAsia="zh-CN"/>
              </w:rPr>
              <w:t>2</w:t>
            </w:r>
            <w:r>
              <w:rPr>
                <w:color w:val="auto"/>
                <w:sz w:val="21"/>
                <w:szCs w:val="21"/>
              </w:rPr>
              <w:t>，建筑面积</w:t>
            </w:r>
            <w:r>
              <w:rPr>
                <w:rFonts w:hint="eastAsia"/>
                <w:color w:val="auto"/>
                <w:sz w:val="21"/>
                <w:szCs w:val="21"/>
                <w:lang w:val="en-US" w:eastAsia="zh-CN"/>
              </w:rPr>
              <w:t>165.56m</w:t>
            </w:r>
            <w:r>
              <w:rPr>
                <w:rFonts w:hint="eastAsia"/>
                <w:color w:val="auto"/>
                <w:sz w:val="21"/>
                <w:szCs w:val="21"/>
                <w:vertAlign w:val="superscript"/>
                <w:lang w:val="en-US" w:eastAsia="zh-CN"/>
              </w:rPr>
              <w:t>2</w:t>
            </w:r>
            <w:r>
              <w:rPr>
                <w:color w:val="auto"/>
                <w:sz w:val="21"/>
                <w:szCs w:val="21"/>
              </w:rPr>
              <w:t>。建筑结构高度</w:t>
            </w:r>
            <w:r>
              <w:rPr>
                <w:rFonts w:hint="eastAsia"/>
                <w:color w:val="auto"/>
                <w:sz w:val="21"/>
                <w:szCs w:val="21"/>
                <w:lang w:val="en-US" w:eastAsia="zh-CN"/>
              </w:rPr>
              <w:t>3.9</w:t>
            </w:r>
            <w:r>
              <w:rPr>
                <w:color w:val="auto"/>
                <w:sz w:val="21"/>
                <w:szCs w:val="21"/>
              </w:rPr>
              <w:t>m，设置</w:t>
            </w:r>
            <w:r>
              <w:rPr>
                <w:rFonts w:hint="eastAsia"/>
                <w:color w:val="auto"/>
                <w:sz w:val="21"/>
                <w:szCs w:val="21"/>
              </w:rPr>
              <w:t>储藏间、</w:t>
            </w:r>
            <w:r>
              <w:rPr>
                <w:rFonts w:hint="eastAsia"/>
                <w:color w:val="auto"/>
                <w:sz w:val="21"/>
                <w:szCs w:val="21"/>
                <w:lang w:val="en-US" w:eastAsia="zh-CN"/>
              </w:rPr>
              <w:t>综合办公室</w:t>
            </w:r>
            <w:r>
              <w:rPr>
                <w:rFonts w:hint="eastAsia"/>
                <w:color w:val="auto"/>
                <w:sz w:val="21"/>
                <w:szCs w:val="21"/>
              </w:rPr>
              <w:t>、配电间、</w:t>
            </w:r>
            <w:r>
              <w:rPr>
                <w:rFonts w:hint="eastAsia"/>
                <w:color w:val="auto"/>
                <w:sz w:val="21"/>
                <w:szCs w:val="21"/>
                <w:lang w:eastAsia="zh-CN"/>
              </w:rPr>
              <w:t>值班</w:t>
            </w:r>
            <w:r>
              <w:rPr>
                <w:rFonts w:hint="eastAsia"/>
                <w:color w:val="auto"/>
                <w:sz w:val="21"/>
                <w:szCs w:val="21"/>
                <w:lang w:val="en-US" w:eastAsia="zh-CN"/>
              </w:rPr>
              <w:t>间</w:t>
            </w:r>
            <w:r>
              <w:rPr>
                <w:rFonts w:hint="eastAsia"/>
                <w:color w:val="auto"/>
                <w:sz w:val="21"/>
                <w:szCs w:val="21"/>
                <w:lang w:eastAsia="zh-CN"/>
              </w:rPr>
              <w:t>、</w:t>
            </w:r>
            <w:r>
              <w:rPr>
                <w:rFonts w:hint="eastAsia"/>
                <w:color w:val="auto"/>
                <w:sz w:val="21"/>
                <w:szCs w:val="21"/>
              </w:rPr>
              <w:t>便利店、</w:t>
            </w:r>
            <w:r>
              <w:rPr>
                <w:rFonts w:hint="eastAsia"/>
                <w:color w:val="auto"/>
                <w:sz w:val="21"/>
                <w:szCs w:val="21"/>
                <w:lang w:val="en-US" w:eastAsia="zh-CN"/>
              </w:rPr>
              <w:t>杂物</w:t>
            </w:r>
            <w:r>
              <w:rPr>
                <w:rFonts w:hint="eastAsia"/>
                <w:color w:val="auto"/>
                <w:sz w:val="21"/>
                <w:szCs w:val="21"/>
              </w:rPr>
              <w:t>间</w:t>
            </w:r>
            <w:r>
              <w:rPr>
                <w:color w:val="auto"/>
                <w:sz w:val="21"/>
                <w:szCs w:val="21"/>
              </w:rPr>
              <w:t>、卫生间</w:t>
            </w:r>
            <w:r>
              <w:rPr>
                <w:rFonts w:hint="eastAsia"/>
                <w:color w:val="auto"/>
                <w:sz w:val="21"/>
                <w:szCs w:val="21"/>
                <w:lang w:eastAsia="zh-CN"/>
              </w:rPr>
              <w:t>、生活</w:t>
            </w:r>
            <w:r>
              <w:rPr>
                <w:rFonts w:hint="eastAsia"/>
                <w:color w:val="auto"/>
                <w:sz w:val="21"/>
                <w:szCs w:val="21"/>
                <w:lang w:val="en-US" w:eastAsia="zh-CN"/>
              </w:rPr>
              <w:t>间</w:t>
            </w:r>
            <w:r>
              <w:rPr>
                <w:rFonts w:hint="eastAsia"/>
                <w:color w:val="auto"/>
                <w:sz w:val="21"/>
                <w:szCs w:val="21"/>
                <w:lang w:eastAsia="zh-CN"/>
              </w:rPr>
              <w:t>、淋浴间</w:t>
            </w:r>
            <w:r>
              <w:rPr>
                <w:color w:val="auto"/>
                <w:sz w:val="21"/>
                <w:szCs w:val="21"/>
              </w:rPr>
              <w:t>等。</w:t>
            </w:r>
          </w:p>
        </w:tc>
        <w:tc>
          <w:tcPr>
            <w:tcW w:w="2860" w:type="dxa"/>
            <w:tcBorders>
              <w:left w:val="single" w:color="auto" w:sz="4" w:space="0"/>
            </w:tcBorders>
            <w:vAlign w:val="center"/>
          </w:tcPr>
          <w:p>
            <w:pPr>
              <w:jc w:val="center"/>
              <w:rPr>
                <w:rFonts w:hAnsi="宋体"/>
                <w:sz w:val="21"/>
                <w:szCs w:val="21"/>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r>
              <w:rPr>
                <w:rFonts w:hint="eastAsia"/>
                <w:bCs/>
                <w:color w:val="auto"/>
                <w:sz w:val="21"/>
                <w:szCs w:val="21"/>
              </w:rPr>
              <w:t>配电</w:t>
            </w:r>
            <w:r>
              <w:rPr>
                <w:rFonts w:hint="eastAsia"/>
                <w:bCs/>
                <w:color w:val="auto"/>
                <w:sz w:val="21"/>
                <w:szCs w:val="21"/>
                <w:lang w:val="en-US" w:eastAsia="zh-CN"/>
              </w:rPr>
              <w:t>间</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rFonts w:hAnsi="宋体"/>
                <w:sz w:val="21"/>
                <w:szCs w:val="21"/>
              </w:rPr>
            </w:pPr>
            <w:r>
              <w:rPr>
                <w:rFonts w:hint="eastAsia"/>
                <w:color w:val="auto"/>
                <w:sz w:val="21"/>
                <w:szCs w:val="21"/>
                <w:lang w:val="en-US" w:eastAsia="zh-CN"/>
              </w:rPr>
              <w:t>配电室1间，设于站房内，建筑面积8.8m</w:t>
            </w:r>
            <w:r>
              <w:rPr>
                <w:rFonts w:hint="eastAsia"/>
                <w:color w:val="auto"/>
                <w:sz w:val="21"/>
                <w:szCs w:val="21"/>
                <w:vertAlign w:val="superscript"/>
                <w:lang w:val="en-US" w:eastAsia="zh-CN"/>
              </w:rPr>
              <w:t>2</w:t>
            </w:r>
            <w:r>
              <w:rPr>
                <w:rFonts w:hint="eastAsia"/>
                <w:color w:val="auto"/>
                <w:sz w:val="21"/>
                <w:szCs w:val="21"/>
                <w:lang w:val="en-US" w:eastAsia="zh-CN"/>
              </w:rPr>
              <w:t>，同时内设1台30kW的柴油发电机作为备用电源</w:t>
            </w:r>
            <w:r>
              <w:rPr>
                <w:color w:val="auto"/>
                <w:sz w:val="21"/>
                <w:szCs w:val="21"/>
              </w:rPr>
              <w:t>。</w:t>
            </w:r>
          </w:p>
        </w:tc>
        <w:tc>
          <w:tcPr>
            <w:tcW w:w="2860" w:type="dxa"/>
            <w:tcBorders>
              <w:left w:val="single" w:color="auto" w:sz="4" w:space="0"/>
            </w:tcBorders>
            <w:vAlign w:val="center"/>
          </w:tcPr>
          <w:p>
            <w:pPr>
              <w:jc w:val="center"/>
              <w:rPr>
                <w:rFonts w:hint="eastAsia" w:hAnsi="宋体" w:eastAsia="宋体"/>
                <w:sz w:val="21"/>
                <w:szCs w:val="21"/>
                <w:lang w:eastAsia="zh-CN"/>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r>
              <w:rPr>
                <w:rFonts w:hint="eastAsia"/>
                <w:bCs/>
                <w:color w:val="auto"/>
                <w:sz w:val="21"/>
                <w:szCs w:val="21"/>
                <w:lang w:val="en-US" w:eastAsia="zh-CN"/>
              </w:rPr>
              <w:t>变压器</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rFonts w:hAnsi="宋体"/>
                <w:sz w:val="21"/>
                <w:szCs w:val="21"/>
              </w:rPr>
            </w:pPr>
            <w:r>
              <w:rPr>
                <w:rFonts w:hint="eastAsia"/>
                <w:color w:val="auto"/>
                <w:sz w:val="21"/>
                <w:szCs w:val="21"/>
                <w:lang w:val="en-US" w:eastAsia="zh-CN"/>
              </w:rPr>
              <w:t>设置1个箱式油浸式变压器，位于厂区南侧，配电电压为AC380/220V。</w:t>
            </w:r>
          </w:p>
        </w:tc>
        <w:tc>
          <w:tcPr>
            <w:tcW w:w="2860" w:type="dxa"/>
            <w:tcBorders>
              <w:left w:val="single" w:color="auto" w:sz="4" w:space="0"/>
            </w:tcBorders>
            <w:vAlign w:val="center"/>
          </w:tcPr>
          <w:p>
            <w:pPr>
              <w:jc w:val="center"/>
              <w:rPr>
                <w:rFonts w:hAnsi="宋体"/>
                <w:sz w:val="21"/>
                <w:szCs w:val="21"/>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r>
              <w:rPr>
                <w:color w:val="auto"/>
                <w:sz w:val="21"/>
                <w:szCs w:val="21"/>
              </w:rPr>
              <w:t>监控系统</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rFonts w:hint="eastAsia" w:ascii="Times New Roman" w:hAnsi="Times New Roman" w:eastAsia="宋体" w:cs="Times New Roman"/>
                <w:bCs w:val="0"/>
                <w:snapToGrid/>
                <w:color w:val="auto"/>
                <w:kern w:val="2"/>
                <w:sz w:val="21"/>
                <w:szCs w:val="21"/>
                <w:lang w:val="en-US" w:eastAsia="zh-CN" w:bidi="ar-SA"/>
              </w:rPr>
            </w:pPr>
            <w:r>
              <w:rPr>
                <w:color w:val="auto"/>
                <w:sz w:val="21"/>
                <w:szCs w:val="21"/>
              </w:rPr>
              <w:t>站内设有仪表值班室，监控加油枪数据；油罐设置液位仪系统，检测油罐液位状态；站内关键部位设置视频摄像机</w:t>
            </w:r>
            <w:r>
              <w:rPr>
                <w:rFonts w:hint="eastAsia"/>
                <w:color w:val="auto"/>
                <w:sz w:val="21"/>
                <w:szCs w:val="21"/>
                <w:lang w:eastAsia="zh-CN"/>
              </w:rPr>
              <w:t>。</w:t>
            </w:r>
          </w:p>
        </w:tc>
        <w:tc>
          <w:tcPr>
            <w:tcW w:w="2860" w:type="dxa"/>
            <w:tcBorders>
              <w:left w:val="single" w:color="auto" w:sz="4" w:space="0"/>
            </w:tcBorders>
            <w:vAlign w:val="center"/>
          </w:tcPr>
          <w:p>
            <w:pPr>
              <w:jc w:val="center"/>
              <w:rPr>
                <w:rFonts w:hint="eastAsia" w:ascii="Times New Roman" w:hAnsi="Times New Roman" w:eastAsia="宋体" w:cs="Times New Roman"/>
                <w:bCs w:val="0"/>
                <w:snapToGrid/>
                <w:color w:val="auto"/>
                <w:kern w:val="2"/>
                <w:sz w:val="21"/>
                <w:szCs w:val="21"/>
                <w:lang w:val="en-US" w:eastAsia="zh-CN" w:bidi="ar-SA"/>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r>
              <w:rPr>
                <w:rFonts w:hint="eastAsia"/>
                <w:bCs/>
                <w:color w:val="auto"/>
                <w:sz w:val="21"/>
                <w:szCs w:val="21"/>
                <w:lang w:val="en-US" w:eastAsia="zh-CN"/>
              </w:rPr>
              <w:t>洗车区</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rFonts w:hAnsi="宋体"/>
                <w:sz w:val="21"/>
                <w:szCs w:val="21"/>
              </w:rPr>
            </w:pPr>
            <w:r>
              <w:rPr>
                <w:rFonts w:hint="eastAsia"/>
                <w:color w:val="auto"/>
                <w:sz w:val="21"/>
                <w:szCs w:val="21"/>
              </w:rPr>
              <w:t>设置</w:t>
            </w:r>
            <w:r>
              <w:rPr>
                <w:rFonts w:hint="eastAsia"/>
                <w:color w:val="auto"/>
                <w:sz w:val="21"/>
                <w:szCs w:val="21"/>
                <w:lang w:val="en-US" w:eastAsia="zh-CN"/>
              </w:rPr>
              <w:t>1</w:t>
            </w:r>
            <w:r>
              <w:rPr>
                <w:rFonts w:hint="eastAsia"/>
                <w:color w:val="auto"/>
                <w:sz w:val="21"/>
                <w:szCs w:val="21"/>
              </w:rPr>
              <w:t>台</w:t>
            </w:r>
            <w:r>
              <w:rPr>
                <w:rFonts w:hint="eastAsia"/>
                <w:color w:val="auto"/>
                <w:sz w:val="21"/>
                <w:szCs w:val="21"/>
                <w:lang w:val="en-US" w:eastAsia="zh-CN"/>
              </w:rPr>
              <w:t>通过</w:t>
            </w:r>
            <w:r>
              <w:rPr>
                <w:rFonts w:hint="eastAsia"/>
                <w:color w:val="auto"/>
                <w:sz w:val="21"/>
                <w:szCs w:val="21"/>
              </w:rPr>
              <w:t>式自动洗车机，位于厂区</w:t>
            </w:r>
            <w:r>
              <w:rPr>
                <w:rFonts w:hint="eastAsia"/>
                <w:color w:val="auto"/>
                <w:sz w:val="21"/>
                <w:szCs w:val="21"/>
                <w:lang w:val="en-US" w:eastAsia="zh-CN"/>
              </w:rPr>
              <w:t>北</w:t>
            </w:r>
            <w:r>
              <w:rPr>
                <w:rFonts w:hint="eastAsia"/>
                <w:color w:val="auto"/>
                <w:sz w:val="21"/>
                <w:szCs w:val="21"/>
              </w:rPr>
              <w:t>侧，用于过往车辆清洗</w:t>
            </w:r>
            <w:r>
              <w:rPr>
                <w:rFonts w:hint="eastAsia"/>
                <w:color w:val="auto"/>
                <w:sz w:val="21"/>
                <w:szCs w:val="21"/>
                <w:lang w:eastAsia="zh-CN"/>
              </w:rPr>
              <w:t>。</w:t>
            </w:r>
          </w:p>
        </w:tc>
        <w:tc>
          <w:tcPr>
            <w:tcW w:w="2860" w:type="dxa"/>
            <w:tcBorders>
              <w:left w:val="single" w:color="auto" w:sz="4" w:space="0"/>
            </w:tcBorders>
            <w:vAlign w:val="center"/>
          </w:tcPr>
          <w:p>
            <w:pPr>
              <w:jc w:val="center"/>
              <w:rPr>
                <w:rFonts w:hAnsi="宋体"/>
                <w:sz w:val="21"/>
                <w:szCs w:val="21"/>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r>
              <w:rPr>
                <w:rFonts w:hint="eastAsia"/>
                <w:color w:val="auto"/>
                <w:sz w:val="21"/>
                <w:szCs w:val="21"/>
                <w:lang w:val="en-US" w:eastAsia="zh-CN"/>
              </w:rPr>
              <w:t>充电停车位</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rFonts w:hAnsi="宋体"/>
                <w:sz w:val="21"/>
                <w:szCs w:val="21"/>
              </w:rPr>
            </w:pPr>
            <w:r>
              <w:rPr>
                <w:rFonts w:hint="eastAsia"/>
                <w:color w:val="auto"/>
                <w:sz w:val="21"/>
                <w:szCs w:val="21"/>
                <w:lang w:val="en-US" w:eastAsia="zh-CN"/>
              </w:rPr>
              <w:t>预留2个充电停车位，位于厂区东北侧，占地面积24m</w:t>
            </w:r>
            <w:r>
              <w:rPr>
                <w:rFonts w:hint="eastAsia"/>
                <w:color w:val="auto"/>
                <w:sz w:val="21"/>
                <w:szCs w:val="21"/>
                <w:vertAlign w:val="superscript"/>
                <w:lang w:val="en-US" w:eastAsia="zh-CN"/>
              </w:rPr>
              <w:t>2</w:t>
            </w:r>
            <w:r>
              <w:rPr>
                <w:rFonts w:hint="eastAsia"/>
                <w:color w:val="auto"/>
                <w:sz w:val="21"/>
                <w:szCs w:val="21"/>
                <w:lang w:val="en-US" w:eastAsia="zh-CN"/>
              </w:rPr>
              <w:t>，用作往来电动车充电。</w:t>
            </w:r>
          </w:p>
        </w:tc>
        <w:tc>
          <w:tcPr>
            <w:tcW w:w="2860" w:type="dxa"/>
            <w:tcBorders>
              <w:left w:val="single" w:color="auto" w:sz="4" w:space="0"/>
            </w:tcBorders>
            <w:vAlign w:val="center"/>
          </w:tcPr>
          <w:p>
            <w:pPr>
              <w:jc w:val="center"/>
              <w:rPr>
                <w:rFonts w:hAnsi="宋体"/>
                <w:sz w:val="21"/>
                <w:szCs w:val="21"/>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restart"/>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r>
              <w:rPr>
                <w:bCs/>
                <w:color w:val="auto"/>
                <w:sz w:val="21"/>
                <w:szCs w:val="21"/>
              </w:rPr>
              <w:t>公用工程</w:t>
            </w: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r>
              <w:rPr>
                <w:bCs/>
                <w:color w:val="auto"/>
                <w:sz w:val="21"/>
                <w:szCs w:val="21"/>
              </w:rPr>
              <w:t>供水</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rFonts w:hAnsi="宋体"/>
                <w:sz w:val="21"/>
                <w:szCs w:val="21"/>
              </w:rPr>
            </w:pPr>
            <w:r>
              <w:rPr>
                <w:bCs/>
                <w:color w:val="auto"/>
                <w:sz w:val="21"/>
                <w:szCs w:val="21"/>
              </w:rPr>
              <w:t>由</w:t>
            </w:r>
            <w:r>
              <w:rPr>
                <w:rFonts w:hint="eastAsia"/>
                <w:bCs/>
                <w:color w:val="auto"/>
                <w:sz w:val="21"/>
                <w:szCs w:val="21"/>
                <w:lang w:val="en-US" w:eastAsia="zh-CN"/>
              </w:rPr>
              <w:t>市政</w:t>
            </w:r>
            <w:r>
              <w:rPr>
                <w:bCs/>
                <w:color w:val="auto"/>
                <w:sz w:val="21"/>
                <w:szCs w:val="21"/>
              </w:rPr>
              <w:t>给水管网供水</w:t>
            </w:r>
            <w:r>
              <w:rPr>
                <w:rFonts w:hint="eastAsia"/>
                <w:bCs/>
                <w:color w:val="auto"/>
                <w:sz w:val="21"/>
                <w:szCs w:val="21"/>
                <w:lang w:eastAsia="zh-CN"/>
              </w:rPr>
              <w:t>。</w:t>
            </w:r>
          </w:p>
        </w:tc>
        <w:tc>
          <w:tcPr>
            <w:tcW w:w="2860" w:type="dxa"/>
            <w:tcBorders>
              <w:left w:val="single" w:color="auto" w:sz="4" w:space="0"/>
            </w:tcBorders>
            <w:vAlign w:val="center"/>
          </w:tcPr>
          <w:p>
            <w:pPr>
              <w:jc w:val="center"/>
              <w:rPr>
                <w:rFonts w:hAnsi="宋体"/>
                <w:sz w:val="21"/>
                <w:szCs w:val="21"/>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r>
              <w:rPr>
                <w:bCs/>
                <w:color w:val="auto"/>
                <w:sz w:val="21"/>
                <w:szCs w:val="21"/>
              </w:rPr>
              <w:t>排水</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textAlignment w:val="auto"/>
              <w:rPr>
                <w:rFonts w:hAnsi="宋体"/>
                <w:sz w:val="21"/>
                <w:szCs w:val="21"/>
              </w:rPr>
            </w:pPr>
            <w:r>
              <w:rPr>
                <w:rFonts w:hint="eastAsia"/>
                <w:color w:val="auto"/>
                <w:sz w:val="21"/>
                <w:szCs w:val="21"/>
              </w:rPr>
              <w:t>采用雨污分流制，</w:t>
            </w:r>
            <w:r>
              <w:rPr>
                <w:rFonts w:hint="eastAsia"/>
                <w:color w:val="auto"/>
                <w:sz w:val="21"/>
                <w:szCs w:val="21"/>
                <w:lang w:eastAsia="zh-CN"/>
              </w:rPr>
              <w:t>地面冲洗废水、初期雨水、洗车废水经三段式水封隔油池</w:t>
            </w:r>
            <w:r>
              <w:rPr>
                <w:rFonts w:hint="eastAsia"/>
                <w:color w:val="auto"/>
                <w:sz w:val="21"/>
                <w:szCs w:val="21"/>
              </w:rPr>
              <w:t>处理达《污水综合排放标准》（GB8978-1996）三级标准后与经生化池处理达《污水综合排放标准》（GB8978-1996）三级标准后</w:t>
            </w:r>
            <w:r>
              <w:rPr>
                <w:rFonts w:hint="eastAsia"/>
                <w:color w:val="auto"/>
                <w:sz w:val="21"/>
                <w:szCs w:val="21"/>
                <w:lang w:val="en-US" w:eastAsia="zh-CN"/>
              </w:rPr>
              <w:t>的</w:t>
            </w:r>
            <w:r>
              <w:rPr>
                <w:rFonts w:hint="eastAsia"/>
                <w:color w:val="auto"/>
                <w:sz w:val="21"/>
                <w:szCs w:val="21"/>
              </w:rPr>
              <w:t>生活污水一起通过同一排口</w:t>
            </w:r>
            <w:r>
              <w:rPr>
                <w:rFonts w:hint="eastAsia"/>
                <w:color w:val="auto"/>
                <w:sz w:val="21"/>
                <w:szCs w:val="21"/>
                <w:lang w:val="en-US" w:eastAsia="zh-CN"/>
              </w:rPr>
              <w:t>进入市政污水管网再</w:t>
            </w:r>
            <w:r>
              <w:rPr>
                <w:rFonts w:hint="eastAsia"/>
                <w:color w:val="auto"/>
                <w:sz w:val="21"/>
                <w:szCs w:val="21"/>
              </w:rPr>
              <w:t>进入</w:t>
            </w:r>
            <w:r>
              <w:rPr>
                <w:rFonts w:hint="eastAsia"/>
                <w:color w:val="auto"/>
                <w:sz w:val="21"/>
                <w:szCs w:val="21"/>
                <w:lang w:val="en-US" w:eastAsia="zh-CN"/>
              </w:rPr>
              <w:t>申明坝</w:t>
            </w:r>
            <w:r>
              <w:rPr>
                <w:rFonts w:hint="eastAsia"/>
                <w:color w:val="auto"/>
                <w:sz w:val="21"/>
                <w:szCs w:val="21"/>
              </w:rPr>
              <w:t>污水处理厂深度处理达《城镇污水处理厂污染物排放标准》(GB18918-2002)一级A标后，排入长江</w:t>
            </w:r>
            <w:r>
              <w:rPr>
                <w:rFonts w:hint="eastAsia"/>
                <w:color w:val="auto"/>
                <w:sz w:val="21"/>
                <w:szCs w:val="21"/>
                <w:lang w:eastAsia="zh-CN"/>
              </w:rPr>
              <w:t>。</w:t>
            </w:r>
          </w:p>
        </w:tc>
        <w:tc>
          <w:tcPr>
            <w:tcW w:w="2860" w:type="dxa"/>
            <w:tcBorders>
              <w:left w:val="single" w:color="auto" w:sz="4" w:space="0"/>
            </w:tcBorders>
            <w:vAlign w:val="center"/>
          </w:tcPr>
          <w:p>
            <w:pPr>
              <w:jc w:val="center"/>
              <w:rPr>
                <w:rFonts w:hint="eastAsia" w:hAnsi="宋体" w:eastAsia="宋体"/>
                <w:sz w:val="21"/>
                <w:szCs w:val="21"/>
                <w:lang w:eastAsia="zh-CN"/>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r>
              <w:rPr>
                <w:color w:val="auto"/>
                <w:kern w:val="0"/>
                <w:sz w:val="21"/>
                <w:szCs w:val="21"/>
              </w:rPr>
              <w:t>通气管</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rFonts w:hAnsi="宋体"/>
                <w:sz w:val="21"/>
                <w:szCs w:val="21"/>
              </w:rPr>
            </w:pPr>
            <w:r>
              <w:rPr>
                <w:rFonts w:hint="eastAsia"/>
                <w:color w:val="auto"/>
                <w:sz w:val="21"/>
                <w:szCs w:val="21"/>
                <w:lang w:val="en-US" w:eastAsia="zh-CN"/>
              </w:rPr>
              <w:t>3</w:t>
            </w:r>
            <w:r>
              <w:rPr>
                <w:color w:val="auto"/>
                <w:sz w:val="21"/>
                <w:szCs w:val="21"/>
              </w:rPr>
              <w:t>根，分别是</w:t>
            </w:r>
            <w:r>
              <w:rPr>
                <w:rFonts w:hint="eastAsia"/>
                <w:color w:val="auto"/>
                <w:sz w:val="21"/>
                <w:szCs w:val="21"/>
                <w:lang w:val="en-US" w:eastAsia="zh-CN"/>
              </w:rPr>
              <w:t>1</w:t>
            </w:r>
            <w:r>
              <w:rPr>
                <w:color w:val="auto"/>
                <w:sz w:val="21"/>
                <w:szCs w:val="21"/>
              </w:rPr>
              <w:t>根柴油通气管和2根汽油通气管，</w:t>
            </w:r>
            <w:r>
              <w:rPr>
                <w:rFonts w:hint="eastAsia"/>
                <w:color w:val="auto"/>
                <w:sz w:val="21"/>
                <w:szCs w:val="21"/>
                <w:lang w:val="en-US" w:eastAsia="zh-CN"/>
              </w:rPr>
              <w:t>通气管沿罩棚立柱敷设，管口高出罩棚顶2m</w:t>
            </w:r>
            <w:r>
              <w:rPr>
                <w:color w:val="auto"/>
                <w:sz w:val="21"/>
                <w:szCs w:val="21"/>
              </w:rPr>
              <w:t>，</w:t>
            </w:r>
            <w:r>
              <w:rPr>
                <w:rFonts w:hint="eastAsia"/>
                <w:color w:val="auto"/>
                <w:sz w:val="21"/>
                <w:szCs w:val="21"/>
                <w:lang w:val="en-US" w:eastAsia="zh-CN"/>
              </w:rPr>
              <w:t>离地高为8.5m，并安装阻火器，</w:t>
            </w:r>
            <w:r>
              <w:rPr>
                <w:color w:val="auto"/>
                <w:sz w:val="21"/>
                <w:szCs w:val="21"/>
              </w:rPr>
              <w:t>DN50</w:t>
            </w:r>
            <w:r>
              <w:rPr>
                <w:rFonts w:hint="eastAsia"/>
                <w:color w:val="auto"/>
                <w:sz w:val="21"/>
                <w:szCs w:val="21"/>
                <w:lang w:eastAsia="zh-CN"/>
              </w:rPr>
              <w:t>。</w:t>
            </w:r>
          </w:p>
        </w:tc>
        <w:tc>
          <w:tcPr>
            <w:tcW w:w="2860" w:type="dxa"/>
            <w:tcBorders>
              <w:left w:val="single" w:color="auto" w:sz="4" w:space="0"/>
            </w:tcBorders>
            <w:vAlign w:val="center"/>
          </w:tcPr>
          <w:p>
            <w:pPr>
              <w:jc w:val="center"/>
              <w:rPr>
                <w:rFonts w:hAnsi="宋体"/>
                <w:sz w:val="21"/>
                <w:szCs w:val="21"/>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r>
              <w:rPr>
                <w:color w:val="auto"/>
                <w:kern w:val="0"/>
                <w:sz w:val="21"/>
                <w:szCs w:val="21"/>
              </w:rPr>
              <w:t>密闭卸油箱</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rFonts w:hAnsi="宋体"/>
                <w:sz w:val="21"/>
                <w:szCs w:val="21"/>
              </w:rPr>
            </w:pPr>
            <w:r>
              <w:rPr>
                <w:color w:val="auto"/>
                <w:sz w:val="21"/>
                <w:szCs w:val="21"/>
              </w:rPr>
              <w:t>设</w:t>
            </w:r>
            <w:r>
              <w:rPr>
                <w:rFonts w:hint="eastAsia"/>
                <w:color w:val="auto"/>
                <w:sz w:val="21"/>
                <w:szCs w:val="21"/>
                <w:lang w:val="en-US" w:eastAsia="zh-CN"/>
              </w:rPr>
              <w:t>3</w:t>
            </w:r>
            <w:r>
              <w:rPr>
                <w:color w:val="auto"/>
                <w:sz w:val="21"/>
                <w:szCs w:val="21"/>
              </w:rPr>
              <w:t>个密闭卸油快速接头及1个卸油油气回收快速接头</w:t>
            </w:r>
            <w:r>
              <w:rPr>
                <w:rFonts w:hint="eastAsia"/>
                <w:color w:val="auto"/>
                <w:sz w:val="21"/>
                <w:szCs w:val="21"/>
                <w:lang w:eastAsia="zh-CN"/>
              </w:rPr>
              <w:t>。</w:t>
            </w:r>
          </w:p>
        </w:tc>
        <w:tc>
          <w:tcPr>
            <w:tcW w:w="2860" w:type="dxa"/>
            <w:tcBorders>
              <w:left w:val="single" w:color="auto" w:sz="4" w:space="0"/>
            </w:tcBorders>
            <w:vAlign w:val="center"/>
          </w:tcPr>
          <w:p>
            <w:pPr>
              <w:jc w:val="center"/>
              <w:rPr>
                <w:rFonts w:hAnsi="宋体"/>
                <w:sz w:val="21"/>
                <w:szCs w:val="21"/>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r>
              <w:rPr>
                <w:color w:val="auto"/>
                <w:kern w:val="0"/>
                <w:sz w:val="21"/>
                <w:szCs w:val="21"/>
              </w:rPr>
              <w:t>消防</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rFonts w:hAnsi="宋体"/>
                <w:sz w:val="21"/>
                <w:szCs w:val="21"/>
              </w:rPr>
            </w:pPr>
            <w:r>
              <w:rPr>
                <w:rFonts w:hint="eastAsia"/>
                <w:color w:val="auto"/>
                <w:sz w:val="21"/>
                <w:szCs w:val="21"/>
                <w:lang w:val="en-US" w:eastAsia="zh-CN"/>
              </w:rPr>
              <w:t>站区</w:t>
            </w:r>
            <w:r>
              <w:rPr>
                <w:color w:val="auto"/>
                <w:sz w:val="21"/>
                <w:szCs w:val="21"/>
              </w:rPr>
              <w:t>设置</w:t>
            </w:r>
            <w:r>
              <w:rPr>
                <w:rFonts w:hint="eastAsia"/>
                <w:color w:val="auto"/>
                <w:sz w:val="21"/>
                <w:szCs w:val="21"/>
                <w:lang w:val="en-US" w:eastAsia="zh-CN"/>
              </w:rPr>
              <w:t>5</w:t>
            </w:r>
            <w:r>
              <w:rPr>
                <w:color w:val="auto"/>
                <w:sz w:val="21"/>
                <w:szCs w:val="21"/>
              </w:rPr>
              <w:t>kg手提式干粉灭火器</w:t>
            </w:r>
            <w:r>
              <w:rPr>
                <w:rFonts w:hint="eastAsia"/>
                <w:color w:val="auto"/>
                <w:sz w:val="21"/>
                <w:szCs w:val="21"/>
                <w:lang w:val="en-US" w:eastAsia="zh-CN"/>
              </w:rPr>
              <w:t>8</w:t>
            </w:r>
            <w:r>
              <w:rPr>
                <w:color w:val="auto"/>
                <w:sz w:val="21"/>
                <w:szCs w:val="21"/>
              </w:rPr>
              <w:t>具；油罐区附近放置35kg推车式干粉灭火器</w:t>
            </w:r>
            <w:r>
              <w:rPr>
                <w:rFonts w:hint="eastAsia"/>
                <w:color w:val="auto"/>
                <w:sz w:val="21"/>
                <w:szCs w:val="21"/>
                <w:lang w:val="en-US" w:eastAsia="zh-CN"/>
              </w:rPr>
              <w:t>1</w:t>
            </w:r>
            <w:r>
              <w:rPr>
                <w:color w:val="auto"/>
                <w:sz w:val="21"/>
                <w:szCs w:val="21"/>
              </w:rPr>
              <w:t>台</w:t>
            </w:r>
            <w:r>
              <w:rPr>
                <w:rFonts w:hint="eastAsia"/>
                <w:color w:val="auto"/>
                <w:sz w:val="21"/>
                <w:szCs w:val="21"/>
                <w:lang w:val="en-US" w:eastAsia="zh-CN"/>
              </w:rPr>
              <w:t>、</w:t>
            </w:r>
            <w:r>
              <w:rPr>
                <w:color w:val="auto"/>
                <w:sz w:val="21"/>
                <w:szCs w:val="21"/>
              </w:rPr>
              <w:t>灭火毯</w:t>
            </w:r>
            <w:r>
              <w:rPr>
                <w:rFonts w:hint="eastAsia"/>
                <w:color w:val="auto"/>
                <w:sz w:val="21"/>
                <w:szCs w:val="21"/>
                <w:lang w:val="en-US" w:eastAsia="zh-CN"/>
              </w:rPr>
              <w:t>2</w:t>
            </w:r>
            <w:r>
              <w:rPr>
                <w:color w:val="auto"/>
                <w:sz w:val="21"/>
                <w:szCs w:val="21"/>
              </w:rPr>
              <w:t>块；</w:t>
            </w:r>
            <w:r>
              <w:rPr>
                <w:rFonts w:hint="eastAsia"/>
                <w:color w:val="auto"/>
                <w:sz w:val="21"/>
                <w:szCs w:val="21"/>
                <w:lang w:val="en-US" w:eastAsia="zh-CN"/>
              </w:rPr>
              <w:t>配电间设置7kg手提式二氧化碳灭火器2具</w:t>
            </w:r>
            <w:r>
              <w:rPr>
                <w:color w:val="auto"/>
                <w:sz w:val="21"/>
                <w:szCs w:val="21"/>
              </w:rPr>
              <w:t>；</w:t>
            </w:r>
            <w:r>
              <w:rPr>
                <w:rFonts w:hint="eastAsia"/>
                <w:color w:val="auto"/>
                <w:sz w:val="21"/>
                <w:szCs w:val="21"/>
                <w:lang w:val="en-US" w:eastAsia="zh-CN"/>
              </w:rPr>
              <w:t>卸油区设置</w:t>
            </w:r>
            <w:r>
              <w:rPr>
                <w:color w:val="auto"/>
                <w:sz w:val="21"/>
                <w:szCs w:val="21"/>
              </w:rPr>
              <w:t>消防器材</w:t>
            </w:r>
            <w:r>
              <w:rPr>
                <w:rFonts w:hint="eastAsia"/>
                <w:color w:val="auto"/>
                <w:sz w:val="21"/>
                <w:szCs w:val="21"/>
                <w:lang w:val="en-US" w:eastAsia="zh-CN"/>
              </w:rPr>
              <w:t>箱1</w:t>
            </w:r>
            <w:r>
              <w:rPr>
                <w:color w:val="auto"/>
                <w:sz w:val="21"/>
                <w:szCs w:val="21"/>
              </w:rPr>
              <w:t>座</w:t>
            </w:r>
            <w:r>
              <w:rPr>
                <w:rFonts w:hint="eastAsia"/>
                <w:color w:val="auto"/>
                <w:sz w:val="21"/>
                <w:szCs w:val="21"/>
                <w:lang w:val="en-US" w:eastAsia="zh-CN"/>
              </w:rPr>
              <w:t>和消防沙箱1座</w:t>
            </w:r>
            <w:r>
              <w:rPr>
                <w:color w:val="auto"/>
                <w:sz w:val="21"/>
                <w:szCs w:val="21"/>
              </w:rPr>
              <w:t>，内置2m³消防沙及消防工具等。</w:t>
            </w:r>
            <w:r>
              <w:rPr>
                <w:rFonts w:hint="eastAsia"/>
                <w:color w:val="auto"/>
                <w:sz w:val="21"/>
                <w:szCs w:val="21"/>
                <w:lang w:eastAsia="zh-CN"/>
              </w:rPr>
              <w:t>站房</w:t>
            </w:r>
            <w:r>
              <w:rPr>
                <w:rFonts w:hint="eastAsia"/>
                <w:color w:val="auto"/>
                <w:sz w:val="21"/>
                <w:szCs w:val="21"/>
                <w:lang w:val="en-US" w:eastAsia="zh-CN"/>
              </w:rPr>
              <w:t>内</w:t>
            </w:r>
            <w:r>
              <w:rPr>
                <w:rFonts w:hint="eastAsia"/>
                <w:color w:val="auto"/>
                <w:sz w:val="21"/>
                <w:szCs w:val="21"/>
                <w:lang w:eastAsia="zh-CN"/>
              </w:rPr>
              <w:t>储存</w:t>
            </w:r>
            <w:r>
              <w:rPr>
                <w:color w:val="auto"/>
                <w:sz w:val="21"/>
                <w:szCs w:val="21"/>
              </w:rPr>
              <w:t>5kg手提式干粉灭火器</w:t>
            </w:r>
            <w:r>
              <w:rPr>
                <w:rFonts w:hint="eastAsia"/>
                <w:color w:val="auto"/>
                <w:sz w:val="21"/>
                <w:szCs w:val="21"/>
                <w:lang w:val="en-US" w:eastAsia="zh-CN"/>
              </w:rPr>
              <w:t>12具</w:t>
            </w:r>
            <w:r>
              <w:rPr>
                <w:color w:val="auto"/>
                <w:sz w:val="21"/>
                <w:szCs w:val="21"/>
              </w:rPr>
              <w:t>。</w:t>
            </w:r>
          </w:p>
        </w:tc>
        <w:tc>
          <w:tcPr>
            <w:tcW w:w="2860" w:type="dxa"/>
            <w:tcBorders>
              <w:left w:val="single" w:color="auto" w:sz="4" w:space="0"/>
            </w:tcBorders>
            <w:vAlign w:val="center"/>
          </w:tcPr>
          <w:p>
            <w:pPr>
              <w:jc w:val="center"/>
              <w:rPr>
                <w:rFonts w:hAnsi="宋体"/>
                <w:sz w:val="21"/>
                <w:szCs w:val="21"/>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r>
              <w:rPr>
                <w:color w:val="auto"/>
                <w:kern w:val="0"/>
                <w:sz w:val="21"/>
                <w:szCs w:val="21"/>
              </w:rPr>
              <w:t>防雷</w:t>
            </w:r>
          </w:p>
        </w:tc>
        <w:tc>
          <w:tcPr>
            <w:tcW w:w="4367" w:type="dxa"/>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hAnsi="宋体"/>
                <w:sz w:val="21"/>
                <w:szCs w:val="21"/>
              </w:rPr>
            </w:pPr>
            <w:r>
              <w:rPr>
                <w:color w:val="auto"/>
                <w:kern w:val="0"/>
                <w:sz w:val="21"/>
                <w:szCs w:val="21"/>
              </w:rPr>
              <w:t>站内综合接地装置接地电阻不大于</w:t>
            </w:r>
            <w:r>
              <w:rPr>
                <w:rFonts w:hint="eastAsia"/>
                <w:color w:val="auto"/>
                <w:kern w:val="0"/>
                <w:sz w:val="21"/>
                <w:szCs w:val="21"/>
                <w:lang w:val="en-US" w:eastAsia="zh-CN"/>
              </w:rPr>
              <w:t>4</w:t>
            </w:r>
            <w:r>
              <w:rPr>
                <w:color w:val="auto"/>
                <w:kern w:val="0"/>
                <w:sz w:val="21"/>
                <w:szCs w:val="21"/>
              </w:rPr>
              <w:t>欧，设置相应防雷设施</w:t>
            </w:r>
            <w:r>
              <w:rPr>
                <w:rFonts w:hint="eastAsia"/>
                <w:color w:val="auto"/>
                <w:kern w:val="0"/>
                <w:sz w:val="21"/>
                <w:szCs w:val="21"/>
                <w:lang w:eastAsia="zh-CN"/>
              </w:rPr>
              <w:t>。</w:t>
            </w:r>
          </w:p>
        </w:tc>
        <w:tc>
          <w:tcPr>
            <w:tcW w:w="2860" w:type="dxa"/>
            <w:tcBorders>
              <w:left w:val="single" w:color="auto" w:sz="4" w:space="0"/>
            </w:tcBorders>
            <w:vAlign w:val="center"/>
          </w:tcPr>
          <w:p>
            <w:pPr>
              <w:jc w:val="center"/>
              <w:rPr>
                <w:rFonts w:hint="eastAsia" w:hAnsi="宋体" w:eastAsia="宋体"/>
                <w:sz w:val="21"/>
                <w:szCs w:val="21"/>
                <w:lang w:eastAsia="zh-CN"/>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hAnsi="宋体"/>
                <w:sz w:val="21"/>
                <w:szCs w:val="21"/>
              </w:rPr>
            </w:pPr>
            <w:r>
              <w:rPr>
                <w:bCs/>
                <w:color w:val="auto"/>
                <w:sz w:val="21"/>
                <w:szCs w:val="21"/>
              </w:rPr>
              <w:t>供电</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rFonts w:hAnsi="宋体"/>
                <w:sz w:val="21"/>
                <w:szCs w:val="21"/>
              </w:rPr>
            </w:pPr>
            <w:r>
              <w:rPr>
                <w:rFonts w:hint="eastAsia"/>
                <w:bCs/>
                <w:color w:val="auto"/>
                <w:sz w:val="21"/>
                <w:szCs w:val="21"/>
                <w:lang w:val="en-US" w:eastAsia="zh-CN"/>
              </w:rPr>
              <w:t>站房内设置</w:t>
            </w:r>
            <w:r>
              <w:rPr>
                <w:bCs/>
                <w:color w:val="auto"/>
                <w:sz w:val="21"/>
                <w:szCs w:val="21"/>
              </w:rPr>
              <w:t>配电间供电，内设置1台柴油发电机临时应急供电</w:t>
            </w:r>
            <w:r>
              <w:rPr>
                <w:rFonts w:hint="eastAsia"/>
                <w:bCs/>
                <w:color w:val="auto"/>
                <w:sz w:val="21"/>
                <w:szCs w:val="21"/>
                <w:lang w:eastAsia="zh-CN"/>
              </w:rPr>
              <w:t>。</w:t>
            </w:r>
          </w:p>
        </w:tc>
        <w:tc>
          <w:tcPr>
            <w:tcW w:w="2860" w:type="dxa"/>
            <w:tcBorders>
              <w:left w:val="single" w:color="auto" w:sz="4" w:space="0"/>
            </w:tcBorders>
            <w:vAlign w:val="center"/>
          </w:tcPr>
          <w:p>
            <w:pPr>
              <w:jc w:val="center"/>
              <w:rPr>
                <w:rFonts w:hint="eastAsia" w:hAnsi="宋体" w:eastAsia="宋体"/>
                <w:sz w:val="21"/>
                <w:szCs w:val="21"/>
                <w:lang w:eastAsia="zh-CN"/>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Merge w:val="restart"/>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hAnsi="宋体"/>
                <w:sz w:val="21"/>
                <w:szCs w:val="21"/>
              </w:rPr>
            </w:pPr>
            <w:r>
              <w:rPr>
                <w:bCs/>
                <w:color w:val="auto"/>
                <w:sz w:val="21"/>
                <w:szCs w:val="21"/>
              </w:rPr>
              <w:t>空调及通风</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rFonts w:hAnsi="宋体"/>
                <w:sz w:val="21"/>
                <w:szCs w:val="21"/>
              </w:rPr>
            </w:pPr>
            <w:r>
              <w:rPr>
                <w:bCs/>
                <w:color w:val="auto"/>
                <w:sz w:val="21"/>
                <w:szCs w:val="21"/>
              </w:rPr>
              <w:t>便利店、办公室</w:t>
            </w:r>
            <w:r>
              <w:rPr>
                <w:rFonts w:hint="eastAsia"/>
                <w:bCs/>
                <w:color w:val="auto"/>
                <w:sz w:val="21"/>
                <w:szCs w:val="21"/>
                <w:lang w:eastAsia="zh-CN"/>
              </w:rPr>
              <w:t>、</w:t>
            </w:r>
            <w:r>
              <w:rPr>
                <w:rFonts w:hint="eastAsia"/>
                <w:bCs/>
                <w:color w:val="auto"/>
                <w:sz w:val="21"/>
                <w:szCs w:val="21"/>
                <w:lang w:val="en-US" w:eastAsia="zh-CN"/>
              </w:rPr>
              <w:t>值班室</w:t>
            </w:r>
            <w:r>
              <w:rPr>
                <w:bCs/>
                <w:color w:val="auto"/>
                <w:sz w:val="21"/>
                <w:szCs w:val="21"/>
              </w:rPr>
              <w:t>等有温湿度要求的房间设置分体式冷暖空调机</w:t>
            </w:r>
            <w:r>
              <w:rPr>
                <w:rFonts w:hint="eastAsia"/>
                <w:bCs/>
                <w:color w:val="auto"/>
                <w:sz w:val="21"/>
                <w:szCs w:val="21"/>
                <w:lang w:eastAsia="zh-CN"/>
              </w:rPr>
              <w:t>。</w:t>
            </w:r>
          </w:p>
        </w:tc>
        <w:tc>
          <w:tcPr>
            <w:tcW w:w="2860" w:type="dxa"/>
            <w:tcBorders>
              <w:left w:val="single" w:color="auto" w:sz="4" w:space="0"/>
            </w:tcBorders>
            <w:vAlign w:val="center"/>
          </w:tcPr>
          <w:p>
            <w:pPr>
              <w:jc w:val="center"/>
              <w:rPr>
                <w:rFonts w:hint="eastAsia" w:hAnsi="宋体" w:eastAsia="宋体"/>
                <w:sz w:val="21"/>
                <w:szCs w:val="21"/>
                <w:lang w:eastAsia="zh-CN"/>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hAnsi="宋体"/>
                <w:sz w:val="21"/>
                <w:szCs w:val="21"/>
              </w:rPr>
            </w:pP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rFonts w:hAnsi="宋体"/>
                <w:sz w:val="21"/>
                <w:szCs w:val="21"/>
              </w:rPr>
            </w:pPr>
            <w:r>
              <w:rPr>
                <w:bCs/>
                <w:color w:val="auto"/>
                <w:sz w:val="21"/>
                <w:szCs w:val="21"/>
              </w:rPr>
              <w:t>站房卫生间选用天花板式换气扇机械通风，</w:t>
            </w:r>
            <w:r>
              <w:rPr>
                <w:rFonts w:hint="eastAsia"/>
                <w:bCs/>
                <w:color w:val="auto"/>
                <w:sz w:val="21"/>
                <w:szCs w:val="21"/>
                <w:lang w:val="en-US" w:eastAsia="zh-CN"/>
              </w:rPr>
              <w:t>淋浴间</w:t>
            </w:r>
            <w:r>
              <w:rPr>
                <w:bCs/>
                <w:color w:val="auto"/>
                <w:sz w:val="21"/>
                <w:szCs w:val="21"/>
              </w:rPr>
              <w:t>采用浴霸辅助通风，</w:t>
            </w:r>
            <w:r>
              <w:rPr>
                <w:rFonts w:hint="eastAsia"/>
                <w:bCs/>
                <w:color w:val="auto"/>
                <w:sz w:val="21"/>
                <w:szCs w:val="21"/>
                <w:lang w:val="en-US" w:eastAsia="zh-CN"/>
              </w:rPr>
              <w:t>储藏间</w:t>
            </w:r>
            <w:r>
              <w:rPr>
                <w:bCs/>
                <w:color w:val="auto"/>
                <w:sz w:val="21"/>
                <w:szCs w:val="21"/>
              </w:rPr>
              <w:t>设置百叶窗</w:t>
            </w:r>
            <w:r>
              <w:rPr>
                <w:rFonts w:hint="eastAsia"/>
                <w:bCs/>
                <w:color w:val="auto"/>
                <w:sz w:val="21"/>
                <w:szCs w:val="21"/>
                <w:lang w:val="en-US" w:eastAsia="zh-CN"/>
              </w:rPr>
              <w:t>式</w:t>
            </w:r>
            <w:r>
              <w:rPr>
                <w:bCs/>
                <w:color w:val="auto"/>
                <w:sz w:val="21"/>
                <w:szCs w:val="21"/>
              </w:rPr>
              <w:t>换气扇机械通风，</w:t>
            </w:r>
            <w:r>
              <w:rPr>
                <w:rFonts w:hint="eastAsia"/>
                <w:bCs/>
                <w:color w:val="auto"/>
                <w:sz w:val="21"/>
                <w:szCs w:val="21"/>
                <w:lang w:val="en-US" w:eastAsia="zh-CN"/>
              </w:rPr>
              <w:t>配电间采用防爆轴流风机机械通风。</w:t>
            </w:r>
            <w:r>
              <w:rPr>
                <w:bCs/>
                <w:color w:val="auto"/>
                <w:sz w:val="21"/>
                <w:szCs w:val="21"/>
              </w:rPr>
              <w:t>卫生间、</w:t>
            </w:r>
            <w:r>
              <w:rPr>
                <w:rFonts w:hint="eastAsia"/>
                <w:bCs/>
                <w:color w:val="auto"/>
                <w:sz w:val="21"/>
                <w:szCs w:val="21"/>
                <w:lang w:val="en-US" w:eastAsia="zh-CN"/>
              </w:rPr>
              <w:t>淋浴</w:t>
            </w:r>
            <w:r>
              <w:rPr>
                <w:bCs/>
                <w:color w:val="auto"/>
                <w:sz w:val="21"/>
                <w:szCs w:val="21"/>
              </w:rPr>
              <w:t>间换气次数10次/h，</w:t>
            </w:r>
            <w:r>
              <w:rPr>
                <w:rFonts w:hint="eastAsia"/>
                <w:bCs/>
                <w:color w:val="auto"/>
                <w:sz w:val="21"/>
                <w:szCs w:val="21"/>
                <w:lang w:val="en-US" w:eastAsia="zh-CN"/>
              </w:rPr>
              <w:t>储藏间</w:t>
            </w:r>
            <w:r>
              <w:rPr>
                <w:bCs/>
                <w:color w:val="auto"/>
                <w:sz w:val="21"/>
                <w:szCs w:val="21"/>
              </w:rPr>
              <w:t>换气次数</w:t>
            </w:r>
            <w:r>
              <w:rPr>
                <w:rFonts w:hint="eastAsia"/>
                <w:bCs/>
                <w:color w:val="auto"/>
                <w:sz w:val="21"/>
                <w:szCs w:val="21"/>
                <w:lang w:val="en-US" w:eastAsia="zh-CN"/>
              </w:rPr>
              <w:t>6</w:t>
            </w:r>
            <w:r>
              <w:rPr>
                <w:bCs/>
                <w:color w:val="auto"/>
                <w:sz w:val="21"/>
                <w:szCs w:val="21"/>
              </w:rPr>
              <w:t>次/h，</w:t>
            </w:r>
            <w:r>
              <w:rPr>
                <w:rFonts w:hint="eastAsia"/>
                <w:bCs/>
                <w:color w:val="auto"/>
                <w:sz w:val="21"/>
                <w:szCs w:val="21"/>
                <w:lang w:val="en-US" w:eastAsia="zh-CN"/>
              </w:rPr>
              <w:t>配电间</w:t>
            </w:r>
            <w:r>
              <w:rPr>
                <w:bCs/>
                <w:color w:val="auto"/>
                <w:sz w:val="21"/>
                <w:szCs w:val="21"/>
              </w:rPr>
              <w:t>换气次数12次/h。通风管道材质选用镀锌钢板。其他房间自然通风，所有房间采取自然补风</w:t>
            </w:r>
            <w:r>
              <w:rPr>
                <w:rFonts w:hint="eastAsia"/>
                <w:bCs/>
                <w:color w:val="auto"/>
                <w:sz w:val="21"/>
                <w:szCs w:val="21"/>
                <w:lang w:eastAsia="zh-CN"/>
              </w:rPr>
              <w:t>。</w:t>
            </w:r>
          </w:p>
        </w:tc>
        <w:tc>
          <w:tcPr>
            <w:tcW w:w="2860" w:type="dxa"/>
            <w:tcBorders>
              <w:left w:val="single" w:color="auto" w:sz="4" w:space="0"/>
            </w:tcBorders>
            <w:vAlign w:val="center"/>
          </w:tcPr>
          <w:p>
            <w:pPr>
              <w:jc w:val="center"/>
              <w:rPr>
                <w:rFonts w:hint="eastAsia" w:hAnsi="宋体" w:eastAsia="宋体"/>
                <w:sz w:val="21"/>
                <w:szCs w:val="21"/>
                <w:lang w:eastAsia="zh-CN"/>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restart"/>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r>
              <w:rPr>
                <w:bCs/>
                <w:color w:val="auto"/>
                <w:sz w:val="21"/>
                <w:szCs w:val="21"/>
              </w:rPr>
              <w:t>环保工程</w:t>
            </w: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hAnsi="宋体"/>
                <w:sz w:val="21"/>
                <w:szCs w:val="21"/>
              </w:rPr>
            </w:pPr>
            <w:r>
              <w:rPr>
                <w:bCs/>
                <w:color w:val="auto"/>
                <w:sz w:val="21"/>
                <w:szCs w:val="21"/>
              </w:rPr>
              <w:t>废气治理工程</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rFonts w:hint="eastAsia"/>
                <w:bCs/>
                <w:color w:val="auto"/>
                <w:sz w:val="21"/>
                <w:szCs w:val="21"/>
              </w:rPr>
            </w:pPr>
            <w:r>
              <w:rPr>
                <w:rFonts w:hint="eastAsia"/>
                <w:bCs/>
                <w:color w:val="auto"/>
                <w:sz w:val="21"/>
                <w:szCs w:val="21"/>
              </w:rPr>
              <w:t>油罐区设通气立管3根，</w:t>
            </w:r>
            <w:r>
              <w:rPr>
                <w:rFonts w:hint="eastAsia"/>
                <w:color w:val="auto"/>
                <w:sz w:val="21"/>
                <w:szCs w:val="21"/>
                <w:lang w:val="en-US" w:eastAsia="zh-CN"/>
              </w:rPr>
              <w:t>沿罩棚立柱敷设，管口</w:t>
            </w:r>
            <w:r>
              <w:rPr>
                <w:rFonts w:hint="eastAsia"/>
                <w:bCs/>
                <w:color w:val="auto"/>
                <w:sz w:val="21"/>
                <w:szCs w:val="21"/>
              </w:rPr>
              <w:t>高出</w:t>
            </w:r>
            <w:r>
              <w:rPr>
                <w:rFonts w:hint="eastAsia"/>
                <w:bCs/>
                <w:color w:val="auto"/>
                <w:sz w:val="21"/>
                <w:szCs w:val="21"/>
                <w:lang w:val="en-US" w:eastAsia="zh-CN"/>
              </w:rPr>
              <w:t>罩棚顶2</w:t>
            </w:r>
            <w:r>
              <w:rPr>
                <w:rFonts w:hint="eastAsia"/>
                <w:bCs/>
                <w:color w:val="auto"/>
                <w:sz w:val="21"/>
                <w:szCs w:val="21"/>
              </w:rPr>
              <w:t>m</w:t>
            </w:r>
            <w:r>
              <w:rPr>
                <w:color w:val="auto"/>
                <w:sz w:val="21"/>
                <w:szCs w:val="21"/>
              </w:rPr>
              <w:t>，</w:t>
            </w:r>
            <w:r>
              <w:rPr>
                <w:rFonts w:hint="eastAsia"/>
                <w:color w:val="auto"/>
                <w:sz w:val="21"/>
                <w:szCs w:val="21"/>
                <w:lang w:val="en-US" w:eastAsia="zh-CN"/>
              </w:rPr>
              <w:t>离地高为8.5m</w:t>
            </w:r>
            <w:r>
              <w:rPr>
                <w:rFonts w:hint="eastAsia"/>
                <w:bCs/>
                <w:color w:val="auto"/>
                <w:sz w:val="21"/>
                <w:szCs w:val="21"/>
              </w:rPr>
              <w:t>；卸油过程油气设置一次油气回收系统进行回收利用</w:t>
            </w:r>
            <w:r>
              <w:rPr>
                <w:rFonts w:hint="eastAsia"/>
                <w:bCs/>
                <w:color w:val="auto"/>
                <w:sz w:val="21"/>
                <w:szCs w:val="21"/>
                <w:lang w:eastAsia="zh-CN"/>
              </w:rPr>
              <w:t>，</w:t>
            </w:r>
            <w:r>
              <w:rPr>
                <w:rFonts w:hint="eastAsia"/>
                <w:bCs/>
                <w:color w:val="auto"/>
                <w:sz w:val="21"/>
                <w:szCs w:val="21"/>
                <w:lang w:val="en-US" w:eastAsia="zh-CN"/>
              </w:rPr>
              <w:t>且</w:t>
            </w:r>
            <w:r>
              <w:rPr>
                <w:rFonts w:hint="eastAsia"/>
                <w:bCs/>
                <w:color w:val="auto"/>
                <w:sz w:val="21"/>
                <w:szCs w:val="21"/>
              </w:rPr>
              <w:t>卸油区设置油气回收阀；加油过程产生的油气设置二次油气回收系统收集利用，并预留三次油气回收系统。</w:t>
            </w:r>
          </w:p>
          <w:p>
            <w:pPr>
              <w:keepNext w:val="0"/>
              <w:keepLines w:val="0"/>
              <w:pageBreakBefore w:val="0"/>
              <w:widowControl w:val="0"/>
              <w:kinsoku/>
              <w:wordWrap/>
              <w:overflowPunct/>
              <w:topLinePunct w:val="0"/>
              <w:bidi w:val="0"/>
              <w:adjustRightInd w:val="0"/>
              <w:snapToGrid w:val="0"/>
              <w:jc w:val="left"/>
              <w:textAlignment w:val="auto"/>
              <w:rPr>
                <w:bCs/>
                <w:color w:val="auto"/>
                <w:sz w:val="21"/>
                <w:szCs w:val="21"/>
              </w:rPr>
            </w:pPr>
            <w:r>
              <w:rPr>
                <w:rFonts w:hint="eastAsia"/>
                <w:bCs/>
                <w:color w:val="auto"/>
                <w:sz w:val="21"/>
                <w:szCs w:val="21"/>
              </w:rPr>
              <w:t>备用柴油发电机使用频次少，污染物产生量少，且产生的废气经专用管道引至屋顶排放</w:t>
            </w:r>
          </w:p>
        </w:tc>
        <w:tc>
          <w:tcPr>
            <w:tcW w:w="2860" w:type="dxa"/>
            <w:tcBorders>
              <w:left w:val="single" w:color="auto" w:sz="4" w:space="0"/>
            </w:tcBorders>
            <w:vAlign w:val="center"/>
          </w:tcPr>
          <w:p>
            <w:pPr>
              <w:jc w:val="center"/>
              <w:rPr>
                <w:rFonts w:hint="eastAsia" w:hAnsi="宋体"/>
                <w:sz w:val="21"/>
                <w:szCs w:val="21"/>
                <w:lang w:eastAsia="zh-CN"/>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hAnsi="宋体"/>
                <w:sz w:val="21"/>
                <w:szCs w:val="21"/>
              </w:rPr>
            </w:pPr>
            <w:r>
              <w:rPr>
                <w:bCs/>
                <w:color w:val="auto"/>
                <w:sz w:val="21"/>
                <w:szCs w:val="21"/>
              </w:rPr>
              <w:t>污水治理工程</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bCs/>
                <w:color w:val="auto"/>
                <w:sz w:val="21"/>
                <w:szCs w:val="21"/>
              </w:rPr>
            </w:pPr>
            <w:r>
              <w:rPr>
                <w:rFonts w:hint="eastAsia"/>
                <w:color w:val="auto"/>
                <w:sz w:val="21"/>
                <w:szCs w:val="21"/>
              </w:rPr>
              <w:t>采用雨污分流制，</w:t>
            </w:r>
            <w:r>
              <w:rPr>
                <w:rFonts w:hint="eastAsia"/>
                <w:color w:val="auto"/>
                <w:sz w:val="21"/>
                <w:szCs w:val="21"/>
                <w:lang w:eastAsia="zh-CN"/>
              </w:rPr>
              <w:t>地面冲洗废水、初期雨水、洗车废水经三段式水封隔油池</w:t>
            </w:r>
            <w:r>
              <w:rPr>
                <w:rFonts w:hint="eastAsia"/>
                <w:color w:val="auto"/>
                <w:sz w:val="21"/>
                <w:szCs w:val="21"/>
              </w:rPr>
              <w:t>处理达《污水综合排放标准》（GB8978-1996）三级标准后与经生化池处理达《污水综合排放标准》（GB8978-1996）三级标准后</w:t>
            </w:r>
            <w:r>
              <w:rPr>
                <w:rFonts w:hint="eastAsia"/>
                <w:color w:val="auto"/>
                <w:sz w:val="21"/>
                <w:szCs w:val="21"/>
                <w:lang w:val="en-US" w:eastAsia="zh-CN"/>
              </w:rPr>
              <w:t>的</w:t>
            </w:r>
            <w:r>
              <w:rPr>
                <w:rFonts w:hint="eastAsia"/>
                <w:color w:val="auto"/>
                <w:sz w:val="21"/>
                <w:szCs w:val="21"/>
              </w:rPr>
              <w:t>生活污水一起通过同一排口</w:t>
            </w:r>
            <w:r>
              <w:rPr>
                <w:rFonts w:hint="eastAsia"/>
                <w:color w:val="auto"/>
                <w:sz w:val="21"/>
                <w:szCs w:val="21"/>
                <w:lang w:val="en-US" w:eastAsia="zh-CN"/>
              </w:rPr>
              <w:t>进入市政污水管网再</w:t>
            </w:r>
            <w:r>
              <w:rPr>
                <w:rFonts w:hint="eastAsia"/>
                <w:color w:val="auto"/>
                <w:sz w:val="21"/>
                <w:szCs w:val="21"/>
              </w:rPr>
              <w:t>进入</w:t>
            </w:r>
            <w:r>
              <w:rPr>
                <w:rFonts w:hint="eastAsia"/>
                <w:color w:val="auto"/>
                <w:sz w:val="21"/>
                <w:szCs w:val="21"/>
                <w:lang w:val="en-US" w:eastAsia="zh-CN"/>
              </w:rPr>
              <w:t>申明坝</w:t>
            </w:r>
            <w:r>
              <w:rPr>
                <w:rFonts w:hint="eastAsia"/>
                <w:color w:val="auto"/>
                <w:sz w:val="21"/>
                <w:szCs w:val="21"/>
              </w:rPr>
              <w:t>污水处理厂深度处理达《城镇污水处理厂污染物排放标准》(GB18918-2002)一级A标后，排入长江</w:t>
            </w:r>
            <w:r>
              <w:rPr>
                <w:rFonts w:hint="eastAsia"/>
                <w:color w:val="auto"/>
                <w:sz w:val="21"/>
                <w:szCs w:val="21"/>
                <w:lang w:eastAsia="zh-CN"/>
              </w:rPr>
              <w:t>。</w:t>
            </w:r>
          </w:p>
        </w:tc>
        <w:tc>
          <w:tcPr>
            <w:tcW w:w="2860" w:type="dxa"/>
            <w:tcBorders>
              <w:left w:val="single" w:color="auto" w:sz="4" w:space="0"/>
            </w:tcBorders>
            <w:vAlign w:val="center"/>
          </w:tcPr>
          <w:p>
            <w:pPr>
              <w:jc w:val="center"/>
              <w:rPr>
                <w:rFonts w:hint="eastAsia" w:hAnsi="宋体"/>
                <w:sz w:val="21"/>
                <w:szCs w:val="21"/>
                <w:lang w:eastAsia="zh-CN"/>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Merge w:val="restart"/>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hAnsi="宋体"/>
                <w:sz w:val="21"/>
                <w:szCs w:val="21"/>
              </w:rPr>
            </w:pPr>
            <w:r>
              <w:rPr>
                <w:bCs/>
                <w:color w:val="auto"/>
                <w:sz w:val="21"/>
                <w:szCs w:val="21"/>
              </w:rPr>
              <w:t>固废治理工程</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bCs/>
                <w:color w:val="auto"/>
                <w:sz w:val="21"/>
                <w:szCs w:val="21"/>
              </w:rPr>
            </w:pPr>
            <w:r>
              <w:rPr>
                <w:bCs/>
                <w:color w:val="auto"/>
                <w:sz w:val="21"/>
                <w:szCs w:val="21"/>
              </w:rPr>
              <w:t>站区设置垃圾桶收集生活垃圾，</w:t>
            </w:r>
            <w:r>
              <w:rPr>
                <w:rFonts w:hint="eastAsia"/>
                <w:bCs/>
                <w:color w:val="auto"/>
                <w:sz w:val="21"/>
                <w:szCs w:val="21"/>
              </w:rPr>
              <w:t>委托环卫部门定期清运</w:t>
            </w:r>
          </w:p>
        </w:tc>
        <w:tc>
          <w:tcPr>
            <w:tcW w:w="2860" w:type="dxa"/>
            <w:tcBorders>
              <w:left w:val="single" w:color="auto" w:sz="4" w:space="0"/>
            </w:tcBorders>
            <w:vAlign w:val="center"/>
          </w:tcPr>
          <w:p>
            <w:pPr>
              <w:jc w:val="center"/>
              <w:rPr>
                <w:rFonts w:hint="eastAsia" w:hAnsi="宋体"/>
                <w:sz w:val="21"/>
                <w:szCs w:val="21"/>
                <w:lang w:eastAsia="zh-CN"/>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hAnsi="宋体"/>
                <w:sz w:val="21"/>
                <w:szCs w:val="21"/>
              </w:rPr>
            </w:pP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bCs/>
                <w:color w:val="auto"/>
                <w:sz w:val="21"/>
                <w:szCs w:val="21"/>
              </w:rPr>
            </w:pPr>
            <w:r>
              <w:rPr>
                <w:rFonts w:hint="eastAsia"/>
                <w:bCs/>
                <w:color w:val="auto"/>
                <w:sz w:val="21"/>
                <w:szCs w:val="21"/>
                <w:lang w:val="en-US" w:eastAsia="zh-CN"/>
              </w:rPr>
              <w:t>项目南侧</w:t>
            </w:r>
            <w:r>
              <w:rPr>
                <w:bCs/>
                <w:color w:val="auto"/>
                <w:sz w:val="21"/>
                <w:szCs w:val="21"/>
              </w:rPr>
              <w:t>设置1个</w:t>
            </w:r>
            <w:r>
              <w:rPr>
                <w:rFonts w:hint="eastAsia"/>
                <w:bCs/>
                <w:color w:val="auto"/>
                <w:sz w:val="21"/>
                <w:szCs w:val="21"/>
              </w:rPr>
              <w:t>危废暂存</w:t>
            </w:r>
            <w:r>
              <w:rPr>
                <w:rFonts w:hint="eastAsia"/>
                <w:bCs/>
                <w:color w:val="auto"/>
                <w:sz w:val="21"/>
                <w:szCs w:val="21"/>
                <w:lang w:val="en-US" w:eastAsia="zh-CN"/>
              </w:rPr>
              <w:t>柜</w:t>
            </w:r>
            <w:r>
              <w:rPr>
                <w:rFonts w:hint="eastAsia"/>
                <w:bCs/>
                <w:color w:val="auto"/>
                <w:sz w:val="21"/>
                <w:szCs w:val="21"/>
              </w:rPr>
              <w:t>2</w:t>
            </w:r>
            <w:r>
              <w:rPr>
                <w:bCs/>
                <w:color w:val="auto"/>
                <w:sz w:val="21"/>
                <w:szCs w:val="21"/>
              </w:rPr>
              <w:t>m</w:t>
            </w:r>
            <w:r>
              <w:rPr>
                <w:bCs/>
                <w:color w:val="auto"/>
                <w:sz w:val="21"/>
                <w:szCs w:val="21"/>
                <w:vertAlign w:val="superscript"/>
              </w:rPr>
              <w:t>2</w:t>
            </w:r>
            <w:r>
              <w:rPr>
                <w:bCs/>
                <w:color w:val="auto"/>
                <w:sz w:val="21"/>
                <w:szCs w:val="21"/>
              </w:rPr>
              <w:t>，采用密闭柜进行防雨、防晒，地面防渗处理，进行收集、暂存</w:t>
            </w:r>
            <w:r>
              <w:rPr>
                <w:rFonts w:hint="eastAsia"/>
                <w:bCs/>
                <w:color w:val="auto"/>
                <w:sz w:val="21"/>
                <w:szCs w:val="21"/>
              </w:rPr>
              <w:t>隔油池油泥、废油、检修废物等</w:t>
            </w:r>
            <w:r>
              <w:rPr>
                <w:bCs/>
                <w:color w:val="auto"/>
                <w:sz w:val="21"/>
                <w:szCs w:val="21"/>
              </w:rPr>
              <w:t>危险废物；</w:t>
            </w:r>
            <w:r>
              <w:rPr>
                <w:rFonts w:hint="eastAsia"/>
                <w:bCs/>
                <w:color w:val="auto"/>
                <w:sz w:val="21"/>
                <w:szCs w:val="21"/>
              </w:rPr>
              <w:t>每次清罐废物收集后直接交具有危险废物处理资质的单位进行妥善处理</w:t>
            </w:r>
            <w:r>
              <w:rPr>
                <w:bCs/>
                <w:color w:val="auto"/>
                <w:sz w:val="21"/>
                <w:szCs w:val="21"/>
              </w:rPr>
              <w:t>，站内不暂存</w:t>
            </w:r>
            <w:r>
              <w:rPr>
                <w:rFonts w:hint="eastAsia"/>
                <w:bCs/>
                <w:color w:val="auto"/>
                <w:sz w:val="21"/>
                <w:szCs w:val="21"/>
                <w:lang w:eastAsia="zh-CN"/>
              </w:rPr>
              <w:t>。</w:t>
            </w:r>
          </w:p>
        </w:tc>
        <w:tc>
          <w:tcPr>
            <w:tcW w:w="2860" w:type="dxa"/>
            <w:tcBorders>
              <w:left w:val="single" w:color="auto" w:sz="4" w:space="0"/>
            </w:tcBorders>
            <w:vAlign w:val="center"/>
          </w:tcPr>
          <w:p>
            <w:pPr>
              <w:jc w:val="center"/>
              <w:rPr>
                <w:rFonts w:hint="eastAsia" w:hAnsi="宋体"/>
                <w:sz w:val="21"/>
                <w:szCs w:val="21"/>
                <w:lang w:eastAsia="zh-CN"/>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hAnsi="宋体"/>
                <w:sz w:val="21"/>
                <w:szCs w:val="21"/>
              </w:rPr>
            </w:pP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bCs/>
                <w:color w:val="auto"/>
                <w:sz w:val="21"/>
                <w:szCs w:val="21"/>
              </w:rPr>
            </w:pPr>
            <w:r>
              <w:rPr>
                <w:rFonts w:hint="eastAsia"/>
                <w:bCs/>
                <w:color w:val="auto"/>
                <w:sz w:val="21"/>
                <w:szCs w:val="21"/>
                <w:lang w:val="en-US" w:eastAsia="zh-CN"/>
              </w:rPr>
              <w:t>生化池由市政部门定期清掏，污泥委托环卫部门定期清运。</w:t>
            </w:r>
          </w:p>
        </w:tc>
        <w:tc>
          <w:tcPr>
            <w:tcW w:w="2860" w:type="dxa"/>
            <w:tcBorders>
              <w:left w:val="single" w:color="auto" w:sz="4" w:space="0"/>
            </w:tcBorders>
            <w:vAlign w:val="center"/>
          </w:tcPr>
          <w:p>
            <w:pPr>
              <w:jc w:val="center"/>
              <w:rPr>
                <w:rFonts w:hint="eastAsia" w:hAnsi="宋体"/>
                <w:sz w:val="21"/>
                <w:szCs w:val="21"/>
                <w:lang w:eastAsia="zh-CN"/>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hAnsi="宋体"/>
                <w:sz w:val="21"/>
                <w:szCs w:val="21"/>
              </w:rPr>
            </w:pPr>
            <w:r>
              <w:rPr>
                <w:rFonts w:hint="eastAsia"/>
                <w:bCs/>
                <w:color w:val="auto"/>
                <w:sz w:val="21"/>
                <w:szCs w:val="21"/>
              </w:rPr>
              <w:t>环境风险</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bCs/>
                <w:color w:val="auto"/>
                <w:sz w:val="21"/>
                <w:szCs w:val="21"/>
              </w:rPr>
            </w:pPr>
            <w:r>
              <w:rPr>
                <w:rFonts w:hint="eastAsia"/>
                <w:bCs/>
                <w:color w:val="auto"/>
                <w:sz w:val="21"/>
                <w:szCs w:val="21"/>
                <w:lang w:val="en-US" w:eastAsia="zh-CN"/>
              </w:rPr>
              <w:t>编制应急预案；站内全面视频监控、防雷防静电接地；油罐区设置检测立管；加油机两侧均设置防撞护栏；站内设置“严禁烟火”“禁打手机”、“限速行驶”等标识。设置消防砂、吸油毯等应急物资；雨水收集设置切换阀。</w:t>
            </w:r>
          </w:p>
        </w:tc>
        <w:tc>
          <w:tcPr>
            <w:tcW w:w="2860" w:type="dxa"/>
            <w:tcBorders>
              <w:left w:val="single" w:color="auto" w:sz="4" w:space="0"/>
            </w:tcBorders>
            <w:vAlign w:val="center"/>
          </w:tcPr>
          <w:p>
            <w:pPr>
              <w:jc w:val="center"/>
              <w:rPr>
                <w:rFonts w:hint="eastAsia" w:hAnsi="宋体"/>
                <w:sz w:val="21"/>
                <w:szCs w:val="21"/>
                <w:lang w:eastAsia="zh-CN"/>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hAnsi="宋体"/>
                <w:sz w:val="21"/>
                <w:szCs w:val="21"/>
              </w:rPr>
            </w:pPr>
            <w:r>
              <w:rPr>
                <w:rFonts w:hint="eastAsia"/>
                <w:bCs/>
                <w:color w:val="auto"/>
                <w:sz w:val="21"/>
                <w:szCs w:val="21"/>
                <w:lang w:val="en-US" w:eastAsia="zh-CN"/>
              </w:rPr>
              <w:t>地下水</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bCs/>
                <w:color w:val="auto"/>
                <w:sz w:val="21"/>
                <w:szCs w:val="21"/>
              </w:rPr>
            </w:pPr>
            <w:r>
              <w:rPr>
                <w:rFonts w:hint="eastAsia"/>
                <w:bCs/>
                <w:color w:val="auto"/>
                <w:sz w:val="21"/>
                <w:szCs w:val="21"/>
                <w:lang w:val="en-US" w:eastAsia="zh-CN"/>
              </w:rPr>
              <w:t xml:space="preserve">罐区采取双层油罐，埋地管道采用双层管道。采取分区防渗措施，油罐区、工艺管道、三段式水封隔油池、危废暂存间为重点防渗，防渗能力等效黏土防渗层 Mb≥6.0m，K≤1.0×10 </w:t>
            </w:r>
            <w:r>
              <w:rPr>
                <w:rFonts w:hint="eastAsia"/>
                <w:bCs/>
                <w:color w:val="auto"/>
                <w:sz w:val="21"/>
                <w:szCs w:val="21"/>
                <w:vertAlign w:val="superscript"/>
                <w:lang w:val="en-US" w:eastAsia="zh-CN"/>
              </w:rPr>
              <w:t>-7</w:t>
            </w:r>
            <w:r>
              <w:rPr>
                <w:rFonts w:hint="eastAsia"/>
                <w:bCs/>
                <w:color w:val="auto"/>
                <w:sz w:val="21"/>
                <w:szCs w:val="21"/>
                <w:lang w:val="en-US" w:eastAsia="zh-CN"/>
              </w:rPr>
              <w:t xml:space="preserve"> cm/s；生化池、洗车区为一般防渗区，防渗能力等效黏土防渗层 Mb≥1.5m，K≤1.0×10 </w:t>
            </w:r>
            <w:r>
              <w:rPr>
                <w:rFonts w:hint="eastAsia"/>
                <w:bCs/>
                <w:color w:val="auto"/>
                <w:sz w:val="21"/>
                <w:szCs w:val="21"/>
                <w:vertAlign w:val="superscript"/>
                <w:lang w:val="en-US" w:eastAsia="zh-CN"/>
              </w:rPr>
              <w:t>-7</w:t>
            </w:r>
            <w:r>
              <w:rPr>
                <w:rFonts w:hint="eastAsia"/>
                <w:bCs/>
                <w:color w:val="auto"/>
                <w:sz w:val="21"/>
                <w:szCs w:val="21"/>
                <w:lang w:val="en-US" w:eastAsia="zh-CN"/>
              </w:rPr>
              <w:t xml:space="preserve"> cm/；其他为简单防渗。</w:t>
            </w:r>
          </w:p>
        </w:tc>
        <w:tc>
          <w:tcPr>
            <w:tcW w:w="2860" w:type="dxa"/>
            <w:tcBorders>
              <w:left w:val="single" w:color="auto" w:sz="4" w:space="0"/>
            </w:tcBorders>
            <w:vAlign w:val="center"/>
          </w:tcPr>
          <w:p>
            <w:pPr>
              <w:jc w:val="center"/>
              <w:rPr>
                <w:rFonts w:hint="eastAsia" w:hAnsi="宋体"/>
                <w:sz w:val="21"/>
                <w:szCs w:val="21"/>
                <w:lang w:eastAsia="zh-CN"/>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restart"/>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r>
              <w:rPr>
                <w:bCs/>
                <w:color w:val="auto"/>
                <w:sz w:val="21"/>
                <w:szCs w:val="21"/>
              </w:rPr>
              <w:t>储运工程</w:t>
            </w: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hAnsi="宋体"/>
                <w:sz w:val="21"/>
                <w:szCs w:val="21"/>
              </w:rPr>
            </w:pPr>
            <w:r>
              <w:rPr>
                <w:bCs/>
                <w:color w:val="auto"/>
                <w:sz w:val="21"/>
                <w:szCs w:val="21"/>
              </w:rPr>
              <w:t>储存</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bCs/>
                <w:color w:val="auto"/>
                <w:sz w:val="21"/>
                <w:szCs w:val="21"/>
              </w:rPr>
            </w:pPr>
            <w:r>
              <w:rPr>
                <w:bCs/>
                <w:color w:val="auto"/>
                <w:sz w:val="21"/>
                <w:szCs w:val="21"/>
              </w:rPr>
              <w:t>油品采用</w:t>
            </w:r>
            <w:r>
              <w:rPr>
                <w:rFonts w:hint="eastAsia"/>
                <w:color w:val="auto"/>
                <w:sz w:val="21"/>
                <w:szCs w:val="21"/>
                <w:lang w:val="en-US" w:eastAsia="zh-CN"/>
              </w:rPr>
              <w:t>双</w:t>
            </w:r>
            <w:r>
              <w:rPr>
                <w:color w:val="auto"/>
                <w:sz w:val="21"/>
                <w:szCs w:val="21"/>
              </w:rPr>
              <w:t>层卧式</w:t>
            </w:r>
            <w:r>
              <w:rPr>
                <w:rFonts w:hint="eastAsia"/>
                <w:color w:val="auto"/>
                <w:sz w:val="21"/>
                <w:szCs w:val="21"/>
                <w:lang w:val="en-US" w:eastAsia="zh-CN"/>
              </w:rPr>
              <w:t>FF</w:t>
            </w:r>
            <w:r>
              <w:rPr>
                <w:color w:val="auto"/>
                <w:sz w:val="21"/>
                <w:szCs w:val="21"/>
              </w:rPr>
              <w:t>埋地油罐</w:t>
            </w:r>
            <w:r>
              <w:rPr>
                <w:bCs/>
                <w:color w:val="auto"/>
                <w:sz w:val="21"/>
                <w:szCs w:val="21"/>
              </w:rPr>
              <w:t>储存；通过密闭卸油方式将油料注入储油罐内</w:t>
            </w:r>
          </w:p>
        </w:tc>
        <w:tc>
          <w:tcPr>
            <w:tcW w:w="2860" w:type="dxa"/>
            <w:tcBorders>
              <w:left w:val="single" w:color="auto" w:sz="4" w:space="0"/>
            </w:tcBorders>
            <w:vAlign w:val="center"/>
          </w:tcPr>
          <w:p>
            <w:pPr>
              <w:jc w:val="center"/>
              <w:rPr>
                <w:rFonts w:hint="eastAsia" w:hAnsi="宋体"/>
                <w:sz w:val="21"/>
                <w:szCs w:val="21"/>
                <w:lang w:eastAsia="zh-CN"/>
              </w:rPr>
            </w:pPr>
            <w:r>
              <w:rPr>
                <w:rFonts w:hint="eastAsia" w:cs="TimesNewRomanPSMT"/>
                <w:bCs/>
                <w:snapToGrid w:val="0"/>
                <w:color w:val="auto"/>
                <w:kern w:val="0"/>
                <w:sz w:val="21"/>
                <w:szCs w:val="21"/>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9" w:type="dxa"/>
            <w:vMerge w:val="continue"/>
            <w:vAlign w:val="center"/>
          </w:tcPr>
          <w:p>
            <w:pPr>
              <w:keepNext w:val="0"/>
              <w:keepLines w:val="0"/>
              <w:pageBreakBefore w:val="0"/>
              <w:widowControl w:val="0"/>
              <w:kinsoku/>
              <w:wordWrap/>
              <w:overflowPunct/>
              <w:topLinePunct w:val="0"/>
              <w:bidi w:val="0"/>
              <w:adjustRightInd w:val="0"/>
              <w:snapToGrid w:val="0"/>
              <w:jc w:val="center"/>
              <w:textAlignment w:val="auto"/>
              <w:rPr>
                <w:rFonts w:hAnsi="宋体"/>
                <w:sz w:val="21"/>
                <w:szCs w:val="21"/>
              </w:rPr>
            </w:pPr>
          </w:p>
        </w:tc>
        <w:tc>
          <w:tcPr>
            <w:tcW w:w="1400" w:type="dxa"/>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hAnsi="宋体"/>
                <w:sz w:val="21"/>
                <w:szCs w:val="21"/>
              </w:rPr>
            </w:pPr>
            <w:r>
              <w:rPr>
                <w:bCs/>
                <w:color w:val="auto"/>
                <w:sz w:val="21"/>
                <w:szCs w:val="21"/>
              </w:rPr>
              <w:t>运输</w:t>
            </w:r>
          </w:p>
        </w:tc>
        <w:tc>
          <w:tcPr>
            <w:tcW w:w="4367" w:type="dxa"/>
            <w:tcBorders>
              <w:right w:val="single" w:color="auto" w:sz="4" w:space="0"/>
            </w:tcBorders>
            <w:vAlign w:val="center"/>
          </w:tcPr>
          <w:p>
            <w:pPr>
              <w:keepNext w:val="0"/>
              <w:keepLines w:val="0"/>
              <w:pageBreakBefore w:val="0"/>
              <w:widowControl w:val="0"/>
              <w:kinsoku/>
              <w:wordWrap/>
              <w:overflowPunct/>
              <w:topLinePunct w:val="0"/>
              <w:bidi w:val="0"/>
              <w:adjustRightInd w:val="0"/>
              <w:snapToGrid w:val="0"/>
              <w:jc w:val="left"/>
              <w:textAlignment w:val="auto"/>
              <w:rPr>
                <w:bCs/>
                <w:color w:val="auto"/>
                <w:sz w:val="21"/>
                <w:szCs w:val="21"/>
              </w:rPr>
            </w:pPr>
            <w:r>
              <w:rPr>
                <w:rFonts w:hint="eastAsia"/>
                <w:color w:val="auto"/>
                <w:sz w:val="21"/>
                <w:szCs w:val="21"/>
              </w:rPr>
              <w:t>由中石油万州分公司从6910油库用油罐车配送</w:t>
            </w:r>
            <w:r>
              <w:rPr>
                <w:rFonts w:hint="eastAsia"/>
                <w:color w:val="auto"/>
                <w:sz w:val="21"/>
                <w:szCs w:val="21"/>
                <w:lang w:eastAsia="zh-CN"/>
              </w:rPr>
              <w:t>。</w:t>
            </w:r>
          </w:p>
        </w:tc>
        <w:tc>
          <w:tcPr>
            <w:tcW w:w="2860" w:type="dxa"/>
            <w:tcBorders>
              <w:left w:val="single" w:color="auto" w:sz="4" w:space="0"/>
            </w:tcBorders>
            <w:vAlign w:val="center"/>
          </w:tcPr>
          <w:p>
            <w:pPr>
              <w:jc w:val="center"/>
              <w:rPr>
                <w:rFonts w:hint="eastAsia" w:hAnsi="宋体"/>
                <w:sz w:val="21"/>
                <w:szCs w:val="21"/>
                <w:lang w:eastAsia="zh-CN"/>
              </w:rPr>
            </w:pPr>
            <w:r>
              <w:rPr>
                <w:rFonts w:hint="eastAsia" w:cs="TimesNewRomanPSMT"/>
                <w:bCs/>
                <w:snapToGrid w:val="0"/>
                <w:color w:val="auto"/>
                <w:kern w:val="0"/>
                <w:sz w:val="21"/>
                <w:szCs w:val="21"/>
                <w:lang w:val="en-US" w:eastAsia="zh-CN" w:bidi="ar-SA"/>
              </w:rPr>
              <w:t>与环评一致</w:t>
            </w:r>
          </w:p>
        </w:tc>
      </w:tr>
    </w:tbl>
    <w:p>
      <w:pPr>
        <w:spacing w:line="540" w:lineRule="exact"/>
        <w:ind w:firstLine="480" w:firstLineChars="200"/>
        <w:rPr>
          <w:rFonts w:hAnsi="宋体"/>
          <w:sz w:val="24"/>
          <w:szCs w:val="24"/>
        </w:rPr>
      </w:pPr>
      <w:r>
        <w:rPr>
          <w:rFonts w:hint="eastAsia" w:hAnsi="宋体"/>
          <w:sz w:val="24"/>
          <w:szCs w:val="24"/>
        </w:rPr>
        <w:t>2、建设规模</w:t>
      </w:r>
    </w:p>
    <w:p>
      <w:pPr>
        <w:pStyle w:val="36"/>
        <w:bidi w:val="0"/>
        <w:rPr>
          <w:rFonts w:hint="eastAsia" w:hAnsi="宋体" w:eastAsia="宋体"/>
          <w:color w:val="000000" w:themeColor="text1"/>
          <w:sz w:val="24"/>
          <w:szCs w:val="24"/>
          <w:lang w:eastAsia="zh-CN"/>
        </w:rPr>
      </w:pPr>
      <w:r>
        <w:rPr>
          <w:rFonts w:hint="eastAsia" w:hAnsi="宋体"/>
          <w:color w:val="000000" w:themeColor="text1"/>
          <w:sz w:val="24"/>
          <w:szCs w:val="24"/>
        </w:rPr>
        <w:t>1个25m</w:t>
      </w:r>
      <w:r>
        <w:rPr>
          <w:rFonts w:hint="eastAsia" w:hAnsi="宋体"/>
          <w:color w:val="000000" w:themeColor="text1"/>
          <w:sz w:val="24"/>
          <w:szCs w:val="24"/>
          <w:vertAlign w:val="superscript"/>
        </w:rPr>
        <w:t>3</w:t>
      </w:r>
      <w:r>
        <w:rPr>
          <w:rFonts w:hint="eastAsia" w:hAnsi="宋体"/>
          <w:color w:val="000000" w:themeColor="text1"/>
          <w:sz w:val="24"/>
          <w:szCs w:val="24"/>
        </w:rPr>
        <w:t>的0#柴油罐、1个25m</w:t>
      </w:r>
      <w:r>
        <w:rPr>
          <w:rFonts w:hint="eastAsia" w:hAnsi="宋体"/>
          <w:color w:val="000000" w:themeColor="text1"/>
          <w:sz w:val="24"/>
          <w:szCs w:val="24"/>
          <w:vertAlign w:val="superscript"/>
        </w:rPr>
        <w:t>3</w:t>
      </w:r>
      <w:r>
        <w:rPr>
          <w:rFonts w:hint="eastAsia" w:hAnsi="宋体"/>
          <w:color w:val="000000" w:themeColor="text1"/>
          <w:sz w:val="24"/>
          <w:szCs w:val="24"/>
        </w:rPr>
        <w:t>的92#汽油罐、1个25m</w:t>
      </w:r>
      <w:r>
        <w:rPr>
          <w:rFonts w:hint="eastAsia" w:hAnsi="宋体"/>
          <w:color w:val="000000" w:themeColor="text1"/>
          <w:sz w:val="24"/>
          <w:szCs w:val="24"/>
          <w:vertAlign w:val="superscript"/>
        </w:rPr>
        <w:t>3</w:t>
      </w:r>
      <w:r>
        <w:rPr>
          <w:rFonts w:hint="eastAsia" w:hAnsi="宋体"/>
          <w:color w:val="000000" w:themeColor="text1"/>
          <w:sz w:val="24"/>
          <w:szCs w:val="24"/>
        </w:rPr>
        <w:t>的95#汽油罐，油罐总容积 V=62.5m</w:t>
      </w:r>
      <w:r>
        <w:rPr>
          <w:rFonts w:hint="eastAsia" w:hAnsi="宋体"/>
          <w:color w:val="000000" w:themeColor="text1"/>
          <w:sz w:val="24"/>
          <w:szCs w:val="24"/>
          <w:vertAlign w:val="superscript"/>
        </w:rPr>
        <w:t>3</w:t>
      </w:r>
      <w:r>
        <w:rPr>
          <w:rFonts w:hint="eastAsia" w:hAnsi="宋体"/>
          <w:color w:val="000000" w:themeColor="text1"/>
          <w:sz w:val="24"/>
          <w:szCs w:val="24"/>
        </w:rPr>
        <w:t>（柴油折半计）；安装2台四枪加油机</w:t>
      </w:r>
      <w:r>
        <w:rPr>
          <w:rFonts w:hint="eastAsia" w:hAnsi="宋体"/>
          <w:color w:val="000000" w:themeColor="text1"/>
          <w:sz w:val="24"/>
          <w:szCs w:val="24"/>
          <w:lang w:eastAsia="zh-CN"/>
        </w:rPr>
        <w:t>。销售规模为 92#汽油 1 t/d（365 t/a）、95#汽油 1 t/d（365 t/a）、0#柴油 1 t/d（365 t/a）。</w:t>
      </w:r>
    </w:p>
    <w:p>
      <w:pPr>
        <w:spacing w:line="540" w:lineRule="exact"/>
        <w:ind w:firstLine="480" w:firstLineChars="200"/>
        <w:rPr>
          <w:rFonts w:hint="eastAsia" w:hAnsi="宋体"/>
          <w:sz w:val="24"/>
          <w:szCs w:val="24"/>
        </w:rPr>
      </w:pPr>
      <w:r>
        <w:rPr>
          <w:rFonts w:hint="eastAsia" w:hAnsi="宋体"/>
          <w:sz w:val="24"/>
          <w:szCs w:val="24"/>
        </w:rPr>
        <w:t>3、投资情况</w:t>
      </w:r>
    </w:p>
    <w:p>
      <w:pPr>
        <w:spacing w:line="540" w:lineRule="exact"/>
        <w:ind w:firstLine="480" w:firstLineChars="200"/>
        <w:rPr>
          <w:sz w:val="24"/>
          <w:szCs w:val="24"/>
        </w:rPr>
      </w:pPr>
      <w:r>
        <w:rPr>
          <w:rFonts w:hint="eastAsia"/>
          <w:sz w:val="24"/>
          <w:szCs w:val="24"/>
          <w:lang w:eastAsia="zh-CN"/>
        </w:rPr>
        <w:t>中国石油天然气股份有限公司万州金龙加油站新建工程</w:t>
      </w:r>
      <w:r>
        <w:rPr>
          <w:sz w:val="24"/>
          <w:szCs w:val="24"/>
        </w:rPr>
        <w:t>实际</w:t>
      </w:r>
      <w:r>
        <w:rPr>
          <w:rFonts w:hint="eastAsia"/>
          <w:sz w:val="24"/>
          <w:szCs w:val="24"/>
        </w:rPr>
        <w:t>573.00万元，其中环保投资30.00万元，占总投资5.24%。</w:t>
      </w:r>
    </w:p>
    <w:p>
      <w:pPr>
        <w:pStyle w:val="25"/>
        <w:spacing w:after="0" w:line="540" w:lineRule="exact"/>
        <w:ind w:firstLine="480" w:firstLineChars="200"/>
        <w:rPr>
          <w:rFonts w:eastAsiaTheme="minorEastAsia"/>
          <w:color w:val="000000"/>
          <w:sz w:val="24"/>
          <w:szCs w:val="24"/>
        </w:rPr>
      </w:pPr>
      <w:r>
        <w:rPr>
          <w:rFonts w:hint="eastAsia" w:eastAsiaTheme="minorEastAsia"/>
          <w:color w:val="000000"/>
          <w:sz w:val="24"/>
          <w:szCs w:val="24"/>
        </w:rPr>
        <w:t>4、建设内容及规模变更情况</w:t>
      </w:r>
    </w:p>
    <w:p>
      <w:pPr>
        <w:pStyle w:val="25"/>
        <w:spacing w:after="0" w:line="540" w:lineRule="exact"/>
        <w:ind w:firstLine="480" w:firstLineChars="200"/>
        <w:rPr>
          <w:rFonts w:hint="eastAsia" w:eastAsia="宋体"/>
          <w:bCs/>
          <w:sz w:val="24"/>
          <w:szCs w:val="24"/>
          <w:lang w:eastAsia="zh-CN"/>
        </w:rPr>
      </w:pPr>
      <w:r>
        <w:rPr>
          <w:rFonts w:hint="eastAsia"/>
          <w:bCs/>
          <w:sz w:val="24"/>
          <w:szCs w:val="24"/>
          <w:lang w:eastAsia="zh-CN"/>
        </w:rPr>
        <w:t>中国石油天然气股份有限公司万州金龙加油站新建工程</w:t>
      </w:r>
      <w:r>
        <w:rPr>
          <w:bCs/>
          <w:sz w:val="24"/>
          <w:szCs w:val="24"/>
        </w:rPr>
        <w:t>建设</w:t>
      </w:r>
      <w:r>
        <w:rPr>
          <w:rFonts w:hint="eastAsia"/>
          <w:bCs/>
          <w:sz w:val="24"/>
          <w:szCs w:val="24"/>
        </w:rPr>
        <w:t>内容及</w:t>
      </w:r>
      <w:r>
        <w:rPr>
          <w:bCs/>
          <w:sz w:val="24"/>
          <w:szCs w:val="24"/>
        </w:rPr>
        <w:t>规模与环评和批复相比</w:t>
      </w:r>
      <w:r>
        <w:rPr>
          <w:rFonts w:hint="eastAsia"/>
          <w:bCs/>
          <w:sz w:val="24"/>
          <w:szCs w:val="24"/>
          <w:lang w:eastAsia="zh-CN"/>
        </w:rPr>
        <w:t>没有发生变化。按照《（环办环评函〔2020〕688号）关于印发污染影响类建设项目重大变动清单（试行）的通知》中相关重大变动标准，无重大变动情况，纳入竣工环境保护验收管理。</w:t>
      </w:r>
    </w:p>
    <w:p>
      <w:pPr>
        <w:pStyle w:val="62"/>
        <w:rPr>
          <w:rFonts w:cs="Times New Roman"/>
          <w:sz w:val="32"/>
        </w:rPr>
      </w:pPr>
      <w:bookmarkStart w:id="57" w:name="_Toc363"/>
      <w:r>
        <w:rPr>
          <w:rFonts w:hint="eastAsia" w:cs="Times New Roman"/>
          <w:sz w:val="32"/>
        </w:rPr>
        <w:t>3</w:t>
      </w:r>
      <w:r>
        <w:rPr>
          <w:rFonts w:cs="Times New Roman"/>
          <w:sz w:val="32"/>
        </w:rPr>
        <w:t>.</w:t>
      </w:r>
      <w:r>
        <w:rPr>
          <w:rFonts w:hint="eastAsia" w:cs="Times New Roman"/>
          <w:sz w:val="32"/>
        </w:rPr>
        <w:t>3主要原辅材料及燃料</w:t>
      </w:r>
      <w:bookmarkEnd w:id="57"/>
    </w:p>
    <w:p>
      <w:pPr>
        <w:spacing w:line="540" w:lineRule="exact"/>
        <w:ind w:firstLine="480" w:firstLineChars="200"/>
        <w:rPr>
          <w:rFonts w:eastAsiaTheme="minorEastAsia"/>
          <w:color w:val="000000"/>
          <w:sz w:val="24"/>
          <w:szCs w:val="24"/>
        </w:rPr>
      </w:pPr>
      <w:r>
        <w:rPr>
          <w:rFonts w:hint="eastAsia" w:eastAsiaTheme="minorEastAsia"/>
          <w:color w:val="000000"/>
          <w:sz w:val="24"/>
          <w:szCs w:val="24"/>
        </w:rPr>
        <w:t>本项目能源及原辅材料年消耗情况如下：</w:t>
      </w:r>
    </w:p>
    <w:p>
      <w:pPr>
        <w:spacing w:beforeLines="20" w:line="360" w:lineRule="auto"/>
        <w:ind w:firstLine="482" w:firstLineChars="200"/>
        <w:jc w:val="center"/>
        <w:rPr>
          <w:rFonts w:hAnsi="宋体"/>
          <w:b/>
          <w:sz w:val="24"/>
        </w:rPr>
      </w:pPr>
      <w:r>
        <w:rPr>
          <w:rFonts w:hint="eastAsia" w:hAnsi="宋体"/>
          <w:b/>
          <w:sz w:val="24"/>
          <w:lang w:eastAsia="zh-CN"/>
        </w:rPr>
        <w:t>表</w:t>
      </w:r>
      <w:r>
        <w:rPr>
          <w:rFonts w:hint="eastAsia" w:hAnsi="宋体"/>
          <w:b/>
          <w:sz w:val="24"/>
          <w:lang w:val="en-US" w:eastAsia="zh-CN"/>
        </w:rPr>
        <w:t xml:space="preserve">3-2  </w:t>
      </w:r>
      <w:r>
        <w:rPr>
          <w:rFonts w:hAnsi="宋体"/>
          <w:b/>
          <w:sz w:val="24"/>
        </w:rPr>
        <w:t>主要原辅材料、能源名称及年消耗数量</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Layout w:type="autofit"/>
        <w:tblCellMar>
          <w:top w:w="0" w:type="dxa"/>
          <w:left w:w="108" w:type="dxa"/>
          <w:bottom w:w="0" w:type="dxa"/>
          <w:right w:w="108" w:type="dxa"/>
        </w:tblCellMar>
      </w:tblPr>
      <w:tblGrid>
        <w:gridCol w:w="575"/>
        <w:gridCol w:w="1574"/>
        <w:gridCol w:w="1269"/>
        <w:gridCol w:w="1308"/>
        <w:gridCol w:w="2085"/>
        <w:gridCol w:w="2475"/>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3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color w:val="auto"/>
                <w:sz w:val="21"/>
                <w:szCs w:val="21"/>
              </w:rPr>
            </w:pPr>
            <w:r>
              <w:rPr>
                <w:color w:val="auto"/>
                <w:sz w:val="21"/>
                <w:szCs w:val="21"/>
              </w:rPr>
              <w:t>序号</w:t>
            </w:r>
          </w:p>
        </w:tc>
        <w:tc>
          <w:tcPr>
            <w:tcW w:w="84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color w:val="auto"/>
                <w:sz w:val="21"/>
                <w:szCs w:val="21"/>
              </w:rPr>
            </w:pPr>
            <w:r>
              <w:rPr>
                <w:color w:val="auto"/>
                <w:sz w:val="21"/>
                <w:szCs w:val="21"/>
              </w:rPr>
              <w:t>名称</w:t>
            </w:r>
          </w:p>
        </w:tc>
        <w:tc>
          <w:tcPr>
            <w:tcW w:w="138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color w:val="auto"/>
                <w:sz w:val="21"/>
                <w:szCs w:val="21"/>
                <w:lang w:val="en-US" w:eastAsia="zh-CN"/>
              </w:rPr>
            </w:pPr>
            <w:r>
              <w:rPr>
                <w:rFonts w:hint="eastAsia"/>
                <w:color w:val="auto"/>
                <w:sz w:val="21"/>
                <w:szCs w:val="21"/>
                <w:lang w:val="en-US" w:eastAsia="zh-CN"/>
              </w:rPr>
              <w:t>周转</w:t>
            </w:r>
            <w:r>
              <w:rPr>
                <w:color w:val="auto"/>
                <w:sz w:val="21"/>
                <w:szCs w:val="21"/>
              </w:rPr>
              <w:t>量</w:t>
            </w:r>
          </w:p>
        </w:tc>
        <w:tc>
          <w:tcPr>
            <w:tcW w:w="112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color w:val="auto"/>
                <w:sz w:val="21"/>
                <w:szCs w:val="21"/>
              </w:rPr>
            </w:pPr>
            <w:r>
              <w:rPr>
                <w:color w:val="auto"/>
                <w:sz w:val="21"/>
                <w:szCs w:val="21"/>
              </w:rPr>
              <w:t>最大储存量</w:t>
            </w:r>
          </w:p>
        </w:tc>
        <w:tc>
          <w:tcPr>
            <w:tcW w:w="133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color w:val="auto"/>
                <w:sz w:val="21"/>
                <w:szCs w:val="21"/>
              </w:rPr>
            </w:pPr>
            <w:r>
              <w:rPr>
                <w:color w:val="auto"/>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3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color w:val="auto"/>
                <w:sz w:val="21"/>
                <w:szCs w:val="21"/>
              </w:rPr>
            </w:pPr>
          </w:p>
        </w:tc>
        <w:tc>
          <w:tcPr>
            <w:tcW w:w="8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color w:val="auto"/>
                <w:sz w:val="21"/>
                <w:szCs w:val="21"/>
              </w:rPr>
            </w:pPr>
          </w:p>
        </w:tc>
        <w:tc>
          <w:tcPr>
            <w:tcW w:w="6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color w:val="auto"/>
                <w:sz w:val="21"/>
                <w:szCs w:val="21"/>
                <w:lang w:val="en-US" w:eastAsia="zh-CN"/>
              </w:rPr>
            </w:pPr>
            <w:r>
              <w:rPr>
                <w:rFonts w:hint="eastAsia"/>
                <w:color w:val="auto"/>
                <w:sz w:val="21"/>
                <w:szCs w:val="21"/>
                <w:lang w:val="en-US" w:eastAsia="zh-CN"/>
              </w:rPr>
              <w:t>日销售量</w:t>
            </w:r>
          </w:p>
        </w:tc>
        <w:tc>
          <w:tcPr>
            <w:tcW w:w="7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color w:val="auto"/>
                <w:sz w:val="21"/>
                <w:szCs w:val="21"/>
                <w:lang w:val="en-US" w:eastAsia="zh-CN"/>
              </w:rPr>
            </w:pPr>
            <w:r>
              <w:rPr>
                <w:rFonts w:hint="eastAsia"/>
                <w:color w:val="auto"/>
                <w:sz w:val="21"/>
                <w:szCs w:val="21"/>
                <w:lang w:val="en-US" w:eastAsia="zh-CN"/>
              </w:rPr>
              <w:t>年销售量</w:t>
            </w:r>
          </w:p>
        </w:tc>
        <w:tc>
          <w:tcPr>
            <w:tcW w:w="112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color w:val="auto"/>
                <w:sz w:val="21"/>
                <w:szCs w:val="21"/>
                <w:lang w:val="en-US" w:eastAsia="zh-CN"/>
              </w:rPr>
            </w:pPr>
          </w:p>
        </w:tc>
        <w:tc>
          <w:tcPr>
            <w:tcW w:w="133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color w:val="auto"/>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3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color w:val="auto"/>
                <w:sz w:val="21"/>
                <w:szCs w:val="21"/>
              </w:rPr>
            </w:pPr>
            <w:r>
              <w:rPr>
                <w:color w:val="auto"/>
                <w:sz w:val="21"/>
                <w:szCs w:val="21"/>
              </w:rPr>
              <w:t>1</w:t>
            </w:r>
          </w:p>
        </w:tc>
        <w:tc>
          <w:tcPr>
            <w:tcW w:w="8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color w:val="auto"/>
                <w:sz w:val="21"/>
                <w:szCs w:val="21"/>
              </w:rPr>
            </w:pPr>
            <w:r>
              <w:rPr>
                <w:color w:val="auto"/>
                <w:sz w:val="21"/>
                <w:szCs w:val="21"/>
              </w:rPr>
              <w:t>92</w:t>
            </w:r>
            <w:r>
              <w:rPr>
                <w:color w:val="auto"/>
                <w:sz w:val="21"/>
                <w:szCs w:val="21"/>
                <w:vertAlign w:val="superscript"/>
              </w:rPr>
              <w:t>#</w:t>
            </w:r>
            <w:r>
              <w:rPr>
                <w:color w:val="auto"/>
                <w:sz w:val="21"/>
                <w:szCs w:val="21"/>
              </w:rPr>
              <w:t>汽油</w:t>
            </w:r>
          </w:p>
        </w:tc>
        <w:tc>
          <w:tcPr>
            <w:tcW w:w="68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spacing w:line="240" w:lineRule="auto"/>
              <w:textAlignment w:val="auto"/>
              <w:rPr>
                <w:color w:val="auto"/>
                <w:kern w:val="2"/>
                <w:sz w:val="21"/>
                <w:szCs w:val="21"/>
              </w:rPr>
            </w:pPr>
            <w:r>
              <w:rPr>
                <w:rFonts w:hint="eastAsia"/>
                <w:color w:val="auto"/>
                <w:kern w:val="2"/>
                <w:sz w:val="21"/>
                <w:szCs w:val="21"/>
                <w:lang w:val="en-US" w:eastAsia="zh-CN"/>
              </w:rPr>
              <w:t>1</w:t>
            </w:r>
            <w:r>
              <w:rPr>
                <w:color w:val="auto"/>
                <w:kern w:val="2"/>
                <w:sz w:val="21"/>
                <w:szCs w:val="21"/>
              </w:rPr>
              <w:t>t/d</w:t>
            </w:r>
          </w:p>
        </w:tc>
        <w:tc>
          <w:tcPr>
            <w:tcW w:w="70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spacing w:line="240" w:lineRule="auto"/>
              <w:textAlignment w:val="auto"/>
              <w:rPr>
                <w:rFonts w:hint="default"/>
                <w:color w:val="auto"/>
                <w:kern w:val="2"/>
                <w:sz w:val="21"/>
                <w:szCs w:val="21"/>
                <w:lang w:val="en-US" w:eastAsia="zh-CN"/>
              </w:rPr>
            </w:pPr>
            <w:r>
              <w:rPr>
                <w:rFonts w:hint="eastAsia"/>
                <w:color w:val="auto"/>
                <w:kern w:val="2"/>
                <w:sz w:val="21"/>
                <w:szCs w:val="21"/>
                <w:lang w:val="en-US" w:eastAsia="zh-CN"/>
              </w:rPr>
              <w:t>365</w:t>
            </w:r>
            <w:r>
              <w:rPr>
                <w:color w:val="auto"/>
                <w:kern w:val="2"/>
                <w:sz w:val="21"/>
                <w:szCs w:val="21"/>
              </w:rPr>
              <w:t>t/a</w:t>
            </w:r>
          </w:p>
        </w:tc>
        <w:tc>
          <w:tcPr>
            <w:tcW w:w="1122"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spacing w:line="240" w:lineRule="auto"/>
              <w:textAlignment w:val="auto"/>
              <w:rPr>
                <w:color w:val="auto"/>
                <w:kern w:val="2"/>
                <w:sz w:val="21"/>
                <w:szCs w:val="21"/>
              </w:rPr>
            </w:pPr>
            <w:r>
              <w:rPr>
                <w:rFonts w:hint="eastAsia"/>
                <w:color w:val="auto"/>
                <w:kern w:val="2"/>
                <w:sz w:val="21"/>
                <w:szCs w:val="21"/>
                <w:lang w:val="en-US" w:eastAsia="zh-CN"/>
              </w:rPr>
              <w:t>16.15</w:t>
            </w:r>
            <w:r>
              <w:rPr>
                <w:color w:val="auto"/>
                <w:kern w:val="2"/>
                <w:sz w:val="21"/>
                <w:szCs w:val="21"/>
              </w:rPr>
              <w:t>t（</w:t>
            </w:r>
            <w:r>
              <w:rPr>
                <w:rFonts w:hint="eastAsia"/>
                <w:color w:val="auto"/>
                <w:kern w:val="2"/>
                <w:sz w:val="21"/>
                <w:szCs w:val="21"/>
                <w:lang w:val="en-US" w:eastAsia="zh-CN"/>
              </w:rPr>
              <w:t>21.25</w:t>
            </w:r>
            <w:r>
              <w:rPr>
                <w:color w:val="auto"/>
                <w:kern w:val="2"/>
                <w:sz w:val="21"/>
                <w:szCs w:val="21"/>
              </w:rPr>
              <w:t>m</w:t>
            </w:r>
            <w:r>
              <w:rPr>
                <w:color w:val="auto"/>
                <w:kern w:val="2"/>
                <w:sz w:val="21"/>
                <w:szCs w:val="21"/>
                <w:vertAlign w:val="superscript"/>
              </w:rPr>
              <w:t>3</w:t>
            </w:r>
            <w:r>
              <w:rPr>
                <w:color w:val="auto"/>
                <w:kern w:val="2"/>
                <w:sz w:val="21"/>
                <w:szCs w:val="21"/>
              </w:rPr>
              <w:t>）</w:t>
            </w:r>
          </w:p>
        </w:tc>
        <w:tc>
          <w:tcPr>
            <w:tcW w:w="1332" w:type="pct"/>
            <w:vMerge w:val="restar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spacing w:line="240" w:lineRule="auto"/>
              <w:textAlignment w:val="auto"/>
              <w:rPr>
                <w:color w:val="auto"/>
                <w:kern w:val="2"/>
                <w:sz w:val="21"/>
                <w:szCs w:val="21"/>
              </w:rPr>
            </w:pPr>
            <w:r>
              <w:rPr>
                <w:rFonts w:hint="eastAsia"/>
                <w:color w:val="auto"/>
                <w:kern w:val="2"/>
                <w:sz w:val="21"/>
                <w:szCs w:val="21"/>
              </w:rPr>
              <w:t>由中石油万州分公司从6910油库用油罐车配送至本加油站</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3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color w:val="auto"/>
                <w:sz w:val="21"/>
                <w:szCs w:val="21"/>
              </w:rPr>
            </w:pPr>
            <w:r>
              <w:rPr>
                <w:color w:val="auto"/>
                <w:sz w:val="21"/>
                <w:szCs w:val="21"/>
              </w:rPr>
              <w:t>2</w:t>
            </w:r>
          </w:p>
        </w:tc>
        <w:tc>
          <w:tcPr>
            <w:tcW w:w="8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color w:val="auto"/>
                <w:sz w:val="21"/>
                <w:szCs w:val="21"/>
              </w:rPr>
            </w:pPr>
            <w:r>
              <w:rPr>
                <w:color w:val="auto"/>
                <w:sz w:val="21"/>
                <w:szCs w:val="21"/>
              </w:rPr>
              <w:t>95</w:t>
            </w:r>
            <w:r>
              <w:rPr>
                <w:color w:val="auto"/>
                <w:sz w:val="21"/>
                <w:szCs w:val="21"/>
                <w:vertAlign w:val="superscript"/>
              </w:rPr>
              <w:t>#</w:t>
            </w:r>
            <w:r>
              <w:rPr>
                <w:color w:val="auto"/>
                <w:sz w:val="21"/>
                <w:szCs w:val="21"/>
              </w:rPr>
              <w:t>汽油</w:t>
            </w:r>
          </w:p>
        </w:tc>
        <w:tc>
          <w:tcPr>
            <w:tcW w:w="68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spacing w:line="240" w:lineRule="auto"/>
              <w:textAlignment w:val="auto"/>
              <w:rPr>
                <w:rFonts w:ascii="Times New Roman" w:hAnsi="Times New Roman"/>
                <w:color w:val="auto"/>
                <w:kern w:val="2"/>
                <w:sz w:val="21"/>
                <w:szCs w:val="21"/>
                <w:lang w:val="en-US" w:eastAsia="zh-CN" w:bidi="ar-SA"/>
              </w:rPr>
            </w:pPr>
            <w:r>
              <w:rPr>
                <w:rFonts w:hint="eastAsia"/>
                <w:color w:val="auto"/>
                <w:kern w:val="2"/>
                <w:sz w:val="21"/>
                <w:szCs w:val="21"/>
                <w:lang w:val="en-US" w:eastAsia="zh-CN"/>
              </w:rPr>
              <w:t>1</w:t>
            </w:r>
            <w:r>
              <w:rPr>
                <w:color w:val="auto"/>
                <w:kern w:val="2"/>
                <w:sz w:val="21"/>
                <w:szCs w:val="21"/>
              </w:rPr>
              <w:t>t/d</w:t>
            </w:r>
          </w:p>
        </w:tc>
        <w:tc>
          <w:tcPr>
            <w:tcW w:w="70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spacing w:line="240" w:lineRule="auto"/>
              <w:textAlignment w:val="auto"/>
              <w:rPr>
                <w:rFonts w:hint="eastAsia"/>
                <w:color w:val="auto"/>
                <w:kern w:val="2"/>
                <w:sz w:val="21"/>
                <w:szCs w:val="21"/>
                <w:lang w:val="en-US" w:eastAsia="zh-CN"/>
              </w:rPr>
            </w:pPr>
            <w:r>
              <w:rPr>
                <w:rFonts w:hint="eastAsia"/>
                <w:color w:val="auto"/>
                <w:kern w:val="2"/>
                <w:sz w:val="21"/>
                <w:szCs w:val="21"/>
                <w:lang w:val="en-US" w:eastAsia="zh-CN"/>
              </w:rPr>
              <w:t>365</w:t>
            </w:r>
            <w:r>
              <w:rPr>
                <w:color w:val="auto"/>
                <w:kern w:val="2"/>
                <w:sz w:val="21"/>
                <w:szCs w:val="21"/>
              </w:rPr>
              <w:t>t/a</w:t>
            </w:r>
          </w:p>
        </w:tc>
        <w:tc>
          <w:tcPr>
            <w:tcW w:w="1122"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spacing w:line="240" w:lineRule="auto"/>
              <w:textAlignment w:val="auto"/>
              <w:rPr>
                <w:rFonts w:ascii="Times New Roman" w:hAnsi="Times New Roman"/>
                <w:color w:val="auto"/>
                <w:kern w:val="2"/>
                <w:sz w:val="21"/>
                <w:szCs w:val="21"/>
                <w:lang w:val="en-US" w:eastAsia="zh-CN" w:bidi="ar-SA"/>
              </w:rPr>
            </w:pPr>
            <w:r>
              <w:rPr>
                <w:rFonts w:hint="eastAsia"/>
                <w:color w:val="auto"/>
                <w:kern w:val="2"/>
                <w:sz w:val="21"/>
                <w:szCs w:val="21"/>
                <w:lang w:val="en-US" w:eastAsia="zh-CN"/>
              </w:rPr>
              <w:t>16.15</w:t>
            </w:r>
            <w:r>
              <w:rPr>
                <w:color w:val="auto"/>
                <w:kern w:val="2"/>
                <w:sz w:val="21"/>
                <w:szCs w:val="21"/>
              </w:rPr>
              <w:t>t（</w:t>
            </w:r>
            <w:r>
              <w:rPr>
                <w:rFonts w:hint="eastAsia"/>
                <w:color w:val="auto"/>
                <w:kern w:val="2"/>
                <w:sz w:val="21"/>
                <w:szCs w:val="21"/>
                <w:lang w:val="en-US" w:eastAsia="zh-CN"/>
              </w:rPr>
              <w:t>21.25</w:t>
            </w:r>
            <w:r>
              <w:rPr>
                <w:color w:val="auto"/>
                <w:kern w:val="2"/>
                <w:sz w:val="21"/>
                <w:szCs w:val="21"/>
              </w:rPr>
              <w:t>m</w:t>
            </w:r>
            <w:r>
              <w:rPr>
                <w:color w:val="auto"/>
                <w:kern w:val="2"/>
                <w:sz w:val="21"/>
                <w:szCs w:val="21"/>
                <w:vertAlign w:val="superscript"/>
              </w:rPr>
              <w:t>3</w:t>
            </w:r>
            <w:r>
              <w:rPr>
                <w:color w:val="auto"/>
                <w:kern w:val="2"/>
                <w:sz w:val="21"/>
                <w:szCs w:val="21"/>
              </w:rPr>
              <w:t>）</w:t>
            </w:r>
          </w:p>
        </w:tc>
        <w:tc>
          <w:tcPr>
            <w:tcW w:w="1332" w:type="pct"/>
            <w:vMerge w:val="continue"/>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spacing w:line="240" w:lineRule="auto"/>
              <w:textAlignment w:val="auto"/>
              <w:rPr>
                <w:color w:val="auto"/>
                <w:kern w:val="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3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color w:val="auto"/>
                <w:sz w:val="21"/>
                <w:szCs w:val="21"/>
              </w:rPr>
            </w:pPr>
            <w:r>
              <w:rPr>
                <w:color w:val="auto"/>
                <w:sz w:val="21"/>
                <w:szCs w:val="21"/>
              </w:rPr>
              <w:t>3</w:t>
            </w:r>
          </w:p>
        </w:tc>
        <w:tc>
          <w:tcPr>
            <w:tcW w:w="8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color w:val="auto"/>
                <w:sz w:val="21"/>
                <w:szCs w:val="21"/>
              </w:rPr>
            </w:pPr>
            <w:r>
              <w:rPr>
                <w:color w:val="auto"/>
                <w:sz w:val="21"/>
                <w:szCs w:val="21"/>
              </w:rPr>
              <w:t>0</w:t>
            </w:r>
            <w:r>
              <w:rPr>
                <w:color w:val="auto"/>
                <w:sz w:val="21"/>
                <w:szCs w:val="21"/>
                <w:vertAlign w:val="superscript"/>
              </w:rPr>
              <w:t>#</w:t>
            </w:r>
            <w:r>
              <w:rPr>
                <w:color w:val="auto"/>
                <w:sz w:val="21"/>
                <w:szCs w:val="21"/>
              </w:rPr>
              <w:t>柴油</w:t>
            </w:r>
          </w:p>
        </w:tc>
        <w:tc>
          <w:tcPr>
            <w:tcW w:w="68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spacing w:line="240" w:lineRule="auto"/>
              <w:textAlignment w:val="auto"/>
              <w:rPr>
                <w:rFonts w:ascii="Times New Roman" w:hAnsi="Times New Roman"/>
                <w:color w:val="auto"/>
                <w:kern w:val="2"/>
                <w:sz w:val="21"/>
                <w:szCs w:val="21"/>
                <w:lang w:val="en-US" w:eastAsia="zh-CN" w:bidi="ar-SA"/>
              </w:rPr>
            </w:pPr>
            <w:r>
              <w:rPr>
                <w:rFonts w:hint="eastAsia"/>
                <w:color w:val="auto"/>
                <w:kern w:val="2"/>
                <w:sz w:val="21"/>
                <w:szCs w:val="21"/>
                <w:lang w:val="en-US" w:eastAsia="zh-CN"/>
              </w:rPr>
              <w:t>1</w:t>
            </w:r>
            <w:r>
              <w:rPr>
                <w:color w:val="auto"/>
                <w:kern w:val="2"/>
                <w:sz w:val="21"/>
                <w:szCs w:val="21"/>
              </w:rPr>
              <w:t>t/d</w:t>
            </w:r>
          </w:p>
        </w:tc>
        <w:tc>
          <w:tcPr>
            <w:tcW w:w="70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spacing w:line="240" w:lineRule="auto"/>
              <w:textAlignment w:val="auto"/>
              <w:rPr>
                <w:color w:val="auto"/>
                <w:kern w:val="2"/>
                <w:sz w:val="21"/>
                <w:szCs w:val="21"/>
              </w:rPr>
            </w:pPr>
            <w:r>
              <w:rPr>
                <w:rFonts w:hint="eastAsia"/>
                <w:color w:val="auto"/>
                <w:kern w:val="2"/>
                <w:sz w:val="21"/>
                <w:szCs w:val="21"/>
                <w:lang w:val="en-US" w:eastAsia="zh-CN"/>
              </w:rPr>
              <w:t>365</w:t>
            </w:r>
            <w:r>
              <w:rPr>
                <w:color w:val="auto"/>
                <w:kern w:val="2"/>
                <w:sz w:val="21"/>
                <w:szCs w:val="21"/>
              </w:rPr>
              <w:t>t/a</w:t>
            </w:r>
          </w:p>
        </w:tc>
        <w:tc>
          <w:tcPr>
            <w:tcW w:w="1122"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spacing w:line="240" w:lineRule="auto"/>
              <w:textAlignment w:val="auto"/>
              <w:rPr>
                <w:rFonts w:ascii="Times New Roman" w:hAnsi="Times New Roman"/>
                <w:color w:val="auto"/>
                <w:kern w:val="2"/>
                <w:sz w:val="21"/>
                <w:szCs w:val="21"/>
                <w:lang w:val="en-US" w:eastAsia="zh-CN" w:bidi="ar-SA"/>
              </w:rPr>
            </w:pPr>
            <w:r>
              <w:rPr>
                <w:rFonts w:hint="eastAsia"/>
                <w:color w:val="auto"/>
                <w:kern w:val="2"/>
                <w:sz w:val="21"/>
                <w:szCs w:val="21"/>
                <w:lang w:val="en-US" w:eastAsia="zh-CN"/>
              </w:rPr>
              <w:t>18.06</w:t>
            </w:r>
            <w:r>
              <w:rPr>
                <w:color w:val="auto"/>
                <w:kern w:val="2"/>
                <w:sz w:val="21"/>
                <w:szCs w:val="21"/>
              </w:rPr>
              <w:t>t（</w:t>
            </w:r>
            <w:r>
              <w:rPr>
                <w:rFonts w:hint="eastAsia"/>
                <w:color w:val="auto"/>
                <w:kern w:val="2"/>
                <w:sz w:val="21"/>
                <w:szCs w:val="21"/>
                <w:lang w:val="en-US" w:eastAsia="zh-CN"/>
              </w:rPr>
              <w:t>21.25</w:t>
            </w:r>
            <w:r>
              <w:rPr>
                <w:color w:val="auto"/>
                <w:kern w:val="2"/>
                <w:sz w:val="21"/>
                <w:szCs w:val="21"/>
              </w:rPr>
              <w:t>m</w:t>
            </w:r>
            <w:r>
              <w:rPr>
                <w:color w:val="auto"/>
                <w:kern w:val="2"/>
                <w:sz w:val="21"/>
                <w:szCs w:val="21"/>
                <w:vertAlign w:val="superscript"/>
              </w:rPr>
              <w:t>3</w:t>
            </w:r>
            <w:r>
              <w:rPr>
                <w:color w:val="auto"/>
                <w:kern w:val="2"/>
                <w:sz w:val="21"/>
                <w:szCs w:val="21"/>
              </w:rPr>
              <w:t>）</w:t>
            </w:r>
          </w:p>
        </w:tc>
        <w:tc>
          <w:tcPr>
            <w:tcW w:w="1332" w:type="pct"/>
            <w:vMerge w:val="continue"/>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spacing w:line="240" w:lineRule="auto"/>
              <w:textAlignment w:val="auto"/>
              <w:rPr>
                <w:color w:val="auto"/>
                <w:kern w:val="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3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color w:val="auto"/>
                <w:sz w:val="21"/>
                <w:szCs w:val="21"/>
              </w:rPr>
            </w:pPr>
            <w:r>
              <w:rPr>
                <w:color w:val="auto"/>
                <w:sz w:val="21"/>
                <w:szCs w:val="21"/>
              </w:rPr>
              <w:t>4</w:t>
            </w:r>
          </w:p>
        </w:tc>
        <w:tc>
          <w:tcPr>
            <w:tcW w:w="8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color w:val="auto"/>
                <w:sz w:val="21"/>
                <w:szCs w:val="21"/>
              </w:rPr>
            </w:pPr>
            <w:r>
              <w:rPr>
                <w:color w:val="auto"/>
                <w:sz w:val="21"/>
                <w:szCs w:val="21"/>
              </w:rPr>
              <w:t>水</w:t>
            </w:r>
          </w:p>
        </w:tc>
        <w:tc>
          <w:tcPr>
            <w:tcW w:w="138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color w:val="auto"/>
                <w:sz w:val="21"/>
                <w:szCs w:val="21"/>
              </w:rPr>
            </w:pPr>
            <w:r>
              <w:rPr>
                <w:rFonts w:hint="eastAsia" w:ascii="Times New Roman" w:hAnsi="宋体"/>
                <w:b w:val="0"/>
                <w:bCs w:val="0"/>
                <w:snapToGrid w:val="0"/>
                <w:color w:val="auto"/>
                <w:kern w:val="0"/>
                <w:sz w:val="21"/>
                <w:szCs w:val="21"/>
                <w:vertAlign w:val="baseline"/>
                <w:lang w:val="en-US" w:eastAsia="zh-CN"/>
              </w:rPr>
              <w:t>878.35</w:t>
            </w:r>
            <w:r>
              <w:rPr>
                <w:color w:val="auto"/>
                <w:sz w:val="21"/>
                <w:szCs w:val="21"/>
              </w:rPr>
              <w:t>t/a</w:t>
            </w:r>
          </w:p>
        </w:tc>
        <w:tc>
          <w:tcPr>
            <w:tcW w:w="1122" w:type="pct"/>
            <w:tcBorders>
              <w:tl2br w:val="nil"/>
              <w:tr2bl w:val="nil"/>
            </w:tcBorders>
            <w:noWrap w:val="0"/>
            <w:vAlign w:val="center"/>
          </w:tcPr>
          <w:p>
            <w:pPr>
              <w:pStyle w:val="85"/>
              <w:keepNext w:val="0"/>
              <w:keepLines w:val="0"/>
              <w:pageBreakBefore w:val="0"/>
              <w:widowControl w:val="0"/>
              <w:kinsoku/>
              <w:wordWrap/>
              <w:overflowPunct/>
              <w:topLinePunct w:val="0"/>
              <w:autoSpaceDE/>
              <w:autoSpaceDN/>
              <w:bidi w:val="0"/>
              <w:spacing w:line="240" w:lineRule="auto"/>
              <w:textAlignment w:val="auto"/>
              <w:rPr>
                <w:b w:val="0"/>
                <w:bCs w:val="0"/>
                <w:color w:val="auto"/>
                <w:sz w:val="21"/>
                <w:szCs w:val="21"/>
              </w:rPr>
            </w:pPr>
            <w:r>
              <w:rPr>
                <w:b w:val="0"/>
                <w:bCs w:val="0"/>
                <w:color w:val="auto"/>
                <w:sz w:val="21"/>
                <w:szCs w:val="21"/>
              </w:rPr>
              <w:t>/</w:t>
            </w:r>
          </w:p>
        </w:tc>
        <w:tc>
          <w:tcPr>
            <w:tcW w:w="1332" w:type="pct"/>
            <w:tcBorders>
              <w:tl2br w:val="nil"/>
              <w:tr2bl w:val="nil"/>
            </w:tcBorders>
            <w:noWrap w:val="0"/>
            <w:vAlign w:val="center"/>
          </w:tcPr>
          <w:p>
            <w:pPr>
              <w:pStyle w:val="85"/>
              <w:keepNext w:val="0"/>
              <w:keepLines w:val="0"/>
              <w:pageBreakBefore w:val="0"/>
              <w:widowControl w:val="0"/>
              <w:kinsoku/>
              <w:wordWrap/>
              <w:overflowPunct/>
              <w:topLinePunct w:val="0"/>
              <w:autoSpaceDE/>
              <w:autoSpaceDN/>
              <w:bidi w:val="0"/>
              <w:spacing w:line="240" w:lineRule="auto"/>
              <w:textAlignment w:val="auto"/>
              <w:rPr>
                <w:rFonts w:hint="eastAsia" w:eastAsia="宋体"/>
                <w:b w:val="0"/>
                <w:bCs w:val="0"/>
                <w:color w:val="auto"/>
                <w:sz w:val="21"/>
                <w:szCs w:val="21"/>
                <w:lang w:eastAsia="zh-CN"/>
              </w:rPr>
            </w:pPr>
            <w:r>
              <w:rPr>
                <w:rFonts w:hint="eastAsia"/>
                <w:b w:val="0"/>
                <w:bCs w:val="0"/>
                <w:color w:val="auto"/>
                <w:sz w:val="21"/>
                <w:szCs w:val="21"/>
                <w:lang w:val="en-US" w:eastAsia="zh-CN"/>
              </w:rPr>
              <w:t>市政</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3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color w:val="auto"/>
                <w:sz w:val="21"/>
                <w:szCs w:val="21"/>
              </w:rPr>
            </w:pPr>
            <w:r>
              <w:rPr>
                <w:color w:val="auto"/>
                <w:sz w:val="21"/>
                <w:szCs w:val="21"/>
              </w:rPr>
              <w:t>5</w:t>
            </w:r>
          </w:p>
        </w:tc>
        <w:tc>
          <w:tcPr>
            <w:tcW w:w="8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color w:val="auto"/>
                <w:sz w:val="21"/>
                <w:szCs w:val="21"/>
              </w:rPr>
            </w:pPr>
            <w:r>
              <w:rPr>
                <w:color w:val="auto"/>
                <w:sz w:val="21"/>
                <w:szCs w:val="21"/>
              </w:rPr>
              <w:t>电</w:t>
            </w:r>
          </w:p>
        </w:tc>
        <w:tc>
          <w:tcPr>
            <w:tcW w:w="1387" w:type="pct"/>
            <w:gridSpan w:val="2"/>
            <w:tcBorders>
              <w:tl2br w:val="nil"/>
              <w:tr2bl w:val="nil"/>
            </w:tcBorders>
            <w:noWrap w:val="0"/>
            <w:vAlign w:val="center"/>
          </w:tcPr>
          <w:p>
            <w:pPr>
              <w:pStyle w:val="85"/>
              <w:keepNext w:val="0"/>
              <w:keepLines w:val="0"/>
              <w:pageBreakBefore w:val="0"/>
              <w:widowControl w:val="0"/>
              <w:kinsoku/>
              <w:wordWrap/>
              <w:overflowPunct/>
              <w:topLinePunct w:val="0"/>
              <w:autoSpaceDE/>
              <w:autoSpaceDN/>
              <w:bidi w:val="0"/>
              <w:spacing w:line="240" w:lineRule="auto"/>
              <w:textAlignment w:val="auto"/>
              <w:rPr>
                <w:b w:val="0"/>
                <w:bCs w:val="0"/>
                <w:color w:val="auto"/>
                <w:sz w:val="21"/>
                <w:szCs w:val="21"/>
              </w:rPr>
            </w:pPr>
            <w:r>
              <w:rPr>
                <w:b w:val="0"/>
                <w:bCs w:val="0"/>
                <w:color w:val="auto"/>
                <w:sz w:val="21"/>
                <w:szCs w:val="21"/>
              </w:rPr>
              <w:t>5万kw·h/a</w:t>
            </w:r>
          </w:p>
        </w:tc>
        <w:tc>
          <w:tcPr>
            <w:tcW w:w="1122" w:type="pct"/>
            <w:tcBorders>
              <w:tl2br w:val="nil"/>
              <w:tr2bl w:val="nil"/>
            </w:tcBorders>
            <w:noWrap w:val="0"/>
            <w:vAlign w:val="center"/>
          </w:tcPr>
          <w:p>
            <w:pPr>
              <w:pStyle w:val="85"/>
              <w:keepNext w:val="0"/>
              <w:keepLines w:val="0"/>
              <w:pageBreakBefore w:val="0"/>
              <w:widowControl w:val="0"/>
              <w:kinsoku/>
              <w:wordWrap/>
              <w:overflowPunct/>
              <w:topLinePunct w:val="0"/>
              <w:autoSpaceDE/>
              <w:autoSpaceDN/>
              <w:bidi w:val="0"/>
              <w:spacing w:line="240" w:lineRule="auto"/>
              <w:textAlignment w:val="auto"/>
              <w:rPr>
                <w:b w:val="0"/>
                <w:bCs w:val="0"/>
                <w:color w:val="auto"/>
                <w:sz w:val="21"/>
                <w:szCs w:val="21"/>
              </w:rPr>
            </w:pPr>
            <w:r>
              <w:rPr>
                <w:b w:val="0"/>
                <w:bCs w:val="0"/>
                <w:color w:val="auto"/>
                <w:sz w:val="21"/>
                <w:szCs w:val="21"/>
              </w:rPr>
              <w:t>/</w:t>
            </w:r>
          </w:p>
        </w:tc>
        <w:tc>
          <w:tcPr>
            <w:tcW w:w="1332" w:type="pct"/>
            <w:tcBorders>
              <w:tl2br w:val="nil"/>
              <w:tr2bl w:val="nil"/>
            </w:tcBorders>
            <w:noWrap w:val="0"/>
            <w:vAlign w:val="center"/>
          </w:tcPr>
          <w:p>
            <w:pPr>
              <w:pStyle w:val="85"/>
              <w:keepNext w:val="0"/>
              <w:keepLines w:val="0"/>
              <w:pageBreakBefore w:val="0"/>
              <w:widowControl w:val="0"/>
              <w:kinsoku/>
              <w:wordWrap/>
              <w:overflowPunct/>
              <w:topLinePunct w:val="0"/>
              <w:autoSpaceDE/>
              <w:autoSpaceDN/>
              <w:bidi w:val="0"/>
              <w:spacing w:line="240" w:lineRule="auto"/>
              <w:textAlignment w:val="auto"/>
              <w:rPr>
                <w:rFonts w:hint="eastAsia" w:eastAsia="宋体"/>
                <w:b w:val="0"/>
                <w:bCs w:val="0"/>
                <w:color w:val="auto"/>
                <w:sz w:val="21"/>
                <w:szCs w:val="21"/>
                <w:lang w:eastAsia="zh-CN"/>
              </w:rPr>
            </w:pPr>
            <w:r>
              <w:rPr>
                <w:rFonts w:hint="eastAsia"/>
                <w:b w:val="0"/>
                <w:bCs w:val="0"/>
                <w:color w:val="auto"/>
                <w:sz w:val="21"/>
                <w:szCs w:val="21"/>
                <w:lang w:val="en-US" w:eastAsia="zh-CN"/>
              </w:rPr>
              <w:t>市政</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3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eastAsia="宋体"/>
                <w:color w:val="auto"/>
                <w:sz w:val="21"/>
                <w:szCs w:val="21"/>
                <w:lang w:val="en-US" w:eastAsia="zh-CN"/>
              </w:rPr>
            </w:pPr>
            <w:r>
              <w:rPr>
                <w:rFonts w:hint="eastAsia"/>
                <w:color w:val="auto"/>
                <w:sz w:val="21"/>
                <w:szCs w:val="21"/>
                <w:lang w:val="en-US" w:eastAsia="zh-CN"/>
              </w:rPr>
              <w:t>6</w:t>
            </w:r>
          </w:p>
        </w:tc>
        <w:tc>
          <w:tcPr>
            <w:tcW w:w="8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eastAsia="宋体"/>
                <w:color w:val="auto"/>
                <w:sz w:val="21"/>
                <w:szCs w:val="21"/>
                <w:lang w:val="en-US" w:eastAsia="zh-CN"/>
              </w:rPr>
            </w:pPr>
            <w:r>
              <w:rPr>
                <w:rFonts w:hint="eastAsia"/>
                <w:color w:val="auto"/>
                <w:sz w:val="21"/>
                <w:szCs w:val="21"/>
                <w:lang w:val="en-US" w:eastAsia="zh-CN"/>
              </w:rPr>
              <w:t>变压器油</w:t>
            </w:r>
          </w:p>
        </w:tc>
        <w:tc>
          <w:tcPr>
            <w:tcW w:w="1387" w:type="pct"/>
            <w:gridSpan w:val="2"/>
            <w:tcBorders>
              <w:tl2br w:val="nil"/>
              <w:tr2bl w:val="nil"/>
            </w:tcBorders>
            <w:noWrap w:val="0"/>
            <w:vAlign w:val="center"/>
          </w:tcPr>
          <w:p>
            <w:pPr>
              <w:pStyle w:val="85"/>
              <w:keepNext w:val="0"/>
              <w:keepLines w:val="0"/>
              <w:pageBreakBefore w:val="0"/>
              <w:widowControl w:val="0"/>
              <w:kinsoku/>
              <w:wordWrap/>
              <w:overflowPunct/>
              <w:topLinePunct w:val="0"/>
              <w:autoSpaceDE/>
              <w:autoSpaceDN/>
              <w:bidi w:val="0"/>
              <w:spacing w:line="240" w:lineRule="auto"/>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0.41t/a</w:t>
            </w:r>
          </w:p>
        </w:tc>
        <w:tc>
          <w:tcPr>
            <w:tcW w:w="1122" w:type="pct"/>
            <w:tcBorders>
              <w:tl2br w:val="nil"/>
              <w:tr2bl w:val="nil"/>
            </w:tcBorders>
            <w:noWrap w:val="0"/>
            <w:vAlign w:val="center"/>
          </w:tcPr>
          <w:p>
            <w:pPr>
              <w:pStyle w:val="85"/>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b w:val="0"/>
                <w:bCs w:val="0"/>
                <w:color w:val="auto"/>
                <w:kern w:val="2"/>
                <w:sz w:val="21"/>
                <w:szCs w:val="21"/>
                <w:lang w:val="en-US" w:eastAsia="zh-CN" w:bidi="ar-SA"/>
              </w:rPr>
            </w:pPr>
            <w:r>
              <w:rPr>
                <w:rFonts w:hint="eastAsia"/>
                <w:b w:val="0"/>
                <w:bCs w:val="0"/>
                <w:color w:val="auto"/>
                <w:sz w:val="21"/>
                <w:szCs w:val="21"/>
                <w:lang w:val="en-US" w:eastAsia="zh-CN"/>
              </w:rPr>
              <w:t>0.41t/a</w:t>
            </w:r>
          </w:p>
        </w:tc>
        <w:tc>
          <w:tcPr>
            <w:tcW w:w="1332" w:type="pct"/>
            <w:tcBorders>
              <w:tl2br w:val="nil"/>
              <w:tr2bl w:val="nil"/>
            </w:tcBorders>
            <w:noWrap w:val="0"/>
            <w:vAlign w:val="center"/>
          </w:tcPr>
          <w:p>
            <w:pPr>
              <w:pStyle w:val="85"/>
              <w:keepNext w:val="0"/>
              <w:keepLines w:val="0"/>
              <w:pageBreakBefore w:val="0"/>
              <w:widowControl w:val="0"/>
              <w:kinsoku/>
              <w:wordWrap/>
              <w:overflowPunct/>
              <w:topLinePunct w:val="0"/>
              <w:autoSpaceDE/>
              <w:autoSpaceDN/>
              <w:bidi w:val="0"/>
              <w:spacing w:line="240" w:lineRule="auto"/>
              <w:textAlignment w:val="auto"/>
              <w:rPr>
                <w:rFonts w:hint="default"/>
                <w:b w:val="0"/>
                <w:bCs w:val="0"/>
                <w:color w:val="auto"/>
                <w:sz w:val="21"/>
                <w:szCs w:val="21"/>
                <w:lang w:val="en-US" w:eastAsia="zh-CN"/>
              </w:rPr>
            </w:pPr>
            <w:r>
              <w:rPr>
                <w:rFonts w:hint="eastAsia"/>
                <w:b w:val="0"/>
                <w:bCs w:val="0"/>
                <w:color w:val="auto"/>
                <w:sz w:val="21"/>
                <w:szCs w:val="21"/>
                <w:lang w:val="en-US" w:eastAsia="zh-CN"/>
              </w:rPr>
              <w:t>外购，汽运</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3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color w:val="auto"/>
                <w:sz w:val="21"/>
                <w:szCs w:val="21"/>
                <w:lang w:val="en-US" w:eastAsia="zh-CN"/>
              </w:rPr>
            </w:pPr>
            <w:r>
              <w:rPr>
                <w:rFonts w:hint="eastAsia"/>
                <w:color w:val="auto"/>
                <w:sz w:val="21"/>
                <w:szCs w:val="21"/>
                <w:lang w:val="en-US" w:eastAsia="zh-CN"/>
              </w:rPr>
              <w:t>7</w:t>
            </w:r>
          </w:p>
        </w:tc>
        <w:tc>
          <w:tcPr>
            <w:tcW w:w="8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color w:val="auto"/>
                <w:sz w:val="21"/>
                <w:szCs w:val="21"/>
                <w:lang w:val="en-US" w:eastAsia="zh-CN"/>
              </w:rPr>
            </w:pPr>
            <w:r>
              <w:rPr>
                <w:rFonts w:hint="eastAsia"/>
                <w:color w:val="auto"/>
                <w:sz w:val="21"/>
                <w:szCs w:val="21"/>
                <w:lang w:val="en-US" w:eastAsia="zh-CN"/>
              </w:rPr>
              <w:t>发电机柴油</w:t>
            </w:r>
          </w:p>
        </w:tc>
        <w:tc>
          <w:tcPr>
            <w:tcW w:w="1387" w:type="pct"/>
            <w:gridSpan w:val="2"/>
            <w:tcBorders>
              <w:tl2br w:val="nil"/>
              <w:tr2bl w:val="nil"/>
            </w:tcBorders>
            <w:noWrap w:val="0"/>
            <w:vAlign w:val="center"/>
          </w:tcPr>
          <w:p>
            <w:pPr>
              <w:pStyle w:val="85"/>
              <w:keepNext w:val="0"/>
              <w:keepLines w:val="0"/>
              <w:pageBreakBefore w:val="0"/>
              <w:widowControl w:val="0"/>
              <w:kinsoku/>
              <w:wordWrap/>
              <w:overflowPunct/>
              <w:topLinePunct w:val="0"/>
              <w:autoSpaceDE/>
              <w:autoSpaceDN/>
              <w:bidi w:val="0"/>
              <w:spacing w:line="240" w:lineRule="auto"/>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200L/a</w:t>
            </w:r>
          </w:p>
        </w:tc>
        <w:tc>
          <w:tcPr>
            <w:tcW w:w="1122" w:type="pct"/>
            <w:tcBorders>
              <w:tl2br w:val="nil"/>
              <w:tr2bl w:val="nil"/>
            </w:tcBorders>
            <w:noWrap w:val="0"/>
            <w:vAlign w:val="center"/>
          </w:tcPr>
          <w:p>
            <w:pPr>
              <w:pStyle w:val="85"/>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b w:val="0"/>
                <w:bCs w:val="0"/>
                <w:color w:val="auto"/>
                <w:kern w:val="2"/>
                <w:sz w:val="21"/>
                <w:szCs w:val="21"/>
                <w:lang w:val="en-US" w:eastAsia="zh-CN" w:bidi="ar-SA"/>
              </w:rPr>
            </w:pPr>
            <w:r>
              <w:rPr>
                <w:rFonts w:hint="eastAsia"/>
                <w:b w:val="0"/>
                <w:bCs w:val="0"/>
                <w:color w:val="auto"/>
                <w:sz w:val="21"/>
                <w:szCs w:val="21"/>
                <w:lang w:val="en-US" w:eastAsia="zh-CN"/>
              </w:rPr>
              <w:t>200L/a</w:t>
            </w:r>
          </w:p>
        </w:tc>
        <w:tc>
          <w:tcPr>
            <w:tcW w:w="1332" w:type="pct"/>
            <w:tcBorders>
              <w:tl2br w:val="nil"/>
              <w:tr2bl w:val="nil"/>
            </w:tcBorders>
            <w:noWrap w:val="0"/>
            <w:vAlign w:val="center"/>
          </w:tcPr>
          <w:p>
            <w:pPr>
              <w:pStyle w:val="85"/>
              <w:keepNext w:val="0"/>
              <w:keepLines w:val="0"/>
              <w:pageBreakBefore w:val="0"/>
              <w:widowControl w:val="0"/>
              <w:kinsoku/>
              <w:wordWrap/>
              <w:overflowPunct/>
              <w:topLinePunct w:val="0"/>
              <w:autoSpaceDE/>
              <w:autoSpaceDN/>
              <w:bidi w:val="0"/>
              <w:spacing w:line="240" w:lineRule="auto"/>
              <w:textAlignment w:val="auto"/>
              <w:rPr>
                <w:rFonts w:hint="default"/>
                <w:b w:val="0"/>
                <w:bCs w:val="0"/>
                <w:color w:val="auto"/>
                <w:sz w:val="21"/>
                <w:szCs w:val="21"/>
                <w:lang w:val="en-US" w:eastAsia="zh-CN"/>
              </w:rPr>
            </w:pPr>
            <w:r>
              <w:rPr>
                <w:rFonts w:hint="eastAsia"/>
                <w:b w:val="0"/>
                <w:bCs w:val="0"/>
                <w:color w:val="auto"/>
                <w:sz w:val="21"/>
                <w:szCs w:val="21"/>
                <w:lang w:val="en-US" w:eastAsia="zh-CN"/>
              </w:rPr>
              <w:t>自有</w:t>
            </w:r>
          </w:p>
        </w:tc>
      </w:tr>
    </w:tbl>
    <w:p>
      <w:pPr>
        <w:pStyle w:val="62"/>
        <w:rPr>
          <w:rFonts w:cs="Times New Roman"/>
          <w:sz w:val="32"/>
        </w:rPr>
      </w:pPr>
      <w:bookmarkStart w:id="58" w:name="_Toc20024"/>
      <w:r>
        <w:rPr>
          <w:rFonts w:hint="eastAsia" w:cs="Times New Roman"/>
          <w:sz w:val="32"/>
        </w:rPr>
        <w:t>3</w:t>
      </w:r>
      <w:r>
        <w:rPr>
          <w:rFonts w:cs="Times New Roman"/>
          <w:sz w:val="32"/>
        </w:rPr>
        <w:t>.</w:t>
      </w:r>
      <w:r>
        <w:rPr>
          <w:rFonts w:hint="eastAsia" w:cs="Times New Roman"/>
          <w:sz w:val="32"/>
        </w:rPr>
        <w:t>4水源</w:t>
      </w:r>
      <w:bookmarkEnd w:id="58"/>
    </w:p>
    <w:p>
      <w:pPr>
        <w:tabs>
          <w:tab w:val="left" w:pos="6480"/>
        </w:tabs>
        <w:spacing w:line="540" w:lineRule="exact"/>
        <w:ind w:firstLine="480" w:firstLineChars="200"/>
        <w:rPr>
          <w:color w:val="000000"/>
          <w:sz w:val="24"/>
          <w:szCs w:val="24"/>
        </w:rPr>
      </w:pPr>
      <w:r>
        <w:rPr>
          <w:rFonts w:hint="eastAsia"/>
          <w:color w:val="000000"/>
          <w:sz w:val="24"/>
          <w:szCs w:val="24"/>
        </w:rPr>
        <w:t>本工程用水水源来至市政自来水管网。</w:t>
      </w:r>
    </w:p>
    <w:p>
      <w:pPr>
        <w:pStyle w:val="62"/>
        <w:rPr>
          <w:rFonts w:hint="default" w:ascii="Times New Roman" w:hAnsi="Times New Roman" w:cs="Times New Roman" w:eastAsiaTheme="minorEastAsia"/>
          <w:sz w:val="24"/>
          <w:szCs w:val="24"/>
          <w:lang w:eastAsia="zh-CN"/>
        </w:rPr>
      </w:pPr>
      <w:bookmarkStart w:id="59" w:name="_Toc361841099"/>
      <w:bookmarkStart w:id="60" w:name="_Toc361646651"/>
      <w:bookmarkStart w:id="61" w:name="_Toc362535747"/>
      <w:bookmarkStart w:id="62" w:name="_Toc30068"/>
      <w:r>
        <w:rPr>
          <w:rFonts w:hint="eastAsia" w:cs="Times New Roman"/>
          <w:color w:val="auto"/>
          <w:sz w:val="32"/>
        </w:rPr>
        <w:t>3.</w:t>
      </w:r>
      <w:bookmarkEnd w:id="59"/>
      <w:bookmarkEnd w:id="60"/>
      <w:bookmarkEnd w:id="61"/>
      <w:r>
        <w:rPr>
          <w:rFonts w:hint="eastAsia" w:cs="Times New Roman"/>
          <w:color w:val="auto"/>
          <w:sz w:val="32"/>
        </w:rPr>
        <w:t>5生产工艺</w:t>
      </w:r>
      <w:bookmarkEnd w:id="62"/>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项目为加油站项目，营运期主要为过往车辆加油。加油站工艺流程主要包括接卸油、储存、加油及洗车等系统。</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1. 汽油作业工艺流程</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 xml:space="preserve">汽油作业工艺流程及产污环节见下图 </w:t>
      </w: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eastAsia="zh-CN"/>
        </w:rPr>
        <w:t>-</w:t>
      </w:r>
      <w:r>
        <w:rPr>
          <w:rFonts w:hint="eastAsia"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lang w:eastAsia="zh-CN"/>
        </w:rPr>
        <w:t>。</w:t>
      </w:r>
    </w:p>
    <w:p>
      <w:pPr>
        <w:spacing w:line="240" w:lineRule="auto"/>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drawing>
          <wp:inline distT="0" distB="0" distL="114300" distR="114300">
            <wp:extent cx="5638800" cy="1619250"/>
            <wp:effectExtent l="0" t="0" r="0" b="0"/>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9"/>
                    <a:stretch>
                      <a:fillRect/>
                    </a:stretch>
                  </pic:blipFill>
                  <pic:spPr>
                    <a:xfrm>
                      <a:off x="0" y="0"/>
                      <a:ext cx="5638800" cy="1619250"/>
                    </a:xfrm>
                    <a:prstGeom prst="rect">
                      <a:avLst/>
                    </a:prstGeom>
                  </pic:spPr>
                </pic:pic>
              </a:graphicData>
            </a:graphic>
          </wp:inline>
        </w:drawing>
      </w:r>
    </w:p>
    <w:p>
      <w:pPr>
        <w:spacing w:line="440" w:lineRule="exact"/>
        <w:ind w:firstLine="482" w:firstLineChars="200"/>
        <w:jc w:val="center"/>
        <w:rPr>
          <w:rFonts w:hint="default"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sz w:val="24"/>
          <w:szCs w:val="24"/>
          <w:lang w:eastAsia="zh-CN"/>
        </w:rPr>
        <w:t xml:space="preserve">图 </w:t>
      </w:r>
      <w:r>
        <w:rPr>
          <w:rFonts w:hint="eastAsia" w:ascii="Times New Roman" w:hAnsi="Times New Roman" w:cs="Times New Roman" w:eastAsiaTheme="minorEastAsia"/>
          <w:b/>
          <w:bCs/>
          <w:sz w:val="24"/>
          <w:szCs w:val="24"/>
          <w:lang w:val="en-US" w:eastAsia="zh-CN"/>
        </w:rPr>
        <w:t>3</w:t>
      </w:r>
      <w:r>
        <w:rPr>
          <w:rFonts w:hint="default" w:ascii="Times New Roman" w:hAnsi="Times New Roman" w:cs="Times New Roman" w:eastAsiaTheme="minorEastAsia"/>
          <w:b/>
          <w:bCs/>
          <w:sz w:val="24"/>
          <w:szCs w:val="24"/>
          <w:lang w:eastAsia="zh-CN"/>
        </w:rPr>
        <w:t>-</w:t>
      </w:r>
      <w:r>
        <w:rPr>
          <w:rFonts w:hint="eastAsia" w:ascii="Times New Roman" w:hAnsi="Times New Roman" w:cs="Times New Roman" w:eastAsiaTheme="minorEastAsia"/>
          <w:b/>
          <w:bCs/>
          <w:sz w:val="24"/>
          <w:szCs w:val="24"/>
          <w:lang w:val="en-US" w:eastAsia="zh-CN"/>
        </w:rPr>
        <w:t>1</w:t>
      </w:r>
      <w:r>
        <w:rPr>
          <w:rFonts w:hint="default" w:ascii="Times New Roman" w:hAnsi="Times New Roman" w:cs="Times New Roman" w:eastAsiaTheme="minorEastAsia"/>
          <w:b/>
          <w:bCs/>
          <w:sz w:val="24"/>
          <w:szCs w:val="24"/>
          <w:lang w:eastAsia="zh-CN"/>
        </w:rPr>
        <w:t xml:space="preserve"> 汽油作业工艺流程及产污环节图</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工艺说明：</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①汽油卸油</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油品由油罐车通过公路运输至本站后，温油15min，用能监测接地状态的静电接地仪、接地夹接地后，通过插入式软管快速接头卸入相应油罐。卸油时，油罐内油气由卸油油气回收管经快速接头排入油罐车（通气管管口设阻火器）。拟建项目安装卸油油气回收系统即一次油气回收系统，对92#、95#汽油卸油时产生的油气进行回收。卸油油气回收系统主要工作原理为：在卸油过程中油罐车内压力减小，埋地油罐内压力增加，埋地油罐与油罐车间形成压差，使卸油过程中挥发的油气通过密闭管线回到油罐车内，运回储油库处理，达到油气回收的目的。加油站和油罐车均安装卸油油气快速接头，油罐车同时配备带快速接头的软管。卸油过程罐车与埋地油罐内油气气压基本平衡，气液等体积置换，卸油过程管道密闭，卸油油气回收效率可达 95%。</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②汽油加油</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加油时，加油机通过加油枪给汽车油箱加油，油品通过潜油泵从埋地油罐输送至加油机，加油过程中通过计量器进行计量。加油过程产生加油机运行噪声和逸散油气。</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在汽油加油过程中，通过真空泵产生一定真空度，车辆油箱中的油气由油气回收油枪、同轴皮管和油气回收管等油气回收设备机中回收，经加油油气回收管进入油罐，控制油气外排。加油油气经 1.1:1 的气液比进行回收，回收后在油罐内平衡后多余油气经通气立管外排。加油油气回收效率可达 90%。</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③清罐</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根据加油站实际清罐情况，油罐一般每5年清洗一次，清罐工艺流程见图</w:t>
      </w: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eastAsia="zh-CN"/>
        </w:rPr>
        <w:t>-</w:t>
      </w:r>
      <w:r>
        <w:rPr>
          <w:rFonts w:hint="eastAsia"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eastAsia="zh-CN"/>
        </w:rPr>
        <w:t>。</w:t>
      </w:r>
    </w:p>
    <w:p>
      <w:pPr>
        <w:spacing w:line="240" w:lineRule="auto"/>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drawing>
          <wp:inline distT="0" distB="0" distL="114300" distR="114300">
            <wp:extent cx="5695950" cy="2139950"/>
            <wp:effectExtent l="0" t="0" r="0" b="12700"/>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10"/>
                    <a:stretch>
                      <a:fillRect/>
                    </a:stretch>
                  </pic:blipFill>
                  <pic:spPr>
                    <a:xfrm>
                      <a:off x="0" y="0"/>
                      <a:ext cx="5695950" cy="2139950"/>
                    </a:xfrm>
                    <a:prstGeom prst="rect">
                      <a:avLst/>
                    </a:prstGeom>
                  </pic:spPr>
                </pic:pic>
              </a:graphicData>
            </a:graphic>
          </wp:inline>
        </w:drawing>
      </w:r>
    </w:p>
    <w:p>
      <w:pPr>
        <w:spacing w:line="440" w:lineRule="exact"/>
        <w:ind w:firstLine="482" w:firstLineChars="200"/>
        <w:jc w:val="center"/>
        <w:rPr>
          <w:rFonts w:hint="default"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sz w:val="24"/>
          <w:szCs w:val="24"/>
          <w:lang w:eastAsia="zh-CN"/>
        </w:rPr>
        <w:t xml:space="preserve">图 </w:t>
      </w:r>
      <w:r>
        <w:rPr>
          <w:rFonts w:hint="eastAsia" w:ascii="Times New Roman" w:hAnsi="Times New Roman" w:cs="Times New Roman" w:eastAsiaTheme="minorEastAsia"/>
          <w:b/>
          <w:bCs/>
          <w:sz w:val="24"/>
          <w:szCs w:val="24"/>
          <w:lang w:val="en-US" w:eastAsia="zh-CN"/>
        </w:rPr>
        <w:t>3</w:t>
      </w:r>
      <w:r>
        <w:rPr>
          <w:rFonts w:hint="default" w:ascii="Times New Roman" w:hAnsi="Times New Roman" w:cs="Times New Roman" w:eastAsiaTheme="minorEastAsia"/>
          <w:b/>
          <w:bCs/>
          <w:sz w:val="24"/>
          <w:szCs w:val="24"/>
          <w:lang w:eastAsia="zh-CN"/>
        </w:rPr>
        <w:t>-</w:t>
      </w:r>
      <w:r>
        <w:rPr>
          <w:rFonts w:hint="eastAsia" w:ascii="Times New Roman" w:hAnsi="Times New Roman" w:cs="Times New Roman" w:eastAsiaTheme="minorEastAsia"/>
          <w:b/>
          <w:bCs/>
          <w:sz w:val="24"/>
          <w:szCs w:val="24"/>
          <w:lang w:val="en-US" w:eastAsia="zh-CN"/>
        </w:rPr>
        <w:t>2</w:t>
      </w:r>
      <w:r>
        <w:rPr>
          <w:rFonts w:hint="default" w:ascii="Times New Roman" w:hAnsi="Times New Roman" w:cs="Times New Roman" w:eastAsiaTheme="minorEastAsia"/>
          <w:b/>
          <w:bCs/>
          <w:sz w:val="24"/>
          <w:szCs w:val="24"/>
          <w:lang w:eastAsia="zh-CN"/>
        </w:rPr>
        <w:t xml:space="preserve"> 清罐工艺流程及产排污节点图</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工艺说明：</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油罐检修之前，先尽量将油品排空，然后拆卸输油管线，脱离开油罐与其他罐、管的连接，并加盲板封堵，将阀门关闭，防止油气进入；打开人孔、通气孔和排污口，使罐内充分通风；清洗油罐，最后将检修场地清理干净。化学清洗剂由专业的检修单位提供，评价要求尽量使用能满足工艺要求的不燃或难燃性化学清洗剂。</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从油罐、加油机等设备中清出的含油废渣，交由有资质的专业单位处置。</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含油污水不可随意排入下水管道，应交由具有危废处置资质的单位处置。</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2. 柴油作业工艺流程</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 xml:space="preserve">柴油的卸油、加油及清罐工艺与汽油一致，柴油的挥发性较汽油弱，未设置油气回收系统。柴油作业工艺流程及产污环节见下图 </w:t>
      </w: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eastAsia="zh-CN"/>
        </w:rPr>
        <w:t>-</w:t>
      </w: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eastAsia="zh-CN"/>
        </w:rPr>
        <w:t>。</w:t>
      </w:r>
    </w:p>
    <w:p>
      <w:pPr>
        <w:spacing w:line="240" w:lineRule="auto"/>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drawing>
          <wp:inline distT="0" distB="0" distL="114300" distR="114300">
            <wp:extent cx="5403850" cy="1047750"/>
            <wp:effectExtent l="0" t="0" r="6350" b="0"/>
            <wp:docPr id="11"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3"/>
                    <pic:cNvPicPr>
                      <a:picLocks noChangeAspect="1"/>
                    </pic:cNvPicPr>
                  </pic:nvPicPr>
                  <pic:blipFill>
                    <a:blip r:embed="rId11"/>
                    <a:stretch>
                      <a:fillRect/>
                    </a:stretch>
                  </pic:blipFill>
                  <pic:spPr>
                    <a:xfrm>
                      <a:off x="0" y="0"/>
                      <a:ext cx="5403850" cy="1047750"/>
                    </a:xfrm>
                    <a:prstGeom prst="rect">
                      <a:avLst/>
                    </a:prstGeom>
                  </pic:spPr>
                </pic:pic>
              </a:graphicData>
            </a:graphic>
          </wp:inline>
        </w:drawing>
      </w:r>
    </w:p>
    <w:p>
      <w:pPr>
        <w:spacing w:line="440" w:lineRule="exact"/>
        <w:ind w:firstLine="482" w:firstLineChars="200"/>
        <w:jc w:val="center"/>
        <w:rPr>
          <w:rFonts w:hint="default"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sz w:val="24"/>
          <w:szCs w:val="24"/>
          <w:lang w:eastAsia="zh-CN"/>
        </w:rPr>
        <w:t xml:space="preserve">图 </w:t>
      </w:r>
      <w:r>
        <w:rPr>
          <w:rFonts w:hint="eastAsia" w:ascii="Times New Roman" w:hAnsi="Times New Roman" w:cs="Times New Roman" w:eastAsiaTheme="minorEastAsia"/>
          <w:b/>
          <w:bCs/>
          <w:sz w:val="24"/>
          <w:szCs w:val="24"/>
          <w:lang w:val="en-US" w:eastAsia="zh-CN"/>
        </w:rPr>
        <w:t>3</w:t>
      </w:r>
      <w:r>
        <w:rPr>
          <w:rFonts w:hint="default" w:ascii="Times New Roman" w:hAnsi="Times New Roman" w:cs="Times New Roman" w:eastAsiaTheme="minorEastAsia"/>
          <w:b/>
          <w:bCs/>
          <w:sz w:val="24"/>
          <w:szCs w:val="24"/>
          <w:lang w:eastAsia="zh-CN"/>
        </w:rPr>
        <w:t>-</w:t>
      </w:r>
      <w:r>
        <w:rPr>
          <w:rFonts w:hint="eastAsia" w:ascii="Times New Roman" w:hAnsi="Times New Roman" w:cs="Times New Roman" w:eastAsiaTheme="minorEastAsia"/>
          <w:b/>
          <w:bCs/>
          <w:sz w:val="24"/>
          <w:szCs w:val="24"/>
          <w:lang w:val="en-US" w:eastAsia="zh-CN"/>
        </w:rPr>
        <w:t>3</w:t>
      </w:r>
      <w:r>
        <w:rPr>
          <w:rFonts w:hint="default" w:ascii="Times New Roman" w:hAnsi="Times New Roman" w:cs="Times New Roman" w:eastAsiaTheme="minorEastAsia"/>
          <w:b/>
          <w:bCs/>
          <w:sz w:val="24"/>
          <w:szCs w:val="24"/>
          <w:lang w:eastAsia="zh-CN"/>
        </w:rPr>
        <w:t xml:space="preserve"> 柴油作业工艺流程及产污环节图</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工艺说明：</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①柴油卸油</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油罐车将柴油运至场地内通过密闭卸油点将柴油卸至埋地油罐。在卸油过程中油罐车内压力减小，埋地油罐内压力增加，埋地油罐与油罐车内的压差使卸油过程中埋地油罐内产生的油气通过立管排放，油罐车内产生的油气通过呼吸控制阀排放。</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②柴油加油</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柴油通过潜油泵从埋地油罐输送至加油机，再通过配套加油枪给加油车辆加油。加油过程中通过计量器进行计量，加油车辆油箱随着柴油的注入，油箱内产生的油气逸散至大气中。</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③清罐</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同上汽油清罐工艺。</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3.其他产污环节</w:t>
      </w:r>
      <w:r>
        <w:rPr>
          <w:rFonts w:hint="eastAsia" w:cs="Times New Roman" w:eastAsiaTheme="minorEastAsia"/>
          <w:sz w:val="24"/>
          <w:szCs w:val="24"/>
          <w:lang w:eastAsia="zh-CN"/>
        </w:rPr>
        <w:t>：</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①设备检修</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本项目加油机等设备每月例行检修 1 次，设备检修由专业的检修单位进行，采用冷加工检修法。每个月对加油机外观进行检修。加油机的清理，首先需要先切断电源，打开门板清除机内污物。外表面清洗过程禁止使用汽油、煤油等可燃性液体。校对计量准确度（需用标准容器打计量），清洗过滤器。</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检修工序一般会产生油水混合物和少量的含油棉纱及手套等检修废物，收集于危废间暂存后，定期交由有危险废物处置资质的单位转运处置。</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②洗车工序</w:t>
      </w:r>
    </w:p>
    <w:p>
      <w:pPr>
        <w:spacing w:line="440" w:lineRule="exact"/>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项目采用通过式洗车机对来往汽车进行清洗，当车辆被输送机送入洗车机内后，由摆动式高压水刀完全冲掉附于车体上的微小砂砾及灰尘，再经多组高档洗车机专用滚刷对车辆表面及轮毂作全方位包裹清洗，后经多组强力风干后，使车辆表面更加光亮如新。洗车过程不采用任何清洗剂，单台车辆清洗耗水量约33L。</w:t>
      </w:r>
    </w:p>
    <w:bookmarkEnd w:id="53"/>
    <w:bookmarkEnd w:id="54"/>
    <w:bookmarkEnd w:id="55"/>
    <w:p>
      <w:pPr>
        <w:pStyle w:val="62"/>
        <w:rPr>
          <w:rFonts w:cs="Times New Roman"/>
          <w:color w:val="auto"/>
          <w:sz w:val="32"/>
        </w:rPr>
      </w:pPr>
      <w:bookmarkStart w:id="63" w:name="_Toc24325"/>
      <w:bookmarkStart w:id="64" w:name="_Toc305059565"/>
      <w:bookmarkStart w:id="65" w:name="_Toc332553919"/>
      <w:bookmarkStart w:id="66" w:name="_Toc321042418"/>
      <w:bookmarkStart w:id="67" w:name="_Toc341293109"/>
      <w:bookmarkStart w:id="68" w:name="_Toc341278424"/>
      <w:bookmarkStart w:id="69" w:name="_Toc341431726"/>
      <w:bookmarkStart w:id="70" w:name="_Toc341357473"/>
      <w:r>
        <w:rPr>
          <w:rFonts w:hint="eastAsia" w:cs="Times New Roman"/>
          <w:color w:val="auto"/>
          <w:sz w:val="32"/>
        </w:rPr>
        <w:t>3.6项目变动情况</w:t>
      </w:r>
      <w:bookmarkEnd w:id="63"/>
    </w:p>
    <w:p>
      <w:pPr>
        <w:spacing w:line="540" w:lineRule="exact"/>
        <w:ind w:firstLine="480" w:firstLineChars="200"/>
        <w:rPr>
          <w:b/>
          <w:bCs/>
          <w:kern w:val="0"/>
          <w:sz w:val="36"/>
          <w:szCs w:val="20"/>
        </w:rPr>
      </w:pPr>
      <w:r>
        <w:rPr>
          <w:rFonts w:hint="eastAsia"/>
          <w:bCs/>
          <w:sz w:val="24"/>
          <w:szCs w:val="24"/>
          <w:lang w:eastAsia="zh-CN"/>
        </w:rPr>
        <w:t>中国石油天然气股份有限公司万州金龙加油站新建工程建设内容及规模与环评和批复相比没有发生变化。按照《（环办环评函〔2020〕688号） 关于印发污染影响类建设项目重大变动清单（试行）的通知》中相关重大变动标准，无重大变动情况，纳入竣工环境保护验收管理。</w:t>
      </w:r>
      <w:r>
        <w:rPr>
          <w:sz w:val="36"/>
        </w:rPr>
        <w:br w:type="page"/>
      </w:r>
    </w:p>
    <w:p>
      <w:pPr>
        <w:pStyle w:val="61"/>
        <w:spacing w:beforeLines="50"/>
        <w:rPr>
          <w:rFonts w:cs="Times New Roman"/>
          <w:sz w:val="36"/>
        </w:rPr>
      </w:pPr>
      <w:bookmarkStart w:id="71" w:name="_Toc11256"/>
      <w:r>
        <w:rPr>
          <w:rFonts w:hint="eastAsia" w:cs="Times New Roman"/>
          <w:sz w:val="36"/>
        </w:rPr>
        <w:t>4</w:t>
      </w:r>
      <w:bookmarkEnd w:id="64"/>
      <w:bookmarkEnd w:id="65"/>
      <w:bookmarkEnd w:id="66"/>
      <w:bookmarkEnd w:id="67"/>
      <w:bookmarkEnd w:id="68"/>
      <w:bookmarkEnd w:id="69"/>
      <w:bookmarkEnd w:id="70"/>
      <w:r>
        <w:rPr>
          <w:rFonts w:hint="eastAsia" w:cs="Times New Roman"/>
          <w:sz w:val="36"/>
        </w:rPr>
        <w:t>环境保护设施</w:t>
      </w:r>
      <w:bookmarkEnd w:id="71"/>
    </w:p>
    <w:p>
      <w:pPr>
        <w:pStyle w:val="62"/>
        <w:rPr>
          <w:rFonts w:cs="Times New Roman"/>
          <w:color w:val="auto"/>
          <w:sz w:val="32"/>
        </w:rPr>
      </w:pPr>
      <w:bookmarkStart w:id="72" w:name="_Toc29145"/>
      <w:r>
        <w:rPr>
          <w:rFonts w:hint="eastAsia" w:cs="Times New Roman"/>
          <w:color w:val="auto"/>
          <w:sz w:val="32"/>
        </w:rPr>
        <w:t>4.1污染物治理及处置设施</w:t>
      </w:r>
      <w:bookmarkEnd w:id="72"/>
    </w:p>
    <w:p>
      <w:pPr>
        <w:adjustRightInd w:val="0"/>
        <w:snapToGrid w:val="0"/>
        <w:spacing w:line="360" w:lineRule="auto"/>
        <w:rPr>
          <w:b/>
          <w:sz w:val="28"/>
          <w:szCs w:val="28"/>
          <w:lang w:val="en-IE"/>
        </w:rPr>
      </w:pPr>
      <w:r>
        <w:rPr>
          <w:rFonts w:hint="eastAsia"/>
          <w:b/>
          <w:sz w:val="28"/>
          <w:szCs w:val="28"/>
          <w:lang w:val="en-IE"/>
        </w:rPr>
        <w:t>4</w:t>
      </w:r>
      <w:r>
        <w:rPr>
          <w:b/>
          <w:sz w:val="28"/>
          <w:szCs w:val="28"/>
          <w:lang w:val="en-IE"/>
        </w:rPr>
        <w:t>.</w:t>
      </w:r>
      <w:r>
        <w:rPr>
          <w:rFonts w:hint="eastAsia"/>
          <w:b/>
          <w:sz w:val="28"/>
          <w:szCs w:val="28"/>
          <w:lang w:val="en-IE"/>
        </w:rPr>
        <w:t>1</w:t>
      </w:r>
      <w:r>
        <w:rPr>
          <w:b/>
          <w:sz w:val="28"/>
          <w:szCs w:val="28"/>
          <w:lang w:val="en-IE"/>
        </w:rPr>
        <w:t>.1  废水</w:t>
      </w:r>
    </w:p>
    <w:p>
      <w:pPr>
        <w:spacing w:line="540" w:lineRule="exact"/>
        <w:ind w:firstLine="480" w:firstLineChars="200"/>
        <w:jc w:val="left"/>
        <w:rPr>
          <w:rFonts w:hAnsiTheme="minorEastAsia" w:eastAsiaTheme="minorEastAsia"/>
          <w:sz w:val="24"/>
          <w:szCs w:val="24"/>
        </w:rPr>
      </w:pPr>
      <w:r>
        <w:rPr>
          <w:rFonts w:hAnsiTheme="minorEastAsia" w:eastAsiaTheme="minorEastAsia"/>
          <w:sz w:val="24"/>
          <w:szCs w:val="24"/>
        </w:rPr>
        <w:t>本项目废水</w:t>
      </w:r>
      <w:r>
        <w:rPr>
          <w:rFonts w:hint="eastAsia" w:hAnsiTheme="minorEastAsia" w:eastAsiaTheme="minorEastAsia"/>
          <w:sz w:val="24"/>
          <w:szCs w:val="24"/>
        </w:rPr>
        <w:t>为生活废水和场地冲洗水。</w:t>
      </w:r>
    </w:p>
    <w:p>
      <w:pPr>
        <w:spacing w:line="540" w:lineRule="exact"/>
        <w:ind w:firstLine="480" w:firstLineChars="200"/>
        <w:jc w:val="left"/>
        <w:rPr>
          <w:rFonts w:eastAsiaTheme="minorEastAsia"/>
          <w:bCs/>
          <w:sz w:val="24"/>
          <w:szCs w:val="24"/>
        </w:rPr>
      </w:pPr>
      <w:r>
        <w:rPr>
          <w:rFonts w:hint="eastAsia" w:hAnsiTheme="minorEastAsia" w:eastAsiaTheme="minorEastAsia"/>
          <w:sz w:val="24"/>
          <w:szCs w:val="24"/>
        </w:rPr>
        <w:t>项目地面冲洗废水、初期雨水以及洗车废水经三段式水封隔油池处理达《污水综合排放标准》（GB8978-1996）三级标准后与经生化池处理达《污水综合排放标准》（GB8978-1996）三级标准后的生活污水一起通过同一排口进入申明坝污水处理厂深度处理达《城镇污水处理厂污染物排放标准》(GB18918-2002)一级 A 标后，排入长江</w:t>
      </w:r>
      <w:r>
        <w:rPr>
          <w:rFonts w:hint="eastAsia" w:ascii="Times New Roman" w:hAnsi="Times New Roman" w:cs="Times New Roman" w:eastAsiaTheme="minorEastAsia"/>
          <w:bCs/>
          <w:sz w:val="24"/>
          <w:szCs w:val="24"/>
        </w:rPr>
        <w:t>。</w:t>
      </w:r>
    </w:p>
    <w:p>
      <w:pPr>
        <w:spacing w:line="540" w:lineRule="exact"/>
        <w:ind w:firstLine="480" w:firstLineChars="200"/>
        <w:jc w:val="left"/>
        <w:rPr>
          <w:rFonts w:hint="eastAsia" w:eastAsiaTheme="minorEastAsia"/>
          <w:sz w:val="28"/>
          <w:szCs w:val="28"/>
          <w:lang w:val="en-US" w:eastAsia="zh-CN"/>
        </w:rPr>
      </w:pPr>
      <w:r>
        <w:rPr>
          <w:rFonts w:hint="eastAsia" w:hAnsiTheme="minorEastAsia" w:eastAsiaTheme="minorEastAsia"/>
          <w:sz w:val="24"/>
          <w:szCs w:val="24"/>
        </w:rPr>
        <w:t>本项目废水</w:t>
      </w:r>
      <w:r>
        <w:rPr>
          <w:rFonts w:hAnsiTheme="minorEastAsia" w:eastAsiaTheme="minorEastAsia"/>
          <w:sz w:val="24"/>
          <w:szCs w:val="24"/>
        </w:rPr>
        <w:t>处理流程见图</w:t>
      </w:r>
      <w:r>
        <w:rPr>
          <w:rFonts w:hint="eastAsia" w:eastAsiaTheme="minorEastAsia"/>
          <w:sz w:val="24"/>
          <w:szCs w:val="24"/>
        </w:rPr>
        <w:t>4-1，废水收集处理设施见图4-2</w:t>
      </w:r>
      <w:r>
        <w:rPr>
          <w:rFonts w:hAnsiTheme="minorEastAsia" w:eastAsiaTheme="minorEastAsia"/>
          <w:sz w:val="24"/>
          <w:szCs w:val="24"/>
        </w:rPr>
        <w:t>。</w:t>
      </w:r>
    </w:p>
    <w:p>
      <w:pPr>
        <w:ind w:firstLine="420"/>
        <w:jc w:val="center"/>
        <w:rPr>
          <w:rFonts w:eastAsia="仿宋_GB2312"/>
          <w:sz w:val="28"/>
          <w:szCs w:val="28"/>
        </w:rPr>
      </w:pPr>
      <w:r>
        <w:drawing>
          <wp:inline distT="0" distB="0" distL="114300" distR="114300">
            <wp:extent cx="4667250" cy="1362075"/>
            <wp:effectExtent l="0" t="0" r="0"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2"/>
                    <a:stretch>
                      <a:fillRect/>
                    </a:stretch>
                  </pic:blipFill>
                  <pic:spPr>
                    <a:xfrm>
                      <a:off x="0" y="0"/>
                      <a:ext cx="4667250" cy="1362075"/>
                    </a:xfrm>
                    <a:prstGeom prst="rect">
                      <a:avLst/>
                    </a:prstGeom>
                    <a:noFill/>
                    <a:ln>
                      <a:noFill/>
                    </a:ln>
                  </pic:spPr>
                </pic:pic>
              </a:graphicData>
            </a:graphic>
          </wp:inline>
        </w:drawing>
      </w:r>
    </w:p>
    <w:p>
      <w:pPr>
        <w:spacing w:line="360" w:lineRule="auto"/>
        <w:jc w:val="left"/>
        <w:rPr>
          <w:rFonts w:hAnsiTheme="minorEastAsia" w:eastAsiaTheme="minorEastAsia"/>
          <w:b/>
          <w:color w:val="000000"/>
          <w:sz w:val="28"/>
        </w:rPr>
      </w:pPr>
      <w:r>
        <w:rPr>
          <w:rFonts w:hAnsiTheme="minorEastAsia" w:eastAsiaTheme="minorEastAsia"/>
          <w:b/>
          <w:color w:val="000000"/>
          <w:sz w:val="28"/>
        </w:rPr>
        <w:pict>
          <v:rect id="_x0000_s2104" o:spid="_x0000_s2104" o:spt="1" style="position:absolute;left:0pt;margin-left:78.9pt;margin-top:2.75pt;height:32.25pt;width:328pt;z-index:251662336;mso-width-relative:page;mso-height-relative:page;" filled="f" stroked="f" coordsize="21600,21600">
            <v:path/>
            <v:fill on="f" focussize="0,0"/>
            <v:stroke on="f"/>
            <v:imagedata o:title=""/>
            <o:lock v:ext="edit"/>
            <v:textbox>
              <w:txbxContent>
                <w:p>
                  <w:pPr>
                    <w:jc w:val="center"/>
                    <w:rPr>
                      <w:sz w:val="24"/>
                      <w:szCs w:val="24"/>
                    </w:rPr>
                  </w:pPr>
                  <w:r>
                    <w:rPr>
                      <w:rFonts w:hAnsiTheme="minorEastAsia" w:eastAsiaTheme="minorEastAsia"/>
                      <w:b/>
                      <w:color w:val="000000"/>
                      <w:sz w:val="24"/>
                      <w:szCs w:val="24"/>
                    </w:rPr>
                    <w:t>图</w:t>
                  </w:r>
                  <w:r>
                    <w:rPr>
                      <w:rFonts w:hint="eastAsia" w:hAnsiTheme="minorEastAsia" w:eastAsiaTheme="minorEastAsia"/>
                      <w:b/>
                      <w:color w:val="000000"/>
                      <w:sz w:val="24"/>
                      <w:szCs w:val="24"/>
                    </w:rPr>
                    <w:t>4</w:t>
                  </w:r>
                  <w:r>
                    <w:rPr>
                      <w:rFonts w:hAnsiTheme="minorEastAsia" w:eastAsiaTheme="minorEastAsia"/>
                      <w:b/>
                      <w:color w:val="000000"/>
                      <w:sz w:val="24"/>
                      <w:szCs w:val="24"/>
                    </w:rPr>
                    <w:t>-</w:t>
                  </w:r>
                  <w:r>
                    <w:rPr>
                      <w:rFonts w:hint="eastAsia" w:hAnsiTheme="minorEastAsia" w:eastAsiaTheme="minorEastAsia"/>
                      <w:b/>
                      <w:color w:val="000000"/>
                      <w:sz w:val="24"/>
                      <w:szCs w:val="24"/>
                    </w:rPr>
                    <w:t>1</w:t>
                  </w:r>
                  <w:r>
                    <w:rPr>
                      <w:rFonts w:hint="eastAsia" w:hAnsiTheme="minorEastAsia" w:eastAsiaTheme="minorEastAsia"/>
                      <w:b/>
                      <w:color w:val="000000"/>
                      <w:sz w:val="24"/>
                      <w:szCs w:val="24"/>
                      <w:lang w:val="en-US" w:eastAsia="zh-CN"/>
                    </w:rPr>
                    <w:t xml:space="preserve"> </w:t>
                  </w:r>
                  <w:r>
                    <w:rPr>
                      <w:rFonts w:hint="eastAsia" w:hAnsiTheme="minorEastAsia" w:eastAsiaTheme="minorEastAsia"/>
                      <w:b/>
                      <w:color w:val="000000"/>
                      <w:sz w:val="24"/>
                      <w:szCs w:val="24"/>
                    </w:rPr>
                    <w:t>生活</w:t>
                  </w:r>
                  <w:r>
                    <w:rPr>
                      <w:rFonts w:hAnsiTheme="minorEastAsia" w:eastAsiaTheme="minorEastAsia"/>
                      <w:b/>
                      <w:color w:val="000000"/>
                      <w:sz w:val="24"/>
                      <w:szCs w:val="24"/>
                    </w:rPr>
                    <w:t>废水</w:t>
                  </w:r>
                  <w:r>
                    <w:rPr>
                      <w:rFonts w:hint="eastAsia" w:hAnsiTheme="minorEastAsia" w:eastAsiaTheme="minorEastAsia"/>
                      <w:b/>
                      <w:color w:val="000000"/>
                      <w:sz w:val="24"/>
                      <w:szCs w:val="24"/>
                    </w:rPr>
                    <w:t>、场地冲洗水</w:t>
                  </w:r>
                  <w:r>
                    <w:rPr>
                      <w:rFonts w:hAnsiTheme="minorEastAsia" w:eastAsiaTheme="minorEastAsia"/>
                      <w:b/>
                      <w:color w:val="000000"/>
                      <w:sz w:val="24"/>
                      <w:szCs w:val="24"/>
                    </w:rPr>
                    <w:t>治理工艺流程</w:t>
                  </w:r>
                </w:p>
              </w:txbxContent>
            </v:textbox>
          </v:rect>
        </w:pict>
      </w:r>
    </w:p>
    <w:p>
      <w:pPr>
        <w:spacing w:line="360" w:lineRule="auto"/>
        <w:jc w:val="left"/>
        <w:rPr>
          <w:rFonts w:hint="eastAsia" w:asciiTheme="minorEastAsia" w:hAnsiTheme="minorEastAsia" w:eastAsiaTheme="minorEastAsia"/>
          <w:b/>
          <w:sz w:val="28"/>
          <w:szCs w:val="28"/>
          <w:lang w:val="en-IE" w:eastAsia="zh-CN"/>
        </w:rPr>
      </w:pPr>
      <w:r>
        <w:rPr>
          <w:rFonts w:hint="eastAsia" w:asciiTheme="minorEastAsia" w:hAnsiTheme="minorEastAsia" w:eastAsiaTheme="minorEastAsia"/>
          <w:b/>
          <w:sz w:val="28"/>
          <w:szCs w:val="28"/>
          <w:lang w:val="en-US" w:eastAsia="zh-CN"/>
        </w:rPr>
        <w:drawing>
          <wp:inline distT="0" distB="0" distL="114300" distR="114300">
            <wp:extent cx="2764155" cy="2073275"/>
            <wp:effectExtent l="0" t="0" r="17145" b="3175"/>
            <wp:docPr id="13" name="图片 13" descr="99dd1ff5b4ce8ddc3b8c66546e2d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9dd1ff5b4ce8ddc3b8c66546e2da40"/>
                    <pic:cNvPicPr>
                      <a:picLocks noChangeAspect="1"/>
                    </pic:cNvPicPr>
                  </pic:nvPicPr>
                  <pic:blipFill>
                    <a:blip r:embed="rId13"/>
                    <a:stretch>
                      <a:fillRect/>
                    </a:stretch>
                  </pic:blipFill>
                  <pic:spPr>
                    <a:xfrm>
                      <a:off x="0" y="0"/>
                      <a:ext cx="2764155" cy="2073275"/>
                    </a:xfrm>
                    <a:prstGeom prst="rect">
                      <a:avLst/>
                    </a:prstGeom>
                  </pic:spPr>
                </pic:pic>
              </a:graphicData>
            </a:graphic>
          </wp:inline>
        </w:drawing>
      </w:r>
      <w:r>
        <w:rPr>
          <w:rFonts w:hint="eastAsia" w:asciiTheme="minorEastAsia" w:hAnsiTheme="minorEastAsia" w:eastAsiaTheme="minorEastAsia"/>
          <w:b/>
          <w:sz w:val="28"/>
          <w:szCs w:val="28"/>
          <w:lang w:val="en-US" w:eastAsia="zh-CN"/>
        </w:rPr>
        <w:t xml:space="preserve"> </w:t>
      </w:r>
      <w:r>
        <w:rPr>
          <w:rFonts w:hint="eastAsia" w:asciiTheme="minorEastAsia" w:hAnsiTheme="minorEastAsia" w:eastAsiaTheme="minorEastAsia"/>
          <w:b/>
          <w:sz w:val="28"/>
          <w:szCs w:val="28"/>
          <w:lang w:val="en-IE" w:eastAsia="zh-CN"/>
        </w:rPr>
        <w:drawing>
          <wp:inline distT="0" distB="0" distL="114300" distR="114300">
            <wp:extent cx="2787650" cy="2091690"/>
            <wp:effectExtent l="0" t="0" r="12700" b="3810"/>
            <wp:docPr id="3" name="图片 3" descr="b76e91f08d438956b5c0d1f355c0b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6e91f08d438956b5c0d1f355c0b5a"/>
                    <pic:cNvPicPr>
                      <a:picLocks noChangeAspect="1"/>
                    </pic:cNvPicPr>
                  </pic:nvPicPr>
                  <pic:blipFill>
                    <a:blip r:embed="rId14"/>
                    <a:stretch>
                      <a:fillRect/>
                    </a:stretch>
                  </pic:blipFill>
                  <pic:spPr>
                    <a:xfrm>
                      <a:off x="0" y="0"/>
                      <a:ext cx="2787650" cy="2091690"/>
                    </a:xfrm>
                    <a:prstGeom prst="rect">
                      <a:avLst/>
                    </a:prstGeom>
                  </pic:spPr>
                </pic:pic>
              </a:graphicData>
            </a:graphic>
          </wp:inline>
        </w:drawing>
      </w:r>
    </w:p>
    <w:p>
      <w:pPr>
        <w:jc w:val="center"/>
        <w:rPr>
          <w:rFonts w:asciiTheme="minorEastAsia" w:hAnsiTheme="minorEastAsia" w:eastAsiaTheme="minorEastAsia"/>
          <w:b/>
          <w:sz w:val="24"/>
          <w:szCs w:val="24"/>
          <w:lang w:val="en-IE"/>
        </w:rPr>
      </w:pPr>
      <w:r>
        <w:rPr>
          <w:rFonts w:hAnsiTheme="minorEastAsia" w:eastAsiaTheme="minorEastAsia"/>
          <w:b/>
          <w:color w:val="000000"/>
          <w:sz w:val="24"/>
          <w:szCs w:val="24"/>
        </w:rPr>
        <w:t>图</w:t>
      </w:r>
      <w:r>
        <w:rPr>
          <w:rFonts w:hint="eastAsia" w:hAnsiTheme="minorEastAsia" w:eastAsiaTheme="minorEastAsia"/>
          <w:b/>
          <w:color w:val="000000"/>
          <w:sz w:val="24"/>
          <w:szCs w:val="24"/>
        </w:rPr>
        <w:t>4</w:t>
      </w:r>
      <w:r>
        <w:rPr>
          <w:rFonts w:hAnsiTheme="minorEastAsia" w:eastAsiaTheme="minorEastAsia"/>
          <w:b/>
          <w:color w:val="000000"/>
          <w:sz w:val="24"/>
          <w:szCs w:val="24"/>
        </w:rPr>
        <w:t>-</w:t>
      </w:r>
      <w:r>
        <w:rPr>
          <w:rFonts w:hint="eastAsia" w:hAnsiTheme="minorEastAsia" w:eastAsiaTheme="minorEastAsia"/>
          <w:b/>
          <w:color w:val="000000"/>
          <w:sz w:val="24"/>
          <w:szCs w:val="24"/>
          <w:lang w:val="en-US" w:eastAsia="zh-CN"/>
        </w:rPr>
        <w:t xml:space="preserve">2 </w:t>
      </w:r>
      <w:r>
        <w:rPr>
          <w:rFonts w:hint="eastAsia" w:hAnsiTheme="minorEastAsia" w:eastAsiaTheme="minorEastAsia"/>
          <w:b/>
          <w:color w:val="000000"/>
          <w:sz w:val="24"/>
          <w:szCs w:val="24"/>
        </w:rPr>
        <w:t>生活</w:t>
      </w:r>
      <w:r>
        <w:rPr>
          <w:rFonts w:hAnsiTheme="minorEastAsia" w:eastAsiaTheme="minorEastAsia"/>
          <w:b/>
          <w:color w:val="000000"/>
          <w:sz w:val="24"/>
          <w:szCs w:val="24"/>
        </w:rPr>
        <w:t>废水</w:t>
      </w:r>
      <w:r>
        <w:rPr>
          <w:rFonts w:hint="eastAsia" w:hAnsiTheme="minorEastAsia" w:eastAsiaTheme="minorEastAsia"/>
          <w:b/>
          <w:color w:val="000000"/>
          <w:sz w:val="24"/>
          <w:szCs w:val="24"/>
        </w:rPr>
        <w:t>、场地冲洗水</w:t>
      </w:r>
      <w:r>
        <w:rPr>
          <w:rFonts w:hAnsiTheme="minorEastAsia" w:eastAsiaTheme="minorEastAsia"/>
          <w:b/>
          <w:color w:val="000000"/>
          <w:sz w:val="24"/>
          <w:szCs w:val="24"/>
        </w:rPr>
        <w:t>治理</w:t>
      </w:r>
      <w:r>
        <w:rPr>
          <w:rFonts w:hint="eastAsia" w:hAnsiTheme="minorEastAsia" w:eastAsiaTheme="minorEastAsia"/>
          <w:b/>
          <w:color w:val="000000"/>
          <w:sz w:val="24"/>
          <w:szCs w:val="24"/>
          <w:lang w:eastAsia="zh-CN"/>
        </w:rPr>
        <w:t>设施图</w:t>
      </w:r>
    </w:p>
    <w:p>
      <w:pPr>
        <w:adjustRightInd w:val="0"/>
        <w:snapToGrid w:val="0"/>
        <w:spacing w:line="360" w:lineRule="auto"/>
        <w:rPr>
          <w:b/>
          <w:sz w:val="28"/>
          <w:szCs w:val="28"/>
          <w:lang w:val="en-IE"/>
        </w:rPr>
      </w:pPr>
      <w:r>
        <w:rPr>
          <w:rFonts w:hint="eastAsia"/>
          <w:b/>
          <w:sz w:val="28"/>
          <w:szCs w:val="28"/>
          <w:lang w:val="en-IE"/>
        </w:rPr>
        <w:t>4</w:t>
      </w:r>
      <w:r>
        <w:rPr>
          <w:b/>
          <w:sz w:val="28"/>
          <w:szCs w:val="28"/>
          <w:lang w:val="en-IE"/>
        </w:rPr>
        <w:t>.</w:t>
      </w:r>
      <w:r>
        <w:rPr>
          <w:rFonts w:hint="eastAsia"/>
          <w:b/>
          <w:sz w:val="28"/>
          <w:szCs w:val="28"/>
          <w:lang w:val="en-IE"/>
        </w:rPr>
        <w:t>1</w:t>
      </w:r>
      <w:r>
        <w:rPr>
          <w:b/>
          <w:sz w:val="28"/>
          <w:szCs w:val="28"/>
          <w:lang w:val="en-IE"/>
        </w:rPr>
        <w:t>.2  废气</w:t>
      </w:r>
    </w:p>
    <w:p>
      <w:pPr>
        <w:adjustRightInd w:val="0"/>
        <w:snapToGrid w:val="0"/>
        <w:spacing w:line="360" w:lineRule="auto"/>
        <w:ind w:firstLine="480" w:firstLineChars="200"/>
        <w:rPr>
          <w:rFonts w:asciiTheme="minorEastAsia" w:hAnsiTheme="minorEastAsia" w:eastAsiaTheme="minorEastAsia"/>
          <w:bCs/>
          <w:sz w:val="28"/>
          <w:szCs w:val="28"/>
        </w:rPr>
      </w:pPr>
      <w:r>
        <w:rPr>
          <w:rFonts w:hint="eastAsia" w:asciiTheme="minorEastAsia" w:hAnsiTheme="minorEastAsia" w:eastAsiaTheme="minorEastAsia"/>
          <w:bCs/>
          <w:sz w:val="24"/>
          <w:szCs w:val="24"/>
        </w:rPr>
        <w:t>项目废气主要为卸油废气、储存废气、机动车加油废气以及备用柴油发电机废气。汽车卸油过程中通过一次油气回收系统回收后运回油库进行油气回收处理，且卸油区设置油气回收阀；加油站采用埋地式储油罐，密闭型较好，油罐呼吸由机械呼吸阀排放，储油罐罐室内气温比较稳定，受大气环境稳定影响较小，延缓油品变质，油罐储存小呼吸蒸发损耗较小；加油过程油气设二次回收系统，经回收后进入油罐，并预留三次油气回收系统；备用柴油发电机使用频次少，污染物产生量少，且产生的废气经专用管道引至屋顶排放</w:t>
      </w:r>
      <w:r>
        <w:rPr>
          <w:rFonts w:hint="eastAsia" w:eastAsiaTheme="minorEastAsia"/>
          <w:bCs/>
          <w:sz w:val="24"/>
          <w:szCs w:val="24"/>
        </w:rPr>
        <w:t>。</w:t>
      </w:r>
    </w:p>
    <w:p>
      <w:pPr>
        <w:adjustRightInd w:val="0"/>
        <w:snapToGrid w:val="0"/>
        <w:spacing w:line="360" w:lineRule="auto"/>
        <w:rPr>
          <w:b/>
          <w:sz w:val="28"/>
          <w:szCs w:val="28"/>
          <w:lang w:val="en-IE"/>
        </w:rPr>
      </w:pPr>
      <w:r>
        <w:rPr>
          <w:rFonts w:hint="eastAsia"/>
          <w:b/>
          <w:sz w:val="28"/>
          <w:szCs w:val="28"/>
          <w:lang w:val="en-IE"/>
        </w:rPr>
        <w:t>4</w:t>
      </w:r>
      <w:r>
        <w:rPr>
          <w:b/>
          <w:sz w:val="28"/>
          <w:szCs w:val="28"/>
          <w:lang w:val="en-IE"/>
        </w:rPr>
        <w:t>.</w:t>
      </w:r>
      <w:r>
        <w:rPr>
          <w:rFonts w:hint="eastAsia"/>
          <w:b/>
          <w:sz w:val="28"/>
          <w:szCs w:val="28"/>
          <w:lang w:val="en-IE"/>
        </w:rPr>
        <w:t>1</w:t>
      </w:r>
      <w:r>
        <w:rPr>
          <w:b/>
          <w:sz w:val="28"/>
          <w:szCs w:val="28"/>
          <w:lang w:val="en-IE"/>
        </w:rPr>
        <w:t>.3  噪声</w:t>
      </w:r>
    </w:p>
    <w:p>
      <w:pPr>
        <w:adjustRightInd w:val="0"/>
        <w:snapToGrid w:val="0"/>
        <w:spacing w:line="360" w:lineRule="auto"/>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本项目</w:t>
      </w:r>
      <w:r>
        <w:rPr>
          <w:rFonts w:asciiTheme="minorEastAsia" w:hAnsiTheme="minorEastAsia" w:eastAsiaTheme="minorEastAsia"/>
          <w:bCs/>
          <w:sz w:val="24"/>
          <w:szCs w:val="24"/>
        </w:rPr>
        <w:t>噪声源主要来自</w:t>
      </w:r>
      <w:r>
        <w:rPr>
          <w:rFonts w:hint="eastAsia" w:asciiTheme="minorEastAsia" w:hAnsiTheme="minorEastAsia" w:eastAsiaTheme="minorEastAsia"/>
          <w:bCs/>
          <w:sz w:val="24"/>
          <w:szCs w:val="24"/>
        </w:rPr>
        <w:t>加油泵、加油机、柴油发电机等设备噪声以及进出车辆的交通噪声，柴油发电机位于站房内，采用建筑隔音。</w:t>
      </w:r>
    </w:p>
    <w:p>
      <w:pPr>
        <w:adjustRightInd w:val="0"/>
        <w:snapToGrid w:val="0"/>
        <w:spacing w:line="360" w:lineRule="auto"/>
        <w:rPr>
          <w:b/>
          <w:sz w:val="28"/>
          <w:szCs w:val="28"/>
          <w:lang w:val="en-IE"/>
        </w:rPr>
      </w:pPr>
      <w:r>
        <w:rPr>
          <w:rFonts w:hint="eastAsia"/>
          <w:b/>
          <w:sz w:val="28"/>
          <w:szCs w:val="28"/>
          <w:lang w:val="en-IE"/>
        </w:rPr>
        <w:t>4</w:t>
      </w:r>
      <w:r>
        <w:rPr>
          <w:b/>
          <w:sz w:val="28"/>
          <w:szCs w:val="28"/>
          <w:lang w:val="en-IE"/>
        </w:rPr>
        <w:t>.</w:t>
      </w:r>
      <w:r>
        <w:rPr>
          <w:rFonts w:hint="eastAsia"/>
          <w:b/>
          <w:sz w:val="28"/>
          <w:szCs w:val="28"/>
          <w:lang w:val="en-IE"/>
        </w:rPr>
        <w:t>1</w:t>
      </w:r>
      <w:r>
        <w:rPr>
          <w:b/>
          <w:sz w:val="28"/>
          <w:szCs w:val="28"/>
          <w:lang w:val="en-IE"/>
        </w:rPr>
        <w:t>.4  固体废物</w:t>
      </w:r>
    </w:p>
    <w:p>
      <w:pPr>
        <w:adjustRightInd w:val="0"/>
        <w:snapToGrid w:val="0"/>
        <w:spacing w:line="360" w:lineRule="auto"/>
        <w:ind w:firstLine="480" w:firstLineChars="200"/>
        <w:rPr>
          <w:rFonts w:asciiTheme="minorEastAsia" w:hAnsiTheme="minorEastAsia" w:eastAsiaTheme="minorEastAsia"/>
          <w:bCs/>
          <w:sz w:val="24"/>
          <w:szCs w:val="24"/>
        </w:rPr>
      </w:pPr>
      <w:r>
        <w:rPr>
          <w:rFonts w:hint="eastAsia" w:asciiTheme="minorEastAsia" w:hAnsiTheme="minorEastAsia" w:eastAsiaTheme="minorEastAsia"/>
          <w:sz w:val="24"/>
          <w:szCs w:val="24"/>
        </w:rPr>
        <w:t>本项目产生的</w:t>
      </w:r>
      <w:r>
        <w:rPr>
          <w:rFonts w:hint="eastAsia" w:asciiTheme="minorEastAsia" w:hAnsiTheme="minorEastAsia" w:eastAsiaTheme="minorEastAsia"/>
          <w:bCs/>
          <w:sz w:val="24"/>
          <w:szCs w:val="24"/>
        </w:rPr>
        <w:t>固体</w:t>
      </w:r>
      <w:r>
        <w:rPr>
          <w:rFonts w:hint="eastAsia" w:asciiTheme="minorEastAsia" w:hAnsiTheme="minorEastAsia" w:eastAsiaTheme="minorEastAsia"/>
          <w:sz w:val="24"/>
          <w:szCs w:val="24"/>
        </w:rPr>
        <w:t>废物包括包括生活垃圾、生化池污泥、便利店包装废物、危险废物</w:t>
      </w:r>
      <w:r>
        <w:rPr>
          <w:rFonts w:hint="eastAsia" w:asciiTheme="minorEastAsia" w:hAnsiTheme="minorEastAsia" w:eastAsiaTheme="minorEastAsia"/>
          <w:bCs/>
          <w:sz w:val="24"/>
          <w:szCs w:val="24"/>
        </w:rPr>
        <w:t>。</w:t>
      </w:r>
    </w:p>
    <w:p>
      <w:pPr>
        <w:adjustRightInd w:val="0"/>
        <w:snapToGrid w:val="0"/>
        <w:spacing w:line="360" w:lineRule="auto"/>
        <w:ind w:firstLine="480" w:firstLineChars="200"/>
        <w:rPr>
          <w:rFonts w:asciiTheme="minorEastAsia" w:hAnsiTheme="minorEastAsia" w:eastAsiaTheme="minorEastAsia"/>
          <w:bCs/>
          <w:sz w:val="24"/>
          <w:szCs w:val="24"/>
        </w:rPr>
      </w:pPr>
      <w:r>
        <w:rPr>
          <w:rFonts w:asciiTheme="minorEastAsia" w:hAnsiTheme="minorEastAsia" w:eastAsiaTheme="minorEastAsia"/>
          <w:sz w:val="24"/>
          <w:szCs w:val="24"/>
        </w:rPr>
        <w:t>油罐清洗废物、</w:t>
      </w:r>
      <w:r>
        <w:rPr>
          <w:rFonts w:hint="eastAsia" w:asciiTheme="minorEastAsia" w:hAnsiTheme="minorEastAsia" w:eastAsiaTheme="minorEastAsia"/>
          <w:sz w:val="24"/>
          <w:szCs w:val="24"/>
        </w:rPr>
        <w:t>隔油池油泥、废油、</w:t>
      </w:r>
      <w:r>
        <w:rPr>
          <w:rFonts w:hint="eastAsia" w:asciiTheme="minorEastAsia" w:hAnsiTheme="minorEastAsia" w:eastAsiaTheme="minorEastAsia"/>
          <w:bCs/>
          <w:sz w:val="24"/>
          <w:szCs w:val="24"/>
        </w:rPr>
        <w:t>含油棉纱及手套、油水混合物</w:t>
      </w:r>
      <w:r>
        <w:rPr>
          <w:rFonts w:hint="eastAsia" w:asciiTheme="minorEastAsia" w:hAnsiTheme="minorEastAsia" w:eastAsiaTheme="minorEastAsia"/>
          <w:sz w:val="24"/>
          <w:szCs w:val="24"/>
        </w:rPr>
        <w:t>等危险废物暂存于铁桶内，定期交有危废资质单位处理</w:t>
      </w:r>
      <w:r>
        <w:rPr>
          <w:rFonts w:hint="eastAsia"/>
          <w:bCs/>
          <w:sz w:val="24"/>
          <w:szCs w:val="24"/>
        </w:rPr>
        <w:t>；</w:t>
      </w:r>
      <w:r>
        <w:rPr>
          <w:rFonts w:asciiTheme="minorEastAsia" w:hAnsiTheme="minorEastAsia" w:eastAsiaTheme="minorEastAsia"/>
          <w:bCs/>
          <w:sz w:val="24"/>
          <w:szCs w:val="24"/>
        </w:rPr>
        <w:t>生活垃圾由环卫部门收集后</w:t>
      </w:r>
      <w:r>
        <w:rPr>
          <w:rFonts w:hint="eastAsia" w:asciiTheme="minorEastAsia" w:hAnsiTheme="minorEastAsia" w:eastAsiaTheme="minorEastAsia"/>
          <w:bCs/>
          <w:sz w:val="24"/>
          <w:szCs w:val="24"/>
        </w:rPr>
        <w:t>处理，生化池污泥由由指定单位定期清掏并送城市生活垃圾填埋场处置。</w:t>
      </w:r>
    </w:p>
    <w:p>
      <w:pPr>
        <w:pStyle w:val="62"/>
        <w:rPr>
          <w:rFonts w:cs="Times New Roman"/>
          <w:color w:val="auto"/>
          <w:sz w:val="32"/>
        </w:rPr>
      </w:pPr>
      <w:bookmarkStart w:id="73" w:name="_Toc31986"/>
      <w:r>
        <w:rPr>
          <w:rFonts w:hint="eastAsia" w:cs="Times New Roman"/>
          <w:color w:val="auto"/>
          <w:sz w:val="32"/>
        </w:rPr>
        <w:t>4.2其他环保设施</w:t>
      </w:r>
      <w:bookmarkEnd w:id="73"/>
    </w:p>
    <w:p>
      <w:pPr>
        <w:adjustRightInd w:val="0"/>
        <w:snapToGrid w:val="0"/>
        <w:spacing w:line="360" w:lineRule="auto"/>
        <w:rPr>
          <w:b/>
          <w:sz w:val="28"/>
          <w:szCs w:val="28"/>
          <w:lang w:val="en-IE"/>
        </w:rPr>
      </w:pPr>
      <w:r>
        <w:rPr>
          <w:rFonts w:hint="eastAsia"/>
          <w:b/>
          <w:sz w:val="28"/>
          <w:szCs w:val="28"/>
          <w:lang w:val="en-IE"/>
        </w:rPr>
        <w:t>4</w:t>
      </w:r>
      <w:r>
        <w:rPr>
          <w:b/>
          <w:sz w:val="28"/>
          <w:szCs w:val="28"/>
          <w:lang w:val="en-IE"/>
        </w:rPr>
        <w:t>.</w:t>
      </w:r>
      <w:r>
        <w:rPr>
          <w:rFonts w:hint="eastAsia"/>
          <w:b/>
          <w:sz w:val="28"/>
          <w:szCs w:val="28"/>
          <w:lang w:val="en-IE"/>
        </w:rPr>
        <w:t>2</w:t>
      </w:r>
      <w:r>
        <w:rPr>
          <w:b/>
          <w:sz w:val="28"/>
          <w:szCs w:val="28"/>
          <w:lang w:val="en-IE"/>
        </w:rPr>
        <w:t>.</w:t>
      </w:r>
      <w:r>
        <w:rPr>
          <w:rFonts w:hint="eastAsia"/>
          <w:b/>
          <w:sz w:val="28"/>
          <w:szCs w:val="28"/>
          <w:lang w:val="en-IE"/>
        </w:rPr>
        <w:t>1环境风险防范设施</w:t>
      </w:r>
    </w:p>
    <w:p>
      <w:pPr>
        <w:adjustRightInd w:val="0"/>
        <w:snapToGrid w:val="0"/>
        <w:spacing w:line="54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本项目编制了《突发环境事件应急预案》、《突发环境事件风险评估报告》确保事故发生时能够得到及时有效的处理。</w:t>
      </w:r>
    </w:p>
    <w:p>
      <w:pPr>
        <w:adjustRightInd w:val="0"/>
        <w:snapToGrid w:val="0"/>
        <w:spacing w:line="54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本项目油罐均为双层油罐，均设置了液位仪和测漏仪，若油罐破裂，油品泄漏在罐内，不会外泄，同时终端会声音报警，罐池采用防渗钢筋混凝土整体浇筑。</w:t>
      </w:r>
    </w:p>
    <w:p>
      <w:pPr>
        <w:adjustRightInd w:val="0"/>
        <w:snapToGrid w:val="0"/>
        <w:spacing w:line="54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本项目配</w:t>
      </w:r>
      <w:r>
        <w:rPr>
          <w:rFonts w:hAnsiTheme="minorEastAsia" w:eastAsiaTheme="minorEastAsia"/>
          <w:bCs/>
          <w:sz w:val="24"/>
          <w:szCs w:val="24"/>
        </w:rPr>
        <w:t>备应急物资与装备，详见表</w:t>
      </w:r>
      <w:r>
        <w:rPr>
          <w:rFonts w:eastAsiaTheme="minorEastAsia"/>
          <w:bCs/>
          <w:sz w:val="24"/>
          <w:szCs w:val="24"/>
        </w:rPr>
        <w:t>4-1</w:t>
      </w:r>
      <w:r>
        <w:rPr>
          <w:rFonts w:hAnsiTheme="minorEastAsia" w:eastAsiaTheme="minorEastAsia"/>
          <w:bCs/>
          <w:sz w:val="24"/>
          <w:szCs w:val="24"/>
        </w:rPr>
        <w:t>，图</w:t>
      </w:r>
      <w:r>
        <w:rPr>
          <w:rFonts w:eastAsiaTheme="minorEastAsia"/>
          <w:bCs/>
          <w:sz w:val="24"/>
          <w:szCs w:val="24"/>
        </w:rPr>
        <w:t>4-</w:t>
      </w:r>
      <w:r>
        <w:rPr>
          <w:rFonts w:hint="eastAsia" w:eastAsiaTheme="minorEastAsia"/>
          <w:bCs/>
          <w:sz w:val="24"/>
          <w:szCs w:val="24"/>
        </w:rPr>
        <w:t>3</w:t>
      </w:r>
      <w:r>
        <w:rPr>
          <w:rFonts w:hAnsiTheme="minorEastAsia" w:eastAsiaTheme="minorEastAsia"/>
          <w:bCs/>
          <w:sz w:val="24"/>
          <w:szCs w:val="24"/>
        </w:rPr>
        <w:t>。</w:t>
      </w:r>
    </w:p>
    <w:p>
      <w:pPr>
        <w:adjustRightInd w:val="0"/>
        <w:snapToGrid w:val="0"/>
        <w:spacing w:line="540" w:lineRule="exact"/>
        <w:jc w:val="center"/>
        <w:rPr>
          <w:rFonts w:hAnsiTheme="minorEastAsia" w:eastAsiaTheme="minorEastAsia"/>
          <w:b/>
          <w:bCs/>
          <w:sz w:val="24"/>
          <w:szCs w:val="24"/>
        </w:rPr>
      </w:pPr>
      <w:r>
        <w:rPr>
          <w:rFonts w:hAnsiTheme="minorEastAsia" w:eastAsiaTheme="minorEastAsia"/>
          <w:b/>
          <w:bCs/>
          <w:sz w:val="24"/>
          <w:szCs w:val="24"/>
        </w:rPr>
        <w:t>表</w:t>
      </w:r>
      <w:r>
        <w:rPr>
          <w:rFonts w:eastAsiaTheme="minorEastAsia"/>
          <w:b/>
          <w:bCs/>
          <w:sz w:val="24"/>
          <w:szCs w:val="24"/>
        </w:rPr>
        <w:t xml:space="preserve">4-1 </w:t>
      </w:r>
      <w:r>
        <w:rPr>
          <w:rFonts w:hAnsiTheme="minorEastAsia" w:eastAsiaTheme="minorEastAsia"/>
          <w:b/>
          <w:bCs/>
          <w:sz w:val="24"/>
          <w:szCs w:val="24"/>
        </w:rPr>
        <w:t>应急物资表</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2618"/>
        <w:gridCol w:w="2318"/>
        <w:gridCol w:w="899"/>
        <w:gridCol w:w="2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安全设施类别</w:t>
            </w:r>
          </w:p>
        </w:tc>
        <w:tc>
          <w:tcPr>
            <w:tcW w:w="141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设置的安全设施</w:t>
            </w: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已设置的安全设施</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数量</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储存或放置位置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预防事故设施</w:t>
            </w:r>
          </w:p>
        </w:tc>
        <w:tc>
          <w:tcPr>
            <w:tcW w:w="1410" w:type="pct"/>
            <w:vMerge w:val="restar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检测、报警设施</w:t>
            </w: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防雷、防静电装置</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2</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站房、罩棚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视频监控系统</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1</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Times New Roman" w:hAnsi="Times New Roman" w:eastAsia="宋体" w:cs="宋体"/>
                <w:snapToGrid/>
                <w:color w:val="auto"/>
                <w:kern w:val="2"/>
                <w:sz w:val="21"/>
                <w:szCs w:val="21"/>
                <w:lang w:val="en-US" w:eastAsia="zh-CN" w:bidi="ar"/>
              </w:rPr>
              <w:t>机柜室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带高液位显示报警器的液位计</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1</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机柜室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vMerge w:val="restar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工艺设施设备安全装置</w:t>
            </w: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加油油气回收系统</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1</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防静电设施</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3</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Times New Roman" w:hAnsi="Times New Roman" w:eastAsia="宋体" w:cs="宋体"/>
                <w:snapToGrid/>
                <w:color w:val="auto"/>
                <w:kern w:val="2"/>
                <w:sz w:val="21"/>
                <w:szCs w:val="21"/>
                <w:lang w:val="en-US" w:eastAsia="zh-CN" w:bidi="ar"/>
              </w:rPr>
              <w:t>罩棚、油罐、站房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vMerge w:val="restar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作业场所防护设施</w:t>
            </w: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密闭防渗漏油罐隔池</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3</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Times New Roman" w:hAnsi="Times New Roman" w:eastAsia="宋体" w:cs="宋体"/>
                <w:snapToGrid/>
                <w:color w:val="auto"/>
                <w:kern w:val="2"/>
                <w:sz w:val="21"/>
                <w:szCs w:val="21"/>
                <w:lang w:val="en-US" w:eastAsia="zh-CN" w:bidi="ar"/>
              </w:rPr>
              <w:t>油罐区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防撞柱</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4</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加油现场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人体静电导除器</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1</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卸油区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安全警示标志</w:t>
            </w: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各种安全标志、标识</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8</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加油现场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控制事故设施</w:t>
            </w:r>
          </w:p>
        </w:tc>
        <w:tc>
          <w:tcPr>
            <w:tcW w:w="1410" w:type="pct"/>
            <w:vMerge w:val="restar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泄压和止逆设施</w:t>
            </w: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通气管及阻火器</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3</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卸油区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呼吸阀</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3</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卸油区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vMerge w:val="restar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紧急处理设施</w:t>
            </w: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气动紧急截断阀</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2</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加油站现场、便利店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检测立井</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3</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油罐区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应急照明</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4</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加油站内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拉断阀</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4</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加油机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电源避雷保护器</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2</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配电箱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减少与消除事故影响设施</w:t>
            </w:r>
          </w:p>
        </w:tc>
        <w:tc>
          <w:tcPr>
            <w:tcW w:w="1410" w:type="pct"/>
            <w:vMerge w:val="restar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灭火设施</w:t>
            </w: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灭火毯</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4</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消防间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消防沙</w:t>
            </w:r>
          </w:p>
        </w:tc>
        <w:tc>
          <w:tcPr>
            <w:tcW w:w="484" w:type="pct"/>
            <w:tcBorders>
              <w:top w:val="single" w:color="auto" w:sz="4" w:space="0"/>
              <w:left w:val="nil"/>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auto"/>
                <w:kern w:val="2"/>
                <w:sz w:val="21"/>
                <w:szCs w:val="21"/>
                <w:lang w:val="en-US" w:eastAsia="zh-CN" w:bidi="ar"/>
              </w:rPr>
            </w:pPr>
            <w:r>
              <w:rPr>
                <w:rFonts w:hint="eastAsia" w:ascii="Times New Roman" w:hAnsi="Times New Roman" w:eastAsia="宋体" w:cs="Times New Roman"/>
                <w:snapToGrid/>
                <w:color w:val="auto"/>
                <w:kern w:val="2"/>
                <w:sz w:val="21"/>
                <w:szCs w:val="21"/>
                <w:lang w:val="en-US" w:eastAsia="zh-CN" w:bidi="ar"/>
              </w:rPr>
              <w:t>3</w:t>
            </w:r>
            <w:r>
              <w:rPr>
                <w:rFonts w:hint="default" w:ascii="Times New Roman" w:hAnsi="Times New Roman" w:eastAsia="宋体" w:cs="Times New Roman"/>
                <w:snapToGrid/>
                <w:color w:val="auto"/>
                <w:kern w:val="2"/>
                <w:sz w:val="21"/>
                <w:szCs w:val="21"/>
                <w:lang w:val="en-US" w:eastAsia="zh-CN" w:bidi="ar"/>
              </w:rPr>
              <w:t>m</w:t>
            </w:r>
            <w:r>
              <w:rPr>
                <w:rFonts w:hint="eastAsia" w:ascii="Times New Roman" w:hAnsi="Times New Roman" w:eastAsia="宋体" w:cs="Times New Roman"/>
                <w:snapToGrid/>
                <w:color w:val="auto"/>
                <w:kern w:val="2"/>
                <w:sz w:val="21"/>
                <w:szCs w:val="21"/>
                <w:vertAlign w:val="superscript"/>
                <w:lang w:val="en-US" w:eastAsia="zh-CN" w:bidi="ar"/>
              </w:rPr>
              <w:t>3</w:t>
            </w:r>
          </w:p>
        </w:tc>
        <w:tc>
          <w:tcPr>
            <w:tcW w:w="1188" w:type="pct"/>
            <w:vMerge w:val="restar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消防间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消防铲</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auto"/>
                <w:kern w:val="2"/>
                <w:sz w:val="21"/>
                <w:szCs w:val="21"/>
                <w:lang w:val="en-US" w:eastAsia="zh-CN" w:bidi="ar"/>
              </w:rPr>
            </w:pPr>
            <w:r>
              <w:rPr>
                <w:rFonts w:hint="default" w:ascii="Times New Roman" w:hAnsi="Times New Roman" w:eastAsia="宋体" w:cs="Times New Roman"/>
                <w:snapToGrid/>
                <w:color w:val="auto"/>
                <w:kern w:val="2"/>
                <w:sz w:val="21"/>
                <w:szCs w:val="21"/>
                <w:lang w:val="en-US" w:eastAsia="zh-CN" w:bidi="ar"/>
              </w:rPr>
              <w:t>4</w:t>
            </w:r>
          </w:p>
        </w:tc>
        <w:tc>
          <w:tcPr>
            <w:tcW w:w="1188"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消防桶</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4</w:t>
            </w:r>
          </w:p>
        </w:tc>
        <w:tc>
          <w:tcPr>
            <w:tcW w:w="1188"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吸油棉</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 xml:space="preserve">4    </w:t>
            </w:r>
          </w:p>
        </w:tc>
        <w:tc>
          <w:tcPr>
            <w:tcW w:w="1188"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推车式干粉灭火器</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cs="Times New Roman"/>
                <w:snapToGrid/>
                <w:color w:val="auto"/>
                <w:kern w:val="2"/>
                <w:sz w:val="21"/>
                <w:szCs w:val="21"/>
                <w:lang w:val="en-US" w:eastAsia="zh-CN" w:bidi="ar"/>
              </w:rPr>
              <w:t>2</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消防间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手提式干粉灭火器</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8</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消防间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逃生避难设置</w:t>
            </w: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安全出口</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2</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41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劳保用品和装备</w:t>
            </w: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个人防护用品</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cs="Times New Roman"/>
                <w:snapToGrid/>
                <w:color w:val="auto"/>
                <w:kern w:val="2"/>
                <w:sz w:val="21"/>
                <w:szCs w:val="21"/>
                <w:lang w:val="en-US" w:eastAsia="zh-CN" w:bidi="ar"/>
              </w:rPr>
              <w:t>5</w:t>
            </w:r>
          </w:p>
        </w:tc>
        <w:tc>
          <w:tcPr>
            <w:tcW w:w="1188" w:type="pct"/>
            <w:vMerge w:val="restar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0000FF"/>
                <w:sz w:val="20"/>
                <w:szCs w:val="20"/>
              </w:rPr>
            </w:pPr>
          </w:p>
        </w:tc>
        <w:tc>
          <w:tcPr>
            <w:tcW w:w="1410" w:type="pct"/>
            <w:vMerge w:val="restar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工程抢险装备、现场受伤人员医疗抢救装备</w:t>
            </w: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医疗急救包</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1</w:t>
            </w:r>
          </w:p>
        </w:tc>
        <w:tc>
          <w:tcPr>
            <w:tcW w:w="1188"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0000FF"/>
                <w:sz w:val="20"/>
                <w:szCs w:val="20"/>
              </w:rPr>
            </w:pPr>
          </w:p>
        </w:tc>
        <w:tc>
          <w:tcPr>
            <w:tcW w:w="1410"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疏导箱</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p>
        </w:tc>
        <w:tc>
          <w:tcPr>
            <w:tcW w:w="1188"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0000FF"/>
                <w:sz w:val="20"/>
                <w:szCs w:val="20"/>
              </w:rPr>
            </w:pPr>
          </w:p>
        </w:tc>
        <w:tc>
          <w:tcPr>
            <w:tcW w:w="141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逃生和避难的安全通道（梯）、避难信号、避难指示标志</w:t>
            </w: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人员紧急疏散通道</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default" w:ascii="Times New Roman" w:hAnsi="Times New Roman" w:eastAsia="宋体" w:cs="Times New Roman"/>
                <w:snapToGrid/>
                <w:color w:val="auto"/>
                <w:kern w:val="2"/>
                <w:sz w:val="21"/>
                <w:szCs w:val="21"/>
                <w:lang w:val="en-US" w:eastAsia="zh-CN" w:bidi="ar"/>
              </w:rPr>
              <w:t>2</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0000FF"/>
                <w:sz w:val="20"/>
                <w:szCs w:val="20"/>
              </w:rPr>
            </w:pPr>
          </w:p>
        </w:tc>
        <w:tc>
          <w:tcPr>
            <w:tcW w:w="1410" w:type="pct"/>
            <w:vMerge w:val="restar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头部，面部，呼吸器官，四肢，躯干防火、防毒、防高处坠落等免受作业场所物理、化学因素伤害的劳动防护用品和装备</w:t>
            </w: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防静电工作服</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cs="Times New Roman"/>
                <w:snapToGrid/>
                <w:color w:val="auto"/>
                <w:kern w:val="2"/>
                <w:sz w:val="21"/>
                <w:szCs w:val="21"/>
                <w:lang w:val="en-US" w:eastAsia="zh-CN" w:bidi="ar"/>
              </w:rPr>
              <w:t>5</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0000FF"/>
                <w:sz w:val="20"/>
                <w:szCs w:val="20"/>
              </w:rPr>
            </w:pPr>
          </w:p>
        </w:tc>
        <w:tc>
          <w:tcPr>
            <w:tcW w:w="1410"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color w:val="auto"/>
                <w:kern w:val="2"/>
                <w:sz w:val="21"/>
                <w:szCs w:val="21"/>
                <w:lang w:val="en-US" w:eastAsia="zh-CN" w:bidi="ar"/>
              </w:rPr>
              <w:t>防静电手套</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cs="Times New Roman"/>
                <w:snapToGrid/>
                <w:color w:val="auto"/>
                <w:kern w:val="2"/>
                <w:sz w:val="21"/>
                <w:szCs w:val="21"/>
                <w:lang w:val="en-US" w:eastAsia="zh-CN" w:bidi="ar"/>
              </w:rPr>
              <w:t>5</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0000FF"/>
                <w:sz w:val="20"/>
                <w:szCs w:val="20"/>
              </w:rPr>
            </w:pPr>
          </w:p>
        </w:tc>
        <w:tc>
          <w:tcPr>
            <w:tcW w:w="1410" w:type="pct"/>
            <w:vMerge w:val="continue"/>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N/>
              <w:bidi w:val="0"/>
              <w:adjustRightInd w:val="0"/>
              <w:snapToGrid w:val="0"/>
              <w:spacing w:line="240" w:lineRule="auto"/>
              <w:textAlignment w:val="auto"/>
              <w:rPr>
                <w:rFonts w:hint="default" w:ascii="Times New Roman" w:hAnsi="Times New Roman" w:cs="Times New Roman"/>
                <w:color w:val="auto"/>
                <w:sz w:val="20"/>
                <w:szCs w:val="20"/>
              </w:rPr>
            </w:pPr>
          </w:p>
        </w:tc>
        <w:tc>
          <w:tcPr>
            <w:tcW w:w="12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ascii="Times New Roman" w:hAnsi="Times New Roman" w:eastAsia="宋体" w:cs="宋体"/>
                <w:snapToGrid/>
                <w:color w:val="auto"/>
                <w:kern w:val="2"/>
                <w:sz w:val="21"/>
                <w:szCs w:val="21"/>
                <w:lang w:val="en-US" w:eastAsia="zh-CN" w:bidi="ar"/>
              </w:rPr>
              <w:t>防护口罩</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cs="Times New Roman"/>
                <w:snapToGrid/>
                <w:color w:val="auto"/>
                <w:kern w:val="2"/>
                <w:sz w:val="21"/>
                <w:szCs w:val="21"/>
                <w:lang w:val="en-US" w:eastAsia="zh-CN" w:bidi="ar"/>
              </w:rPr>
              <w:t>5</w:t>
            </w:r>
          </w:p>
        </w:tc>
        <w:tc>
          <w:tcPr>
            <w:tcW w:w="11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rPr>
            </w:pPr>
            <w:r>
              <w:rPr>
                <w:rFonts w:hint="eastAsia" w:ascii="Times New Roman" w:hAnsi="Times New Roman" w:eastAsia="宋体" w:cs="宋体"/>
                <w:snapToGrid/>
                <w:color w:val="auto"/>
                <w:kern w:val="2"/>
                <w:sz w:val="21"/>
                <w:szCs w:val="21"/>
                <w:lang w:val="en-US" w:eastAsia="zh-CN" w:bidi="ar"/>
              </w:rPr>
              <w:t>加油站</w:t>
            </w:r>
          </w:p>
        </w:tc>
      </w:tr>
    </w:tbl>
    <w:p>
      <w:pPr>
        <w:adjustRightInd w:val="0"/>
        <w:snapToGrid w:val="0"/>
        <w:spacing w:line="540" w:lineRule="exact"/>
        <w:ind w:firstLine="560" w:firstLineChars="200"/>
        <w:rPr>
          <w:rFonts w:asciiTheme="minorEastAsia" w:hAnsiTheme="minorEastAsia" w:eastAsiaTheme="minorEastAsia"/>
          <w:bCs/>
          <w:sz w:val="28"/>
          <w:szCs w:val="28"/>
        </w:rPr>
      </w:pPr>
    </w:p>
    <w:p>
      <w:pPr>
        <w:adjustRightInd w:val="0"/>
        <w:snapToGrid w:val="0"/>
        <w:spacing w:line="540" w:lineRule="exact"/>
        <w:ind w:firstLine="560" w:firstLineChars="200"/>
        <w:rPr>
          <w:rFonts w:asciiTheme="minorEastAsia" w:hAnsiTheme="minorEastAsia" w:eastAsiaTheme="minorEastAsia"/>
          <w:bCs/>
          <w:sz w:val="28"/>
          <w:szCs w:val="28"/>
        </w:rPr>
      </w:pPr>
    </w:p>
    <w:p>
      <w:pPr>
        <w:adjustRightInd w:val="0"/>
        <w:snapToGrid w:val="0"/>
        <w:spacing w:line="240" w:lineRule="auto"/>
        <w:jc w:val="center"/>
        <w:rPr>
          <w:rFonts w:hint="eastAsia" w:asciiTheme="minorEastAsia" w:hAnsiTheme="minorEastAsia" w:eastAsiaTheme="minorEastAsia"/>
          <w:bCs/>
          <w:sz w:val="28"/>
          <w:szCs w:val="28"/>
          <w:lang w:eastAsia="zh-CN"/>
        </w:rPr>
      </w:pPr>
      <w:r>
        <w:rPr>
          <w:rFonts w:hint="eastAsia" w:asciiTheme="minorEastAsia" w:hAnsiTheme="minorEastAsia" w:eastAsiaTheme="minorEastAsia"/>
          <w:bCs/>
          <w:sz w:val="28"/>
          <w:szCs w:val="28"/>
          <w:lang w:eastAsia="zh-CN"/>
        </w:rPr>
        <w:drawing>
          <wp:inline distT="0" distB="0" distL="114300" distR="114300">
            <wp:extent cx="2806065" cy="2105660"/>
            <wp:effectExtent l="0" t="0" r="13335" b="8890"/>
            <wp:docPr id="4" name="图片 4" descr="2f0539313f6c82055f4ac401dbfc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f0539313f6c82055f4ac401dbfc06e"/>
                    <pic:cNvPicPr>
                      <a:picLocks noChangeAspect="1"/>
                    </pic:cNvPicPr>
                  </pic:nvPicPr>
                  <pic:blipFill>
                    <a:blip r:embed="rId15"/>
                    <a:stretch>
                      <a:fillRect/>
                    </a:stretch>
                  </pic:blipFill>
                  <pic:spPr>
                    <a:xfrm>
                      <a:off x="0" y="0"/>
                      <a:ext cx="2806065" cy="2105660"/>
                    </a:xfrm>
                    <a:prstGeom prst="rect">
                      <a:avLst/>
                    </a:prstGeom>
                  </pic:spPr>
                </pic:pic>
              </a:graphicData>
            </a:graphic>
          </wp:inline>
        </w:drawing>
      </w:r>
      <w:r>
        <w:rPr>
          <w:rFonts w:hint="eastAsia" w:asciiTheme="minorEastAsia" w:hAnsiTheme="minorEastAsia" w:eastAsiaTheme="minorEastAsia"/>
          <w:bCs/>
          <w:sz w:val="28"/>
          <w:szCs w:val="28"/>
          <w:lang w:val="en-US" w:eastAsia="zh-CN"/>
        </w:rPr>
        <w:t xml:space="preserve"> </w:t>
      </w:r>
      <w:r>
        <w:rPr>
          <w:rFonts w:hint="eastAsia" w:asciiTheme="minorEastAsia" w:hAnsiTheme="minorEastAsia" w:eastAsiaTheme="minorEastAsia"/>
          <w:bCs/>
          <w:sz w:val="28"/>
          <w:szCs w:val="28"/>
          <w:lang w:eastAsia="zh-CN"/>
        </w:rPr>
        <w:drawing>
          <wp:inline distT="0" distB="0" distL="114300" distR="114300">
            <wp:extent cx="2805430" cy="2105025"/>
            <wp:effectExtent l="0" t="0" r="13970" b="9525"/>
            <wp:docPr id="5" name="图片 5" descr="578eae2e60ea702f48c6edc23e49f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78eae2e60ea702f48c6edc23e49f5d"/>
                    <pic:cNvPicPr>
                      <a:picLocks noChangeAspect="1"/>
                    </pic:cNvPicPr>
                  </pic:nvPicPr>
                  <pic:blipFill>
                    <a:blip r:embed="rId16"/>
                    <a:stretch>
                      <a:fillRect/>
                    </a:stretch>
                  </pic:blipFill>
                  <pic:spPr>
                    <a:xfrm>
                      <a:off x="0" y="0"/>
                      <a:ext cx="2805430" cy="2105025"/>
                    </a:xfrm>
                    <a:prstGeom prst="rect">
                      <a:avLst/>
                    </a:prstGeom>
                  </pic:spPr>
                </pic:pic>
              </a:graphicData>
            </a:graphic>
          </wp:inline>
        </w:drawing>
      </w:r>
    </w:p>
    <w:p>
      <w:pPr>
        <w:spacing w:line="540" w:lineRule="exact"/>
        <w:ind w:firstLine="482" w:firstLineChars="200"/>
        <w:jc w:val="center"/>
        <w:rPr>
          <w:b/>
          <w:bCs/>
          <w:color w:val="000000"/>
          <w:sz w:val="28"/>
          <w:szCs w:val="28"/>
        </w:rPr>
      </w:pPr>
      <w:r>
        <w:rPr>
          <w:rFonts w:hint="eastAsia"/>
          <w:b/>
          <w:bCs/>
          <w:color w:val="000000"/>
          <w:sz w:val="24"/>
          <w:szCs w:val="24"/>
        </w:rPr>
        <w:t>图4-3   风险控制及应急设备</w:t>
      </w:r>
    </w:p>
    <w:p>
      <w:pPr>
        <w:adjustRightInd w:val="0"/>
        <w:snapToGrid w:val="0"/>
        <w:spacing w:line="360" w:lineRule="auto"/>
        <w:rPr>
          <w:b/>
          <w:sz w:val="28"/>
          <w:szCs w:val="28"/>
          <w:lang w:val="en-IE"/>
        </w:rPr>
      </w:pPr>
      <w:r>
        <w:rPr>
          <w:rFonts w:hint="eastAsia"/>
          <w:b/>
          <w:sz w:val="28"/>
          <w:szCs w:val="28"/>
          <w:lang w:val="en-IE"/>
        </w:rPr>
        <w:t>4</w:t>
      </w:r>
      <w:r>
        <w:rPr>
          <w:b/>
          <w:sz w:val="28"/>
          <w:szCs w:val="28"/>
          <w:lang w:val="en-IE"/>
        </w:rPr>
        <w:t>.</w:t>
      </w:r>
      <w:r>
        <w:rPr>
          <w:rFonts w:hint="eastAsia"/>
          <w:b/>
          <w:sz w:val="28"/>
          <w:szCs w:val="28"/>
          <w:lang w:val="en-IE"/>
        </w:rPr>
        <w:t>2</w:t>
      </w:r>
      <w:r>
        <w:rPr>
          <w:b/>
          <w:sz w:val="28"/>
          <w:szCs w:val="28"/>
          <w:lang w:val="en-IE"/>
        </w:rPr>
        <w:t>.</w:t>
      </w:r>
      <w:r>
        <w:rPr>
          <w:rFonts w:hint="eastAsia"/>
          <w:b/>
          <w:sz w:val="28"/>
          <w:szCs w:val="28"/>
          <w:lang w:val="en-IE"/>
        </w:rPr>
        <w:t>1绿化</w:t>
      </w:r>
    </w:p>
    <w:p>
      <w:pPr>
        <w:spacing w:line="540" w:lineRule="exact"/>
        <w:ind w:firstLine="600" w:firstLineChars="250"/>
        <w:jc w:val="left"/>
        <w:rPr>
          <w:rFonts w:eastAsiaTheme="minorEastAsia"/>
          <w:bCs/>
          <w:sz w:val="24"/>
          <w:szCs w:val="24"/>
        </w:rPr>
      </w:pPr>
      <w:r>
        <w:rPr>
          <w:rFonts w:hAnsiTheme="minorEastAsia" w:eastAsiaTheme="minorEastAsia"/>
          <w:bCs/>
          <w:sz w:val="24"/>
          <w:szCs w:val="24"/>
        </w:rPr>
        <w:t>本项目绿化面积</w:t>
      </w:r>
      <w:r>
        <w:rPr>
          <w:rFonts w:hint="eastAsia" w:eastAsiaTheme="minorEastAsia"/>
          <w:bCs/>
          <w:sz w:val="24"/>
          <w:szCs w:val="24"/>
          <w:lang w:val="en-US" w:eastAsia="zh-CN"/>
        </w:rPr>
        <w:t>1</w:t>
      </w:r>
      <w:r>
        <w:rPr>
          <w:rFonts w:eastAsiaTheme="minorEastAsia"/>
          <w:bCs/>
          <w:sz w:val="24"/>
          <w:szCs w:val="24"/>
        </w:rPr>
        <w:t>0m</w:t>
      </w:r>
      <w:r>
        <w:rPr>
          <w:rFonts w:eastAsiaTheme="minorEastAsia"/>
          <w:bCs/>
          <w:sz w:val="24"/>
          <w:szCs w:val="24"/>
          <w:vertAlign w:val="superscript"/>
        </w:rPr>
        <w:t>2</w:t>
      </w:r>
      <w:r>
        <w:rPr>
          <w:rFonts w:hint="eastAsia" w:eastAsiaTheme="minorEastAsia"/>
          <w:bCs/>
          <w:sz w:val="24"/>
          <w:szCs w:val="24"/>
        </w:rPr>
        <w:t>。</w:t>
      </w:r>
    </w:p>
    <w:p>
      <w:pPr>
        <w:spacing w:line="240" w:lineRule="exact"/>
        <w:ind w:firstLine="703" w:firstLineChars="250"/>
        <w:jc w:val="left"/>
        <w:rPr>
          <w:b/>
          <w:bCs/>
          <w:color w:val="000000"/>
          <w:sz w:val="28"/>
          <w:szCs w:val="28"/>
        </w:rPr>
      </w:pPr>
    </w:p>
    <w:p>
      <w:pPr>
        <w:pStyle w:val="62"/>
        <w:rPr>
          <w:rFonts w:cs="Times New Roman"/>
          <w:color w:val="auto"/>
          <w:sz w:val="32"/>
        </w:rPr>
      </w:pPr>
      <w:bookmarkStart w:id="74" w:name="_Toc23715"/>
      <w:r>
        <w:rPr>
          <w:rFonts w:hint="eastAsia" w:cs="Times New Roman"/>
          <w:color w:val="auto"/>
          <w:sz w:val="32"/>
        </w:rPr>
        <w:t>4.3环保设施投资及“三同时”落实情况</w:t>
      </w:r>
      <w:bookmarkEnd w:id="74"/>
    </w:p>
    <w:p>
      <w:pPr>
        <w:spacing w:line="540" w:lineRule="exact"/>
        <w:ind w:firstLine="480" w:firstLineChars="200"/>
        <w:rPr>
          <w:bCs/>
          <w:sz w:val="24"/>
          <w:szCs w:val="24"/>
        </w:rPr>
      </w:pPr>
      <w:r>
        <w:rPr>
          <w:rFonts w:hint="eastAsia"/>
          <w:sz w:val="24"/>
          <w:szCs w:val="24"/>
        </w:rPr>
        <w:t>本</w:t>
      </w:r>
      <w:r>
        <w:rPr>
          <w:bCs/>
          <w:sz w:val="24"/>
          <w:szCs w:val="24"/>
        </w:rPr>
        <w:t>项目做到了环保设施与主体工程同时设计、同时施工、同时投入运行</w:t>
      </w:r>
      <w:r>
        <w:rPr>
          <w:rFonts w:hint="eastAsia"/>
          <w:bCs/>
          <w:sz w:val="24"/>
          <w:szCs w:val="24"/>
        </w:rPr>
        <w:t>，严格执行了环境保护“</w:t>
      </w:r>
      <w:r>
        <w:rPr>
          <w:bCs/>
          <w:sz w:val="24"/>
          <w:szCs w:val="24"/>
        </w:rPr>
        <w:t>三同时</w:t>
      </w:r>
      <w:r>
        <w:rPr>
          <w:rFonts w:hint="eastAsia"/>
          <w:bCs/>
          <w:sz w:val="24"/>
          <w:szCs w:val="24"/>
        </w:rPr>
        <w:t>”制度</w:t>
      </w:r>
      <w:r>
        <w:rPr>
          <w:bCs/>
          <w:sz w:val="24"/>
          <w:szCs w:val="24"/>
        </w:rPr>
        <w:t>。</w:t>
      </w:r>
    </w:p>
    <w:p>
      <w:pPr>
        <w:spacing w:line="540" w:lineRule="exact"/>
        <w:ind w:firstLine="480" w:firstLineChars="200"/>
        <w:rPr>
          <w:bCs/>
          <w:sz w:val="24"/>
          <w:szCs w:val="24"/>
        </w:rPr>
      </w:pPr>
      <w:r>
        <w:rPr>
          <w:rFonts w:hint="eastAsia"/>
          <w:bCs/>
          <w:sz w:val="24"/>
          <w:szCs w:val="24"/>
        </w:rPr>
        <w:t>工程实际环保投资情况见表4-2。</w:t>
      </w:r>
    </w:p>
    <w:p>
      <w:pPr>
        <w:spacing w:line="540" w:lineRule="exact"/>
        <w:jc w:val="center"/>
        <w:rPr>
          <w:b/>
          <w:bCs/>
          <w:sz w:val="28"/>
          <w:szCs w:val="28"/>
        </w:rPr>
      </w:pPr>
      <w:r>
        <w:rPr>
          <w:rFonts w:hint="eastAsia"/>
          <w:b/>
          <w:bCs/>
          <w:sz w:val="28"/>
          <w:szCs w:val="28"/>
        </w:rPr>
        <w:t>表4-2    实际环保投资一览表</w:t>
      </w:r>
    </w:p>
    <w:tbl>
      <w:tblPr>
        <w:tblStyle w:val="27"/>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5089"/>
        <w:gridCol w:w="30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序号</w:t>
            </w:r>
          </w:p>
        </w:tc>
        <w:tc>
          <w:tcPr>
            <w:tcW w:w="5089" w:type="dxa"/>
            <w:vAlign w:val="center"/>
          </w:tcPr>
          <w:p>
            <w:pPr>
              <w:widowControl/>
              <w:jc w:val="center"/>
              <w:rPr>
                <w:szCs w:val="21"/>
              </w:rPr>
            </w:pPr>
            <w:r>
              <w:rPr>
                <w:rFonts w:hint="eastAsia"/>
                <w:szCs w:val="21"/>
              </w:rPr>
              <w:t>名称</w:t>
            </w:r>
          </w:p>
        </w:tc>
        <w:tc>
          <w:tcPr>
            <w:tcW w:w="3096" w:type="dxa"/>
            <w:vAlign w:val="center"/>
          </w:tcPr>
          <w:p>
            <w:pPr>
              <w:widowControl/>
              <w:jc w:val="center"/>
              <w:rPr>
                <w:szCs w:val="21"/>
              </w:rPr>
            </w:pPr>
            <w:r>
              <w:rPr>
                <w:rFonts w:hint="eastAsia"/>
                <w:szCs w:val="21"/>
              </w:rPr>
              <w:t>金额（万元）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1</w:t>
            </w:r>
          </w:p>
        </w:tc>
        <w:tc>
          <w:tcPr>
            <w:tcW w:w="5089" w:type="dxa"/>
            <w:vAlign w:val="center"/>
          </w:tcPr>
          <w:p>
            <w:pPr>
              <w:widowControl/>
              <w:jc w:val="center"/>
              <w:rPr>
                <w:szCs w:val="21"/>
              </w:rPr>
            </w:pPr>
            <w:r>
              <w:rPr>
                <w:rFonts w:hint="eastAsia"/>
                <w:szCs w:val="21"/>
              </w:rPr>
              <w:t>三段式隔油沉淀池及排水沟</w:t>
            </w:r>
          </w:p>
        </w:tc>
        <w:tc>
          <w:tcPr>
            <w:tcW w:w="3096" w:type="dxa"/>
            <w:vAlign w:val="center"/>
          </w:tcPr>
          <w:p>
            <w:pPr>
              <w:widowControl/>
              <w:jc w:val="center"/>
              <w:rPr>
                <w:rFonts w:hint="default" w:eastAsia="宋体"/>
                <w:szCs w:val="21"/>
                <w:lang w:val="en-US" w:eastAsia="zh-CN"/>
              </w:rPr>
            </w:pPr>
            <w:r>
              <w:rPr>
                <w:rFonts w:hint="eastAsia"/>
                <w:szCs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2</w:t>
            </w:r>
          </w:p>
        </w:tc>
        <w:tc>
          <w:tcPr>
            <w:tcW w:w="5089" w:type="dxa"/>
            <w:vAlign w:val="center"/>
          </w:tcPr>
          <w:p>
            <w:pPr>
              <w:widowControl/>
              <w:jc w:val="center"/>
              <w:rPr>
                <w:szCs w:val="21"/>
              </w:rPr>
            </w:pPr>
            <w:r>
              <w:rPr>
                <w:rFonts w:hint="eastAsia"/>
                <w:szCs w:val="21"/>
              </w:rPr>
              <w:t>生化池</w:t>
            </w:r>
          </w:p>
        </w:tc>
        <w:tc>
          <w:tcPr>
            <w:tcW w:w="3096" w:type="dxa"/>
            <w:vAlign w:val="center"/>
          </w:tcPr>
          <w:p>
            <w:pPr>
              <w:widowControl/>
              <w:jc w:val="center"/>
              <w:rPr>
                <w:rFonts w:hint="default" w:eastAsia="宋体"/>
                <w:szCs w:val="21"/>
                <w:lang w:val="en-US" w:eastAsia="zh-CN"/>
              </w:rPr>
            </w:pPr>
            <w:r>
              <w:rPr>
                <w:rFonts w:hint="eastAsia"/>
                <w:szCs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3</w:t>
            </w:r>
          </w:p>
        </w:tc>
        <w:tc>
          <w:tcPr>
            <w:tcW w:w="5089" w:type="dxa"/>
            <w:vAlign w:val="center"/>
          </w:tcPr>
          <w:p>
            <w:pPr>
              <w:widowControl/>
              <w:jc w:val="center"/>
              <w:rPr>
                <w:szCs w:val="21"/>
              </w:rPr>
            </w:pPr>
            <w:r>
              <w:rPr>
                <w:rFonts w:hint="eastAsia"/>
                <w:szCs w:val="21"/>
              </w:rPr>
              <w:t>油气回收系统</w:t>
            </w:r>
          </w:p>
        </w:tc>
        <w:tc>
          <w:tcPr>
            <w:tcW w:w="3096" w:type="dxa"/>
            <w:vAlign w:val="center"/>
          </w:tcPr>
          <w:p>
            <w:pPr>
              <w:widowControl/>
              <w:jc w:val="center"/>
              <w:rPr>
                <w:rFonts w:hint="default" w:eastAsia="宋体"/>
                <w:szCs w:val="21"/>
                <w:lang w:val="en-US" w:eastAsia="zh-CN"/>
              </w:rPr>
            </w:pPr>
            <w:r>
              <w:rPr>
                <w:rFonts w:hint="eastAsia"/>
                <w:szCs w:val="21"/>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4</w:t>
            </w:r>
          </w:p>
        </w:tc>
        <w:tc>
          <w:tcPr>
            <w:tcW w:w="5089" w:type="dxa"/>
            <w:vAlign w:val="center"/>
          </w:tcPr>
          <w:p>
            <w:pPr>
              <w:widowControl/>
              <w:jc w:val="center"/>
              <w:rPr>
                <w:szCs w:val="21"/>
              </w:rPr>
            </w:pPr>
            <w:r>
              <w:rPr>
                <w:rFonts w:hint="eastAsia"/>
                <w:szCs w:val="21"/>
              </w:rPr>
              <w:t>固体废物收集桶及危废处理</w:t>
            </w:r>
          </w:p>
        </w:tc>
        <w:tc>
          <w:tcPr>
            <w:tcW w:w="3096" w:type="dxa"/>
            <w:vAlign w:val="center"/>
          </w:tcPr>
          <w:p>
            <w:pPr>
              <w:widowControl/>
              <w:jc w:val="center"/>
              <w:rPr>
                <w:rFonts w:hint="eastAsia" w:eastAsia="宋体"/>
                <w:szCs w:val="21"/>
                <w:lang w:eastAsia="zh-CN"/>
              </w:rPr>
            </w:pPr>
            <w:r>
              <w:rPr>
                <w:rFonts w:hint="eastAsia"/>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5</w:t>
            </w:r>
          </w:p>
        </w:tc>
        <w:tc>
          <w:tcPr>
            <w:tcW w:w="5089" w:type="dxa"/>
            <w:vAlign w:val="center"/>
          </w:tcPr>
          <w:p>
            <w:pPr>
              <w:widowControl/>
              <w:jc w:val="center"/>
              <w:rPr>
                <w:szCs w:val="21"/>
              </w:rPr>
            </w:pPr>
            <w:r>
              <w:rPr>
                <w:rFonts w:hint="eastAsia"/>
                <w:szCs w:val="21"/>
              </w:rPr>
              <w:t>噪声防治</w:t>
            </w:r>
          </w:p>
        </w:tc>
        <w:tc>
          <w:tcPr>
            <w:tcW w:w="3096" w:type="dxa"/>
            <w:vAlign w:val="center"/>
          </w:tcPr>
          <w:p>
            <w:pPr>
              <w:widowControl/>
              <w:jc w:val="center"/>
              <w:rPr>
                <w:rFonts w:hint="default" w:eastAsia="宋体"/>
                <w:szCs w:val="21"/>
                <w:lang w:val="en-US" w:eastAsia="zh-CN"/>
              </w:rPr>
            </w:pPr>
            <w:r>
              <w:rPr>
                <w:rFonts w:hint="eastAsia"/>
                <w:szCs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rFonts w:hint="eastAsia" w:eastAsia="宋体"/>
                <w:szCs w:val="21"/>
                <w:lang w:val="en-US" w:eastAsia="zh-CN"/>
              </w:rPr>
            </w:pPr>
            <w:r>
              <w:rPr>
                <w:rFonts w:hint="eastAsia"/>
                <w:szCs w:val="21"/>
                <w:lang w:val="en-US" w:eastAsia="zh-CN"/>
              </w:rPr>
              <w:t>6</w:t>
            </w:r>
          </w:p>
        </w:tc>
        <w:tc>
          <w:tcPr>
            <w:tcW w:w="5089" w:type="dxa"/>
            <w:vAlign w:val="center"/>
          </w:tcPr>
          <w:p>
            <w:pPr>
              <w:widowControl/>
              <w:jc w:val="center"/>
              <w:rPr>
                <w:rFonts w:hint="eastAsia" w:eastAsia="宋体"/>
                <w:szCs w:val="21"/>
                <w:lang w:eastAsia="zh-CN"/>
              </w:rPr>
            </w:pPr>
            <w:r>
              <w:rPr>
                <w:rFonts w:hint="eastAsia"/>
                <w:szCs w:val="21"/>
                <w:lang w:eastAsia="zh-CN"/>
              </w:rPr>
              <w:t>绿化</w:t>
            </w:r>
          </w:p>
        </w:tc>
        <w:tc>
          <w:tcPr>
            <w:tcW w:w="3096" w:type="dxa"/>
            <w:vAlign w:val="center"/>
          </w:tcPr>
          <w:p>
            <w:pPr>
              <w:widowControl/>
              <w:jc w:val="center"/>
              <w:rPr>
                <w:rFonts w:hint="default"/>
                <w:szCs w:val="21"/>
                <w:lang w:val="en-US" w:eastAsia="zh-CN"/>
              </w:rPr>
            </w:pPr>
            <w:r>
              <w:rPr>
                <w:rFonts w:hint="eastAsia"/>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tabs>
                <w:tab w:val="left" w:pos="630"/>
              </w:tabs>
              <w:jc w:val="center"/>
              <w:rPr>
                <w:szCs w:val="21"/>
              </w:rPr>
            </w:pPr>
            <w:r>
              <w:rPr>
                <w:rFonts w:hint="eastAsia"/>
                <w:szCs w:val="21"/>
              </w:rPr>
              <w:t>6</w:t>
            </w:r>
          </w:p>
        </w:tc>
        <w:tc>
          <w:tcPr>
            <w:tcW w:w="5089" w:type="dxa"/>
            <w:vAlign w:val="center"/>
          </w:tcPr>
          <w:p>
            <w:pPr>
              <w:widowControl/>
              <w:jc w:val="center"/>
              <w:rPr>
                <w:szCs w:val="21"/>
              </w:rPr>
            </w:pPr>
            <w:r>
              <w:rPr>
                <w:rFonts w:hint="eastAsia"/>
                <w:szCs w:val="21"/>
              </w:rPr>
              <w:t>合计</w:t>
            </w:r>
          </w:p>
        </w:tc>
        <w:tc>
          <w:tcPr>
            <w:tcW w:w="3096" w:type="dxa"/>
            <w:vAlign w:val="center"/>
          </w:tcPr>
          <w:p>
            <w:pPr>
              <w:widowControl/>
              <w:jc w:val="center"/>
              <w:rPr>
                <w:rFonts w:hint="default" w:eastAsia="宋体"/>
                <w:szCs w:val="21"/>
                <w:lang w:val="en-US" w:eastAsia="zh-CN"/>
              </w:rPr>
            </w:pPr>
            <w:r>
              <w:rPr>
                <w:rFonts w:hint="eastAsia"/>
                <w:szCs w:val="21"/>
                <w:lang w:val="en-US" w:eastAsia="zh-CN"/>
              </w:rPr>
              <w:t>30</w:t>
            </w:r>
          </w:p>
        </w:tc>
      </w:tr>
    </w:tbl>
    <w:p>
      <w:pPr>
        <w:spacing w:line="540" w:lineRule="exact"/>
        <w:ind w:firstLine="560" w:firstLineChars="200"/>
        <w:rPr>
          <w:bCs/>
          <w:color w:val="000000"/>
          <w:sz w:val="28"/>
          <w:szCs w:val="28"/>
        </w:rPr>
      </w:pPr>
    </w:p>
    <w:p>
      <w:pPr>
        <w:widowControl/>
        <w:jc w:val="left"/>
        <w:rPr>
          <w:bCs/>
          <w:color w:val="000000"/>
          <w:sz w:val="28"/>
          <w:szCs w:val="28"/>
        </w:rPr>
      </w:pPr>
      <w:r>
        <w:rPr>
          <w:bCs/>
          <w:color w:val="000000"/>
          <w:sz w:val="28"/>
          <w:szCs w:val="28"/>
        </w:rPr>
        <w:br w:type="page"/>
      </w:r>
    </w:p>
    <w:p>
      <w:pPr>
        <w:pStyle w:val="61"/>
        <w:spacing w:beforeLines="50"/>
        <w:rPr>
          <w:rFonts w:cs="Times New Roman"/>
          <w:sz w:val="36"/>
        </w:rPr>
      </w:pPr>
      <w:bookmarkStart w:id="75" w:name="_Toc341431727"/>
      <w:bookmarkStart w:id="76" w:name="_Toc341357474"/>
      <w:bookmarkStart w:id="77" w:name="_Toc321042419"/>
      <w:bookmarkStart w:id="78" w:name="_Toc341293110"/>
      <w:bookmarkStart w:id="79" w:name="_Toc341278425"/>
      <w:bookmarkStart w:id="80" w:name="_Toc332553920"/>
      <w:bookmarkStart w:id="81" w:name="_Toc305059566"/>
      <w:bookmarkStart w:id="82" w:name="_Toc361841101"/>
      <w:bookmarkStart w:id="83" w:name="_Toc361646653"/>
      <w:bookmarkStart w:id="84" w:name="_Toc362535749"/>
      <w:bookmarkStart w:id="85" w:name="_Toc13581"/>
      <w:r>
        <w:rPr>
          <w:rFonts w:hint="eastAsia" w:cs="Times New Roman"/>
          <w:sz w:val="36"/>
        </w:rPr>
        <w:t>5</w:t>
      </w:r>
      <w:bookmarkEnd w:id="75"/>
      <w:bookmarkEnd w:id="76"/>
      <w:bookmarkEnd w:id="77"/>
      <w:bookmarkEnd w:id="78"/>
      <w:bookmarkEnd w:id="79"/>
      <w:bookmarkEnd w:id="80"/>
      <w:bookmarkEnd w:id="81"/>
      <w:bookmarkEnd w:id="82"/>
      <w:bookmarkEnd w:id="83"/>
      <w:bookmarkEnd w:id="84"/>
      <w:r>
        <w:rPr>
          <w:rFonts w:hint="eastAsia" w:cs="Times New Roman"/>
          <w:sz w:val="36"/>
        </w:rPr>
        <w:t>建设项目环评报告表的主要结论及审批部门审批决定</w:t>
      </w:r>
      <w:bookmarkEnd w:id="85"/>
    </w:p>
    <w:p>
      <w:pPr>
        <w:pStyle w:val="62"/>
        <w:rPr>
          <w:rFonts w:cs="Times New Roman"/>
          <w:sz w:val="32"/>
        </w:rPr>
      </w:pPr>
      <w:bookmarkStart w:id="86" w:name="_Toc362535750"/>
      <w:bookmarkStart w:id="87" w:name="_Toc341357475"/>
      <w:bookmarkStart w:id="88" w:name="_Toc305059567"/>
      <w:bookmarkStart w:id="89" w:name="_Toc341278426"/>
      <w:bookmarkStart w:id="90" w:name="_Toc341293111"/>
      <w:bookmarkStart w:id="91" w:name="_Toc321042420"/>
      <w:bookmarkStart w:id="92" w:name="_Toc341431728"/>
      <w:bookmarkStart w:id="93" w:name="_Toc361646654"/>
      <w:bookmarkStart w:id="94" w:name="_Toc361841102"/>
      <w:bookmarkStart w:id="95" w:name="_Toc332553921"/>
      <w:bookmarkStart w:id="96" w:name="_Toc5643"/>
      <w:r>
        <w:rPr>
          <w:rFonts w:hint="eastAsia" w:cs="Times New Roman"/>
          <w:sz w:val="32"/>
        </w:rPr>
        <w:t>5</w:t>
      </w:r>
      <w:r>
        <w:rPr>
          <w:rFonts w:cs="Times New Roman"/>
          <w:sz w:val="32"/>
        </w:rPr>
        <w:t xml:space="preserve">.1 </w:t>
      </w:r>
      <w:bookmarkEnd w:id="86"/>
      <w:bookmarkEnd w:id="87"/>
      <w:bookmarkEnd w:id="88"/>
      <w:bookmarkEnd w:id="89"/>
      <w:bookmarkEnd w:id="90"/>
      <w:bookmarkEnd w:id="91"/>
      <w:bookmarkEnd w:id="92"/>
      <w:bookmarkEnd w:id="93"/>
      <w:bookmarkEnd w:id="94"/>
      <w:bookmarkEnd w:id="95"/>
      <w:r>
        <w:rPr>
          <w:rFonts w:hint="eastAsia" w:cs="Times New Roman"/>
          <w:sz w:val="32"/>
        </w:rPr>
        <w:t>建设项目环评报告表的主要结论与建议</w:t>
      </w:r>
      <w:bookmarkEnd w:id="96"/>
    </w:p>
    <w:p>
      <w:pPr>
        <w:adjustRightInd w:val="0"/>
        <w:snapToGrid w:val="0"/>
        <w:spacing w:line="540" w:lineRule="exact"/>
        <w:rPr>
          <w:rFonts w:hint="eastAsia"/>
          <w:b/>
          <w:sz w:val="28"/>
          <w:szCs w:val="28"/>
          <w:lang w:val="en-IE" w:eastAsia="zh-CN"/>
        </w:rPr>
      </w:pPr>
      <w:r>
        <w:rPr>
          <w:b/>
          <w:sz w:val="28"/>
          <w:szCs w:val="28"/>
          <w:lang w:val="en-IE"/>
        </w:rPr>
        <w:t>5.1.1</w:t>
      </w:r>
      <w:r>
        <w:rPr>
          <w:rFonts w:hint="eastAsia"/>
          <w:b/>
          <w:sz w:val="28"/>
          <w:szCs w:val="28"/>
          <w:lang w:val="en-IE" w:eastAsia="zh-CN"/>
        </w:rPr>
        <w:t>项目概况</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lang w:eastAsia="zh-CN"/>
        </w:rPr>
        <w:t>中国石油天然气股份有限公司万州金龙加油站新建工程位于重庆市万州区九池街道大包村8组，占地面积1799.30m</w:t>
      </w:r>
      <w:r>
        <w:rPr>
          <w:rFonts w:hint="eastAsia" w:eastAsiaTheme="minorEastAsia"/>
          <w:bCs/>
          <w:sz w:val="24"/>
          <w:szCs w:val="24"/>
          <w:vertAlign w:val="superscript"/>
          <w:lang w:eastAsia="zh-CN"/>
        </w:rPr>
        <w:t>2</w:t>
      </w:r>
      <w:r>
        <w:rPr>
          <w:rFonts w:hint="eastAsia" w:eastAsiaTheme="minorEastAsia"/>
          <w:bCs/>
          <w:sz w:val="24"/>
          <w:szCs w:val="24"/>
          <w:lang w:eastAsia="zh-CN"/>
        </w:rPr>
        <w:t>， 总建筑面积322.06m</w:t>
      </w:r>
      <w:r>
        <w:rPr>
          <w:rFonts w:hint="eastAsia" w:eastAsiaTheme="minorEastAsia"/>
          <w:bCs/>
          <w:sz w:val="24"/>
          <w:szCs w:val="24"/>
          <w:vertAlign w:val="superscript"/>
          <w:lang w:eastAsia="zh-CN"/>
        </w:rPr>
        <w:t>2</w:t>
      </w:r>
      <w:r>
        <w:rPr>
          <w:rFonts w:hint="eastAsia" w:eastAsiaTheme="minorEastAsia"/>
          <w:bCs/>
          <w:sz w:val="24"/>
          <w:szCs w:val="24"/>
          <w:lang w:eastAsia="zh-CN"/>
        </w:rPr>
        <w:t>，建设三级加油站一座。主要销售92#汽油、95#汽油、0#柴油，预计销售规模为92#汽油1t</w:t>
      </w:r>
      <w:r>
        <w:rPr>
          <w:rFonts w:hint="eastAsia" w:eastAsiaTheme="minorEastAsia"/>
          <w:bCs/>
          <w:sz w:val="24"/>
          <w:szCs w:val="24"/>
          <w:lang w:val="en-US" w:eastAsia="zh-CN"/>
        </w:rPr>
        <w:t>/</w:t>
      </w:r>
      <w:r>
        <w:rPr>
          <w:rFonts w:hint="eastAsia" w:eastAsiaTheme="minorEastAsia"/>
          <w:bCs/>
          <w:sz w:val="24"/>
          <w:szCs w:val="24"/>
          <w:lang w:eastAsia="zh-CN"/>
        </w:rPr>
        <w:t>d（365 t</w:t>
      </w:r>
      <w:r>
        <w:rPr>
          <w:rFonts w:hint="eastAsia" w:eastAsiaTheme="minorEastAsia"/>
          <w:bCs/>
          <w:sz w:val="24"/>
          <w:szCs w:val="24"/>
          <w:lang w:val="en-US" w:eastAsia="zh-CN"/>
        </w:rPr>
        <w:t>/</w:t>
      </w:r>
      <w:r>
        <w:rPr>
          <w:rFonts w:hint="eastAsia" w:eastAsiaTheme="minorEastAsia"/>
          <w:bCs/>
          <w:sz w:val="24"/>
          <w:szCs w:val="24"/>
          <w:lang w:eastAsia="zh-CN"/>
        </w:rPr>
        <w:t>a）、95#汽油1 t/d （365 t</w:t>
      </w:r>
      <w:r>
        <w:rPr>
          <w:rFonts w:hint="eastAsia" w:eastAsiaTheme="minorEastAsia"/>
          <w:bCs/>
          <w:sz w:val="24"/>
          <w:szCs w:val="24"/>
          <w:lang w:val="en-US" w:eastAsia="zh-CN"/>
        </w:rPr>
        <w:t>/</w:t>
      </w:r>
      <w:r>
        <w:rPr>
          <w:rFonts w:hint="eastAsia" w:eastAsiaTheme="minorEastAsia"/>
          <w:bCs/>
          <w:sz w:val="24"/>
          <w:szCs w:val="24"/>
          <w:lang w:eastAsia="zh-CN"/>
        </w:rPr>
        <w:t>a）、0#柴油1 t/d（365 t</w:t>
      </w:r>
      <w:r>
        <w:rPr>
          <w:rFonts w:hint="eastAsia" w:eastAsiaTheme="minorEastAsia"/>
          <w:bCs/>
          <w:sz w:val="24"/>
          <w:szCs w:val="24"/>
          <w:lang w:val="en-US" w:eastAsia="zh-CN"/>
        </w:rPr>
        <w:t>/</w:t>
      </w:r>
      <w:r>
        <w:rPr>
          <w:rFonts w:hint="eastAsia" w:eastAsiaTheme="minorEastAsia"/>
          <w:bCs/>
          <w:sz w:val="24"/>
          <w:szCs w:val="24"/>
          <w:lang w:eastAsia="zh-CN"/>
        </w:rPr>
        <w:t>a）。汽油、柴油运输由中石油万州分公司从6910油库用油罐车配送。项目预留充电停车位。</w:t>
      </w:r>
    </w:p>
    <w:p>
      <w:pPr>
        <w:adjustRightInd w:val="0"/>
        <w:snapToGrid w:val="0"/>
        <w:spacing w:line="540" w:lineRule="exact"/>
        <w:rPr>
          <w:rFonts w:hint="eastAsia"/>
          <w:b/>
          <w:sz w:val="28"/>
          <w:szCs w:val="28"/>
          <w:lang w:val="en-IE" w:eastAsia="zh-CN"/>
        </w:rPr>
      </w:pPr>
      <w:bookmarkStart w:id="97" w:name="_Toc4606"/>
      <w:r>
        <w:rPr>
          <w:b/>
          <w:sz w:val="28"/>
          <w:szCs w:val="28"/>
          <w:lang w:val="en-IE"/>
        </w:rPr>
        <w:t>5.1.</w:t>
      </w:r>
      <w:r>
        <w:rPr>
          <w:rFonts w:hint="eastAsia"/>
          <w:b/>
          <w:sz w:val="28"/>
          <w:szCs w:val="28"/>
          <w:lang w:val="en-US" w:eastAsia="zh-CN"/>
        </w:rPr>
        <w:t>2</w:t>
      </w:r>
      <w:r>
        <w:rPr>
          <w:rFonts w:hint="eastAsia"/>
          <w:b/>
          <w:sz w:val="28"/>
          <w:szCs w:val="28"/>
          <w:lang w:val="en-IE" w:eastAsia="zh-CN"/>
        </w:rPr>
        <w:t>环境质量现状</w:t>
      </w:r>
      <w:bookmarkEnd w:id="97"/>
    </w:p>
    <w:p>
      <w:pPr>
        <w:pStyle w:val="36"/>
        <w:rPr>
          <w:rFonts w:hint="eastAsia"/>
          <w:lang w:val="en-US" w:eastAsia="zh-CN"/>
        </w:rPr>
      </w:pPr>
      <w:r>
        <w:rPr>
          <w:rFonts w:hint="eastAsia"/>
          <w:lang w:val="en-US" w:eastAsia="zh-CN"/>
        </w:rPr>
        <w:t>项目所在区域环境空气中，SO</w:t>
      </w:r>
      <w:r>
        <w:rPr>
          <w:rFonts w:hint="eastAsia"/>
          <w:vertAlign w:val="subscript"/>
          <w:lang w:val="en-US" w:eastAsia="zh-CN"/>
        </w:rPr>
        <w:t>2</w:t>
      </w:r>
      <w:r>
        <w:rPr>
          <w:rFonts w:hint="eastAsia"/>
          <w:lang w:val="en-US" w:eastAsia="zh-CN"/>
        </w:rPr>
        <w:t>、NO</w:t>
      </w:r>
      <w:r>
        <w:rPr>
          <w:rFonts w:hint="eastAsia"/>
          <w:vertAlign w:val="subscript"/>
          <w:lang w:val="en-US" w:eastAsia="zh-CN"/>
        </w:rPr>
        <w:t>2</w:t>
      </w:r>
      <w:r>
        <w:rPr>
          <w:rFonts w:hint="eastAsia"/>
          <w:lang w:val="en-US" w:eastAsia="zh-CN"/>
        </w:rPr>
        <w:t>、PM</w:t>
      </w:r>
      <w:r>
        <w:rPr>
          <w:rFonts w:hint="eastAsia"/>
          <w:vertAlign w:val="subscript"/>
          <w:lang w:val="en-US" w:eastAsia="zh-CN"/>
        </w:rPr>
        <w:t>10</w:t>
      </w:r>
      <w:r>
        <w:rPr>
          <w:rFonts w:hint="eastAsia"/>
          <w:lang w:val="en-US" w:eastAsia="zh-CN"/>
        </w:rPr>
        <w:t>的24小时浓度值均满足《环境空气质量标准》（GB3095-2012）中二级标准；非甲烷总烃浓度满足《环境空气质量标准 非甲烷总烃》（DB13/1577-2012）二级标准的要求。</w:t>
      </w:r>
    </w:p>
    <w:p>
      <w:pPr>
        <w:pStyle w:val="36"/>
        <w:rPr>
          <w:rFonts w:hint="eastAsia"/>
          <w:lang w:val="en-US" w:eastAsia="zh-CN"/>
        </w:rPr>
      </w:pPr>
      <w:r>
        <w:rPr>
          <w:rFonts w:hint="eastAsia"/>
          <w:lang w:val="en-US" w:eastAsia="zh-CN"/>
        </w:rPr>
        <w:t>本项目污水受纳水体为长江。按《重庆市人民政府批转重庆市地表水环境功能类别调整方案的通知》（渝府发[2012]4号文）的规定，长江评价段执行《地表水环境质量标准》（GB3838-2002）III 类水域水质标准。长江晒网坝断面、武陵断面水质类别均为II类，达到III类水域水质标准，为水环境功能达标区，各监测因子均符合《地表水环境质量标准》（GB3838-2002）Ⅲ类水质标准要求。</w:t>
      </w:r>
    </w:p>
    <w:p>
      <w:pPr>
        <w:pStyle w:val="36"/>
        <w:rPr>
          <w:rFonts w:hint="eastAsia"/>
          <w:lang w:val="en-US" w:eastAsia="zh-CN"/>
        </w:rPr>
      </w:pPr>
      <w:r>
        <w:rPr>
          <w:rFonts w:hint="eastAsia"/>
          <w:lang w:val="en-US" w:eastAsia="zh-CN"/>
        </w:rPr>
        <w:t>根据重庆市万州区人民政府《关于印发重庆市万州区声环境功能区划分方案的通知》（万州府〔2018〕109 号），拟建项目所在区域为1类声环境功能区。项目周边50m 范围内有2处居民点，位于项目地块东北侧和南侧，声环境质量现状采用实测。拟建项目声环境监测点处昼夜间噪声值均满足《声环境质量标准》（GB3096-2008）1类标准限值。</w:t>
      </w:r>
    </w:p>
    <w:p>
      <w:pPr>
        <w:pStyle w:val="36"/>
        <w:rPr>
          <w:rFonts w:hint="eastAsia"/>
          <w:lang w:val="en-US" w:eastAsia="zh-CN"/>
        </w:rPr>
      </w:pPr>
      <w:r>
        <w:rPr>
          <w:rFonts w:hint="eastAsia"/>
          <w:lang w:val="en-US" w:eastAsia="zh-CN"/>
        </w:rPr>
        <w:t>拟建项目地块内地下水的监测因子均满足《地下水质量标准》（GBT14848-2017）中III 类标准要求，地下水中阳离子以钙、钠离子为主，阴离子以重碳酸盐为主。</w:t>
      </w:r>
    </w:p>
    <w:p>
      <w:pPr>
        <w:adjustRightInd w:val="0"/>
        <w:snapToGrid w:val="0"/>
        <w:spacing w:line="540" w:lineRule="exact"/>
        <w:rPr>
          <w:rFonts w:hint="eastAsia"/>
          <w:b/>
          <w:sz w:val="28"/>
          <w:szCs w:val="28"/>
          <w:lang w:val="en-US" w:eastAsia="zh-CN"/>
        </w:rPr>
      </w:pPr>
      <w:bookmarkStart w:id="98" w:name="_Toc16252"/>
      <w:r>
        <w:rPr>
          <w:b/>
          <w:sz w:val="28"/>
          <w:szCs w:val="28"/>
          <w:lang w:val="en-IE"/>
        </w:rPr>
        <w:t>5.1.</w:t>
      </w:r>
      <w:r>
        <w:rPr>
          <w:rFonts w:hint="eastAsia"/>
          <w:b/>
          <w:sz w:val="28"/>
          <w:szCs w:val="28"/>
          <w:lang w:val="en-US" w:eastAsia="zh-CN"/>
        </w:rPr>
        <w:t>3</w:t>
      </w:r>
      <w:r>
        <w:rPr>
          <w:rFonts w:hint="eastAsia"/>
          <w:b/>
          <w:sz w:val="28"/>
          <w:szCs w:val="28"/>
          <w:lang w:val="en-IE" w:eastAsia="zh-CN"/>
        </w:rPr>
        <w:t>环境质量现状</w:t>
      </w:r>
      <w:bookmarkEnd w:id="98"/>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（1）废气</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项目废气主要为卸油废气、储存废气、机动车加油废气以及备用柴油发电机废气。汽车卸油过程中通过一次油气回收系统回收后运回油库进行油气回收处理，且卸油区设置油气回收阀；加油站采用埋地式储油罐，密闭型较好，油罐呼吸由机械呼吸阀排放，储油罐罐室内气温比较稳定，受大气环境稳定影响较小，延缓油品变质，油罐储存小呼吸蒸发损耗较小；加油过程油气设二次回收系统，经回收后进入油罐，并预留三次油气回收系统；备用柴油发电机使用频次少，污染物产生量少，且产生的废气经专用管道引至屋顶排放。</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（2）废水</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本项目排水实行雨污分流制，初期雨水、地面冲洗废水、洗车废水经三段式水封隔油池处理，三段式水封隔油池位于场区东北侧，处理能力8m</w:t>
      </w:r>
      <w:r>
        <w:rPr>
          <w:rFonts w:hint="eastAsia" w:eastAsiaTheme="minorEastAsia"/>
          <w:bCs/>
          <w:sz w:val="24"/>
          <w:szCs w:val="24"/>
          <w:vertAlign w:val="superscript"/>
        </w:rPr>
        <w:t>3</w:t>
      </w:r>
      <w:r>
        <w:rPr>
          <w:rFonts w:hint="eastAsia" w:eastAsiaTheme="minorEastAsia"/>
          <w:bCs/>
          <w:sz w:val="24"/>
          <w:szCs w:val="24"/>
        </w:rPr>
        <w:t>/d；能满足初期含油雨水（5.16m</w:t>
      </w:r>
      <w:r>
        <w:rPr>
          <w:rFonts w:hint="eastAsia" w:eastAsiaTheme="minorEastAsia"/>
          <w:bCs/>
          <w:sz w:val="24"/>
          <w:szCs w:val="24"/>
          <w:vertAlign w:val="superscript"/>
        </w:rPr>
        <w:t>3</w:t>
      </w:r>
      <w:r>
        <w:rPr>
          <w:rFonts w:hint="eastAsia" w:eastAsiaTheme="minorEastAsia"/>
          <w:bCs/>
          <w:sz w:val="24"/>
          <w:szCs w:val="24"/>
        </w:rPr>
        <w:t>/次）、地面冲洗废水（0.4m</w:t>
      </w:r>
      <w:r>
        <w:rPr>
          <w:rFonts w:hint="eastAsia" w:eastAsiaTheme="minorEastAsia"/>
          <w:bCs/>
          <w:sz w:val="24"/>
          <w:szCs w:val="24"/>
          <w:vertAlign w:val="superscript"/>
        </w:rPr>
        <w:t>3</w:t>
      </w:r>
      <w:r>
        <w:rPr>
          <w:rFonts w:hint="eastAsia" w:eastAsiaTheme="minorEastAsia"/>
          <w:bCs/>
          <w:sz w:val="24"/>
          <w:szCs w:val="24"/>
        </w:rPr>
        <w:t>/d）和洗车废水（0.89m</w:t>
      </w:r>
      <w:r>
        <w:rPr>
          <w:rFonts w:hint="eastAsia" w:eastAsiaTheme="minorEastAsia"/>
          <w:bCs/>
          <w:sz w:val="24"/>
          <w:szCs w:val="24"/>
          <w:vertAlign w:val="superscript"/>
        </w:rPr>
        <w:t>3</w:t>
      </w:r>
      <w:r>
        <w:rPr>
          <w:rFonts w:hint="eastAsia" w:eastAsiaTheme="minorEastAsia"/>
          <w:bCs/>
          <w:sz w:val="24"/>
          <w:szCs w:val="24"/>
        </w:rPr>
        <w:t>/d）的处理需求。三段式水封隔油池能够有效处理中的COD、BOD</w:t>
      </w:r>
      <w:r>
        <w:rPr>
          <w:rFonts w:hint="eastAsia" w:eastAsiaTheme="minorEastAsia"/>
          <w:bCs/>
          <w:sz w:val="24"/>
          <w:szCs w:val="24"/>
          <w:vertAlign w:val="subscript"/>
        </w:rPr>
        <w:t>5</w:t>
      </w:r>
      <w:r>
        <w:rPr>
          <w:rFonts w:hint="eastAsia" w:eastAsiaTheme="minorEastAsia"/>
          <w:bCs/>
          <w:sz w:val="24"/>
          <w:szCs w:val="24"/>
        </w:rPr>
        <w:t>、SS、石油类等污染物，采取的废水处理工艺能使废水达标排放。</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站房北侧设置生化池，处理能力2m</w:t>
      </w:r>
      <w:r>
        <w:rPr>
          <w:rFonts w:hint="eastAsia" w:eastAsiaTheme="minorEastAsia"/>
          <w:bCs/>
          <w:sz w:val="24"/>
          <w:szCs w:val="24"/>
          <w:vertAlign w:val="superscript"/>
        </w:rPr>
        <w:t>3</w:t>
      </w:r>
      <w:r>
        <w:rPr>
          <w:rFonts w:hint="eastAsia" w:eastAsiaTheme="minorEastAsia"/>
          <w:bCs/>
          <w:sz w:val="24"/>
          <w:szCs w:val="24"/>
        </w:rPr>
        <w:t>/d，用于员工和过往驾乘人员生活污水的处理。项目生活污水产生量为0.9m</w:t>
      </w:r>
      <w:r>
        <w:rPr>
          <w:rFonts w:hint="eastAsia" w:eastAsiaTheme="minorEastAsia"/>
          <w:bCs/>
          <w:sz w:val="24"/>
          <w:szCs w:val="24"/>
          <w:vertAlign w:val="superscript"/>
        </w:rPr>
        <w:t>3</w:t>
      </w:r>
      <w:r>
        <w:rPr>
          <w:rFonts w:hint="eastAsia" w:eastAsiaTheme="minorEastAsia"/>
          <w:bCs/>
          <w:sz w:val="24"/>
          <w:szCs w:val="24"/>
        </w:rPr>
        <w:t>/d，经生化池（处理规模2m</w:t>
      </w:r>
      <w:r>
        <w:rPr>
          <w:rFonts w:hint="eastAsia" w:eastAsiaTheme="minorEastAsia"/>
          <w:bCs/>
          <w:sz w:val="24"/>
          <w:szCs w:val="24"/>
          <w:vertAlign w:val="superscript"/>
        </w:rPr>
        <w:t>3</w:t>
      </w:r>
      <w:r>
        <w:rPr>
          <w:rFonts w:hint="eastAsia" w:eastAsiaTheme="minorEastAsia"/>
          <w:bCs/>
          <w:sz w:val="24"/>
          <w:szCs w:val="24"/>
        </w:rPr>
        <w:t>/d）处理达标后通过废水总排口排入市政污水管网。</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综上所述，地面冲洗废水、初期雨水、洗车废水经三段式水封隔油池处理达《污水综合排放标准》（GB8978-1996）三级标准后与经生化池处理达《污水综合排放标准》（GB8978-1996）三级标准后的生活污水一起通过同一排口进入申明坝污水处理厂深度处理达《城镇污水处理厂污染物排放标准》</w:t>
      </w:r>
      <w:r>
        <w:rPr>
          <w:rFonts w:hint="eastAsia" w:eastAsiaTheme="minorEastAsia"/>
          <w:bCs/>
          <w:sz w:val="24"/>
          <w:szCs w:val="24"/>
          <w:lang w:eastAsia="zh-CN"/>
        </w:rPr>
        <w:t>（</w:t>
      </w:r>
      <w:r>
        <w:rPr>
          <w:rFonts w:hint="eastAsia" w:eastAsiaTheme="minorEastAsia"/>
          <w:bCs/>
          <w:sz w:val="24"/>
          <w:szCs w:val="24"/>
        </w:rPr>
        <w:t>GB18918-2002</w:t>
      </w:r>
      <w:r>
        <w:rPr>
          <w:rFonts w:hint="eastAsia" w:eastAsiaTheme="minorEastAsia"/>
          <w:bCs/>
          <w:sz w:val="24"/>
          <w:szCs w:val="24"/>
          <w:lang w:eastAsia="zh-CN"/>
        </w:rPr>
        <w:t>）</w:t>
      </w:r>
      <w:r>
        <w:rPr>
          <w:rFonts w:hint="eastAsia" w:eastAsiaTheme="minorEastAsia"/>
          <w:bCs/>
          <w:sz w:val="24"/>
          <w:szCs w:val="24"/>
        </w:rPr>
        <w:t>一级 A 标后，排入长江。</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（3）噪声</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为减轻噪声对周边声环境的影响，项目采取的噪声防治措施如下：</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①在站区进站口设置减速标志和禁鸣标志，加强进站车辆的管理，防止对周边居民造成影响。</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②潜液泵、加油机等设备采取基础减震，加强维护和保养，避免因设备问题而引发突发性高噪声造成扰民影响。</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因此，项目运营期对声环境影响小，周边环境可接受。</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（4）固废</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项目固体废物包括生活垃圾、生化池污泥、便利店包装废物、危险废物。</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①清罐废物</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成品油储罐定期清理时，有少量清罐废物产生，主要由清罐废渣、含油清洗废液组成（统称为清罐废物）。根据调查，加油站平均5年清理一次，由有资质的专业清洗公司进行清洗，按照中华人民共和国石油天然气行业标准《储罐机械清洗作业规范》SY/T9996-2007，采用临时设置的管线，将回收系统、清洗系统、油水分离系统与清洗油罐及清洗油供给油罐与接收油罐连接在一起，通过设置在清洗油罐上的清洗机，喷射清洗油供给油罐，击碎溶解罐内淤渣，用回收系统回收罐内清罐产生的淤渣。油罐清洗含油废渣产生量约为0.5t/罐•次，本次评价按3个油罐每5年清洗一次油罐计，则含油废渣的产生量为1.5t/次，平均0.3t/a。根据《国家危险废物名录》，含油废渣属于危险废物（HW08，900-249-08），清罐废物用塑料桶盛装，转运均采用联单制管理，每次清罐废物收集后直接交具有危险废物处理资质的单位进行妥善处理，现场不暂存。</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②隔油池油泥、废油</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类比同类加油站，隔油池浮油定期清除，产生量（含水）约0.12t/a，属危险废物（HW08，900-210-08），收集在危废暂存柜，定期交有危废资质单位处理。</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③含油棉纱及手套、油水混合物</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加油机、管道等设备平均每个月检修一次，检修废物由含油废渣、清洗废液和含油棉纱、手套等构成。油水混合物由于含油类物质浓度较高，现场无法进行处理或回用，应与含油棉纱手套等一并作为危险废物进行处理。项目加油机等设备检修废物产生量约0.2t/a，其中油水混合物（HW09，900-007-09）产生量约 0.18t/a，含油棉纱（HW49，900-041-49）产生量约 0.02t/a，收集在危废暂存柜，定期交有危废资质单位处理。</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④生活垃圾</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项目劳动定员5人，年工作365d，按 0.5kg/人•d 计，则生活垃圾产生量约为0.91t/a，驾乘人员100人计算，按0.02kg/人•天计，生活垃圾约为 2kg/d，约0.73/a。合计约1.64t/a。分类收集后由当地环卫部门统一清运处置。</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⑤生化池污泥</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 xml:space="preserve">生化池使用期间产生污泥，其产生量约0.5t/a，由指定单位定期清掏并送城市生活垃圾填埋场处置。 </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⑥便利店包装废物</w:t>
      </w:r>
    </w:p>
    <w:p>
      <w:pPr>
        <w:adjustRightInd w:val="0"/>
        <w:snapToGrid w:val="0"/>
        <w:spacing w:line="540" w:lineRule="exact"/>
        <w:ind w:firstLine="480" w:firstLineChars="200"/>
        <w:rPr>
          <w:rFonts w:eastAsiaTheme="minorEastAsia"/>
          <w:bCs/>
          <w:sz w:val="28"/>
          <w:szCs w:val="28"/>
        </w:rPr>
      </w:pPr>
      <w:r>
        <w:rPr>
          <w:rFonts w:hint="eastAsia" w:eastAsiaTheme="minorEastAsia"/>
          <w:bCs/>
          <w:sz w:val="24"/>
          <w:szCs w:val="24"/>
        </w:rPr>
        <w:t>便利店商品废包装产生量约 0.5t/a，收集后外卖至物资回收单位。</w:t>
      </w:r>
      <w:r>
        <w:rPr>
          <w:rFonts w:hint="eastAsia" w:eastAsiaTheme="minorEastAsia"/>
          <w:bCs/>
          <w:sz w:val="28"/>
          <w:szCs w:val="28"/>
        </w:rPr>
        <w:t xml:space="preserve"> </w:t>
      </w:r>
    </w:p>
    <w:p>
      <w:pPr>
        <w:adjustRightInd w:val="0"/>
        <w:snapToGrid w:val="0"/>
        <w:spacing w:line="540" w:lineRule="exact"/>
        <w:rPr>
          <w:b/>
          <w:sz w:val="28"/>
          <w:szCs w:val="28"/>
          <w:lang w:val="en-IE"/>
        </w:rPr>
      </w:pPr>
      <w:r>
        <w:rPr>
          <w:b/>
          <w:sz w:val="28"/>
          <w:szCs w:val="28"/>
          <w:lang w:val="en-IE"/>
        </w:rPr>
        <w:t>5.1.</w:t>
      </w:r>
      <w:r>
        <w:rPr>
          <w:rFonts w:hint="eastAsia"/>
          <w:b/>
          <w:sz w:val="28"/>
          <w:szCs w:val="28"/>
          <w:lang w:val="en-US" w:eastAsia="zh-CN"/>
        </w:rPr>
        <w:t>4</w:t>
      </w:r>
      <w:r>
        <w:rPr>
          <w:rFonts w:hint="eastAsia"/>
          <w:b/>
          <w:sz w:val="28"/>
          <w:szCs w:val="28"/>
          <w:lang w:val="en-IE" w:eastAsia="zh-CN"/>
        </w:rPr>
        <w:t>综合结论</w:t>
      </w:r>
    </w:p>
    <w:p>
      <w:pPr>
        <w:adjustRightInd w:val="0"/>
        <w:snapToGrid w:val="0"/>
        <w:spacing w:line="540" w:lineRule="exact"/>
        <w:ind w:firstLine="480" w:firstLineChars="200"/>
        <w:rPr>
          <w:rFonts w:hint="eastAsia" w:eastAsiaTheme="minorEastAsia"/>
          <w:bCs/>
          <w:sz w:val="24"/>
          <w:szCs w:val="24"/>
          <w:lang w:eastAsia="zh-CN"/>
        </w:rPr>
      </w:pPr>
      <w:r>
        <w:rPr>
          <w:rFonts w:hint="eastAsia" w:eastAsiaTheme="minorEastAsia"/>
          <w:bCs/>
          <w:sz w:val="24"/>
          <w:szCs w:val="24"/>
          <w:lang w:eastAsia="zh-CN"/>
        </w:rPr>
        <w:t>综上所述，中国石油天然气股份有限公司重庆万州销售分公司建设的中国石油天然气股份有限公司万州金龙加油站新建工程符合国家产业政策和用地规划。在采取相应有效的污染治理措施后，能实现污染物达标排放，对周边环境影响在可接受范围内。因此，从环保角度分析，本项目的建设是合理、可行的。</w:t>
      </w:r>
    </w:p>
    <w:p>
      <w:pPr>
        <w:pStyle w:val="62"/>
        <w:rPr>
          <w:rFonts w:hint="eastAsia" w:cs="Times New Roman"/>
          <w:sz w:val="32"/>
        </w:rPr>
      </w:pPr>
      <w:bookmarkStart w:id="99" w:name="_Toc332553922"/>
      <w:bookmarkStart w:id="100" w:name="_Toc341293112"/>
      <w:bookmarkStart w:id="101" w:name="_Toc341431729"/>
      <w:bookmarkStart w:id="102" w:name="_Toc341357476"/>
      <w:bookmarkStart w:id="103" w:name="_Toc305059568"/>
      <w:bookmarkStart w:id="104" w:name="_Toc321042421"/>
      <w:bookmarkStart w:id="105" w:name="_Toc341278427"/>
      <w:bookmarkStart w:id="106" w:name="_Toc592"/>
      <w:r>
        <w:rPr>
          <w:rFonts w:hint="eastAsia" w:cs="Times New Roman"/>
          <w:sz w:val="32"/>
        </w:rPr>
        <w:t>5.2 环评批复要求</w:t>
      </w:r>
      <w:bookmarkEnd w:id="99"/>
      <w:bookmarkEnd w:id="100"/>
      <w:bookmarkEnd w:id="101"/>
      <w:bookmarkEnd w:id="102"/>
      <w:bookmarkEnd w:id="103"/>
      <w:bookmarkEnd w:id="104"/>
      <w:bookmarkEnd w:id="105"/>
      <w:bookmarkEnd w:id="106"/>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你单位报送的中国石油天然气股份有限公司万州金龙加油站新建工程</w:t>
      </w:r>
      <w:r>
        <w:rPr>
          <w:rFonts w:hint="eastAsia" w:eastAsiaTheme="minorEastAsia"/>
          <w:bCs/>
          <w:sz w:val="24"/>
          <w:szCs w:val="24"/>
          <w:lang w:eastAsia="zh-CN"/>
        </w:rPr>
        <w:t>（</w:t>
      </w:r>
      <w:r>
        <w:rPr>
          <w:rFonts w:hint="eastAsia" w:eastAsiaTheme="minorEastAsia"/>
          <w:bCs/>
          <w:sz w:val="24"/>
          <w:szCs w:val="24"/>
        </w:rPr>
        <w:t>项目代码</w:t>
      </w:r>
      <w:r>
        <w:rPr>
          <w:rFonts w:hint="eastAsia" w:eastAsiaTheme="minorEastAsia"/>
          <w:bCs/>
          <w:sz w:val="24"/>
          <w:szCs w:val="24"/>
          <w:lang w:eastAsia="zh-CN"/>
        </w:rPr>
        <w:t>：</w:t>
      </w:r>
      <w:r>
        <w:rPr>
          <w:rFonts w:hint="eastAsia" w:eastAsiaTheme="minorEastAsia"/>
          <w:bCs/>
          <w:sz w:val="24"/>
          <w:szCs w:val="24"/>
        </w:rPr>
        <w:t xml:space="preserve"> 2106-500101-04-01-654783</w:t>
      </w:r>
      <w:r>
        <w:rPr>
          <w:rFonts w:hint="eastAsia" w:eastAsiaTheme="minorEastAsia"/>
          <w:bCs/>
          <w:sz w:val="24"/>
          <w:szCs w:val="24"/>
          <w:lang w:eastAsia="zh-CN"/>
        </w:rPr>
        <w:t>）</w:t>
      </w:r>
      <w:r>
        <w:rPr>
          <w:rFonts w:hint="eastAsia" w:eastAsiaTheme="minorEastAsia"/>
          <w:bCs/>
          <w:sz w:val="24"/>
          <w:szCs w:val="24"/>
        </w:rPr>
        <w:t>环评文件及相关报批申请材料收悉。该项目位于重庆市万州区九池街道大包村8组，占地面积1799.30m</w:t>
      </w:r>
      <w:r>
        <w:rPr>
          <w:rFonts w:hint="eastAsia" w:eastAsiaTheme="minorEastAsia"/>
          <w:bCs/>
          <w:sz w:val="24"/>
          <w:szCs w:val="24"/>
          <w:vertAlign w:val="superscript"/>
        </w:rPr>
        <w:t>2</w:t>
      </w:r>
      <w:r>
        <w:rPr>
          <w:rFonts w:hint="eastAsia" w:eastAsiaTheme="minorEastAsia"/>
          <w:bCs/>
          <w:sz w:val="24"/>
          <w:szCs w:val="24"/>
          <w:lang w:eastAsia="zh-CN"/>
        </w:rPr>
        <w:t>，</w:t>
      </w:r>
      <w:r>
        <w:rPr>
          <w:rFonts w:hint="eastAsia" w:eastAsiaTheme="minorEastAsia"/>
          <w:bCs/>
          <w:sz w:val="24"/>
          <w:szCs w:val="24"/>
        </w:rPr>
        <w:t>总建筑面积322.06m</w:t>
      </w:r>
      <w:r>
        <w:rPr>
          <w:rFonts w:hint="eastAsia" w:eastAsiaTheme="minorEastAsia"/>
          <w:bCs/>
          <w:sz w:val="24"/>
          <w:szCs w:val="24"/>
          <w:vertAlign w:val="superscript"/>
        </w:rPr>
        <w:t>2</w:t>
      </w:r>
      <w:r>
        <w:rPr>
          <w:rFonts w:hint="eastAsia" w:eastAsiaTheme="minorEastAsia"/>
          <w:bCs/>
          <w:sz w:val="24"/>
          <w:szCs w:val="24"/>
          <w:lang w:eastAsia="zh-CN"/>
        </w:rPr>
        <w:t>，</w:t>
      </w:r>
      <w:r>
        <w:rPr>
          <w:rFonts w:hint="eastAsia" w:eastAsiaTheme="minorEastAsia"/>
          <w:bCs/>
          <w:sz w:val="24"/>
          <w:szCs w:val="24"/>
        </w:rPr>
        <w:t>建设三级加油站一座。主要销售92#汽油、95#汽油、0#柴油</w:t>
      </w:r>
      <w:r>
        <w:rPr>
          <w:rFonts w:hint="eastAsia" w:eastAsiaTheme="minorEastAsia"/>
          <w:bCs/>
          <w:sz w:val="24"/>
          <w:szCs w:val="24"/>
          <w:lang w:eastAsia="zh-CN"/>
        </w:rPr>
        <w:t>，</w:t>
      </w:r>
      <w:r>
        <w:rPr>
          <w:rFonts w:hint="eastAsia" w:eastAsiaTheme="minorEastAsia"/>
          <w:bCs/>
          <w:sz w:val="24"/>
          <w:szCs w:val="24"/>
        </w:rPr>
        <w:t>预计销售规模为92#汽油1 t/d</w:t>
      </w:r>
      <w:r>
        <w:rPr>
          <w:rFonts w:hint="eastAsia" w:eastAsiaTheme="minorEastAsia"/>
          <w:bCs/>
          <w:sz w:val="24"/>
          <w:szCs w:val="24"/>
          <w:lang w:eastAsia="zh-CN"/>
        </w:rPr>
        <w:t>（</w:t>
      </w:r>
      <w:r>
        <w:rPr>
          <w:rFonts w:hint="eastAsia" w:eastAsiaTheme="minorEastAsia"/>
          <w:bCs/>
          <w:sz w:val="24"/>
          <w:szCs w:val="24"/>
        </w:rPr>
        <w:t>365t/a</w:t>
      </w:r>
      <w:r>
        <w:rPr>
          <w:rFonts w:hint="eastAsia" w:eastAsiaTheme="minorEastAsia"/>
          <w:bCs/>
          <w:sz w:val="24"/>
          <w:szCs w:val="24"/>
          <w:lang w:eastAsia="zh-CN"/>
        </w:rPr>
        <w:t>）</w:t>
      </w:r>
      <w:r>
        <w:rPr>
          <w:rFonts w:hint="eastAsia" w:eastAsiaTheme="minorEastAsia"/>
          <w:bCs/>
          <w:sz w:val="24"/>
          <w:szCs w:val="24"/>
        </w:rPr>
        <w:t>、95#汽油1 t/d</w:t>
      </w:r>
      <w:r>
        <w:rPr>
          <w:rFonts w:hint="eastAsia" w:eastAsiaTheme="minorEastAsia"/>
          <w:bCs/>
          <w:sz w:val="24"/>
          <w:szCs w:val="24"/>
          <w:lang w:eastAsia="zh-CN"/>
        </w:rPr>
        <w:t>（</w:t>
      </w:r>
      <w:r>
        <w:rPr>
          <w:rFonts w:hint="eastAsia" w:eastAsiaTheme="minorEastAsia"/>
          <w:bCs/>
          <w:sz w:val="24"/>
          <w:szCs w:val="24"/>
        </w:rPr>
        <w:t>365t/a</w:t>
      </w:r>
      <w:r>
        <w:rPr>
          <w:rFonts w:hint="eastAsia" w:eastAsiaTheme="minorEastAsia"/>
          <w:bCs/>
          <w:sz w:val="24"/>
          <w:szCs w:val="24"/>
          <w:lang w:eastAsia="zh-CN"/>
        </w:rPr>
        <w:t>）</w:t>
      </w:r>
      <w:r>
        <w:rPr>
          <w:rFonts w:hint="eastAsia" w:eastAsiaTheme="minorEastAsia"/>
          <w:bCs/>
          <w:sz w:val="24"/>
          <w:szCs w:val="24"/>
        </w:rPr>
        <w:t>、0#柴油1 t/d</w:t>
      </w:r>
      <w:r>
        <w:rPr>
          <w:rFonts w:hint="eastAsia" w:eastAsiaTheme="minorEastAsia"/>
          <w:bCs/>
          <w:sz w:val="24"/>
          <w:szCs w:val="24"/>
          <w:lang w:eastAsia="zh-CN"/>
        </w:rPr>
        <w:t>（</w:t>
      </w:r>
      <w:r>
        <w:rPr>
          <w:rFonts w:hint="eastAsia" w:eastAsiaTheme="minorEastAsia"/>
          <w:bCs/>
          <w:sz w:val="24"/>
          <w:szCs w:val="24"/>
        </w:rPr>
        <w:t>365t/a</w:t>
      </w:r>
      <w:r>
        <w:rPr>
          <w:rFonts w:hint="eastAsia" w:eastAsiaTheme="minorEastAsia"/>
          <w:bCs/>
          <w:sz w:val="24"/>
          <w:szCs w:val="24"/>
          <w:lang w:eastAsia="zh-CN"/>
        </w:rPr>
        <w:t>）</w:t>
      </w:r>
      <w:r>
        <w:rPr>
          <w:rFonts w:hint="eastAsia" w:eastAsiaTheme="minorEastAsia"/>
          <w:bCs/>
          <w:sz w:val="24"/>
          <w:szCs w:val="24"/>
        </w:rPr>
        <w:t>。汽油、柴油运输由中石油万州分公司从6910油库用油罐车配送。项目预留充电停车位。经审查，符合建设项目环境影响评价文件告知承诺审批的相关要求。</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根据重庆长嵘环保科技有限公司编制的《中国石油天然气股份有限公司万州金龙加油站新建工程环境影响报告表》对该项目开展环境影响评价的结论，在全面落实报告表提出的各项防治生态影响和环境污染措施、防范环境风险措施和你单位承诺的前提下，工程建设对环境的不利影响能够得到绶解和控制。我局原则同意该项目环境影响报告表结论以及拟采取的环境保护措施。</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你单位应当严格落实该项目环境影响报告表提出的防治生态影响和环境污染措施及防范环境风险措施，严格执行配套建设的环保设施与主体工程同时设计、同时施工、同时投产的环保"三同时”制度。项目环保投资应纳入工程投资概算并予以落实。项目投入运行前，及时向我局申请排污许可，不得无证排污或不按证排污。项目竣工后</w:t>
      </w:r>
      <w:r>
        <w:rPr>
          <w:rFonts w:hint="eastAsia" w:eastAsiaTheme="minorEastAsia"/>
          <w:bCs/>
          <w:sz w:val="24"/>
          <w:szCs w:val="24"/>
          <w:lang w:eastAsia="zh-CN"/>
        </w:rPr>
        <w:t>，</w:t>
      </w:r>
      <w:r>
        <w:rPr>
          <w:rFonts w:hint="eastAsia" w:eastAsiaTheme="minorEastAsia"/>
          <w:bCs/>
          <w:sz w:val="24"/>
          <w:szCs w:val="24"/>
        </w:rPr>
        <w:t>应按照《建设项目竣工环境保护验收暂行办法》等规定开展环境保护验收，编制验收报告并依法向社会公开验收报告</w:t>
      </w:r>
      <w:r>
        <w:rPr>
          <w:rFonts w:hint="eastAsia" w:eastAsiaTheme="minorEastAsia"/>
          <w:bCs/>
          <w:sz w:val="24"/>
          <w:szCs w:val="24"/>
          <w:lang w:eastAsia="zh-CN"/>
        </w:rPr>
        <w:t>，</w:t>
      </w:r>
      <w:r>
        <w:rPr>
          <w:rFonts w:hint="eastAsia" w:eastAsiaTheme="minorEastAsia"/>
          <w:bCs/>
          <w:sz w:val="24"/>
          <w:szCs w:val="24"/>
        </w:rPr>
        <w:t>公示期满5个工作日内，登录全国建设项目竣工环境保护验收信息平台，填报验收等相关信息。</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项目的性质、规模、地点、采用的生产工艺或者防治污染措施发生重大变动的，你单位应当重新报批该项目的环境影响评价文件。项目的环保日常监督管理由万州区生态环境保护综合行政执法支队按照有关职贵实施。</w:t>
      </w:r>
    </w:p>
    <w:p>
      <w:pPr>
        <w:adjustRightInd w:val="0"/>
        <w:snapToGrid w:val="0"/>
        <w:spacing w:line="540" w:lineRule="exact"/>
        <w:ind w:firstLine="480" w:firstLineChars="200"/>
        <w:rPr>
          <w:rFonts w:hint="eastAsia" w:eastAsiaTheme="minorEastAsia"/>
          <w:bCs/>
          <w:sz w:val="24"/>
          <w:szCs w:val="24"/>
        </w:rPr>
      </w:pPr>
      <w:r>
        <w:rPr>
          <w:rFonts w:hint="eastAsia" w:eastAsiaTheme="minorEastAsia"/>
          <w:bCs/>
          <w:sz w:val="24"/>
          <w:szCs w:val="24"/>
        </w:rPr>
        <w:t>此批准书生效时间为公示期满之日起自行生效</w:t>
      </w:r>
      <w:r>
        <w:rPr>
          <w:rFonts w:hint="eastAsia" w:eastAsiaTheme="minorEastAsia"/>
          <w:bCs/>
          <w:sz w:val="24"/>
          <w:szCs w:val="24"/>
          <w:lang w:eastAsia="zh-CN"/>
        </w:rPr>
        <w:t>（</w:t>
      </w:r>
      <w:r>
        <w:rPr>
          <w:rFonts w:hint="eastAsia" w:eastAsiaTheme="minorEastAsia"/>
          <w:bCs/>
          <w:sz w:val="24"/>
          <w:szCs w:val="24"/>
        </w:rPr>
        <w:t>受理和拟审批决定同步公示，共计十个工作日</w:t>
      </w:r>
      <w:r>
        <w:rPr>
          <w:rFonts w:hint="eastAsia" w:eastAsiaTheme="minorEastAsia"/>
          <w:bCs/>
          <w:sz w:val="24"/>
          <w:szCs w:val="24"/>
          <w:lang w:eastAsia="zh-CN"/>
        </w:rPr>
        <w:t>）</w:t>
      </w:r>
      <w:r>
        <w:rPr>
          <w:rFonts w:hint="eastAsia" w:eastAsiaTheme="minorEastAsia"/>
          <w:bCs/>
          <w:sz w:val="24"/>
          <w:szCs w:val="24"/>
        </w:rPr>
        <w:t>。生态环境行政主管部门如发现存在不符合告知承诺制情形、环评文件存在重大质量问题的或其他不能审批的情形，依法撤销审批决定，造成的一切法律后果和经济损失均由你单位承担。</w:t>
      </w:r>
    </w:p>
    <w:p>
      <w:pPr>
        <w:pStyle w:val="36"/>
        <w:rPr>
          <w:rFonts w:hint="default" w:eastAsiaTheme="minorEastAsia"/>
          <w:sz w:val="24"/>
          <w:szCs w:val="24"/>
          <w:lang w:val="en-US" w:eastAsia="zh-CN"/>
        </w:rPr>
        <w:sectPr>
          <w:headerReference r:id="rId3" w:type="default"/>
          <w:footerReference r:id="rId4" w:type="default"/>
          <w:pgSz w:w="11906" w:h="16838"/>
          <w:pgMar w:top="1701" w:right="1418" w:bottom="1701" w:left="1418" w:header="851" w:footer="992" w:gutter="0"/>
          <w:pgNumType w:start="1"/>
          <w:cols w:space="425" w:num="1"/>
          <w:docGrid w:type="lines" w:linePitch="312" w:charSpace="0"/>
        </w:sectPr>
      </w:pPr>
      <w:r>
        <w:rPr>
          <w:rFonts w:hint="eastAsia" w:eastAsiaTheme="minorEastAsia"/>
          <w:bCs/>
          <w:sz w:val="24"/>
          <w:szCs w:val="24"/>
          <w:lang w:eastAsia="zh-CN"/>
        </w:rPr>
        <w:t>详见附件</w:t>
      </w:r>
      <w:r>
        <w:rPr>
          <w:rFonts w:hint="eastAsia" w:eastAsiaTheme="minorEastAsia"/>
          <w:bCs/>
          <w:sz w:val="24"/>
          <w:szCs w:val="24"/>
          <w:lang w:val="en-US" w:eastAsia="zh-CN"/>
        </w:rPr>
        <w:t>1。</w:t>
      </w:r>
    </w:p>
    <w:p>
      <w:pPr>
        <w:pStyle w:val="61"/>
        <w:spacing w:line="360" w:lineRule="auto"/>
        <w:rPr>
          <w:rFonts w:cs="Times New Roman"/>
          <w:sz w:val="36"/>
        </w:rPr>
      </w:pPr>
      <w:bookmarkStart w:id="107" w:name="_Toc333588657"/>
      <w:bookmarkStart w:id="108" w:name="_Toc26098"/>
      <w:bookmarkStart w:id="109" w:name="_Toc305059573"/>
      <w:bookmarkStart w:id="110" w:name="_Toc332660949"/>
      <w:bookmarkStart w:id="111" w:name="_Toc332553927"/>
      <w:bookmarkStart w:id="112" w:name="_Toc321042426"/>
      <w:bookmarkStart w:id="113" w:name="_Toc333501405"/>
      <w:bookmarkStart w:id="114" w:name="_Toc333501116"/>
      <w:bookmarkStart w:id="115" w:name="_Toc312829620"/>
      <w:r>
        <w:rPr>
          <w:rFonts w:hint="eastAsia" w:cs="Times New Roman"/>
          <w:sz w:val="36"/>
        </w:rPr>
        <w:t>6验收执行</w:t>
      </w:r>
      <w:r>
        <w:rPr>
          <w:rFonts w:cs="Times New Roman"/>
          <w:sz w:val="36"/>
        </w:rPr>
        <w:t>标准</w:t>
      </w:r>
      <w:bookmarkEnd w:id="107"/>
      <w:bookmarkEnd w:id="108"/>
      <w:bookmarkEnd w:id="109"/>
      <w:bookmarkEnd w:id="110"/>
      <w:bookmarkEnd w:id="111"/>
      <w:bookmarkEnd w:id="112"/>
      <w:bookmarkEnd w:id="113"/>
      <w:bookmarkEnd w:id="114"/>
    </w:p>
    <w:p>
      <w:pPr>
        <w:pStyle w:val="62"/>
        <w:rPr>
          <w:rFonts w:cs="Times New Roman"/>
          <w:sz w:val="32"/>
        </w:rPr>
      </w:pPr>
      <w:bookmarkStart w:id="116" w:name="_Toc305059574"/>
      <w:bookmarkStart w:id="117" w:name="_Toc332553928"/>
      <w:bookmarkStart w:id="118" w:name="_Toc321042427"/>
      <w:bookmarkStart w:id="119" w:name="_Toc341431735"/>
      <w:bookmarkStart w:id="120" w:name="_Toc341293118"/>
      <w:bookmarkStart w:id="121" w:name="_Toc341357482"/>
      <w:bookmarkStart w:id="122" w:name="_Toc32554"/>
      <w:bookmarkStart w:id="123" w:name="_Toc341278433"/>
      <w:bookmarkStart w:id="124" w:name="_Toc333501409"/>
      <w:bookmarkStart w:id="125" w:name="_Toc333588661"/>
      <w:bookmarkStart w:id="126" w:name="_Toc333501120"/>
      <w:r>
        <w:rPr>
          <w:rFonts w:hint="eastAsia" w:cs="Times New Roman"/>
          <w:sz w:val="32"/>
        </w:rPr>
        <w:t>6</w:t>
      </w:r>
      <w:r>
        <w:rPr>
          <w:rFonts w:cs="Times New Roman"/>
          <w:sz w:val="32"/>
        </w:rPr>
        <w:t>.1 废</w:t>
      </w:r>
      <w:bookmarkEnd w:id="116"/>
      <w:bookmarkEnd w:id="117"/>
      <w:bookmarkEnd w:id="118"/>
      <w:r>
        <w:rPr>
          <w:rFonts w:cs="Times New Roman"/>
          <w:sz w:val="32"/>
        </w:rPr>
        <w:t>水</w:t>
      </w:r>
      <w:bookmarkEnd w:id="119"/>
      <w:bookmarkEnd w:id="120"/>
      <w:bookmarkEnd w:id="121"/>
      <w:bookmarkEnd w:id="122"/>
      <w:bookmarkEnd w:id="123"/>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auto"/>
          <w:sz w:val="24"/>
          <w:szCs w:val="24"/>
        </w:rPr>
      </w:pPr>
      <w:r>
        <w:rPr>
          <w:rFonts w:hint="eastAsia" w:ascii="Times New Roman" w:hAnsi="宋体"/>
          <w:color w:val="auto"/>
          <w:sz w:val="24"/>
          <w:szCs w:val="24"/>
          <w:lang w:eastAsia="zh-CN"/>
        </w:rPr>
        <w:t>项目地面冲洗废水、初期雨水、洗车废水经三段式水封隔油池处理达《污水综合排放标准》（GB8978-1996）三级标准后与经生化池处理达《污水综合排放标准》（GB8978-1996）三级标准后的生活污水一起通过同一排口进入市政污水管网再进入申明坝污水处理厂深度处理达《城镇污水处理厂污染物排放标准》（GB18918-2002）一级A标后，排入长江</w:t>
      </w:r>
      <w:r>
        <w:rPr>
          <w:rFonts w:ascii="Times New Roman" w:hAnsi="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rPr>
      </w:pPr>
      <w:r>
        <w:rPr>
          <w:rFonts w:ascii="Times New Roman" w:hAnsi="宋体"/>
          <w:color w:val="auto"/>
          <w:sz w:val="24"/>
          <w:szCs w:val="24"/>
        </w:rPr>
        <w:t>表</w:t>
      </w:r>
      <w:r>
        <w:rPr>
          <w:rFonts w:hint="eastAsia" w:ascii="Times New Roman" w:hAnsi="Times New Roman"/>
          <w:color w:val="auto"/>
          <w:sz w:val="24"/>
          <w:szCs w:val="24"/>
          <w:lang w:val="en-US" w:eastAsia="zh-CN"/>
        </w:rPr>
        <w:t>6-1</w:t>
      </w:r>
      <w:r>
        <w:rPr>
          <w:rFonts w:ascii="Times New Roman" w:hAnsi="Times New Roman"/>
          <w:color w:val="auto"/>
          <w:sz w:val="24"/>
          <w:szCs w:val="24"/>
        </w:rPr>
        <w:t xml:space="preserve">  </w:t>
      </w:r>
      <w:r>
        <w:rPr>
          <w:rFonts w:ascii="Times New Roman" w:hAnsi="宋体"/>
          <w:color w:val="auto"/>
          <w:sz w:val="24"/>
          <w:szCs w:val="24"/>
        </w:rPr>
        <w:t>污水排放标准一览表</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4"/>
        <w:gridCol w:w="940"/>
        <w:gridCol w:w="1047"/>
        <w:gridCol w:w="1036"/>
        <w:gridCol w:w="890"/>
        <w:gridCol w:w="1070"/>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宋体"/>
                <w:color w:val="auto"/>
                <w:sz w:val="21"/>
                <w:szCs w:val="21"/>
              </w:rPr>
              <w:t>执行标准</w:t>
            </w:r>
          </w:p>
        </w:tc>
        <w:tc>
          <w:tcPr>
            <w:tcW w:w="3263" w:type="pct"/>
            <w:gridSpan w:val="6"/>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宋体"/>
                <w:color w:val="auto"/>
                <w:sz w:val="21"/>
                <w:szCs w:val="21"/>
              </w:rPr>
            </w:pPr>
            <w:r>
              <w:rPr>
                <w:rFonts w:ascii="Times New Roman" w:hAnsi="宋体"/>
                <w:color w:val="auto"/>
                <w:sz w:val="21"/>
                <w:szCs w:val="21"/>
              </w:rPr>
              <w:t>标准值（</w:t>
            </w:r>
            <w:r>
              <w:rPr>
                <w:rFonts w:ascii="Times New Roman" w:hAnsi="Times New Roman"/>
                <w:color w:val="auto"/>
                <w:sz w:val="21"/>
                <w:szCs w:val="21"/>
              </w:rPr>
              <w:t>mg/L</w:t>
            </w:r>
            <w:r>
              <w:rPr>
                <w:rFonts w:ascii="Times New Roman" w:hAnsi="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506"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textAlignment w:val="auto"/>
              <w:rPr>
                <w:color w:val="auto"/>
                <w:kern w:val="2"/>
                <w:sz w:val="21"/>
                <w:szCs w:val="21"/>
              </w:rPr>
            </w:pPr>
            <w:r>
              <w:rPr>
                <w:color w:val="auto"/>
                <w:kern w:val="2"/>
                <w:sz w:val="21"/>
                <w:szCs w:val="21"/>
              </w:rPr>
              <w:t>pH</w:t>
            </w:r>
          </w:p>
        </w:tc>
        <w:tc>
          <w:tcPr>
            <w:tcW w:w="56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textAlignment w:val="auto"/>
              <w:rPr>
                <w:color w:val="auto"/>
                <w:kern w:val="2"/>
                <w:sz w:val="21"/>
                <w:szCs w:val="21"/>
              </w:rPr>
            </w:pPr>
            <w:r>
              <w:rPr>
                <w:color w:val="auto"/>
                <w:kern w:val="2"/>
                <w:sz w:val="21"/>
                <w:szCs w:val="21"/>
              </w:rPr>
              <w:t>COD</w:t>
            </w:r>
          </w:p>
        </w:tc>
        <w:tc>
          <w:tcPr>
            <w:tcW w:w="5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kern w:val="2"/>
                <w:sz w:val="21"/>
                <w:szCs w:val="21"/>
              </w:rPr>
            </w:pPr>
            <w:r>
              <w:rPr>
                <w:rFonts w:ascii="Times New Roman" w:hAnsi="Times New Roman" w:cs="Times New Roman"/>
                <w:color w:val="auto"/>
                <w:sz w:val="21"/>
                <w:szCs w:val="21"/>
              </w:rPr>
              <w:t>BOD</w:t>
            </w:r>
            <w:r>
              <w:rPr>
                <w:rFonts w:ascii="Times New Roman" w:hAnsi="Times New Roman" w:cs="Times New Roman"/>
                <w:color w:val="auto"/>
                <w:sz w:val="21"/>
                <w:szCs w:val="21"/>
                <w:vertAlign w:val="subscript"/>
              </w:rPr>
              <w:t>5</w:t>
            </w:r>
          </w:p>
        </w:tc>
        <w:tc>
          <w:tcPr>
            <w:tcW w:w="4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SS</w:t>
            </w:r>
          </w:p>
        </w:tc>
        <w:tc>
          <w:tcPr>
            <w:tcW w:w="5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NH</w:t>
            </w:r>
            <w:r>
              <w:rPr>
                <w:rFonts w:ascii="Times New Roman" w:hAnsi="Times New Roman"/>
                <w:color w:val="auto"/>
                <w:sz w:val="21"/>
                <w:szCs w:val="21"/>
                <w:vertAlign w:val="subscript"/>
              </w:rPr>
              <w:t>3</w:t>
            </w:r>
            <w:r>
              <w:rPr>
                <w:rFonts w:ascii="Times New Roman" w:hAnsi="Times New Roman"/>
                <w:color w:val="auto"/>
                <w:sz w:val="21"/>
                <w:szCs w:val="21"/>
              </w:rPr>
              <w:t>-N</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宋体"/>
                <w:color w:val="auto"/>
                <w:sz w:val="21"/>
                <w:szCs w:val="21"/>
              </w:rPr>
              <w:t>《污水综合排放标准》（</w:t>
            </w:r>
            <w:r>
              <w:rPr>
                <w:rFonts w:ascii="Times New Roman" w:hAnsi="Times New Roman"/>
                <w:color w:val="auto"/>
                <w:sz w:val="21"/>
                <w:szCs w:val="21"/>
              </w:rPr>
              <w:t>GB8978-1996</w:t>
            </w:r>
            <w:r>
              <w:rPr>
                <w:rFonts w:ascii="Times New Roman" w:hAnsi="宋体"/>
                <w:color w:val="auto"/>
                <w:sz w:val="21"/>
                <w:szCs w:val="21"/>
              </w:rPr>
              <w:t>）三级标准</w:t>
            </w:r>
          </w:p>
        </w:tc>
        <w:tc>
          <w:tcPr>
            <w:tcW w:w="506" w:type="pct"/>
            <w:tcBorders>
              <w:tl2br w:val="nil"/>
              <w:tr2bl w:val="nil"/>
            </w:tcBorders>
            <w:noWrap w:val="0"/>
            <w:vAlign w:val="center"/>
          </w:tcPr>
          <w:p>
            <w:pPr>
              <w:pStyle w:val="8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textAlignment w:val="auto"/>
              <w:rPr>
                <w:color w:val="auto"/>
                <w:kern w:val="2"/>
                <w:sz w:val="21"/>
                <w:szCs w:val="21"/>
              </w:rPr>
            </w:pPr>
            <w:r>
              <w:rPr>
                <w:color w:val="auto"/>
                <w:kern w:val="2"/>
                <w:sz w:val="21"/>
                <w:szCs w:val="21"/>
              </w:rPr>
              <w:t>6</w:t>
            </w:r>
            <w:r>
              <w:rPr>
                <w:rFonts w:hAnsi="宋体"/>
                <w:color w:val="auto"/>
                <w:kern w:val="2"/>
                <w:sz w:val="21"/>
                <w:szCs w:val="21"/>
              </w:rPr>
              <w:t>～</w:t>
            </w:r>
            <w:r>
              <w:rPr>
                <w:color w:val="auto"/>
                <w:kern w:val="2"/>
                <w:sz w:val="21"/>
                <w:szCs w:val="21"/>
              </w:rPr>
              <w:t>9</w:t>
            </w:r>
          </w:p>
        </w:tc>
        <w:tc>
          <w:tcPr>
            <w:tcW w:w="564" w:type="pct"/>
            <w:tcBorders>
              <w:tl2br w:val="nil"/>
              <w:tr2bl w:val="nil"/>
            </w:tcBorders>
            <w:noWrap w:val="0"/>
            <w:vAlign w:val="center"/>
          </w:tcPr>
          <w:p>
            <w:pPr>
              <w:pStyle w:val="8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textAlignment w:val="auto"/>
              <w:rPr>
                <w:color w:val="auto"/>
                <w:kern w:val="2"/>
                <w:sz w:val="21"/>
                <w:szCs w:val="21"/>
              </w:rPr>
            </w:pPr>
            <w:r>
              <w:rPr>
                <w:color w:val="auto"/>
                <w:kern w:val="2"/>
                <w:sz w:val="21"/>
                <w:szCs w:val="21"/>
              </w:rPr>
              <w:t>500</w:t>
            </w:r>
          </w:p>
        </w:tc>
        <w:tc>
          <w:tcPr>
            <w:tcW w:w="5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kern w:val="2"/>
                <w:sz w:val="21"/>
                <w:szCs w:val="21"/>
              </w:rPr>
            </w:pPr>
            <w:r>
              <w:rPr>
                <w:rFonts w:ascii="Times New Roman" w:hAnsi="Times New Roman" w:cs="Times New Roman"/>
                <w:color w:val="auto"/>
                <w:sz w:val="21"/>
                <w:szCs w:val="21"/>
              </w:rPr>
              <w:t>300</w:t>
            </w:r>
          </w:p>
        </w:tc>
        <w:tc>
          <w:tcPr>
            <w:tcW w:w="479" w:type="pct"/>
            <w:tcBorders>
              <w:tl2br w:val="nil"/>
              <w:tr2bl w:val="nil"/>
            </w:tcBorders>
            <w:noWrap w:val="0"/>
            <w:vAlign w:val="center"/>
          </w:tcPr>
          <w:p>
            <w:pPr>
              <w:pStyle w:val="8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textAlignment w:val="auto"/>
              <w:rPr>
                <w:color w:val="auto"/>
                <w:kern w:val="2"/>
                <w:sz w:val="21"/>
                <w:szCs w:val="21"/>
              </w:rPr>
            </w:pPr>
            <w:r>
              <w:rPr>
                <w:color w:val="auto"/>
                <w:kern w:val="2"/>
                <w:sz w:val="21"/>
                <w:szCs w:val="21"/>
              </w:rPr>
              <w:t>400</w:t>
            </w:r>
          </w:p>
        </w:tc>
        <w:tc>
          <w:tcPr>
            <w:tcW w:w="576" w:type="pct"/>
            <w:tcBorders>
              <w:tl2br w:val="nil"/>
              <w:tr2bl w:val="nil"/>
            </w:tcBorders>
            <w:noWrap w:val="0"/>
            <w:vAlign w:val="center"/>
          </w:tcPr>
          <w:p>
            <w:pPr>
              <w:pStyle w:val="8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textAlignment w:val="auto"/>
              <w:rPr>
                <w:color w:val="auto"/>
                <w:kern w:val="2"/>
                <w:sz w:val="21"/>
                <w:szCs w:val="21"/>
              </w:rPr>
            </w:pPr>
            <w:r>
              <w:rPr>
                <w:color w:val="auto"/>
                <w:kern w:val="2"/>
                <w:sz w:val="21"/>
                <w:szCs w:val="21"/>
              </w:rPr>
              <w:t>45</w:t>
            </w:r>
            <w:r>
              <w:rPr>
                <w:rFonts w:hint="eastAsia" w:ascii="Times New Roman" w:hAnsi="Times New Roman"/>
                <w:color w:val="auto"/>
                <w:sz w:val="21"/>
                <w:szCs w:val="21"/>
              </w:rPr>
              <w:t>*</w:t>
            </w:r>
          </w:p>
        </w:tc>
        <w:tc>
          <w:tcPr>
            <w:tcW w:w="577" w:type="pct"/>
            <w:tcBorders>
              <w:tl2br w:val="nil"/>
              <w:tr2bl w:val="nil"/>
            </w:tcBorders>
            <w:noWrap w:val="0"/>
            <w:vAlign w:val="center"/>
          </w:tcPr>
          <w:p>
            <w:pPr>
              <w:pStyle w:val="8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textAlignment w:val="auto"/>
              <w:rPr>
                <w:rFonts w:hint="default" w:eastAsia="宋体"/>
                <w:color w:val="auto"/>
                <w:kern w:val="2"/>
                <w:sz w:val="21"/>
                <w:szCs w:val="21"/>
                <w:lang w:val="en-US" w:eastAsia="zh-CN"/>
              </w:rPr>
            </w:pPr>
            <w:r>
              <w:rPr>
                <w:rFonts w:hint="eastAsia"/>
                <w:color w:val="auto"/>
                <w:kern w:val="2"/>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宋体"/>
                <w:color w:val="auto"/>
                <w:sz w:val="21"/>
                <w:szCs w:val="21"/>
              </w:rPr>
              <w:t>《城镇污水处理厂污染物排放标准》（</w:t>
            </w:r>
            <w:r>
              <w:rPr>
                <w:rFonts w:ascii="Times New Roman" w:hAnsi="Times New Roman"/>
                <w:color w:val="auto"/>
                <w:sz w:val="21"/>
                <w:szCs w:val="21"/>
              </w:rPr>
              <w:t>GB18918-2002</w:t>
            </w:r>
            <w:r>
              <w:rPr>
                <w:rFonts w:ascii="Times New Roman" w:hAnsi="宋体"/>
                <w:color w:val="auto"/>
                <w:sz w:val="21"/>
                <w:szCs w:val="21"/>
              </w:rPr>
              <w:t>）一级</w:t>
            </w:r>
            <w:r>
              <w:rPr>
                <w:rFonts w:hint="eastAsia" w:ascii="Times New Roman" w:hAnsi="Times New Roman"/>
                <w:color w:val="auto"/>
                <w:sz w:val="21"/>
                <w:szCs w:val="21"/>
                <w:lang w:val="en-US" w:eastAsia="zh-CN"/>
              </w:rPr>
              <w:t>A</w:t>
            </w:r>
            <w:r>
              <w:rPr>
                <w:rFonts w:ascii="Times New Roman" w:hAnsi="宋体"/>
                <w:color w:val="auto"/>
                <w:sz w:val="21"/>
                <w:szCs w:val="21"/>
              </w:rPr>
              <w:t>标准</w:t>
            </w:r>
          </w:p>
        </w:tc>
        <w:tc>
          <w:tcPr>
            <w:tcW w:w="506" w:type="pct"/>
            <w:tcBorders>
              <w:tl2br w:val="nil"/>
              <w:tr2bl w:val="nil"/>
            </w:tcBorders>
            <w:noWrap w:val="0"/>
            <w:vAlign w:val="center"/>
          </w:tcPr>
          <w:p>
            <w:pPr>
              <w:pStyle w:val="8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textAlignment w:val="auto"/>
              <w:rPr>
                <w:color w:val="auto"/>
                <w:kern w:val="2"/>
                <w:sz w:val="21"/>
                <w:szCs w:val="21"/>
              </w:rPr>
            </w:pPr>
            <w:r>
              <w:rPr>
                <w:color w:val="auto"/>
                <w:kern w:val="2"/>
                <w:sz w:val="21"/>
                <w:szCs w:val="21"/>
              </w:rPr>
              <w:t>6</w:t>
            </w:r>
            <w:r>
              <w:rPr>
                <w:rFonts w:hAnsi="宋体"/>
                <w:color w:val="auto"/>
                <w:kern w:val="2"/>
                <w:sz w:val="21"/>
                <w:szCs w:val="21"/>
              </w:rPr>
              <w:t>～</w:t>
            </w:r>
            <w:r>
              <w:rPr>
                <w:color w:val="auto"/>
                <w:kern w:val="2"/>
                <w:sz w:val="21"/>
                <w:szCs w:val="21"/>
              </w:rPr>
              <w:t>9</w:t>
            </w:r>
          </w:p>
        </w:tc>
        <w:tc>
          <w:tcPr>
            <w:tcW w:w="564" w:type="pct"/>
            <w:tcBorders>
              <w:tl2br w:val="nil"/>
              <w:tr2bl w:val="nil"/>
            </w:tcBorders>
            <w:noWrap w:val="0"/>
            <w:vAlign w:val="center"/>
          </w:tcPr>
          <w:p>
            <w:pPr>
              <w:pStyle w:val="8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textAlignment w:val="auto"/>
              <w:rPr>
                <w:color w:val="auto"/>
                <w:kern w:val="2"/>
                <w:sz w:val="21"/>
                <w:szCs w:val="21"/>
              </w:rPr>
            </w:pPr>
            <w:r>
              <w:rPr>
                <w:rFonts w:hint="eastAsia"/>
                <w:color w:val="auto"/>
                <w:kern w:val="2"/>
                <w:sz w:val="21"/>
                <w:szCs w:val="21"/>
                <w:lang w:val="en-US" w:eastAsia="zh-CN"/>
              </w:rPr>
              <w:t>5</w:t>
            </w:r>
            <w:r>
              <w:rPr>
                <w:color w:val="auto"/>
                <w:kern w:val="2"/>
                <w:sz w:val="21"/>
                <w:szCs w:val="21"/>
              </w:rPr>
              <w:t>0</w:t>
            </w:r>
          </w:p>
        </w:tc>
        <w:tc>
          <w:tcPr>
            <w:tcW w:w="5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kern w:val="2"/>
                <w:sz w:val="21"/>
                <w:szCs w:val="21"/>
              </w:rPr>
            </w:pPr>
            <w:r>
              <w:rPr>
                <w:rFonts w:hint="eastAsia" w:ascii="Times New Roman" w:hAnsi="Times New Roman" w:cs="Times New Roman"/>
                <w:color w:val="auto"/>
                <w:sz w:val="21"/>
                <w:szCs w:val="21"/>
                <w:lang w:val="en-US" w:eastAsia="zh-CN"/>
              </w:rPr>
              <w:t>1</w:t>
            </w:r>
            <w:r>
              <w:rPr>
                <w:rFonts w:ascii="Times New Roman" w:hAnsi="Times New Roman" w:cs="Times New Roman"/>
                <w:color w:val="auto"/>
                <w:sz w:val="21"/>
                <w:szCs w:val="21"/>
              </w:rPr>
              <w:t>0</w:t>
            </w:r>
          </w:p>
        </w:tc>
        <w:tc>
          <w:tcPr>
            <w:tcW w:w="479" w:type="pct"/>
            <w:tcBorders>
              <w:tl2br w:val="nil"/>
              <w:tr2bl w:val="nil"/>
            </w:tcBorders>
            <w:noWrap w:val="0"/>
            <w:vAlign w:val="center"/>
          </w:tcPr>
          <w:p>
            <w:pPr>
              <w:pStyle w:val="8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textAlignment w:val="auto"/>
              <w:rPr>
                <w:color w:val="auto"/>
                <w:kern w:val="2"/>
                <w:sz w:val="21"/>
                <w:szCs w:val="21"/>
              </w:rPr>
            </w:pPr>
            <w:r>
              <w:rPr>
                <w:rFonts w:hint="eastAsia"/>
                <w:color w:val="auto"/>
                <w:kern w:val="2"/>
                <w:sz w:val="21"/>
                <w:szCs w:val="21"/>
                <w:lang w:val="en-US" w:eastAsia="zh-CN"/>
              </w:rPr>
              <w:t>1</w:t>
            </w:r>
            <w:r>
              <w:rPr>
                <w:color w:val="auto"/>
                <w:kern w:val="2"/>
                <w:sz w:val="21"/>
                <w:szCs w:val="21"/>
              </w:rPr>
              <w:t>0</w:t>
            </w:r>
          </w:p>
        </w:tc>
        <w:tc>
          <w:tcPr>
            <w:tcW w:w="576" w:type="pct"/>
            <w:tcBorders>
              <w:tl2br w:val="nil"/>
              <w:tr2bl w:val="nil"/>
            </w:tcBorders>
            <w:noWrap w:val="0"/>
            <w:vAlign w:val="center"/>
          </w:tcPr>
          <w:p>
            <w:pPr>
              <w:pStyle w:val="8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textAlignment w:val="auto"/>
              <w:rPr>
                <w:rFonts w:hint="eastAsia" w:eastAsia="宋体"/>
                <w:color w:val="auto"/>
                <w:kern w:val="2"/>
                <w:sz w:val="21"/>
                <w:szCs w:val="21"/>
                <w:lang w:eastAsia="zh-CN"/>
              </w:rPr>
            </w:pPr>
            <w:r>
              <w:rPr>
                <w:rFonts w:hint="eastAsia"/>
                <w:color w:val="auto"/>
                <w:kern w:val="2"/>
                <w:sz w:val="21"/>
                <w:szCs w:val="21"/>
                <w:lang w:val="en-US" w:eastAsia="zh-CN"/>
              </w:rPr>
              <w:t>5</w:t>
            </w:r>
          </w:p>
        </w:tc>
        <w:tc>
          <w:tcPr>
            <w:tcW w:w="577" w:type="pct"/>
            <w:tcBorders>
              <w:tl2br w:val="nil"/>
              <w:tr2bl w:val="nil"/>
            </w:tcBorders>
            <w:noWrap w:val="0"/>
            <w:vAlign w:val="center"/>
          </w:tcPr>
          <w:p>
            <w:pPr>
              <w:pStyle w:val="8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textAlignment w:val="auto"/>
              <w:rPr>
                <w:rFonts w:hint="default"/>
                <w:color w:val="auto"/>
                <w:kern w:val="2"/>
                <w:sz w:val="21"/>
                <w:szCs w:val="21"/>
                <w:lang w:val="en-US" w:eastAsia="zh-CN"/>
              </w:rPr>
            </w:pPr>
            <w:r>
              <w:rPr>
                <w:rFonts w:hint="eastAsia"/>
                <w:color w:val="auto"/>
                <w:kern w:val="2"/>
                <w:sz w:val="21"/>
                <w:szCs w:val="21"/>
                <w:lang w:val="en-US" w:eastAsia="zh-CN"/>
              </w:rPr>
              <w:t>1</w:t>
            </w:r>
          </w:p>
        </w:tc>
      </w:tr>
    </w:tbl>
    <w:p>
      <w:pPr>
        <w:spacing w:line="540" w:lineRule="exact"/>
        <w:ind w:firstLine="470" w:firstLineChars="196"/>
        <w:rPr>
          <w:sz w:val="28"/>
          <w:szCs w:val="18"/>
        </w:rPr>
      </w:pPr>
      <w:r>
        <w:rPr>
          <w:rFonts w:ascii="Times New Roman" w:hAnsi="宋体"/>
          <w:color w:val="auto"/>
          <w:sz w:val="24"/>
          <w:szCs w:val="24"/>
        </w:rPr>
        <w:t>注：</w:t>
      </w:r>
      <w:r>
        <w:rPr>
          <w:rFonts w:hint="eastAsia" w:ascii="Times New Roman" w:hAnsi="Times New Roman"/>
          <w:color w:val="auto"/>
          <w:sz w:val="24"/>
          <w:szCs w:val="24"/>
        </w:rPr>
        <w:t>*氨氮执行《污水排入城镇下水道水质标准》（GB/T31962-2015）</w:t>
      </w:r>
      <w:r>
        <w:rPr>
          <w:rFonts w:ascii="Times New Roman" w:hAnsi="宋体"/>
          <w:color w:val="auto"/>
          <w:sz w:val="24"/>
          <w:szCs w:val="24"/>
        </w:rPr>
        <w:t>。</w:t>
      </w:r>
    </w:p>
    <w:p>
      <w:pPr>
        <w:pStyle w:val="62"/>
        <w:rPr>
          <w:rFonts w:cs="Times New Roman"/>
          <w:sz w:val="32"/>
        </w:rPr>
      </w:pPr>
      <w:bookmarkStart w:id="127" w:name="_Toc28377"/>
      <w:r>
        <w:rPr>
          <w:rFonts w:hint="eastAsia" w:cs="Times New Roman"/>
          <w:sz w:val="32"/>
        </w:rPr>
        <w:t>6</w:t>
      </w:r>
      <w:r>
        <w:rPr>
          <w:rFonts w:cs="Times New Roman"/>
          <w:sz w:val="32"/>
        </w:rPr>
        <w:t>.</w:t>
      </w:r>
      <w:r>
        <w:rPr>
          <w:rFonts w:hint="eastAsia" w:cs="Times New Roman"/>
          <w:sz w:val="32"/>
        </w:rPr>
        <w:t>2废气</w:t>
      </w:r>
      <w:bookmarkEnd w:id="12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kern w:val="0"/>
          <w:sz w:val="24"/>
          <w:szCs w:val="24"/>
        </w:rPr>
      </w:pPr>
      <w:bookmarkStart w:id="128" w:name="_Toc341431737"/>
      <w:bookmarkStart w:id="129" w:name="_Toc5819"/>
      <w:bookmarkStart w:id="130" w:name="_Toc321042429"/>
      <w:bookmarkStart w:id="131" w:name="_Toc341278435"/>
      <w:bookmarkStart w:id="132" w:name="_Toc305059576"/>
      <w:bookmarkStart w:id="133" w:name="_Toc341357484"/>
      <w:bookmarkStart w:id="134" w:name="_Toc341293120"/>
      <w:bookmarkStart w:id="135" w:name="_Toc332553930"/>
      <w:r>
        <w:rPr>
          <w:rFonts w:hint="eastAsia"/>
          <w:color w:val="auto"/>
          <w:kern w:val="0"/>
          <w:sz w:val="24"/>
          <w:szCs w:val="24"/>
        </w:rPr>
        <w:t xml:space="preserve">厂界油气浓度无组织排放限值执行《加油站大气污染物排放标准》（GB20952-2020）中表 3 要求，详见表 </w:t>
      </w:r>
      <w:r>
        <w:rPr>
          <w:rFonts w:hint="eastAsia"/>
          <w:color w:val="auto"/>
          <w:kern w:val="0"/>
          <w:sz w:val="24"/>
          <w:szCs w:val="24"/>
          <w:lang w:val="en-US" w:eastAsia="zh-CN"/>
        </w:rPr>
        <w:t>6</w:t>
      </w:r>
      <w:r>
        <w:rPr>
          <w:rFonts w:hint="eastAsia"/>
          <w:color w:val="auto"/>
          <w:kern w:val="0"/>
          <w:sz w:val="24"/>
          <w:szCs w:val="24"/>
        </w:rPr>
        <w:t>-</w:t>
      </w:r>
      <w:r>
        <w:rPr>
          <w:rFonts w:hint="eastAsia"/>
          <w:color w:val="auto"/>
          <w:kern w:val="0"/>
          <w:sz w:val="24"/>
          <w:szCs w:val="24"/>
          <w:lang w:val="en-US" w:eastAsia="zh-CN"/>
        </w:rPr>
        <w:t>2</w:t>
      </w:r>
      <w:r>
        <w:rPr>
          <w:rFonts w:hint="eastAsia"/>
          <w:color w:val="auto"/>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kern w:val="0"/>
          <w:sz w:val="24"/>
          <w:szCs w:val="24"/>
        </w:rPr>
      </w:pPr>
      <w:r>
        <w:rPr>
          <w:rFonts w:hint="eastAsia"/>
          <w:color w:val="auto"/>
          <w:kern w:val="0"/>
          <w:sz w:val="24"/>
          <w:szCs w:val="24"/>
        </w:rPr>
        <w:t xml:space="preserve">表 </w:t>
      </w:r>
      <w:r>
        <w:rPr>
          <w:rFonts w:hint="eastAsia"/>
          <w:color w:val="auto"/>
          <w:kern w:val="0"/>
          <w:sz w:val="24"/>
          <w:szCs w:val="24"/>
          <w:lang w:val="en-US" w:eastAsia="zh-CN"/>
        </w:rPr>
        <w:t>6</w:t>
      </w:r>
      <w:r>
        <w:rPr>
          <w:rFonts w:hint="eastAsia"/>
          <w:color w:val="auto"/>
          <w:kern w:val="0"/>
          <w:sz w:val="24"/>
          <w:szCs w:val="24"/>
        </w:rPr>
        <w:t>-</w:t>
      </w:r>
      <w:r>
        <w:rPr>
          <w:rFonts w:hint="eastAsia"/>
          <w:color w:val="auto"/>
          <w:kern w:val="0"/>
          <w:sz w:val="24"/>
          <w:szCs w:val="24"/>
          <w:lang w:val="en-US" w:eastAsia="zh-CN"/>
        </w:rPr>
        <w:t>2</w:t>
      </w:r>
      <w:r>
        <w:rPr>
          <w:rFonts w:hint="eastAsia"/>
          <w:color w:val="auto"/>
          <w:kern w:val="0"/>
          <w:sz w:val="24"/>
          <w:szCs w:val="24"/>
        </w:rPr>
        <w:t xml:space="preserve"> 《加油站大气污染物排放标准》（GB20952-2020）</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3"/>
        <w:gridCol w:w="3154"/>
        <w:gridCol w:w="3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油气回收系统要求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 xml:space="preserve">类型  </w:t>
            </w:r>
          </w:p>
        </w:tc>
        <w:tc>
          <w:tcPr>
            <w:tcW w:w="1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通入氮气流量</w:t>
            </w:r>
          </w:p>
        </w:tc>
        <w:tc>
          <w:tcPr>
            <w:tcW w:w="16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最大压力限值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加油站油气回收管线液阻最大压力限值</w:t>
            </w:r>
          </w:p>
        </w:tc>
        <w:tc>
          <w:tcPr>
            <w:tcW w:w="1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18L/min</w:t>
            </w:r>
          </w:p>
        </w:tc>
        <w:tc>
          <w:tcPr>
            <w:tcW w:w="16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40Pa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p>
        </w:tc>
        <w:tc>
          <w:tcPr>
            <w:tcW w:w="1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28L/min</w:t>
            </w:r>
          </w:p>
        </w:tc>
        <w:tc>
          <w:tcPr>
            <w:tcW w:w="16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90Pa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p>
        </w:tc>
        <w:tc>
          <w:tcPr>
            <w:tcW w:w="1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38L/min</w:t>
            </w:r>
          </w:p>
        </w:tc>
        <w:tc>
          <w:tcPr>
            <w:tcW w:w="16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155Pa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加油站油气回收系统密闭性检测最小剩余压力限值</w:t>
            </w:r>
          </w:p>
        </w:tc>
        <w:tc>
          <w:tcPr>
            <w:tcW w:w="1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最小剩余压力限值：301 Pa</w:t>
            </w:r>
          </w:p>
        </w:tc>
        <w:tc>
          <w:tcPr>
            <w:tcW w:w="16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储罐油气空间：3785L</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受影响的加油枪数：1～6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 xml:space="preserve">加油油气回收系统的气液比 </w:t>
            </w:r>
          </w:p>
        </w:tc>
        <w:tc>
          <w:tcPr>
            <w:tcW w:w="1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1.0≤～≤1.2</w:t>
            </w:r>
          </w:p>
        </w:tc>
        <w:tc>
          <w:tcPr>
            <w:tcW w:w="16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符合技术评估报告给出的范围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油气处置装置的油气排放浓度（1 小时平均浓度值）</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（预留三级回收系统）</w:t>
            </w:r>
          </w:p>
        </w:tc>
        <w:tc>
          <w:tcPr>
            <w:tcW w:w="1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 xml:space="preserve">≤25g/m </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vertAlign w:val="baseline"/>
                <w:lang w:eastAsia="zh-CN"/>
              </w:rPr>
              <w:t>（标准状态）</w:t>
            </w:r>
          </w:p>
        </w:tc>
        <w:tc>
          <w:tcPr>
            <w:tcW w:w="16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排放口距地平面高度（m）≧4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厂界油气浓度无组织排放要求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污染物</w:t>
            </w:r>
          </w:p>
        </w:tc>
        <w:tc>
          <w:tcPr>
            <w:tcW w:w="1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无组织排放监控浓度限值</w:t>
            </w:r>
          </w:p>
        </w:tc>
        <w:tc>
          <w:tcPr>
            <w:tcW w:w="16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p>
        </w:tc>
        <w:tc>
          <w:tcPr>
            <w:tcW w:w="1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限值含义</w:t>
            </w:r>
          </w:p>
        </w:tc>
        <w:tc>
          <w:tcPr>
            <w:tcW w:w="16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(mg/m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 xml:space="preserve">非甲烷总烃 </w:t>
            </w:r>
          </w:p>
        </w:tc>
        <w:tc>
          <w:tcPr>
            <w:tcW w:w="1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监控点处 1 小时平均浓度值</w:t>
            </w:r>
          </w:p>
        </w:tc>
        <w:tc>
          <w:tcPr>
            <w:tcW w:w="16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4.0</w:t>
            </w:r>
          </w:p>
        </w:tc>
      </w:tr>
    </w:tbl>
    <w:p>
      <w:pPr>
        <w:pStyle w:val="62"/>
        <w:rPr>
          <w:rFonts w:cs="Times New Roman"/>
          <w:sz w:val="32"/>
        </w:rPr>
      </w:pPr>
      <w:r>
        <w:rPr>
          <w:rFonts w:hint="eastAsia" w:cs="Times New Roman"/>
          <w:sz w:val="32"/>
        </w:rPr>
        <w:t>6</w:t>
      </w:r>
      <w:r>
        <w:rPr>
          <w:rFonts w:cs="Times New Roman"/>
          <w:sz w:val="32"/>
        </w:rPr>
        <w:t>.3 噪声</w:t>
      </w:r>
      <w:bookmarkEnd w:id="128"/>
      <w:bookmarkEnd w:id="129"/>
      <w:bookmarkEnd w:id="130"/>
      <w:bookmarkEnd w:id="131"/>
      <w:bookmarkEnd w:id="132"/>
      <w:bookmarkEnd w:id="133"/>
      <w:bookmarkEnd w:id="134"/>
      <w:bookmarkEnd w:id="135"/>
    </w:p>
    <w:p>
      <w:pPr>
        <w:spacing w:line="540" w:lineRule="exact"/>
        <w:ind w:firstLine="480" w:firstLineChars="200"/>
        <w:rPr>
          <w:sz w:val="24"/>
          <w:szCs w:val="24"/>
        </w:rPr>
      </w:pPr>
      <w:r>
        <w:rPr>
          <w:rFonts w:hint="eastAsia"/>
          <w:sz w:val="24"/>
          <w:szCs w:val="24"/>
        </w:rPr>
        <w:t>昼间、夜间外排厂界噪声</w:t>
      </w:r>
      <w:r>
        <w:rPr>
          <w:sz w:val="24"/>
          <w:szCs w:val="24"/>
        </w:rPr>
        <w:t>执行《工业企业厂界环境噪声排放标准》（GB12348-2008）表1中</w:t>
      </w:r>
      <w:r>
        <w:rPr>
          <w:rFonts w:hint="eastAsia"/>
          <w:sz w:val="24"/>
          <w:szCs w:val="24"/>
          <w:lang w:val="en-US" w:eastAsia="zh-CN"/>
        </w:rPr>
        <w:t>1</w:t>
      </w:r>
      <w:r>
        <w:rPr>
          <w:rFonts w:hint="eastAsia"/>
          <w:sz w:val="24"/>
          <w:szCs w:val="24"/>
        </w:rPr>
        <w:t>类</w:t>
      </w:r>
      <w:r>
        <w:rPr>
          <w:sz w:val="24"/>
          <w:szCs w:val="24"/>
        </w:rPr>
        <w:t>标准，标准值如下：</w:t>
      </w:r>
    </w:p>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ascii="Times New Roman" w:hAnsi="Times New Roman"/>
          <w:color w:val="auto"/>
          <w:sz w:val="24"/>
          <w:szCs w:val="24"/>
        </w:rPr>
      </w:pPr>
      <w:r>
        <w:rPr>
          <w:rFonts w:ascii="Times New Roman" w:hAnsi="宋体"/>
          <w:color w:val="auto"/>
          <w:sz w:val="24"/>
          <w:szCs w:val="24"/>
        </w:rPr>
        <w:t>表</w:t>
      </w:r>
      <w:r>
        <w:rPr>
          <w:rFonts w:hint="eastAsia" w:ascii="Times New Roman" w:hAnsi="Times New Roman"/>
          <w:color w:val="auto"/>
          <w:sz w:val="24"/>
          <w:szCs w:val="24"/>
          <w:lang w:val="en-US" w:eastAsia="zh-CN"/>
        </w:rPr>
        <w:t>6-3</w:t>
      </w:r>
      <w:r>
        <w:rPr>
          <w:rFonts w:hint="eastAsia" w:ascii="Times New Roman" w:hAnsi="宋体"/>
          <w:color w:val="auto"/>
          <w:sz w:val="24"/>
          <w:szCs w:val="24"/>
          <w:lang w:eastAsia="zh-CN"/>
        </w:rPr>
        <w:t>《工业企业厂界环境噪声排放标准》（GB12348-2008）</w:t>
      </w:r>
      <w:r>
        <w:rPr>
          <w:rFonts w:ascii="Times New Roman" w:hAnsi="Times New Roman"/>
          <w:color w:val="auto"/>
          <w:sz w:val="24"/>
          <w:szCs w:val="24"/>
        </w:rPr>
        <w:t xml:space="preserve"> </w:t>
      </w:r>
      <w:r>
        <w:rPr>
          <w:rFonts w:ascii="Times New Roman" w:hAnsi="宋体"/>
          <w:color w:val="auto"/>
          <w:sz w:val="21"/>
          <w:szCs w:val="21"/>
        </w:rPr>
        <w:t>单位：</w:t>
      </w:r>
      <w:r>
        <w:rPr>
          <w:rFonts w:ascii="Times New Roman" w:hAnsi="Times New Roman"/>
          <w:color w:val="auto"/>
          <w:sz w:val="21"/>
          <w:szCs w:val="21"/>
        </w:rPr>
        <w:t>dB</w:t>
      </w:r>
      <w:r>
        <w:rPr>
          <w:rFonts w:ascii="Times New Roman" w:hAnsi="宋体"/>
          <w:color w:val="auto"/>
          <w:sz w:val="21"/>
          <w:szCs w:val="21"/>
        </w:rPr>
        <w:t>（</w:t>
      </w:r>
      <w:r>
        <w:rPr>
          <w:rFonts w:ascii="Times New Roman" w:hAnsi="Times New Roman"/>
          <w:color w:val="auto"/>
          <w:sz w:val="21"/>
          <w:szCs w:val="21"/>
        </w:rPr>
        <w:t>A</w:t>
      </w:r>
      <w:r>
        <w:rPr>
          <w:rFonts w:ascii="Times New Roman" w:hAnsi="宋体"/>
          <w:color w:val="auto"/>
          <w:sz w:val="21"/>
          <w:szCs w:val="21"/>
        </w:rPr>
        <w:t>）</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3115"/>
        <w:gridCol w:w="2331"/>
        <w:gridCol w:w="2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pct"/>
            <w:vMerge w:val="restar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ascii="Times New Roman" w:hAnsi="宋体"/>
                <w:color w:val="auto"/>
                <w:sz w:val="21"/>
                <w:szCs w:val="21"/>
              </w:rPr>
              <w:t>类别</w:t>
            </w:r>
          </w:p>
        </w:tc>
        <w:tc>
          <w:tcPr>
            <w:tcW w:w="167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ascii="Times New Roman" w:hAnsi="宋体"/>
                <w:color w:val="auto"/>
                <w:sz w:val="21"/>
                <w:szCs w:val="21"/>
              </w:rPr>
              <w:t>适用范围</w:t>
            </w:r>
          </w:p>
        </w:tc>
        <w:tc>
          <w:tcPr>
            <w:tcW w:w="2661"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ascii="Times New Roman" w:hAnsi="宋体"/>
                <w:color w:val="auto"/>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pct"/>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p>
        </w:tc>
        <w:tc>
          <w:tcPr>
            <w:tcW w:w="167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p>
        </w:tc>
        <w:tc>
          <w:tcPr>
            <w:tcW w:w="125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ascii="Times New Roman" w:hAnsi="宋体"/>
                <w:color w:val="auto"/>
                <w:sz w:val="21"/>
                <w:szCs w:val="21"/>
              </w:rPr>
              <w:t>昼间</w:t>
            </w:r>
          </w:p>
        </w:tc>
        <w:tc>
          <w:tcPr>
            <w:tcW w:w="140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ascii="Times New Roman" w:hAnsi="宋体"/>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rPr>
            </w:pPr>
            <w:r>
              <w:rPr>
                <w:rFonts w:hint="eastAsia" w:ascii="Times New Roman" w:hAnsi="Times New Roman"/>
                <w:color w:val="auto"/>
                <w:sz w:val="21"/>
                <w:szCs w:val="21"/>
                <w:lang w:val="en-US" w:eastAsia="zh-CN"/>
              </w:rPr>
              <w:t>1</w:t>
            </w:r>
            <w:r>
              <w:rPr>
                <w:rFonts w:ascii="Times New Roman" w:hAnsi="宋体"/>
                <w:color w:val="auto"/>
                <w:sz w:val="21"/>
                <w:szCs w:val="21"/>
              </w:rPr>
              <w:t>类</w:t>
            </w:r>
          </w:p>
        </w:tc>
        <w:tc>
          <w:tcPr>
            <w:tcW w:w="167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整个厂区</w:t>
            </w:r>
          </w:p>
        </w:tc>
        <w:tc>
          <w:tcPr>
            <w:tcW w:w="125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pacing w:val="-2"/>
                <w:sz w:val="21"/>
                <w:szCs w:val="21"/>
                <w:lang w:val="en-US" w:eastAsia="zh-CN"/>
              </w:rPr>
            </w:pPr>
            <w:r>
              <w:rPr>
                <w:rFonts w:hint="eastAsia" w:ascii="Times New Roman" w:hAnsi="Times New Roman" w:eastAsia="宋体"/>
                <w:color w:val="auto"/>
                <w:spacing w:val="-2"/>
                <w:sz w:val="21"/>
                <w:szCs w:val="21"/>
                <w:lang w:val="en-US" w:eastAsia="zh-CN"/>
              </w:rPr>
              <w:t>55</w:t>
            </w:r>
          </w:p>
        </w:tc>
        <w:tc>
          <w:tcPr>
            <w:tcW w:w="140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45</w:t>
            </w:r>
          </w:p>
        </w:tc>
      </w:tr>
    </w:tbl>
    <w:p>
      <w:pPr>
        <w:pStyle w:val="62"/>
        <w:rPr>
          <w:rFonts w:hint="eastAsia" w:ascii="Times New Roman" w:hAnsi="Times New Roman" w:eastAsia="宋体" w:cs="Times New Roman"/>
          <w:sz w:val="32"/>
        </w:rPr>
      </w:pPr>
      <w:bookmarkStart w:id="136" w:name="_Toc534643360"/>
      <w:bookmarkStart w:id="137" w:name="_Toc10440"/>
      <w:r>
        <w:rPr>
          <w:rFonts w:hint="eastAsia" w:ascii="Times New Roman" w:hAnsi="Times New Roman" w:eastAsia="宋体" w:cs="Times New Roman"/>
          <w:sz w:val="32"/>
        </w:rPr>
        <w:t>6.</w:t>
      </w:r>
      <w:bookmarkEnd w:id="136"/>
      <w:r>
        <w:rPr>
          <w:rFonts w:hint="eastAsia" w:ascii="Times New Roman" w:hAnsi="Times New Roman" w:eastAsia="宋体" w:cs="Times New Roman"/>
          <w:sz w:val="32"/>
          <w:lang w:val="en-US" w:eastAsia="zh-CN"/>
        </w:rPr>
        <w:t>4</w:t>
      </w:r>
      <w:r>
        <w:rPr>
          <w:rFonts w:hint="eastAsia" w:ascii="Times New Roman" w:hAnsi="Times New Roman" w:eastAsia="宋体" w:cs="Times New Roman"/>
          <w:sz w:val="32"/>
        </w:rPr>
        <w:t>固体废物污染管控标准要求</w:t>
      </w:r>
      <w:bookmarkEnd w:id="137"/>
    </w:p>
    <w:p>
      <w:pPr>
        <w:spacing w:line="540" w:lineRule="exact"/>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根据环评及批复要求，</w:t>
      </w:r>
      <w:r>
        <w:rPr>
          <w:rFonts w:hint="eastAsia" w:ascii="Times New Roman" w:hAnsi="Times New Roman" w:eastAsia="宋体" w:cs="Times New Roman"/>
          <w:sz w:val="24"/>
          <w:szCs w:val="24"/>
          <w:lang w:val="en-US" w:eastAsia="zh-CN"/>
        </w:rPr>
        <w:t>一般工业固体废物执行《一般工业固体废物贮存和填埋污染控制标准》（GB18599-2020），采用库房、包装工具（罐、桶、包装袋等）贮存一般工业固体废物过程的污染控制，其贮存过程应满足相应防渗漏、防雨淋、防扬尘等环境保护要求。危险废物执行《危险废物贮存污染控制标准》（GB18597-2023）和《危险废物收集贮存运输技术规范》（HJ2025-2012）以及《危险废物转移联单管理办法》（国家环境保护总局令第5号）中相关规定。</w:t>
      </w:r>
    </w:p>
    <w:p>
      <w:pPr>
        <w:sectPr>
          <w:pgSz w:w="11906" w:h="16838"/>
          <w:pgMar w:top="1701" w:right="1418" w:bottom="1701" w:left="1418" w:header="851" w:footer="992" w:gutter="0"/>
          <w:cols w:space="425" w:num="1"/>
          <w:docGrid w:type="lines" w:linePitch="312" w:charSpace="0"/>
        </w:sectPr>
      </w:pPr>
    </w:p>
    <w:p>
      <w:pPr>
        <w:pStyle w:val="61"/>
        <w:spacing w:beforeLines="50"/>
        <w:rPr>
          <w:rFonts w:cs="Times New Roman"/>
          <w:sz w:val="36"/>
        </w:rPr>
      </w:pPr>
      <w:bookmarkStart w:id="138" w:name="_Toc32629"/>
      <w:r>
        <w:rPr>
          <w:rFonts w:hint="eastAsia" w:cs="Times New Roman"/>
          <w:sz w:val="36"/>
        </w:rPr>
        <w:t>7</w:t>
      </w:r>
      <w:r>
        <w:rPr>
          <w:rFonts w:cs="Times New Roman"/>
          <w:sz w:val="36"/>
        </w:rPr>
        <w:t>验收监测内容</w:t>
      </w:r>
      <w:bookmarkEnd w:id="115"/>
      <w:bookmarkEnd w:id="124"/>
      <w:bookmarkEnd w:id="125"/>
      <w:bookmarkEnd w:id="126"/>
      <w:bookmarkEnd w:id="138"/>
    </w:p>
    <w:p>
      <w:pPr>
        <w:pStyle w:val="62"/>
        <w:rPr>
          <w:rFonts w:cs="Times New Roman"/>
          <w:sz w:val="32"/>
        </w:rPr>
      </w:pPr>
      <w:bookmarkStart w:id="139" w:name="_Toc5268"/>
      <w:r>
        <w:rPr>
          <w:rFonts w:hint="eastAsia" w:cs="Times New Roman"/>
          <w:sz w:val="32"/>
        </w:rPr>
        <w:t>7</w:t>
      </w:r>
      <w:r>
        <w:rPr>
          <w:rFonts w:cs="Times New Roman"/>
          <w:sz w:val="32"/>
        </w:rPr>
        <w:t xml:space="preserve">.1 </w:t>
      </w:r>
      <w:r>
        <w:rPr>
          <w:rFonts w:hint="eastAsia" w:cs="Times New Roman"/>
          <w:sz w:val="32"/>
        </w:rPr>
        <w:t>废水</w:t>
      </w:r>
      <w:bookmarkEnd w:id="139"/>
    </w:p>
    <w:p>
      <w:pPr>
        <w:spacing w:line="540" w:lineRule="exact"/>
        <w:ind w:firstLine="463" w:firstLineChars="192"/>
        <w:jc w:val="center"/>
        <w:rPr>
          <w:sz w:val="24"/>
          <w:szCs w:val="24"/>
        </w:rPr>
      </w:pPr>
      <w:r>
        <w:rPr>
          <w:rFonts w:hAnsiTheme="minorEastAsia" w:eastAsiaTheme="minorEastAsia"/>
          <w:b/>
          <w:sz w:val="24"/>
          <w:szCs w:val="24"/>
        </w:rPr>
        <w:t>表</w:t>
      </w:r>
      <w:r>
        <w:rPr>
          <w:rFonts w:hint="eastAsia" w:eastAsiaTheme="minorEastAsia"/>
          <w:b/>
          <w:sz w:val="24"/>
          <w:szCs w:val="24"/>
        </w:rPr>
        <w:t>7</w:t>
      </w:r>
      <w:r>
        <w:rPr>
          <w:rFonts w:eastAsiaTheme="minorEastAsia"/>
          <w:b/>
          <w:sz w:val="24"/>
          <w:szCs w:val="24"/>
        </w:rPr>
        <w:t xml:space="preserve">-1    </w:t>
      </w:r>
      <w:r>
        <w:rPr>
          <w:rFonts w:hAnsiTheme="minorEastAsia" w:eastAsiaTheme="minorEastAsia"/>
          <w:b/>
          <w:sz w:val="24"/>
          <w:szCs w:val="24"/>
        </w:rPr>
        <w:t>废水监测表</w:t>
      </w:r>
    </w:p>
    <w:tbl>
      <w:tblPr>
        <w:tblStyle w:val="26"/>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3"/>
        <w:gridCol w:w="2242"/>
        <w:gridCol w:w="2243"/>
        <w:gridCol w:w="1785"/>
        <w:gridCol w:w="19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atLeast"/>
        </w:trPr>
        <w:tc>
          <w:tcPr>
            <w:tcW w:w="1073" w:type="dxa"/>
            <w:noWrap w:val="0"/>
            <w:vAlign w:val="center"/>
          </w:tcPr>
          <w:p>
            <w:pPr>
              <w:pStyle w:val="42"/>
              <w:spacing w:line="240" w:lineRule="auto"/>
            </w:pPr>
            <w:r>
              <w:rPr>
                <w:rFonts w:hint="eastAsia"/>
              </w:rPr>
              <w:t>监测</w:t>
            </w:r>
            <w:r>
              <w:t>项目</w:t>
            </w:r>
          </w:p>
        </w:tc>
        <w:tc>
          <w:tcPr>
            <w:tcW w:w="2242" w:type="dxa"/>
            <w:noWrap w:val="0"/>
            <w:vAlign w:val="center"/>
          </w:tcPr>
          <w:p>
            <w:pPr>
              <w:pStyle w:val="42"/>
              <w:spacing w:line="240" w:lineRule="auto"/>
            </w:pPr>
            <w:r>
              <w:rPr>
                <w:rFonts w:hint="eastAsia"/>
              </w:rPr>
              <w:t>监测点位</w:t>
            </w:r>
          </w:p>
        </w:tc>
        <w:tc>
          <w:tcPr>
            <w:tcW w:w="2243" w:type="dxa"/>
            <w:tcBorders>
              <w:bottom w:val="single" w:color="auto" w:sz="4" w:space="0"/>
            </w:tcBorders>
            <w:noWrap w:val="0"/>
            <w:vAlign w:val="center"/>
          </w:tcPr>
          <w:p>
            <w:pPr>
              <w:pStyle w:val="42"/>
              <w:spacing w:line="240" w:lineRule="auto"/>
            </w:pPr>
            <w:r>
              <w:t>监测</w:t>
            </w:r>
            <w:r>
              <w:rPr>
                <w:rFonts w:hint="eastAsia"/>
              </w:rPr>
              <w:t>因子</w:t>
            </w:r>
          </w:p>
        </w:tc>
        <w:tc>
          <w:tcPr>
            <w:tcW w:w="1785" w:type="dxa"/>
            <w:tcBorders>
              <w:bottom w:val="single" w:color="auto" w:sz="4" w:space="0"/>
            </w:tcBorders>
            <w:noWrap w:val="0"/>
            <w:vAlign w:val="center"/>
          </w:tcPr>
          <w:p>
            <w:pPr>
              <w:pStyle w:val="42"/>
              <w:spacing w:line="240" w:lineRule="auto"/>
            </w:pPr>
            <w:r>
              <w:rPr>
                <w:rFonts w:hint="eastAsia"/>
              </w:rPr>
              <w:t>监测</w:t>
            </w:r>
            <w:r>
              <w:t>频次</w:t>
            </w:r>
          </w:p>
        </w:tc>
        <w:tc>
          <w:tcPr>
            <w:tcW w:w="1943" w:type="dxa"/>
            <w:noWrap w:val="0"/>
            <w:vAlign w:val="top"/>
          </w:tcPr>
          <w:p>
            <w:pPr>
              <w:pStyle w:val="42"/>
              <w:spacing w:line="240" w:lineRule="auto"/>
              <w:rPr>
                <w:rFonts w:hint="eastAsia"/>
              </w:rPr>
            </w:pPr>
            <w:r>
              <w:rPr>
                <w:rFonts w:hint="eastAsia"/>
                <w:szCs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7" w:hRule="atLeast"/>
        </w:trPr>
        <w:tc>
          <w:tcPr>
            <w:tcW w:w="1073" w:type="dxa"/>
            <w:noWrap w:val="0"/>
            <w:vAlign w:val="center"/>
          </w:tcPr>
          <w:p>
            <w:pPr>
              <w:pStyle w:val="42"/>
              <w:spacing w:line="240" w:lineRule="auto"/>
              <w:jc w:val="center"/>
              <w:rPr>
                <w:rFonts w:hint="eastAsia" w:eastAsia="宋体"/>
                <w:lang w:val="en-US" w:eastAsia="zh-CN"/>
              </w:rPr>
            </w:pPr>
            <w:r>
              <w:rPr>
                <w:rFonts w:hint="eastAsia"/>
                <w:lang w:val="en-US" w:eastAsia="zh-CN"/>
              </w:rPr>
              <w:t>综合废水</w:t>
            </w:r>
          </w:p>
        </w:tc>
        <w:tc>
          <w:tcPr>
            <w:tcW w:w="2242" w:type="dxa"/>
            <w:noWrap w:val="0"/>
            <w:vAlign w:val="center"/>
          </w:tcPr>
          <w:p>
            <w:pPr>
              <w:spacing w:line="500" w:lineRule="exact"/>
              <w:jc w:val="center"/>
              <w:rPr>
                <w:rFonts w:hint="eastAsia"/>
                <w:snapToGrid w:val="0"/>
                <w:color w:val="000000"/>
                <w:kern w:val="24"/>
                <w:sz w:val="21"/>
                <w:szCs w:val="20"/>
                <w:lang w:val="en-US" w:eastAsia="zh-CN" w:bidi="ar-SA"/>
              </w:rPr>
            </w:pPr>
            <w:r>
              <w:rPr>
                <w:rFonts w:hint="eastAsia"/>
                <w:snapToGrid w:val="0"/>
                <w:color w:val="000000"/>
                <w:kern w:val="24"/>
                <w:sz w:val="21"/>
                <w:szCs w:val="20"/>
                <w:lang w:val="en-US" w:eastAsia="zh-CN" w:bidi="ar-SA"/>
              </w:rPr>
              <w:t>总排口</w:t>
            </w:r>
          </w:p>
        </w:tc>
        <w:tc>
          <w:tcPr>
            <w:tcW w:w="2243" w:type="dxa"/>
            <w:noWrap w:val="0"/>
            <w:vAlign w:val="center"/>
          </w:tcPr>
          <w:p>
            <w:pPr>
              <w:pStyle w:val="42"/>
              <w:spacing w:line="240" w:lineRule="auto"/>
              <w:jc w:val="center"/>
              <w:rPr>
                <w:rFonts w:hint="eastAsia"/>
                <w:snapToGrid w:val="0"/>
                <w:color w:val="000000"/>
                <w:kern w:val="24"/>
                <w:sz w:val="21"/>
                <w:szCs w:val="20"/>
                <w:lang w:val="en-US" w:eastAsia="zh-CN" w:bidi="ar-SA"/>
              </w:rPr>
            </w:pPr>
            <w:r>
              <w:rPr>
                <w:rFonts w:hint="default" w:ascii="Times New Roman" w:hAnsi="Times New Roman" w:cs="Times New Roman"/>
                <w:bCs/>
                <w:color w:val="auto"/>
                <w:sz w:val="21"/>
                <w:szCs w:val="21"/>
                <w:lang w:val="en-US" w:eastAsia="zh-CN"/>
              </w:rPr>
              <w:t>COD、BOD</w:t>
            </w:r>
            <w:r>
              <w:rPr>
                <w:rFonts w:hint="default" w:ascii="Times New Roman" w:hAnsi="Times New Roman" w:cs="Times New Roman"/>
                <w:bCs/>
                <w:color w:val="auto"/>
                <w:sz w:val="21"/>
                <w:szCs w:val="21"/>
                <w:vertAlign w:val="subscript"/>
                <w:lang w:val="en-US" w:eastAsia="zh-CN"/>
              </w:rPr>
              <w:t>5</w:t>
            </w:r>
            <w:r>
              <w:rPr>
                <w:rFonts w:hint="default" w:ascii="Times New Roman" w:hAnsi="Times New Roman" w:cs="Times New Roman"/>
                <w:bCs/>
                <w:color w:val="auto"/>
                <w:sz w:val="21"/>
                <w:szCs w:val="21"/>
                <w:lang w:val="en-US" w:eastAsia="zh-CN"/>
              </w:rPr>
              <w:t>、SS、NH</w:t>
            </w:r>
            <w:r>
              <w:rPr>
                <w:rFonts w:hint="default" w:ascii="Times New Roman" w:hAnsi="Times New Roman" w:cs="Times New Roman"/>
                <w:bCs/>
                <w:color w:val="auto"/>
                <w:sz w:val="21"/>
                <w:szCs w:val="21"/>
                <w:vertAlign w:val="subscript"/>
                <w:lang w:val="en-US" w:eastAsia="zh-CN"/>
              </w:rPr>
              <w:t>3</w:t>
            </w:r>
            <w:r>
              <w:rPr>
                <w:rFonts w:hint="default" w:ascii="Times New Roman" w:hAnsi="Times New Roman" w:cs="Times New Roman"/>
                <w:bCs/>
                <w:color w:val="auto"/>
                <w:sz w:val="21"/>
                <w:szCs w:val="21"/>
                <w:lang w:val="en-US" w:eastAsia="zh-CN"/>
              </w:rPr>
              <w:t>-N</w:t>
            </w:r>
            <w:r>
              <w:rPr>
                <w:rFonts w:hint="eastAsia" w:ascii="Times New Roman" w:hAnsi="Times New Roman" w:cs="Times New Roman"/>
                <w:bCs/>
                <w:color w:val="auto"/>
                <w:sz w:val="21"/>
                <w:szCs w:val="21"/>
                <w:lang w:val="en-US" w:eastAsia="zh-CN"/>
              </w:rPr>
              <w:t>、石油类</w:t>
            </w:r>
          </w:p>
        </w:tc>
        <w:tc>
          <w:tcPr>
            <w:tcW w:w="1785" w:type="dxa"/>
            <w:tcBorders>
              <w:top w:val="single" w:color="auto" w:sz="4" w:space="0"/>
            </w:tcBorders>
            <w:noWrap w:val="0"/>
            <w:vAlign w:val="center"/>
          </w:tcPr>
          <w:p>
            <w:pPr>
              <w:pStyle w:val="42"/>
              <w:jc w:val="center"/>
              <w:rPr>
                <w:rFonts w:hint="eastAsia"/>
                <w:snapToGrid w:val="0"/>
                <w:color w:val="000000"/>
                <w:kern w:val="24"/>
                <w:sz w:val="21"/>
                <w:szCs w:val="20"/>
                <w:lang w:val="en-US" w:eastAsia="zh-CN" w:bidi="ar-SA"/>
              </w:rPr>
            </w:pPr>
            <w:r>
              <w:rPr>
                <w:rFonts w:hint="eastAsia"/>
                <w:snapToGrid w:val="0"/>
                <w:color w:val="000000"/>
                <w:kern w:val="24"/>
                <w:sz w:val="21"/>
                <w:szCs w:val="20"/>
                <w:lang w:val="en-US" w:eastAsia="zh-CN" w:bidi="ar-SA"/>
              </w:rPr>
              <w:t>连续监测2天，每天采样4次</w:t>
            </w:r>
          </w:p>
        </w:tc>
        <w:tc>
          <w:tcPr>
            <w:tcW w:w="1943" w:type="dxa"/>
            <w:tcBorders>
              <w:top w:val="single" w:color="auto" w:sz="4" w:space="0"/>
            </w:tcBorders>
            <w:noWrap w:val="0"/>
            <w:vAlign w:val="center"/>
          </w:tcPr>
          <w:p>
            <w:pPr>
              <w:pStyle w:val="42"/>
              <w:jc w:val="center"/>
              <w:rPr>
                <w:rFonts w:hint="eastAsia"/>
              </w:rPr>
            </w:pPr>
            <w:r>
              <w:rPr>
                <w:rFonts w:hint="default"/>
                <w:szCs w:val="21"/>
                <w:lang w:val="en-US" w:eastAsia="zh-CN"/>
              </w:rPr>
              <w:t>《污水综合排放标准》（GB8978-1996）三级标准</w:t>
            </w:r>
          </w:p>
        </w:tc>
      </w:tr>
    </w:tbl>
    <w:p>
      <w:pPr>
        <w:pStyle w:val="36"/>
        <w:ind w:left="0" w:leftChars="0" w:firstLine="0" w:firstLineChars="0"/>
        <w:jc w:val="both"/>
        <w:rPr>
          <w:rFonts w:ascii="宋体" w:hAnsi="宋体" w:eastAsia="宋体" w:cs="宋体"/>
          <w:kern w:val="0"/>
          <w:sz w:val="24"/>
          <w:szCs w:val="24"/>
          <w:lang w:val="en-US" w:eastAsia="zh-CN" w:bidi="ar"/>
        </w:rPr>
      </w:pPr>
      <w:r>
        <w:drawing>
          <wp:inline distT="0" distB="0" distL="114300" distR="114300">
            <wp:extent cx="5757545" cy="1468120"/>
            <wp:effectExtent l="0" t="0" r="1460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757545" cy="1468120"/>
                    </a:xfrm>
                    <a:prstGeom prst="rect">
                      <a:avLst/>
                    </a:prstGeom>
                    <a:noFill/>
                    <a:ln>
                      <a:noFill/>
                    </a:ln>
                  </pic:spPr>
                </pic:pic>
              </a:graphicData>
            </a:graphic>
          </wp:inline>
        </w:drawing>
      </w:r>
    </w:p>
    <w:p>
      <w:pPr>
        <w:pStyle w:val="36"/>
        <w:jc w:val="center"/>
        <w:rPr>
          <w:rFonts w:ascii="宋体" w:hAnsi="宋体" w:eastAsia="宋体" w:cs="宋体"/>
          <w:kern w:val="0"/>
          <w:sz w:val="24"/>
          <w:szCs w:val="24"/>
          <w:lang w:val="en-US" w:eastAsia="zh-CN" w:bidi="ar"/>
        </w:rPr>
      </w:pPr>
    </w:p>
    <w:p>
      <w:pPr>
        <w:spacing w:line="560" w:lineRule="exact"/>
        <w:rPr>
          <w:rFonts w:hAnsiTheme="minorEastAsia" w:eastAsiaTheme="minorEastAsia"/>
          <w:sz w:val="28"/>
          <w:szCs w:val="28"/>
        </w:rPr>
      </w:pPr>
      <w:r>
        <w:rPr>
          <w:rFonts w:hAnsiTheme="minorEastAsia" w:eastAsiaTheme="minorEastAsia"/>
          <w:sz w:val="28"/>
          <w:szCs w:val="28"/>
        </w:rPr>
        <w:pict>
          <v:shape id="_x0000_s2108" o:spid="_x0000_s2108" o:spt="202" type="#_x0000_t202" style="position:absolute;left:0pt;margin-left:378.5pt;margin-top:3.8pt;height:25.8pt;width:113.8pt;z-index:251663360;mso-width-relative:page;mso-height-relative:page;" filled="f" stroked="f" coordsize="21600,21600">
            <v:path/>
            <v:fill on="f" focussize="0,0"/>
            <v:stroke on="f" joinstyle="miter"/>
            <v:imagedata o:title=""/>
            <o:lock v:ext="edit"/>
            <v:textbox>
              <w:txbxContent>
                <w:p>
                  <w:pPr>
                    <w:pStyle w:val="68"/>
                  </w:pPr>
                  <w:r>
                    <w:rPr>
                      <w:rFonts w:hint="eastAsia"/>
                    </w:rPr>
                    <w:t>图例：★废水采样点</w:t>
                  </w:r>
                </w:p>
                <w:p>
                  <w:pPr>
                    <w:ind w:firstLine="630" w:firstLineChars="300"/>
                  </w:pPr>
                </w:p>
              </w:txbxContent>
            </v:textbox>
          </v:shape>
        </w:pict>
      </w:r>
    </w:p>
    <w:p>
      <w:pPr>
        <w:spacing w:line="360" w:lineRule="auto"/>
        <w:ind w:firstLine="420"/>
        <w:jc w:val="center"/>
        <w:rPr>
          <w:rFonts w:eastAsiaTheme="minorEastAsia"/>
          <w:b/>
          <w:bCs/>
          <w:sz w:val="24"/>
          <w:szCs w:val="24"/>
        </w:rPr>
      </w:pPr>
      <w:r>
        <w:rPr>
          <w:rFonts w:hAnsiTheme="minorEastAsia" w:eastAsiaTheme="minorEastAsia"/>
          <w:b/>
          <w:bCs/>
          <w:sz w:val="24"/>
          <w:szCs w:val="24"/>
        </w:rPr>
        <w:t>图</w:t>
      </w:r>
      <w:r>
        <w:rPr>
          <w:rFonts w:hint="eastAsia" w:hAnsiTheme="minorEastAsia" w:eastAsiaTheme="minorEastAsia"/>
          <w:b/>
          <w:bCs/>
          <w:sz w:val="24"/>
          <w:szCs w:val="24"/>
        </w:rPr>
        <w:t>7-</w:t>
      </w:r>
      <w:r>
        <w:rPr>
          <w:rFonts w:eastAsiaTheme="minorEastAsia"/>
          <w:b/>
          <w:bCs/>
          <w:sz w:val="24"/>
          <w:szCs w:val="24"/>
        </w:rPr>
        <w:t xml:space="preserve">1  </w:t>
      </w:r>
      <w:r>
        <w:rPr>
          <w:rFonts w:hAnsiTheme="minorEastAsia" w:eastAsiaTheme="minorEastAsia"/>
          <w:b/>
          <w:bCs/>
          <w:sz w:val="24"/>
          <w:szCs w:val="24"/>
        </w:rPr>
        <w:t>废水监测点位示意图</w:t>
      </w:r>
    </w:p>
    <w:p>
      <w:pPr>
        <w:pStyle w:val="62"/>
        <w:rPr>
          <w:rFonts w:cs="Times New Roman"/>
          <w:sz w:val="32"/>
        </w:rPr>
      </w:pPr>
      <w:bookmarkStart w:id="140" w:name="_Toc22019"/>
      <w:r>
        <w:rPr>
          <w:rFonts w:hint="eastAsia" w:cs="Times New Roman"/>
          <w:sz w:val="32"/>
        </w:rPr>
        <w:t>7</w:t>
      </w:r>
      <w:r>
        <w:rPr>
          <w:rFonts w:cs="Times New Roman"/>
          <w:sz w:val="32"/>
        </w:rPr>
        <w:t>.</w:t>
      </w:r>
      <w:r>
        <w:rPr>
          <w:rFonts w:hint="eastAsia" w:cs="Times New Roman"/>
          <w:sz w:val="32"/>
        </w:rPr>
        <w:t>2废气</w:t>
      </w:r>
      <w:bookmarkEnd w:id="140"/>
    </w:p>
    <w:p>
      <w:pPr>
        <w:jc w:val="center"/>
        <w:rPr>
          <w:rFonts w:hAnsiTheme="minorEastAsia" w:eastAsiaTheme="minorEastAsia"/>
          <w:b/>
          <w:bCs/>
          <w:sz w:val="24"/>
          <w:szCs w:val="24"/>
        </w:rPr>
      </w:pPr>
      <w:r>
        <w:rPr>
          <w:rFonts w:hint="eastAsia" w:hAnsiTheme="minorEastAsia" w:eastAsiaTheme="minorEastAsia"/>
          <w:b/>
          <w:bCs/>
          <w:sz w:val="24"/>
          <w:szCs w:val="24"/>
        </w:rPr>
        <w:t>表7-2    废气监测表</w:t>
      </w:r>
    </w:p>
    <w:tbl>
      <w:tblPr>
        <w:tblStyle w:val="2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1254"/>
        <w:gridCol w:w="1550"/>
        <w:gridCol w:w="1533"/>
        <w:gridCol w:w="3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trPr>
        <w:tc>
          <w:tcPr>
            <w:tcW w:w="1472" w:type="dxa"/>
            <w:vAlign w:val="center"/>
          </w:tcPr>
          <w:p>
            <w:pPr>
              <w:pStyle w:val="42"/>
              <w:rPr>
                <w:rFonts w:ascii="Times New Roman" w:hAnsi="Times New Roman" w:eastAsia="宋体" w:cs="Times New Roman"/>
                <w:snapToGrid w:val="0"/>
                <w:color w:val="000000"/>
                <w:kern w:val="0"/>
                <w:sz w:val="21"/>
                <w:szCs w:val="20"/>
                <w:lang w:val="en-US" w:eastAsia="zh-CN" w:bidi="ar-SA"/>
              </w:rPr>
            </w:pPr>
            <w:r>
              <w:rPr>
                <w:rFonts w:hint="eastAsia"/>
                <w:szCs w:val="21"/>
              </w:rPr>
              <w:t>监测</w:t>
            </w:r>
            <w:r>
              <w:rPr>
                <w:szCs w:val="21"/>
              </w:rPr>
              <w:t>项目</w:t>
            </w:r>
          </w:p>
        </w:tc>
        <w:tc>
          <w:tcPr>
            <w:tcW w:w="1254" w:type="dxa"/>
            <w:vAlign w:val="center"/>
          </w:tcPr>
          <w:p>
            <w:pPr>
              <w:pStyle w:val="42"/>
              <w:rPr>
                <w:rFonts w:ascii="Times New Roman" w:hAnsi="Times New Roman" w:eastAsia="宋体" w:cs="Times New Roman"/>
                <w:snapToGrid w:val="0"/>
                <w:color w:val="000000"/>
                <w:kern w:val="0"/>
                <w:sz w:val="21"/>
                <w:szCs w:val="20"/>
                <w:lang w:val="en-US" w:eastAsia="zh-CN" w:bidi="ar-SA"/>
              </w:rPr>
            </w:pPr>
            <w:r>
              <w:rPr>
                <w:rFonts w:hint="eastAsia"/>
                <w:szCs w:val="21"/>
              </w:rPr>
              <w:t>监测点位</w:t>
            </w:r>
          </w:p>
        </w:tc>
        <w:tc>
          <w:tcPr>
            <w:tcW w:w="1550" w:type="dxa"/>
            <w:vAlign w:val="center"/>
          </w:tcPr>
          <w:p>
            <w:pPr>
              <w:pStyle w:val="42"/>
              <w:rPr>
                <w:rFonts w:ascii="Times New Roman" w:hAnsi="Times New Roman" w:eastAsia="宋体" w:cs="Times New Roman"/>
                <w:snapToGrid w:val="0"/>
                <w:color w:val="000000"/>
                <w:kern w:val="0"/>
                <w:sz w:val="21"/>
                <w:szCs w:val="20"/>
                <w:lang w:val="en-US" w:eastAsia="zh-CN" w:bidi="ar-SA"/>
              </w:rPr>
            </w:pPr>
            <w:r>
              <w:rPr>
                <w:szCs w:val="21"/>
              </w:rPr>
              <w:t>监测</w:t>
            </w:r>
            <w:r>
              <w:rPr>
                <w:rFonts w:hint="eastAsia"/>
                <w:szCs w:val="21"/>
              </w:rPr>
              <w:t>因子</w:t>
            </w:r>
          </w:p>
        </w:tc>
        <w:tc>
          <w:tcPr>
            <w:tcW w:w="1533" w:type="dxa"/>
            <w:vAlign w:val="center"/>
          </w:tcPr>
          <w:p>
            <w:pPr>
              <w:pStyle w:val="42"/>
              <w:rPr>
                <w:rFonts w:ascii="Times New Roman" w:hAnsi="Times New Roman" w:eastAsia="宋体" w:cs="Times New Roman"/>
                <w:snapToGrid w:val="0"/>
                <w:color w:val="000000"/>
                <w:kern w:val="0"/>
                <w:sz w:val="21"/>
                <w:szCs w:val="20"/>
                <w:lang w:val="en-US" w:eastAsia="zh-CN" w:bidi="ar-SA"/>
              </w:rPr>
            </w:pPr>
            <w:r>
              <w:rPr>
                <w:rFonts w:hint="eastAsia"/>
                <w:szCs w:val="21"/>
              </w:rPr>
              <w:t>监测</w:t>
            </w:r>
            <w:r>
              <w:rPr>
                <w:szCs w:val="21"/>
              </w:rPr>
              <w:t>频次</w:t>
            </w:r>
          </w:p>
        </w:tc>
        <w:tc>
          <w:tcPr>
            <w:tcW w:w="3470" w:type="dxa"/>
            <w:vAlign w:val="center"/>
          </w:tcPr>
          <w:p>
            <w:pPr>
              <w:pStyle w:val="42"/>
              <w:rPr>
                <w:rFonts w:hint="eastAsia"/>
                <w:szCs w:val="21"/>
              </w:rPr>
            </w:pPr>
            <w:r>
              <w:rPr>
                <w:rFonts w:hint="eastAsia"/>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trPr>
        <w:tc>
          <w:tcPr>
            <w:tcW w:w="1472" w:type="dxa"/>
            <w:vMerge w:val="restart"/>
            <w:vAlign w:val="center"/>
          </w:tcPr>
          <w:p>
            <w:pPr>
              <w:pStyle w:val="42"/>
              <w:rPr>
                <w:rFonts w:ascii="Times New Roman" w:hAnsi="Times New Roman" w:eastAsia="宋体" w:cs="Times New Roman"/>
                <w:snapToGrid w:val="0"/>
                <w:color w:val="000000"/>
                <w:kern w:val="0"/>
                <w:sz w:val="21"/>
                <w:szCs w:val="20"/>
                <w:lang w:val="en-US" w:eastAsia="zh-CN" w:bidi="ar-SA"/>
              </w:rPr>
            </w:pPr>
            <w:r>
              <w:rPr>
                <w:rFonts w:hint="eastAsia"/>
                <w:snapToGrid w:val="0"/>
                <w:color w:val="000000"/>
                <w:kern w:val="24"/>
                <w:sz w:val="21"/>
                <w:szCs w:val="20"/>
                <w:lang w:val="en-US" w:eastAsia="zh-CN" w:bidi="ar-SA"/>
              </w:rPr>
              <w:t>无组织排放废气</w:t>
            </w:r>
          </w:p>
        </w:tc>
        <w:tc>
          <w:tcPr>
            <w:tcW w:w="1254" w:type="dxa"/>
            <w:vAlign w:val="center"/>
          </w:tcPr>
          <w:p>
            <w:pPr>
              <w:pStyle w:val="87"/>
              <w:spacing w:line="300" w:lineRule="exact"/>
              <w:ind w:firstLine="0" w:firstLineChars="0"/>
              <w:rPr>
                <w:rFonts w:hint="default" w:ascii="Times New Roman" w:hAnsi="Times New Roman" w:eastAsia="宋体" w:cs="Times New Roman"/>
                <w:snapToGrid w:val="0"/>
                <w:color w:val="000000"/>
                <w:kern w:val="0"/>
                <w:sz w:val="21"/>
                <w:szCs w:val="20"/>
                <w:lang w:val="en-US" w:eastAsia="zh-CN" w:bidi="ar-SA"/>
              </w:rPr>
            </w:pPr>
            <w:r>
              <w:rPr>
                <w:rFonts w:hint="eastAsia" w:ascii="Times New Roman" w:hAnsi="Times New Roman" w:cs="Times New Roman"/>
                <w:color w:val="auto"/>
                <w:kern w:val="2"/>
                <w:szCs w:val="21"/>
                <w:lang w:val="en-US" w:eastAsia="zh-CN"/>
              </w:rPr>
              <w:t>场界Q1</w:t>
            </w:r>
          </w:p>
        </w:tc>
        <w:tc>
          <w:tcPr>
            <w:tcW w:w="1550" w:type="dxa"/>
            <w:vMerge w:val="restart"/>
            <w:vAlign w:val="center"/>
          </w:tcPr>
          <w:p>
            <w:pPr>
              <w:snapToGrid w:val="0"/>
              <w:jc w:val="center"/>
              <w:rPr>
                <w:rFonts w:ascii="Times New Roman" w:hAnsi="Times New Roman" w:eastAsia="宋体" w:cs="Times New Roman"/>
                <w:snapToGrid w:val="0"/>
                <w:color w:val="000000"/>
                <w:kern w:val="0"/>
                <w:sz w:val="21"/>
                <w:szCs w:val="20"/>
                <w:lang w:val="en-US" w:eastAsia="zh-CN" w:bidi="ar-SA"/>
              </w:rPr>
            </w:pPr>
            <w:r>
              <w:rPr>
                <w:rFonts w:hint="eastAsia"/>
                <w:snapToGrid w:val="0"/>
                <w:color w:val="000000"/>
                <w:kern w:val="24"/>
                <w:sz w:val="21"/>
                <w:szCs w:val="20"/>
                <w:lang w:val="en-US" w:eastAsia="zh-CN" w:bidi="ar-SA"/>
              </w:rPr>
              <w:t>非甲烷总烃</w:t>
            </w:r>
          </w:p>
        </w:tc>
        <w:tc>
          <w:tcPr>
            <w:tcW w:w="1533" w:type="dxa"/>
            <w:vMerge w:val="restart"/>
            <w:vAlign w:val="center"/>
          </w:tcPr>
          <w:p>
            <w:pPr>
              <w:pStyle w:val="42"/>
              <w:rPr>
                <w:rFonts w:ascii="Times New Roman" w:hAnsi="Times New Roman" w:eastAsia="宋体" w:cs="Times New Roman"/>
                <w:snapToGrid w:val="0"/>
                <w:color w:val="000000"/>
                <w:kern w:val="0"/>
                <w:sz w:val="21"/>
                <w:szCs w:val="20"/>
                <w:lang w:val="en-US" w:eastAsia="zh-CN" w:bidi="ar-SA"/>
              </w:rPr>
            </w:pPr>
            <w:r>
              <w:rPr>
                <w:rFonts w:hint="eastAsia"/>
                <w:snapToGrid w:val="0"/>
                <w:color w:val="000000"/>
                <w:kern w:val="24"/>
                <w:sz w:val="21"/>
                <w:szCs w:val="20"/>
                <w:lang w:val="en-US" w:eastAsia="zh-CN" w:bidi="ar-SA"/>
              </w:rPr>
              <w:t>连续2 天，每天监测3次</w:t>
            </w:r>
          </w:p>
        </w:tc>
        <w:tc>
          <w:tcPr>
            <w:tcW w:w="3470" w:type="dxa"/>
            <w:vAlign w:val="center"/>
          </w:tcPr>
          <w:p>
            <w:pPr>
              <w:pStyle w:val="87"/>
              <w:spacing w:line="260" w:lineRule="exac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场界外：《加油站大气污染物排放标准》</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auto"/>
                <w:sz w:val="21"/>
                <w:szCs w:val="21"/>
                <w:lang w:eastAsia="zh-CN"/>
              </w:rPr>
              <w:t>GB20952-2020</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auto"/>
                <w:sz w:val="21"/>
                <w:szCs w:val="21"/>
                <w:lang w:eastAsia="zh-CN"/>
              </w:rPr>
              <w:t>；</w:t>
            </w:r>
          </w:p>
          <w:p>
            <w:pPr>
              <w:pStyle w:val="87"/>
              <w:spacing w:line="260" w:lineRule="exact"/>
              <w:ind w:firstLine="0" w:firstLineChars="0"/>
              <w:rPr>
                <w:rFonts w:hint="eastAsia"/>
                <w:snapToGrid w:val="0"/>
                <w:color w:val="000000"/>
                <w:kern w:val="24"/>
                <w:sz w:val="21"/>
                <w:szCs w:val="20"/>
                <w:lang w:val="en-US" w:eastAsia="zh-CN" w:bidi="ar-SA"/>
              </w:rPr>
            </w:pPr>
            <w:r>
              <w:rPr>
                <w:rFonts w:hint="eastAsia" w:ascii="Times New Roman" w:hAnsi="Times New Roman" w:eastAsia="宋体" w:cs="Times New Roman"/>
                <w:color w:val="auto"/>
                <w:sz w:val="21"/>
                <w:szCs w:val="21"/>
                <w:lang w:eastAsia="zh-CN"/>
              </w:rPr>
              <w:t>非甲烷总烃≤4.0mg/m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trPr>
        <w:tc>
          <w:tcPr>
            <w:tcW w:w="1472" w:type="dxa"/>
            <w:vMerge w:val="continue"/>
            <w:vAlign w:val="center"/>
          </w:tcPr>
          <w:p>
            <w:pPr>
              <w:pStyle w:val="42"/>
              <w:rPr>
                <w:rFonts w:ascii="Times New Roman" w:hAnsi="Times New Roman" w:eastAsia="宋体" w:cs="Times New Roman"/>
                <w:snapToGrid w:val="0"/>
                <w:color w:val="000000"/>
                <w:kern w:val="0"/>
                <w:sz w:val="21"/>
                <w:szCs w:val="20"/>
                <w:lang w:val="en-US" w:eastAsia="zh-CN" w:bidi="ar-SA"/>
              </w:rPr>
            </w:pPr>
          </w:p>
        </w:tc>
        <w:tc>
          <w:tcPr>
            <w:tcW w:w="1254" w:type="dxa"/>
            <w:vAlign w:val="center"/>
          </w:tcPr>
          <w:p>
            <w:pPr>
              <w:adjustRightInd w:val="0"/>
              <w:snapToGrid w:val="0"/>
              <w:jc w:val="center"/>
              <w:rPr>
                <w:rFonts w:hint="default" w:ascii="Times New Roman" w:hAnsi="Times New Roman" w:eastAsia="宋体" w:cs="Times New Roman"/>
                <w:snapToGrid w:val="0"/>
                <w:color w:val="000000"/>
                <w:kern w:val="0"/>
                <w:sz w:val="21"/>
                <w:szCs w:val="20"/>
                <w:lang w:val="en-US" w:eastAsia="zh-CN" w:bidi="ar-SA"/>
              </w:rPr>
            </w:pPr>
            <w:r>
              <w:rPr>
                <w:rFonts w:hint="eastAsia" w:ascii="Times New Roman" w:hAnsi="Times New Roman" w:cs="Times New Roman"/>
                <w:color w:val="auto"/>
                <w:szCs w:val="21"/>
                <w:lang w:val="en-US" w:eastAsia="zh-CN"/>
              </w:rPr>
              <w:t>站区内Q2</w:t>
            </w:r>
          </w:p>
        </w:tc>
        <w:tc>
          <w:tcPr>
            <w:tcW w:w="1550" w:type="dxa"/>
            <w:vMerge w:val="continue"/>
            <w:vAlign w:val="center"/>
          </w:tcPr>
          <w:p>
            <w:pPr>
              <w:snapToGrid w:val="0"/>
              <w:jc w:val="center"/>
              <w:rPr>
                <w:rFonts w:hint="eastAsia" w:ascii="Times New Roman" w:hAnsi="Times New Roman" w:eastAsia="宋体" w:cs="Times New Roman"/>
                <w:snapToGrid w:val="0"/>
                <w:color w:val="000000"/>
                <w:kern w:val="0"/>
                <w:sz w:val="21"/>
                <w:szCs w:val="20"/>
                <w:lang w:val="en-US" w:eastAsia="zh-CN" w:bidi="ar-SA"/>
              </w:rPr>
            </w:pPr>
          </w:p>
        </w:tc>
        <w:tc>
          <w:tcPr>
            <w:tcW w:w="1533" w:type="dxa"/>
            <w:vMerge w:val="continue"/>
            <w:vAlign w:val="center"/>
          </w:tcPr>
          <w:p>
            <w:pPr>
              <w:pStyle w:val="42"/>
              <w:rPr>
                <w:rFonts w:hint="eastAsia" w:ascii="Times New Roman" w:hAnsi="Times New Roman" w:eastAsia="宋体" w:cs="Times New Roman"/>
                <w:snapToGrid w:val="0"/>
                <w:color w:val="000000"/>
                <w:kern w:val="0"/>
                <w:sz w:val="21"/>
                <w:szCs w:val="20"/>
                <w:lang w:val="en-US" w:eastAsia="zh-CN" w:bidi="ar-SA"/>
              </w:rPr>
            </w:pPr>
          </w:p>
        </w:tc>
        <w:tc>
          <w:tcPr>
            <w:tcW w:w="347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《挥发性有机物无组织排放控制标准》（GB 37822-2019）</w:t>
            </w:r>
          </w:p>
          <w:p>
            <w:pPr>
              <w:adjustRightInd w:val="0"/>
              <w:snapToGrid w:val="0"/>
              <w:jc w:val="center"/>
              <w:rPr>
                <w:rFonts w:hint="eastAsia" w:ascii="Times New Roman" w:hAnsi="Times New Roman" w:cs="Times New Roman"/>
                <w:color w:val="auto"/>
                <w:lang w:eastAsia="zh-CN"/>
              </w:rPr>
            </w:pPr>
            <w:r>
              <w:rPr>
                <w:rFonts w:hint="default" w:ascii="Times New Roman" w:hAnsi="Times New Roman" w:cs="Times New Roman"/>
                <w:color w:val="auto"/>
                <w:szCs w:val="21"/>
              </w:rPr>
              <w:t>非甲烷总烃≤</w:t>
            </w:r>
            <w:r>
              <w:rPr>
                <w:rFonts w:hint="eastAsia" w:ascii="Times New Roman" w:hAnsi="Times New Roman" w:cs="Times New Roman"/>
                <w:color w:val="auto"/>
                <w:szCs w:val="21"/>
                <w:lang w:val="en-US" w:eastAsia="zh-CN"/>
              </w:rPr>
              <w:t>10</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r>
              <w:rPr>
                <w:rFonts w:hint="eastAsia" w:ascii="Times New Roman" w:hAnsi="Times New Roman" w:cs="Times New Roman"/>
                <w:color w:val="auto"/>
                <w:lang w:eastAsia="zh-CN"/>
              </w:rPr>
              <w:t>（1h平均值）</w:t>
            </w:r>
          </w:p>
          <w:p>
            <w:pPr>
              <w:adjustRightInd w:val="0"/>
              <w:snapToGrid w:val="0"/>
              <w:jc w:val="center"/>
              <w:rPr>
                <w:rFonts w:hint="eastAsia" w:ascii="Times New Roman" w:hAnsi="Times New Roman" w:eastAsia="宋体" w:cs="Times New Roman"/>
                <w:snapToGrid w:val="0"/>
                <w:color w:val="000000"/>
                <w:kern w:val="0"/>
                <w:sz w:val="21"/>
                <w:szCs w:val="20"/>
                <w:lang w:val="en-US" w:eastAsia="zh-CN" w:bidi="ar-SA"/>
              </w:rPr>
            </w:pPr>
            <w:r>
              <w:rPr>
                <w:rFonts w:hint="default" w:ascii="Times New Roman" w:hAnsi="Times New Roman" w:cs="Times New Roman"/>
                <w:color w:val="auto"/>
                <w:szCs w:val="21"/>
              </w:rPr>
              <w:t>非甲烷总烃≤</w:t>
            </w:r>
            <w:r>
              <w:rPr>
                <w:rFonts w:hint="eastAsia" w:ascii="Times New Roman" w:hAnsi="Times New Roman" w:cs="Times New Roman"/>
                <w:color w:val="auto"/>
                <w:szCs w:val="21"/>
                <w:lang w:val="en-US" w:eastAsia="zh-CN"/>
              </w:rPr>
              <w:t>30</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任意一次</w:t>
            </w:r>
            <w:r>
              <w:rPr>
                <w:rFonts w:hint="eastAsia" w:ascii="Times New Roman" w:hAnsi="Times New Roman" w:cs="Times New Roman"/>
                <w:color w:val="auto"/>
                <w:lang w:eastAsia="zh-CN"/>
              </w:rPr>
              <w:t>值）</w:t>
            </w:r>
          </w:p>
        </w:tc>
      </w:tr>
    </w:tbl>
    <w:p>
      <w:pPr>
        <w:spacing w:line="540" w:lineRule="exact"/>
        <w:ind w:firstLine="548" w:firstLineChars="196"/>
        <w:rPr>
          <w:rFonts w:hAnsiTheme="minorEastAsia" w:eastAsiaTheme="minorEastAsia"/>
          <w:snapToGrid w:val="0"/>
          <w:kern w:val="24"/>
          <w:sz w:val="28"/>
          <w:szCs w:val="28"/>
        </w:rPr>
      </w:pPr>
    </w:p>
    <w:p>
      <w:pPr>
        <w:spacing w:line="540" w:lineRule="exact"/>
        <w:ind w:firstLine="548" w:firstLineChars="196"/>
        <w:rPr>
          <w:rFonts w:hAnsiTheme="minorEastAsia" w:eastAsiaTheme="minorEastAsia"/>
          <w:snapToGrid w:val="0"/>
          <w:kern w:val="24"/>
          <w:sz w:val="28"/>
          <w:szCs w:val="28"/>
        </w:rPr>
      </w:pPr>
    </w:p>
    <w:p>
      <w:pPr>
        <w:spacing w:line="240" w:lineRule="auto"/>
        <w:rPr>
          <w:rFonts w:hint="eastAsia" w:hAnsiTheme="minorEastAsia" w:eastAsiaTheme="minorEastAsia"/>
          <w:snapToGrid w:val="0"/>
          <w:kern w:val="24"/>
          <w:sz w:val="28"/>
          <w:szCs w:val="28"/>
          <w:lang w:eastAsia="zh-CN"/>
        </w:rPr>
      </w:pPr>
      <w:r>
        <w:rPr>
          <w:rFonts w:hAnsiTheme="minorEastAsia" w:eastAsiaTheme="minorEastAsia"/>
          <w:kern w:val="24"/>
          <w:sz w:val="28"/>
          <w:szCs w:val="28"/>
        </w:rPr>
        <w:pict>
          <v:shape id="_x0000_s2109" o:spid="_x0000_s2109" o:spt="202" type="#_x0000_t202" style="position:absolute;left:0pt;margin-left:30.8pt;margin-top:436pt;height:31.5pt;width:414.75pt;z-index:251664384;mso-width-relative:page;mso-height-relative:page;" filled="f" stroked="f" coordsize="21600,21600">
            <v:path/>
            <v:fill on="f" focussize="0,0"/>
            <v:stroke on="f" joinstyle="miter"/>
            <v:imagedata o:title=""/>
            <o:lock v:ext="edit"/>
            <v:textbox>
              <w:txbxContent>
                <w:p>
                  <w:pPr>
                    <w:jc w:val="center"/>
                    <w:rPr>
                      <w:rFonts w:hAnsiTheme="minorEastAsia" w:eastAsiaTheme="minorEastAsia"/>
                      <w:sz w:val="24"/>
                      <w:szCs w:val="24"/>
                    </w:rPr>
                  </w:pPr>
                  <w:r>
                    <w:rPr>
                      <w:rFonts w:hAnsiTheme="minorEastAsia" w:eastAsiaTheme="minorEastAsia"/>
                      <w:b/>
                      <w:bCs/>
                      <w:sz w:val="24"/>
                      <w:szCs w:val="24"/>
                    </w:rPr>
                    <w:t>图</w:t>
                  </w:r>
                  <w:r>
                    <w:rPr>
                      <w:rFonts w:hint="eastAsia" w:hAnsiTheme="minorEastAsia" w:eastAsiaTheme="minorEastAsia"/>
                      <w:b/>
                      <w:bCs/>
                      <w:sz w:val="24"/>
                      <w:szCs w:val="24"/>
                    </w:rPr>
                    <w:t>7-2</w:t>
                  </w:r>
                  <w:r>
                    <w:rPr>
                      <w:rFonts w:hAnsiTheme="minorEastAsia" w:eastAsiaTheme="minorEastAsia"/>
                      <w:b/>
                      <w:bCs/>
                      <w:sz w:val="24"/>
                      <w:szCs w:val="24"/>
                    </w:rPr>
                    <w:t xml:space="preserve">  无组织排放废气、厂界噪声监测点位示意图</w:t>
                  </w:r>
                </w:p>
              </w:txbxContent>
            </v:textbox>
          </v:shape>
        </w:pict>
      </w:r>
      <w:r>
        <w:drawing>
          <wp:inline distT="0" distB="0" distL="114300" distR="114300">
            <wp:extent cx="5755005" cy="5472430"/>
            <wp:effectExtent l="0" t="0" r="1714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755005" cy="5472430"/>
                    </a:xfrm>
                    <a:prstGeom prst="rect">
                      <a:avLst/>
                    </a:prstGeom>
                    <a:noFill/>
                    <a:ln>
                      <a:noFill/>
                    </a:ln>
                  </pic:spPr>
                </pic:pic>
              </a:graphicData>
            </a:graphic>
          </wp:inline>
        </w:drawing>
      </w:r>
    </w:p>
    <w:p>
      <w:pPr>
        <w:spacing w:line="540" w:lineRule="exact"/>
        <w:rPr>
          <w:rFonts w:hAnsiTheme="minorEastAsia" w:eastAsiaTheme="minorEastAsia"/>
          <w:snapToGrid w:val="0"/>
          <w:kern w:val="24"/>
          <w:sz w:val="28"/>
          <w:szCs w:val="28"/>
        </w:rPr>
      </w:pPr>
    </w:p>
    <w:p>
      <w:pPr>
        <w:pStyle w:val="62"/>
        <w:rPr>
          <w:rFonts w:hint="eastAsia" w:eastAsia="宋体" w:cs="Times New Roman"/>
          <w:sz w:val="32"/>
          <w:lang w:eastAsia="zh-CN"/>
        </w:rPr>
      </w:pPr>
      <w:bookmarkStart w:id="141" w:name="_Toc832"/>
      <w:r>
        <w:rPr>
          <w:rFonts w:hint="eastAsia" w:cs="Times New Roman"/>
          <w:sz w:val="32"/>
        </w:rPr>
        <w:t>7</w:t>
      </w:r>
      <w:r>
        <w:rPr>
          <w:rFonts w:cs="Times New Roman"/>
          <w:sz w:val="32"/>
        </w:rPr>
        <w:t>.</w:t>
      </w:r>
      <w:r>
        <w:rPr>
          <w:rFonts w:hint="eastAsia" w:cs="Times New Roman"/>
          <w:sz w:val="32"/>
        </w:rPr>
        <w:t>3</w:t>
      </w:r>
      <w:r>
        <w:rPr>
          <w:rFonts w:cs="Times New Roman"/>
          <w:sz w:val="32"/>
        </w:rPr>
        <w:t>噪</w:t>
      </w:r>
      <w:r>
        <w:rPr>
          <w:rFonts w:hint="eastAsia" w:cs="Times New Roman"/>
          <w:sz w:val="32"/>
          <w:lang w:eastAsia="zh-CN"/>
        </w:rPr>
        <w:t>声</w:t>
      </w:r>
      <w:bookmarkEnd w:id="141"/>
    </w:p>
    <w:p>
      <w:pPr>
        <w:spacing w:line="540" w:lineRule="exact"/>
        <w:ind w:firstLine="463" w:firstLineChars="192"/>
        <w:jc w:val="center"/>
        <w:rPr>
          <w:rFonts w:hAnsiTheme="minorEastAsia" w:eastAsiaTheme="minorEastAsia"/>
          <w:b/>
          <w:sz w:val="24"/>
          <w:szCs w:val="24"/>
        </w:rPr>
      </w:pPr>
      <w:r>
        <w:rPr>
          <w:rFonts w:hAnsiTheme="minorEastAsia" w:eastAsiaTheme="minorEastAsia"/>
          <w:b/>
          <w:sz w:val="24"/>
          <w:szCs w:val="24"/>
        </w:rPr>
        <w:t>表</w:t>
      </w:r>
      <w:r>
        <w:rPr>
          <w:rFonts w:hint="eastAsia" w:eastAsiaTheme="minorEastAsia"/>
          <w:b/>
          <w:sz w:val="24"/>
          <w:szCs w:val="24"/>
        </w:rPr>
        <w:t>7</w:t>
      </w:r>
      <w:r>
        <w:rPr>
          <w:rFonts w:eastAsiaTheme="minorEastAsia"/>
          <w:b/>
          <w:sz w:val="24"/>
          <w:szCs w:val="24"/>
        </w:rPr>
        <w:t>-</w:t>
      </w:r>
      <w:r>
        <w:rPr>
          <w:rFonts w:hint="eastAsia" w:eastAsiaTheme="minorEastAsia"/>
          <w:b/>
          <w:sz w:val="24"/>
          <w:szCs w:val="24"/>
        </w:rPr>
        <w:t>3</w:t>
      </w:r>
      <w:r>
        <w:rPr>
          <w:rFonts w:hAnsiTheme="minorEastAsia" w:eastAsiaTheme="minorEastAsia"/>
          <w:b/>
          <w:sz w:val="24"/>
          <w:szCs w:val="24"/>
        </w:rPr>
        <w:t>噪声监测表</w:t>
      </w:r>
    </w:p>
    <w:tbl>
      <w:tblPr>
        <w:tblStyle w:val="2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8"/>
        <w:gridCol w:w="1817"/>
        <w:gridCol w:w="2617"/>
        <w:gridCol w:w="2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01" w:type="pct"/>
            <w:vAlign w:val="center"/>
          </w:tcPr>
          <w:p>
            <w:pPr>
              <w:pStyle w:val="42"/>
              <w:spacing w:line="240" w:lineRule="auto"/>
              <w:jc w:val="center"/>
              <w:rPr>
                <w:rFonts w:ascii="Times New Roman" w:hAnsi="Times New Roman" w:eastAsia="宋体" w:cs="Times New Roman"/>
                <w:snapToGrid w:val="0"/>
                <w:color w:val="000000"/>
                <w:kern w:val="0"/>
                <w:sz w:val="21"/>
                <w:szCs w:val="20"/>
                <w:lang w:val="en-US" w:eastAsia="zh-CN" w:bidi="ar-SA"/>
              </w:rPr>
            </w:pPr>
            <w:r>
              <w:rPr>
                <w:rFonts w:ascii="Times New Roman" w:hAnsi="Times New Roman" w:eastAsia="宋体" w:cs="Times New Roman"/>
                <w:snapToGrid w:val="0"/>
                <w:color w:val="000000"/>
                <w:kern w:val="0"/>
                <w:sz w:val="21"/>
                <w:szCs w:val="20"/>
                <w:lang w:val="en-US" w:eastAsia="zh-CN" w:bidi="ar-SA"/>
              </w:rPr>
              <w:t>监测类别</w:t>
            </w:r>
          </w:p>
        </w:tc>
        <w:tc>
          <w:tcPr>
            <w:tcW w:w="979" w:type="pct"/>
            <w:vAlign w:val="center"/>
          </w:tcPr>
          <w:p>
            <w:pPr>
              <w:pStyle w:val="42"/>
              <w:spacing w:line="240" w:lineRule="auto"/>
              <w:jc w:val="center"/>
              <w:rPr>
                <w:rFonts w:ascii="Times New Roman" w:hAnsi="Times New Roman" w:eastAsia="宋体" w:cs="Times New Roman"/>
                <w:snapToGrid w:val="0"/>
                <w:color w:val="000000"/>
                <w:kern w:val="0"/>
                <w:sz w:val="21"/>
                <w:szCs w:val="20"/>
                <w:lang w:val="en-US" w:eastAsia="zh-CN" w:bidi="ar-SA"/>
              </w:rPr>
            </w:pPr>
            <w:r>
              <w:rPr>
                <w:rFonts w:ascii="Times New Roman" w:hAnsi="Times New Roman" w:eastAsia="宋体" w:cs="Times New Roman"/>
                <w:snapToGrid w:val="0"/>
                <w:color w:val="000000"/>
                <w:kern w:val="0"/>
                <w:sz w:val="21"/>
                <w:szCs w:val="20"/>
                <w:lang w:val="en-US" w:eastAsia="zh-CN" w:bidi="ar-SA"/>
              </w:rPr>
              <w:t>采样点编号</w:t>
            </w:r>
          </w:p>
        </w:tc>
        <w:tc>
          <w:tcPr>
            <w:tcW w:w="1410" w:type="pct"/>
            <w:vAlign w:val="center"/>
          </w:tcPr>
          <w:p>
            <w:pPr>
              <w:pStyle w:val="42"/>
              <w:spacing w:line="240" w:lineRule="auto"/>
              <w:jc w:val="center"/>
              <w:rPr>
                <w:rFonts w:ascii="Times New Roman" w:hAnsi="Times New Roman" w:eastAsia="宋体" w:cs="Times New Roman"/>
                <w:snapToGrid w:val="0"/>
                <w:color w:val="000000"/>
                <w:kern w:val="0"/>
                <w:sz w:val="21"/>
                <w:szCs w:val="20"/>
                <w:lang w:val="en-US" w:eastAsia="zh-CN" w:bidi="ar-SA"/>
              </w:rPr>
            </w:pPr>
            <w:r>
              <w:rPr>
                <w:rFonts w:ascii="Times New Roman" w:hAnsi="Times New Roman" w:eastAsia="宋体" w:cs="Times New Roman"/>
                <w:snapToGrid w:val="0"/>
                <w:color w:val="000000"/>
                <w:kern w:val="0"/>
                <w:sz w:val="21"/>
                <w:szCs w:val="20"/>
                <w:lang w:val="en-US" w:eastAsia="zh-CN" w:bidi="ar-SA"/>
              </w:rPr>
              <w:t>监测项目</w:t>
            </w:r>
          </w:p>
        </w:tc>
        <w:tc>
          <w:tcPr>
            <w:tcW w:w="1609" w:type="pct"/>
            <w:vAlign w:val="center"/>
          </w:tcPr>
          <w:p>
            <w:pPr>
              <w:pStyle w:val="42"/>
              <w:spacing w:line="240" w:lineRule="auto"/>
              <w:jc w:val="center"/>
              <w:rPr>
                <w:rFonts w:ascii="Times New Roman" w:hAnsi="Times New Roman" w:eastAsia="宋体" w:cs="Times New Roman"/>
                <w:snapToGrid w:val="0"/>
                <w:color w:val="000000"/>
                <w:kern w:val="0"/>
                <w:sz w:val="21"/>
                <w:szCs w:val="20"/>
                <w:lang w:val="en-US" w:eastAsia="zh-CN" w:bidi="ar-SA"/>
              </w:rPr>
            </w:pPr>
            <w:r>
              <w:rPr>
                <w:rFonts w:ascii="Times New Roman" w:hAnsi="Times New Roman" w:eastAsia="宋体" w:cs="Times New Roman"/>
                <w:snapToGrid w:val="0"/>
                <w:color w:val="000000"/>
                <w:kern w:val="0"/>
                <w:sz w:val="21"/>
                <w:szCs w:val="20"/>
                <w:lang w:val="en-US" w:eastAsia="zh-CN" w:bidi="ar-S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01" w:type="pct"/>
            <w:vMerge w:val="restart"/>
            <w:vAlign w:val="center"/>
          </w:tcPr>
          <w:p>
            <w:pPr>
              <w:pStyle w:val="42"/>
              <w:spacing w:line="240" w:lineRule="auto"/>
              <w:jc w:val="center"/>
              <w:rPr>
                <w:rFonts w:ascii="Times New Roman" w:hAnsi="Times New Roman" w:eastAsia="宋体" w:cs="Times New Roman"/>
                <w:snapToGrid w:val="0"/>
                <w:color w:val="000000"/>
                <w:kern w:val="0"/>
                <w:sz w:val="21"/>
                <w:szCs w:val="20"/>
                <w:lang w:val="en-US" w:eastAsia="zh-CN" w:bidi="ar-SA"/>
              </w:rPr>
            </w:pPr>
            <w:r>
              <w:rPr>
                <w:rFonts w:hint="eastAsia" w:ascii="Times New Roman" w:hAnsi="Times New Roman" w:eastAsia="宋体" w:cs="Times New Roman"/>
                <w:snapToGrid w:val="0"/>
                <w:color w:val="000000"/>
                <w:kern w:val="0"/>
                <w:sz w:val="21"/>
                <w:szCs w:val="20"/>
                <w:lang w:val="en-US" w:eastAsia="zh-CN" w:bidi="ar-SA"/>
              </w:rPr>
              <w:t>厂界</w:t>
            </w:r>
            <w:r>
              <w:rPr>
                <w:rFonts w:ascii="Times New Roman" w:hAnsi="Times New Roman" w:eastAsia="宋体" w:cs="Times New Roman"/>
                <w:snapToGrid w:val="0"/>
                <w:color w:val="000000"/>
                <w:kern w:val="0"/>
                <w:sz w:val="21"/>
                <w:szCs w:val="20"/>
                <w:lang w:val="en-US" w:eastAsia="zh-CN" w:bidi="ar-SA"/>
              </w:rPr>
              <w:t>噪声</w:t>
            </w:r>
          </w:p>
        </w:tc>
        <w:tc>
          <w:tcPr>
            <w:tcW w:w="979" w:type="pct"/>
            <w:vAlign w:val="center"/>
          </w:tcPr>
          <w:p>
            <w:pPr>
              <w:pStyle w:val="42"/>
              <w:spacing w:line="240" w:lineRule="auto"/>
              <w:jc w:val="center"/>
              <w:rPr>
                <w:rFonts w:ascii="Times New Roman" w:hAnsi="Times New Roman" w:eastAsia="宋体" w:cs="Times New Roman"/>
                <w:snapToGrid w:val="0"/>
                <w:color w:val="000000"/>
                <w:kern w:val="0"/>
                <w:sz w:val="21"/>
                <w:szCs w:val="20"/>
                <w:lang w:val="en-US" w:eastAsia="zh-CN" w:bidi="ar-SA"/>
              </w:rPr>
            </w:pPr>
            <w:r>
              <w:rPr>
                <w:rFonts w:hint="eastAsia" w:cs="Times New Roman"/>
                <w:snapToGrid w:val="0"/>
                <w:color w:val="000000"/>
                <w:kern w:val="0"/>
                <w:sz w:val="21"/>
                <w:szCs w:val="20"/>
                <w:lang w:val="en-US" w:eastAsia="zh-CN" w:bidi="ar-SA"/>
              </w:rPr>
              <w:t>Z</w:t>
            </w:r>
            <w:r>
              <w:rPr>
                <w:rFonts w:hint="eastAsia" w:ascii="Times New Roman" w:hAnsi="Times New Roman" w:eastAsia="宋体" w:cs="Times New Roman"/>
                <w:snapToGrid w:val="0"/>
                <w:color w:val="000000"/>
                <w:kern w:val="0"/>
                <w:sz w:val="21"/>
                <w:szCs w:val="20"/>
                <w:lang w:val="en-US" w:eastAsia="zh-CN" w:bidi="ar-SA"/>
              </w:rPr>
              <w:t>1厂区东面</w:t>
            </w:r>
          </w:p>
        </w:tc>
        <w:tc>
          <w:tcPr>
            <w:tcW w:w="1410" w:type="pct"/>
            <w:vMerge w:val="restart"/>
            <w:vAlign w:val="center"/>
          </w:tcPr>
          <w:p>
            <w:pPr>
              <w:pStyle w:val="42"/>
              <w:spacing w:line="240" w:lineRule="auto"/>
              <w:jc w:val="center"/>
              <w:rPr>
                <w:rFonts w:ascii="Times New Roman" w:hAnsi="Times New Roman" w:eastAsia="宋体" w:cs="Times New Roman"/>
                <w:snapToGrid w:val="0"/>
                <w:color w:val="000000"/>
                <w:kern w:val="0"/>
                <w:sz w:val="21"/>
                <w:szCs w:val="20"/>
                <w:lang w:val="en-US" w:eastAsia="zh-CN" w:bidi="ar-SA"/>
              </w:rPr>
            </w:pPr>
            <w:r>
              <w:rPr>
                <w:rFonts w:hint="eastAsia" w:ascii="Times New Roman" w:hAnsi="Times New Roman" w:eastAsia="宋体" w:cs="Times New Roman"/>
                <w:snapToGrid w:val="0"/>
                <w:color w:val="000000"/>
                <w:kern w:val="0"/>
                <w:sz w:val="21"/>
                <w:szCs w:val="20"/>
                <w:lang w:val="en-US" w:eastAsia="zh-CN" w:bidi="ar-SA"/>
              </w:rPr>
              <w:t>连续监测</w:t>
            </w:r>
            <w:r>
              <w:rPr>
                <w:rFonts w:ascii="Times New Roman" w:hAnsi="Times New Roman" w:eastAsia="宋体" w:cs="Times New Roman"/>
                <w:snapToGrid w:val="0"/>
                <w:color w:val="000000"/>
                <w:kern w:val="0"/>
                <w:sz w:val="21"/>
                <w:szCs w:val="20"/>
                <w:lang w:val="en-US" w:eastAsia="zh-CN" w:bidi="ar-SA"/>
              </w:rPr>
              <w:t>2天，</w:t>
            </w:r>
            <w:r>
              <w:rPr>
                <w:rFonts w:hint="eastAsia" w:ascii="Times New Roman" w:hAnsi="Times New Roman" w:eastAsia="宋体" w:cs="Times New Roman"/>
                <w:snapToGrid w:val="0"/>
                <w:color w:val="000000"/>
                <w:kern w:val="0"/>
                <w:sz w:val="21"/>
                <w:szCs w:val="20"/>
                <w:lang w:val="en-US" w:eastAsia="zh-CN" w:bidi="ar-SA"/>
              </w:rPr>
              <w:t>每天</w:t>
            </w:r>
            <w:r>
              <w:rPr>
                <w:rFonts w:ascii="Times New Roman" w:hAnsi="Times New Roman" w:eastAsia="宋体" w:cs="Times New Roman"/>
                <w:snapToGrid w:val="0"/>
                <w:color w:val="000000"/>
                <w:kern w:val="0"/>
                <w:sz w:val="21"/>
                <w:szCs w:val="20"/>
                <w:lang w:val="en-US" w:eastAsia="zh-CN" w:bidi="ar-SA"/>
              </w:rPr>
              <w:t>昼、夜各</w:t>
            </w:r>
            <w:r>
              <w:rPr>
                <w:rFonts w:hint="eastAsia" w:ascii="Times New Roman" w:hAnsi="Times New Roman" w:eastAsia="宋体" w:cs="Times New Roman"/>
                <w:snapToGrid w:val="0"/>
                <w:color w:val="000000"/>
                <w:kern w:val="0"/>
                <w:sz w:val="21"/>
                <w:szCs w:val="20"/>
                <w:lang w:val="en-US" w:eastAsia="zh-CN" w:bidi="ar-SA"/>
              </w:rPr>
              <w:t>1</w:t>
            </w:r>
            <w:r>
              <w:rPr>
                <w:rFonts w:ascii="Times New Roman" w:hAnsi="Times New Roman" w:eastAsia="宋体" w:cs="Times New Roman"/>
                <w:snapToGrid w:val="0"/>
                <w:color w:val="000000"/>
                <w:kern w:val="0"/>
                <w:sz w:val="21"/>
                <w:szCs w:val="20"/>
                <w:lang w:val="en-US" w:eastAsia="zh-CN" w:bidi="ar-SA"/>
              </w:rPr>
              <w:t>次</w:t>
            </w:r>
          </w:p>
        </w:tc>
        <w:tc>
          <w:tcPr>
            <w:tcW w:w="1609" w:type="pct"/>
            <w:vMerge w:val="restart"/>
            <w:vAlign w:val="center"/>
          </w:tcPr>
          <w:p>
            <w:pPr>
              <w:pStyle w:val="42"/>
              <w:spacing w:line="240" w:lineRule="auto"/>
              <w:jc w:val="center"/>
              <w:rPr>
                <w:rFonts w:ascii="Times New Roman" w:hAnsi="Times New Roman" w:eastAsia="宋体" w:cs="Times New Roman"/>
                <w:snapToGrid w:val="0"/>
                <w:color w:val="000000"/>
                <w:kern w:val="0"/>
                <w:sz w:val="21"/>
                <w:szCs w:val="20"/>
                <w:lang w:val="en-US" w:eastAsia="zh-CN" w:bidi="ar-SA"/>
              </w:rPr>
            </w:pPr>
            <w:r>
              <w:rPr>
                <w:rFonts w:ascii="Times New Roman" w:hAnsi="Times New Roman" w:eastAsia="宋体" w:cs="Times New Roman"/>
                <w:snapToGrid w:val="0"/>
                <w:color w:val="000000"/>
                <w:kern w:val="0"/>
                <w:sz w:val="21"/>
                <w:szCs w:val="20"/>
                <w:lang w:val="en-US" w:eastAsia="zh-CN" w:bidi="ar-SA"/>
              </w:rPr>
              <w:t>《工业企业厂界环境噪声排放标准》（GB12348-2008）</w:t>
            </w:r>
            <w:r>
              <w:rPr>
                <w:rFonts w:hint="eastAsia" w:cs="Times New Roman"/>
                <w:snapToGrid w:val="0"/>
                <w:color w:val="000000"/>
                <w:kern w:val="0"/>
                <w:sz w:val="21"/>
                <w:szCs w:val="20"/>
                <w:lang w:val="en-US" w:eastAsia="zh-CN" w:bidi="ar-SA"/>
              </w:rPr>
              <w:t>1</w:t>
            </w:r>
            <w:r>
              <w:rPr>
                <w:rFonts w:ascii="Times New Roman" w:hAnsi="Times New Roman" w:eastAsia="宋体" w:cs="Times New Roman"/>
                <w:snapToGrid w:val="0"/>
                <w:color w:val="000000"/>
                <w:kern w:val="0"/>
                <w:sz w:val="21"/>
                <w:szCs w:val="20"/>
                <w:lang w:val="en-US" w:eastAsia="zh-CN" w:bidi="ar-SA"/>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01" w:type="pct"/>
            <w:vMerge w:val="continue"/>
            <w:vAlign w:val="center"/>
          </w:tcPr>
          <w:p>
            <w:pPr>
              <w:pStyle w:val="42"/>
              <w:spacing w:line="240" w:lineRule="exact"/>
              <w:rPr>
                <w:snapToGrid w:val="0"/>
                <w:kern w:val="0"/>
              </w:rPr>
            </w:pPr>
          </w:p>
        </w:tc>
        <w:tc>
          <w:tcPr>
            <w:tcW w:w="979" w:type="pct"/>
            <w:vAlign w:val="center"/>
          </w:tcPr>
          <w:p>
            <w:pPr>
              <w:pStyle w:val="42"/>
              <w:spacing w:line="240" w:lineRule="auto"/>
              <w:jc w:val="center"/>
              <w:rPr>
                <w:rFonts w:hint="eastAsia" w:ascii="Times New Roman" w:hAnsi="Times New Roman" w:eastAsia="宋体" w:cs="Times New Roman"/>
                <w:snapToGrid w:val="0"/>
                <w:color w:val="000000"/>
                <w:kern w:val="0"/>
                <w:sz w:val="21"/>
                <w:szCs w:val="20"/>
                <w:lang w:val="en-US" w:eastAsia="zh-CN" w:bidi="ar-SA"/>
              </w:rPr>
            </w:pPr>
            <w:r>
              <w:rPr>
                <w:rFonts w:hint="eastAsia" w:cs="Times New Roman"/>
                <w:snapToGrid w:val="0"/>
                <w:color w:val="000000"/>
                <w:kern w:val="0"/>
                <w:sz w:val="21"/>
                <w:szCs w:val="20"/>
                <w:lang w:val="en-US" w:eastAsia="zh-CN" w:bidi="ar-SA"/>
              </w:rPr>
              <w:t>Z</w:t>
            </w:r>
            <w:r>
              <w:rPr>
                <w:rFonts w:hint="eastAsia" w:ascii="Times New Roman" w:hAnsi="Times New Roman" w:eastAsia="宋体" w:cs="Times New Roman"/>
                <w:snapToGrid w:val="0"/>
                <w:color w:val="000000"/>
                <w:kern w:val="0"/>
                <w:sz w:val="21"/>
                <w:szCs w:val="20"/>
                <w:lang w:val="en-US" w:eastAsia="zh-CN" w:bidi="ar-SA"/>
              </w:rPr>
              <w:t>2厂区南面</w:t>
            </w:r>
          </w:p>
        </w:tc>
        <w:tc>
          <w:tcPr>
            <w:tcW w:w="1410" w:type="pct"/>
            <w:vMerge w:val="continue"/>
            <w:vAlign w:val="center"/>
          </w:tcPr>
          <w:p>
            <w:pPr>
              <w:pStyle w:val="42"/>
              <w:spacing w:line="240" w:lineRule="exact"/>
              <w:rPr>
                <w:snapToGrid w:val="0"/>
                <w:kern w:val="0"/>
              </w:rPr>
            </w:pPr>
          </w:p>
        </w:tc>
        <w:tc>
          <w:tcPr>
            <w:tcW w:w="1609" w:type="pct"/>
            <w:vMerge w:val="continue"/>
            <w:vAlign w:val="center"/>
          </w:tcPr>
          <w:p>
            <w:pPr>
              <w:pStyle w:val="42"/>
              <w:rPr>
                <w:snapToGrid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01" w:type="pct"/>
            <w:vMerge w:val="continue"/>
            <w:vAlign w:val="center"/>
          </w:tcPr>
          <w:p>
            <w:pPr>
              <w:pStyle w:val="42"/>
              <w:spacing w:line="240" w:lineRule="exact"/>
              <w:rPr>
                <w:snapToGrid w:val="0"/>
                <w:kern w:val="0"/>
              </w:rPr>
            </w:pPr>
          </w:p>
        </w:tc>
        <w:tc>
          <w:tcPr>
            <w:tcW w:w="979" w:type="pct"/>
            <w:vAlign w:val="center"/>
          </w:tcPr>
          <w:p>
            <w:pPr>
              <w:pStyle w:val="42"/>
              <w:spacing w:line="240" w:lineRule="auto"/>
              <w:jc w:val="center"/>
              <w:rPr>
                <w:rFonts w:hint="eastAsia" w:ascii="Times New Roman" w:hAnsi="Times New Roman" w:eastAsia="宋体" w:cs="Times New Roman"/>
                <w:snapToGrid w:val="0"/>
                <w:color w:val="000000"/>
                <w:kern w:val="0"/>
                <w:sz w:val="21"/>
                <w:szCs w:val="20"/>
                <w:lang w:val="en-US" w:eastAsia="zh-CN" w:bidi="ar-SA"/>
              </w:rPr>
            </w:pPr>
            <w:r>
              <w:rPr>
                <w:rFonts w:hint="eastAsia" w:cs="Times New Roman"/>
                <w:snapToGrid w:val="0"/>
                <w:color w:val="000000"/>
                <w:kern w:val="0"/>
                <w:sz w:val="21"/>
                <w:szCs w:val="20"/>
                <w:lang w:val="en-US" w:eastAsia="zh-CN" w:bidi="ar-SA"/>
              </w:rPr>
              <w:t>Z</w:t>
            </w:r>
            <w:r>
              <w:rPr>
                <w:rFonts w:hint="eastAsia" w:ascii="Times New Roman" w:hAnsi="Times New Roman" w:eastAsia="宋体" w:cs="Times New Roman"/>
                <w:snapToGrid w:val="0"/>
                <w:color w:val="000000"/>
                <w:kern w:val="0"/>
                <w:sz w:val="21"/>
                <w:szCs w:val="20"/>
                <w:lang w:val="en-US" w:eastAsia="zh-CN" w:bidi="ar-SA"/>
              </w:rPr>
              <w:t>3厂区西面</w:t>
            </w:r>
          </w:p>
        </w:tc>
        <w:tc>
          <w:tcPr>
            <w:tcW w:w="1410" w:type="pct"/>
            <w:vMerge w:val="continue"/>
            <w:vAlign w:val="center"/>
          </w:tcPr>
          <w:p>
            <w:pPr>
              <w:pStyle w:val="42"/>
              <w:spacing w:line="240" w:lineRule="exact"/>
              <w:rPr>
                <w:snapToGrid w:val="0"/>
                <w:kern w:val="0"/>
              </w:rPr>
            </w:pPr>
          </w:p>
        </w:tc>
        <w:tc>
          <w:tcPr>
            <w:tcW w:w="1609" w:type="pct"/>
            <w:vMerge w:val="continue"/>
            <w:vAlign w:val="center"/>
          </w:tcPr>
          <w:p>
            <w:pPr>
              <w:pStyle w:val="42"/>
              <w:rPr>
                <w:snapToGrid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01" w:type="pct"/>
            <w:vMerge w:val="continue"/>
            <w:vAlign w:val="center"/>
          </w:tcPr>
          <w:p>
            <w:pPr>
              <w:pStyle w:val="42"/>
              <w:spacing w:line="240" w:lineRule="exact"/>
              <w:rPr>
                <w:snapToGrid w:val="0"/>
                <w:kern w:val="0"/>
              </w:rPr>
            </w:pPr>
          </w:p>
        </w:tc>
        <w:tc>
          <w:tcPr>
            <w:tcW w:w="979" w:type="pct"/>
            <w:vAlign w:val="center"/>
          </w:tcPr>
          <w:p>
            <w:pPr>
              <w:pStyle w:val="42"/>
              <w:spacing w:line="240" w:lineRule="auto"/>
              <w:jc w:val="center"/>
              <w:rPr>
                <w:rFonts w:hint="eastAsia" w:ascii="Times New Roman" w:hAnsi="Times New Roman" w:eastAsia="宋体" w:cs="Times New Roman"/>
                <w:snapToGrid w:val="0"/>
                <w:color w:val="000000"/>
                <w:kern w:val="0"/>
                <w:sz w:val="21"/>
                <w:szCs w:val="20"/>
                <w:lang w:val="en-US" w:eastAsia="zh-CN" w:bidi="ar-SA"/>
              </w:rPr>
            </w:pPr>
            <w:r>
              <w:rPr>
                <w:rFonts w:hint="eastAsia" w:cs="Times New Roman"/>
                <w:snapToGrid w:val="0"/>
                <w:color w:val="000000"/>
                <w:kern w:val="0"/>
                <w:sz w:val="21"/>
                <w:szCs w:val="20"/>
                <w:lang w:val="en-US" w:eastAsia="zh-CN" w:bidi="ar-SA"/>
              </w:rPr>
              <w:t>Z</w:t>
            </w:r>
            <w:r>
              <w:rPr>
                <w:rFonts w:hint="eastAsia" w:ascii="Times New Roman" w:hAnsi="Times New Roman" w:eastAsia="宋体" w:cs="Times New Roman"/>
                <w:snapToGrid w:val="0"/>
                <w:color w:val="000000"/>
                <w:kern w:val="0"/>
                <w:sz w:val="21"/>
                <w:szCs w:val="20"/>
                <w:lang w:val="en-US" w:eastAsia="zh-CN" w:bidi="ar-SA"/>
              </w:rPr>
              <w:t>4厂</w:t>
            </w:r>
            <w:r>
              <w:rPr>
                <w:rFonts w:hint="eastAsia" w:cs="Times New Roman"/>
                <w:snapToGrid w:val="0"/>
                <w:color w:val="000000"/>
                <w:kern w:val="0"/>
                <w:sz w:val="21"/>
                <w:szCs w:val="20"/>
                <w:lang w:val="en-US" w:eastAsia="zh-CN" w:bidi="ar-SA"/>
              </w:rPr>
              <w:t>区</w:t>
            </w:r>
            <w:r>
              <w:rPr>
                <w:rFonts w:hint="eastAsia" w:ascii="Times New Roman" w:hAnsi="Times New Roman" w:eastAsia="宋体" w:cs="Times New Roman"/>
                <w:snapToGrid w:val="0"/>
                <w:color w:val="000000"/>
                <w:kern w:val="0"/>
                <w:sz w:val="21"/>
                <w:szCs w:val="20"/>
                <w:lang w:val="en-US" w:eastAsia="zh-CN" w:bidi="ar-SA"/>
              </w:rPr>
              <w:t>北面</w:t>
            </w:r>
          </w:p>
        </w:tc>
        <w:tc>
          <w:tcPr>
            <w:tcW w:w="1410" w:type="pct"/>
            <w:vMerge w:val="continue"/>
            <w:vAlign w:val="center"/>
          </w:tcPr>
          <w:p>
            <w:pPr>
              <w:pStyle w:val="42"/>
              <w:spacing w:line="240" w:lineRule="exact"/>
              <w:rPr>
                <w:snapToGrid w:val="0"/>
                <w:kern w:val="0"/>
              </w:rPr>
            </w:pPr>
          </w:p>
        </w:tc>
        <w:tc>
          <w:tcPr>
            <w:tcW w:w="1609" w:type="pct"/>
            <w:vMerge w:val="continue"/>
            <w:vAlign w:val="center"/>
          </w:tcPr>
          <w:p>
            <w:pPr>
              <w:pStyle w:val="42"/>
              <w:rPr>
                <w:snapToGrid w:val="0"/>
                <w:kern w:val="0"/>
              </w:rPr>
            </w:pPr>
          </w:p>
        </w:tc>
      </w:tr>
    </w:tbl>
    <w:p>
      <w:pPr>
        <w:widowControl/>
        <w:jc w:val="left"/>
        <w:rPr>
          <w:rFonts w:eastAsiaTheme="minorEastAsia"/>
          <w:kern w:val="0"/>
          <w:sz w:val="24"/>
        </w:rPr>
      </w:pPr>
    </w:p>
    <w:p>
      <w:pPr>
        <w:widowControl/>
        <w:jc w:val="left"/>
        <w:rPr>
          <w:rFonts w:eastAsiaTheme="minorEastAsia"/>
          <w:sz w:val="28"/>
          <w:szCs w:val="28"/>
        </w:rPr>
      </w:pPr>
      <w:r>
        <w:rPr>
          <w:rFonts w:eastAsiaTheme="minorEastAsia"/>
          <w:kern w:val="0"/>
          <w:sz w:val="24"/>
        </w:rPr>
        <w:pict>
          <v:shape id="_x0000_s2110" o:spid="_x0000_s2110" o:spt="32" type="#_x0000_t32" style="position:absolute;left:0pt;flip:y;margin-left:548.7pt;margin-top:8.7pt;height:29.25pt;width:0pt;z-index:251659264;mso-width-relative:page;mso-height-relative:page;" o:connectortype="straight" filled="f" coordsize="21600,21600">
            <v:path arrowok="t"/>
            <v:fill on="f" focussize="0,0"/>
            <v:stroke weight="2.25pt" endarrow="block" endarrowwidth="wide" endarrowlength="long"/>
            <v:imagedata o:title=""/>
            <o:lock v:ext="edit"/>
          </v:shape>
        </w:pict>
      </w:r>
      <w:r>
        <w:rPr>
          <w:rFonts w:eastAsiaTheme="minorEastAsia"/>
          <w:kern w:val="0"/>
          <w:sz w:val="24"/>
        </w:rPr>
        <w:pict>
          <v:rect id="_x0000_s2111" o:spid="_x0000_s2111" o:spt="1" style="position:absolute;left:0pt;margin-left:542.45pt;margin-top:8.7pt;height:37.7pt;width:26.25pt;z-index:251660288;mso-width-relative:page;mso-height-relative:page;" filled="f" stroked="f" coordsize="21600,21600">
            <v:path/>
            <v:fill on="f" focussize="0,0"/>
            <v:stroke on="f"/>
            <v:imagedata o:title=""/>
            <o:lock v:ext="edit"/>
            <v:textbox>
              <w:txbxContent>
                <w:p>
                  <w:pPr>
                    <w:rPr>
                      <w:b/>
                      <w:sz w:val="28"/>
                      <w:szCs w:val="28"/>
                    </w:rPr>
                  </w:pPr>
                  <w:r>
                    <w:rPr>
                      <w:rFonts w:hint="eastAsia"/>
                      <w:b/>
                      <w:sz w:val="28"/>
                      <w:szCs w:val="28"/>
                    </w:rPr>
                    <w:t>N</w:t>
                  </w:r>
                </w:p>
              </w:txbxContent>
            </v:textbox>
          </v:rect>
        </w:pict>
      </w:r>
      <w:r>
        <w:rPr>
          <w:sz w:val="28"/>
          <w:szCs w:val="28"/>
        </w:rPr>
        <w:pict>
          <v:shape id="_x0000_s2112" o:spid="_x0000_s2112" o:spt="32" type="#_x0000_t32" style="position:absolute;left:0pt;flip:y;margin-left:545.85pt;margin-top:-358.6pt;height:29.25pt;width:0pt;z-index:251661312;mso-width-relative:page;mso-height-relative:page;" o:connectortype="straight" filled="f" coordsize="21600,21600">
            <v:path arrowok="t"/>
            <v:fill on="f" focussize="0,0"/>
            <v:stroke weight="2.25pt" endarrow="block" endarrowwidth="wide" endarrowlength="long"/>
            <v:imagedata o:title=""/>
            <o:lock v:ext="edit"/>
          </v:shape>
        </w:pict>
      </w:r>
    </w:p>
    <w:p>
      <w:pPr>
        <w:pStyle w:val="62"/>
        <w:rPr>
          <w:rFonts w:cs="Times New Roman"/>
          <w:sz w:val="32"/>
        </w:rPr>
        <w:sectPr>
          <w:footerReference r:id="rId5" w:type="default"/>
          <w:pgSz w:w="11906" w:h="16838"/>
          <w:pgMar w:top="1701" w:right="1418" w:bottom="1701" w:left="1418" w:header="851" w:footer="992" w:gutter="0"/>
          <w:cols w:space="425" w:num="1"/>
          <w:docGrid w:type="lines" w:linePitch="312" w:charSpace="0"/>
        </w:sectPr>
      </w:pPr>
    </w:p>
    <w:p>
      <w:pPr>
        <w:pStyle w:val="61"/>
        <w:spacing w:beforeLines="50"/>
        <w:rPr>
          <w:rFonts w:hint="eastAsia" w:ascii="Times New Roman" w:hAnsi="Times New Roman" w:cs="Times New Roman"/>
          <w:sz w:val="36"/>
        </w:rPr>
      </w:pPr>
      <w:bookmarkStart w:id="142" w:name="_Toc333501412"/>
      <w:bookmarkStart w:id="143" w:name="_Toc2840"/>
      <w:bookmarkStart w:id="144" w:name="_Toc333501123"/>
      <w:bookmarkStart w:id="145" w:name="_Toc333588664"/>
      <w:bookmarkStart w:id="146" w:name="_Toc312829623"/>
      <w:r>
        <w:rPr>
          <w:rFonts w:hint="eastAsia" w:ascii="Times New Roman" w:hAnsi="Times New Roman" w:cs="Times New Roman"/>
          <w:sz w:val="36"/>
        </w:rPr>
        <w:t>8质量保证及质量控制</w:t>
      </w:r>
      <w:bookmarkEnd w:id="142"/>
      <w:bookmarkEnd w:id="143"/>
      <w:bookmarkEnd w:id="144"/>
      <w:bookmarkEnd w:id="145"/>
      <w:bookmarkEnd w:id="146"/>
    </w:p>
    <w:p>
      <w:pPr>
        <w:pStyle w:val="62"/>
        <w:spacing w:after="40"/>
        <w:rPr>
          <w:rFonts w:cs="Times New Roman"/>
          <w:color w:val="auto"/>
          <w:sz w:val="32"/>
        </w:rPr>
      </w:pPr>
      <w:bookmarkStart w:id="147" w:name="_Toc333501124"/>
      <w:bookmarkStart w:id="148" w:name="_Toc333501413"/>
      <w:bookmarkStart w:id="149" w:name="_Toc312829624"/>
      <w:bookmarkStart w:id="150" w:name="_Toc333588665"/>
      <w:bookmarkStart w:id="151" w:name="_Toc22615"/>
      <w:r>
        <w:rPr>
          <w:rFonts w:hint="eastAsia" w:cs="Times New Roman"/>
          <w:color w:val="auto"/>
          <w:sz w:val="32"/>
        </w:rPr>
        <w:t>8</w:t>
      </w:r>
      <w:r>
        <w:rPr>
          <w:rFonts w:cs="Times New Roman"/>
          <w:color w:val="auto"/>
          <w:sz w:val="32"/>
        </w:rPr>
        <w:t>.1 监测分析方法</w:t>
      </w:r>
      <w:bookmarkEnd w:id="147"/>
      <w:bookmarkEnd w:id="148"/>
      <w:bookmarkEnd w:id="149"/>
      <w:bookmarkEnd w:id="150"/>
      <w:bookmarkEnd w:id="151"/>
    </w:p>
    <w:p>
      <w:pPr>
        <w:spacing w:line="540" w:lineRule="exact"/>
        <w:ind w:firstLine="561"/>
        <w:rPr>
          <w:kern w:val="0"/>
          <w:sz w:val="24"/>
          <w:szCs w:val="24"/>
        </w:rPr>
      </w:pPr>
      <w:r>
        <w:rPr>
          <w:kern w:val="0"/>
          <w:sz w:val="24"/>
          <w:szCs w:val="24"/>
        </w:rPr>
        <w:t>按国家污染物排放标准、环境质量标准和环境监测技术规范要求，</w:t>
      </w:r>
      <w:r>
        <w:rPr>
          <w:rFonts w:hint="eastAsia"/>
          <w:kern w:val="0"/>
          <w:sz w:val="24"/>
          <w:szCs w:val="24"/>
        </w:rPr>
        <w:t>采样方法及采样仪器</w:t>
      </w:r>
      <w:r>
        <w:rPr>
          <w:kern w:val="0"/>
          <w:sz w:val="24"/>
          <w:szCs w:val="24"/>
        </w:rPr>
        <w:t>见表</w:t>
      </w:r>
      <w:r>
        <w:rPr>
          <w:rFonts w:hint="eastAsia"/>
          <w:kern w:val="0"/>
          <w:sz w:val="24"/>
          <w:szCs w:val="24"/>
        </w:rPr>
        <w:t>8</w:t>
      </w:r>
      <w:r>
        <w:rPr>
          <w:kern w:val="0"/>
          <w:sz w:val="24"/>
          <w:szCs w:val="24"/>
        </w:rPr>
        <w:t>-1。</w:t>
      </w:r>
    </w:p>
    <w:p>
      <w:pPr>
        <w:spacing w:line="540" w:lineRule="exact"/>
        <w:ind w:firstLine="463" w:firstLineChars="192"/>
        <w:jc w:val="center"/>
        <w:rPr>
          <w:rFonts w:hAnsiTheme="minorEastAsia" w:eastAsiaTheme="minorEastAsia"/>
          <w:b/>
          <w:sz w:val="24"/>
          <w:szCs w:val="24"/>
        </w:rPr>
      </w:pPr>
      <w:r>
        <w:rPr>
          <w:rFonts w:hAnsiTheme="minorEastAsia" w:eastAsiaTheme="minorEastAsia"/>
          <w:b/>
          <w:sz w:val="24"/>
          <w:szCs w:val="24"/>
        </w:rPr>
        <w:t>表</w:t>
      </w:r>
      <w:r>
        <w:rPr>
          <w:rFonts w:hint="eastAsia" w:hAnsiTheme="minorEastAsia" w:eastAsiaTheme="minorEastAsia"/>
          <w:b/>
          <w:sz w:val="24"/>
          <w:szCs w:val="24"/>
        </w:rPr>
        <w:t>8</w:t>
      </w:r>
      <w:r>
        <w:rPr>
          <w:rFonts w:hAnsiTheme="minorEastAsia" w:eastAsiaTheme="minorEastAsia"/>
          <w:b/>
          <w:sz w:val="24"/>
          <w:szCs w:val="24"/>
        </w:rPr>
        <w:t xml:space="preserve">-1    </w:t>
      </w:r>
      <w:r>
        <w:rPr>
          <w:rFonts w:hint="eastAsia" w:hAnsiTheme="minorEastAsia" w:eastAsiaTheme="minorEastAsia"/>
          <w:b/>
          <w:sz w:val="24"/>
          <w:szCs w:val="24"/>
        </w:rPr>
        <w:t>采样方法及采样仪器</w:t>
      </w:r>
      <w:r>
        <w:rPr>
          <w:rFonts w:hAnsiTheme="minorEastAsia" w:eastAsiaTheme="minorEastAsia"/>
          <w:b/>
          <w:sz w:val="24"/>
          <w:szCs w:val="24"/>
        </w:rPr>
        <w:t>一览表</w:t>
      </w:r>
    </w:p>
    <w:tbl>
      <w:tblPr>
        <w:tblStyle w:val="26"/>
        <w:tblW w:w="91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59"/>
        <w:gridCol w:w="4584"/>
        <w:gridCol w:w="25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59" w:type="dxa"/>
            <w:vAlign w:val="center"/>
          </w:tcPr>
          <w:p>
            <w:pPr>
              <w:adjustRightInd w:val="0"/>
              <w:snapToGrid w:val="0"/>
              <w:spacing w:line="280" w:lineRule="exact"/>
              <w:jc w:val="center"/>
              <w:rPr>
                <w:rFonts w:ascii="Times New Roman" w:cs="Times New Roman" w:hAnsiTheme="minorEastAsia" w:eastAsiaTheme="minorEastAsia"/>
                <w:color w:val="000000"/>
                <w:szCs w:val="21"/>
              </w:rPr>
            </w:pPr>
            <w:r>
              <w:rPr>
                <w:rFonts w:ascii="Times New Roman" w:cs="Times New Roman" w:hAnsiTheme="minorEastAsia" w:eastAsiaTheme="minorEastAsia"/>
                <w:color w:val="000000"/>
                <w:szCs w:val="21"/>
              </w:rPr>
              <w:t>检测类型</w:t>
            </w:r>
          </w:p>
        </w:tc>
        <w:tc>
          <w:tcPr>
            <w:tcW w:w="4584" w:type="dxa"/>
            <w:vAlign w:val="center"/>
          </w:tcPr>
          <w:p>
            <w:pPr>
              <w:adjustRightInd w:val="0"/>
              <w:snapToGrid w:val="0"/>
              <w:spacing w:line="280" w:lineRule="exact"/>
              <w:jc w:val="center"/>
              <w:rPr>
                <w:rFonts w:ascii="Times New Roman" w:cs="Times New Roman" w:hAnsiTheme="minorEastAsia" w:eastAsiaTheme="minorEastAsia"/>
                <w:color w:val="000000"/>
                <w:szCs w:val="21"/>
              </w:rPr>
            </w:pPr>
            <w:r>
              <w:rPr>
                <w:rFonts w:ascii="Times New Roman" w:cs="Times New Roman" w:hAnsiTheme="minorEastAsia" w:eastAsiaTheme="minorEastAsia"/>
                <w:color w:val="000000"/>
                <w:szCs w:val="21"/>
              </w:rPr>
              <w:t>采样方法</w:t>
            </w:r>
          </w:p>
        </w:tc>
        <w:tc>
          <w:tcPr>
            <w:tcW w:w="2537" w:type="dxa"/>
            <w:vAlign w:val="center"/>
          </w:tcPr>
          <w:p>
            <w:pPr>
              <w:adjustRightInd w:val="0"/>
              <w:snapToGrid w:val="0"/>
              <w:spacing w:line="280" w:lineRule="exact"/>
              <w:jc w:val="center"/>
              <w:rPr>
                <w:rFonts w:ascii="Times New Roman" w:cs="Times New Roman" w:hAnsiTheme="minorEastAsia" w:eastAsiaTheme="minorEastAsia"/>
                <w:color w:val="000000"/>
                <w:szCs w:val="21"/>
              </w:rPr>
            </w:pPr>
            <w:r>
              <w:rPr>
                <w:rFonts w:ascii="Times New Roman" w:cs="Times New Roman" w:hAnsiTheme="minorEastAsia" w:eastAsiaTheme="minorEastAsia"/>
                <w:color w:val="000000"/>
                <w:szCs w:val="21"/>
              </w:rPr>
              <w:t>采样仪器名称型号及编号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59" w:type="dxa"/>
            <w:vAlign w:val="center"/>
          </w:tcPr>
          <w:p>
            <w:pPr>
              <w:adjustRightInd w:val="0"/>
              <w:snapToGrid w:val="0"/>
              <w:spacing w:line="280" w:lineRule="exact"/>
              <w:jc w:val="center"/>
              <w:rPr>
                <w:rFonts w:ascii="Times New Roman" w:cs="Times New Roman" w:hAnsiTheme="minorEastAsia" w:eastAsiaTheme="minorEastAsia"/>
                <w:color w:val="000000"/>
                <w:szCs w:val="21"/>
              </w:rPr>
            </w:pPr>
            <w:r>
              <w:rPr>
                <w:rFonts w:ascii="Times New Roman" w:cs="Times New Roman" w:hAnsiTheme="minorEastAsia" w:eastAsiaTheme="minorEastAsia"/>
                <w:color w:val="000000"/>
                <w:szCs w:val="21"/>
              </w:rPr>
              <w:t>废水</w:t>
            </w:r>
          </w:p>
        </w:tc>
        <w:tc>
          <w:tcPr>
            <w:tcW w:w="4584" w:type="dxa"/>
            <w:vAlign w:val="center"/>
          </w:tcPr>
          <w:p>
            <w:pPr>
              <w:adjustRightInd w:val="0"/>
              <w:snapToGrid w:val="0"/>
              <w:spacing w:line="280" w:lineRule="exact"/>
              <w:jc w:val="center"/>
              <w:rPr>
                <w:rFonts w:ascii="Times New Roman" w:cs="Times New Roman" w:hAnsiTheme="minorEastAsia" w:eastAsiaTheme="minorEastAsia"/>
                <w:color w:val="000000"/>
                <w:szCs w:val="21"/>
              </w:rPr>
            </w:pPr>
            <w:r>
              <w:rPr>
                <w:rFonts w:ascii="Times New Roman" w:cs="Times New Roman" w:hAnsiTheme="minorEastAsia" w:eastAsiaTheme="minorEastAsia"/>
                <w:color w:val="000000"/>
                <w:szCs w:val="21"/>
              </w:rPr>
              <w:t>污水监测技术规范 HJ 91.1-2019</w:t>
            </w:r>
          </w:p>
        </w:tc>
        <w:tc>
          <w:tcPr>
            <w:tcW w:w="2537" w:type="dxa"/>
            <w:vAlign w:val="center"/>
          </w:tcPr>
          <w:p>
            <w:pPr>
              <w:adjustRightInd w:val="0"/>
              <w:snapToGrid w:val="0"/>
              <w:spacing w:line="280" w:lineRule="exact"/>
              <w:jc w:val="center"/>
              <w:rPr>
                <w:rFonts w:ascii="Times New Roman" w:cs="Times New Roman" w:hAnsiTheme="minorEastAsia" w:eastAsiaTheme="minorEastAsia"/>
                <w:color w:val="000000"/>
                <w:szCs w:val="21"/>
              </w:rPr>
            </w:pPr>
            <w:r>
              <w:rPr>
                <w:rFonts w:ascii="Times New Roman" w:cs="Times New Roman" w:hAnsiTheme="minorEastAsia" w:eastAsiaTheme="minorEastAsia"/>
                <w:color w:val="000000"/>
                <w:szCs w:val="21"/>
              </w:rPr>
              <w:t>采水器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59" w:type="dxa"/>
            <w:vAlign w:val="center"/>
          </w:tcPr>
          <w:p>
            <w:pPr>
              <w:adjustRightInd w:val="0"/>
              <w:snapToGrid w:val="0"/>
              <w:spacing w:line="280" w:lineRule="exact"/>
              <w:jc w:val="center"/>
              <w:rPr>
                <w:rFonts w:ascii="Times New Roman" w:cs="Times New Roman" w:hAnsiTheme="minorEastAsia" w:eastAsiaTheme="minorEastAsia"/>
                <w:color w:val="000000"/>
                <w:szCs w:val="21"/>
              </w:rPr>
            </w:pPr>
            <w:r>
              <w:rPr>
                <w:rFonts w:ascii="Times New Roman" w:cs="Times New Roman" w:hAnsiTheme="minorEastAsia" w:eastAsiaTheme="minorEastAsia"/>
                <w:color w:val="000000"/>
                <w:szCs w:val="21"/>
              </w:rPr>
              <w:t>无组织废气</w:t>
            </w:r>
          </w:p>
        </w:tc>
        <w:tc>
          <w:tcPr>
            <w:tcW w:w="4584" w:type="dxa"/>
            <w:vAlign w:val="center"/>
          </w:tcPr>
          <w:p>
            <w:pPr>
              <w:adjustRightInd w:val="0"/>
              <w:snapToGrid w:val="0"/>
              <w:spacing w:line="280" w:lineRule="exact"/>
              <w:jc w:val="center"/>
              <w:rPr>
                <w:rFonts w:ascii="Times New Roman" w:cs="Times New Roman" w:hAnsiTheme="minorEastAsia" w:eastAsiaTheme="minorEastAsia"/>
                <w:color w:val="000000"/>
                <w:szCs w:val="21"/>
              </w:rPr>
            </w:pPr>
            <w:r>
              <w:rPr>
                <w:rFonts w:ascii="Times New Roman" w:cs="Times New Roman" w:hAnsiTheme="minorEastAsia" w:eastAsiaTheme="minorEastAsia"/>
                <w:color w:val="000000"/>
                <w:szCs w:val="21"/>
              </w:rPr>
              <w:t xml:space="preserve">大气污染物无组织排放监测技术导则 </w:t>
            </w:r>
          </w:p>
          <w:p>
            <w:pPr>
              <w:adjustRightInd w:val="0"/>
              <w:snapToGrid w:val="0"/>
              <w:spacing w:line="280" w:lineRule="exact"/>
              <w:jc w:val="center"/>
              <w:rPr>
                <w:rFonts w:ascii="Times New Roman" w:cs="Times New Roman" w:hAnsiTheme="minorEastAsia" w:eastAsiaTheme="minorEastAsia"/>
                <w:color w:val="000000"/>
                <w:szCs w:val="21"/>
              </w:rPr>
            </w:pPr>
            <w:r>
              <w:rPr>
                <w:rFonts w:ascii="Times New Roman" w:cs="Times New Roman" w:hAnsiTheme="minorEastAsia" w:eastAsiaTheme="minorEastAsia"/>
                <w:color w:val="000000"/>
                <w:szCs w:val="21"/>
              </w:rPr>
              <w:t>HJ/T 55-2000</w:t>
            </w:r>
          </w:p>
        </w:tc>
        <w:tc>
          <w:tcPr>
            <w:tcW w:w="2537" w:type="dxa"/>
            <w:vAlign w:val="center"/>
          </w:tcPr>
          <w:p>
            <w:pPr>
              <w:adjustRightInd w:val="0"/>
              <w:snapToGrid w:val="0"/>
              <w:spacing w:line="280" w:lineRule="exact"/>
              <w:jc w:val="center"/>
              <w:rPr>
                <w:rFonts w:ascii="Times New Roman" w:cs="Times New Roman" w:hAnsiTheme="minorEastAsia" w:eastAsiaTheme="minorEastAsia"/>
                <w:color w:val="000000"/>
                <w:szCs w:val="21"/>
              </w:rPr>
            </w:pPr>
            <w:r>
              <w:rPr>
                <w:rFonts w:ascii="Times New Roman" w:cs="Times New Roman" w:hAnsiTheme="minorEastAsia" w:eastAsiaTheme="minorEastAsia"/>
                <w:color w:val="000000"/>
                <w:szCs w:val="21"/>
              </w:rPr>
              <w:t>真空采样箱/B-042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59" w:type="dxa"/>
            <w:vAlign w:val="center"/>
          </w:tcPr>
          <w:p>
            <w:pPr>
              <w:adjustRightInd w:val="0"/>
              <w:snapToGrid w:val="0"/>
              <w:spacing w:line="280" w:lineRule="exact"/>
              <w:jc w:val="center"/>
              <w:rPr>
                <w:rFonts w:ascii="Times New Roman" w:cs="Times New Roman" w:hAnsiTheme="minorEastAsia" w:eastAsiaTheme="minorEastAsia"/>
                <w:color w:val="000000"/>
                <w:szCs w:val="21"/>
              </w:rPr>
            </w:pPr>
            <w:r>
              <w:rPr>
                <w:rFonts w:ascii="Times New Roman" w:cs="Times New Roman" w:hAnsiTheme="minorEastAsia" w:eastAsiaTheme="minorEastAsia"/>
                <w:color w:val="000000"/>
                <w:szCs w:val="21"/>
              </w:rPr>
              <w:t>备 注</w:t>
            </w:r>
          </w:p>
        </w:tc>
        <w:tc>
          <w:tcPr>
            <w:tcW w:w="7121" w:type="dxa"/>
            <w:gridSpan w:val="2"/>
            <w:vAlign w:val="center"/>
          </w:tcPr>
          <w:p>
            <w:pPr>
              <w:adjustRightInd w:val="0"/>
              <w:snapToGrid w:val="0"/>
              <w:spacing w:line="280" w:lineRule="exact"/>
              <w:jc w:val="center"/>
              <w:rPr>
                <w:rFonts w:ascii="Times New Roman" w:cs="Times New Roman" w:hAnsiTheme="minorEastAsia" w:eastAsiaTheme="minorEastAsia"/>
                <w:color w:val="000000"/>
                <w:szCs w:val="21"/>
              </w:rPr>
            </w:pPr>
            <w:r>
              <w:rPr>
                <w:rFonts w:ascii="Times New Roman" w:cs="Times New Roman" w:hAnsiTheme="minorEastAsia" w:eastAsiaTheme="minorEastAsia"/>
                <w:color w:val="000000"/>
                <w:szCs w:val="21"/>
              </w:rPr>
              <w:t>仪器均在检定/校准有效期内使用。</w:t>
            </w:r>
          </w:p>
        </w:tc>
      </w:tr>
    </w:tbl>
    <w:p>
      <w:pPr>
        <w:pStyle w:val="62"/>
        <w:spacing w:after="40"/>
        <w:rPr>
          <w:rFonts w:cs="Times New Roman"/>
          <w:sz w:val="32"/>
        </w:rPr>
      </w:pPr>
      <w:bookmarkStart w:id="152" w:name="_Toc18423"/>
      <w:r>
        <w:rPr>
          <w:rFonts w:hint="eastAsia" w:cs="Times New Roman"/>
          <w:sz w:val="32"/>
        </w:rPr>
        <w:t>8</w:t>
      </w:r>
      <w:r>
        <w:rPr>
          <w:rFonts w:cs="Times New Roman"/>
          <w:sz w:val="32"/>
        </w:rPr>
        <w:t xml:space="preserve">.2 </w:t>
      </w:r>
      <w:r>
        <w:rPr>
          <w:rFonts w:hint="eastAsia" w:cs="Times New Roman"/>
          <w:sz w:val="32"/>
        </w:rPr>
        <w:t>监测仪器</w:t>
      </w:r>
      <w:bookmarkEnd w:id="152"/>
    </w:p>
    <w:p>
      <w:pPr>
        <w:autoSpaceDE w:val="0"/>
        <w:autoSpaceDN w:val="0"/>
        <w:adjustRightInd w:val="0"/>
        <w:spacing w:line="540" w:lineRule="exact"/>
        <w:ind w:firstLine="480" w:firstLineChars="200"/>
        <w:jc w:val="left"/>
        <w:rPr>
          <w:color w:val="000000"/>
          <w:kern w:val="0"/>
          <w:sz w:val="24"/>
          <w:szCs w:val="24"/>
        </w:rPr>
      </w:pPr>
      <w:r>
        <w:rPr>
          <w:rFonts w:hint="eastAsia"/>
          <w:color w:val="000000"/>
          <w:kern w:val="0"/>
          <w:sz w:val="24"/>
          <w:szCs w:val="24"/>
        </w:rPr>
        <w:t>监测仪器使用见表8-2。</w:t>
      </w:r>
    </w:p>
    <w:p>
      <w:pPr>
        <w:spacing w:line="540" w:lineRule="exact"/>
        <w:ind w:firstLine="463" w:firstLineChars="192"/>
        <w:jc w:val="center"/>
        <w:rPr>
          <w:rFonts w:hAnsiTheme="minorEastAsia" w:eastAsiaTheme="minorEastAsia"/>
          <w:b/>
          <w:sz w:val="24"/>
          <w:szCs w:val="24"/>
        </w:rPr>
      </w:pPr>
      <w:r>
        <w:rPr>
          <w:rFonts w:hAnsiTheme="minorEastAsia" w:eastAsiaTheme="minorEastAsia"/>
          <w:b/>
          <w:sz w:val="24"/>
          <w:szCs w:val="24"/>
        </w:rPr>
        <w:t>表</w:t>
      </w:r>
      <w:r>
        <w:rPr>
          <w:rFonts w:hint="eastAsia" w:hAnsiTheme="minorEastAsia" w:eastAsiaTheme="minorEastAsia"/>
          <w:b/>
          <w:sz w:val="24"/>
          <w:szCs w:val="24"/>
        </w:rPr>
        <w:t>8</w:t>
      </w:r>
      <w:r>
        <w:rPr>
          <w:rFonts w:hAnsiTheme="minorEastAsia" w:eastAsiaTheme="minorEastAsia"/>
          <w:b/>
          <w:sz w:val="24"/>
          <w:szCs w:val="24"/>
        </w:rPr>
        <w:t>-</w:t>
      </w:r>
      <w:r>
        <w:rPr>
          <w:rFonts w:hint="eastAsia" w:hAnsiTheme="minorEastAsia" w:eastAsiaTheme="minorEastAsia"/>
          <w:b/>
          <w:sz w:val="24"/>
          <w:szCs w:val="24"/>
        </w:rPr>
        <w:t>2</w:t>
      </w:r>
      <w:r>
        <w:rPr>
          <w:rFonts w:hAnsiTheme="minorEastAsia" w:eastAsiaTheme="minorEastAsia"/>
          <w:b/>
          <w:sz w:val="24"/>
          <w:szCs w:val="24"/>
        </w:rPr>
        <w:t xml:space="preserve">    监测</w:t>
      </w:r>
      <w:r>
        <w:rPr>
          <w:rFonts w:hint="eastAsia" w:hAnsiTheme="minorEastAsia" w:eastAsiaTheme="minorEastAsia"/>
          <w:b/>
          <w:sz w:val="24"/>
          <w:szCs w:val="24"/>
        </w:rPr>
        <w:t>使用</w:t>
      </w:r>
      <w:r>
        <w:rPr>
          <w:rFonts w:hAnsiTheme="minorEastAsia" w:eastAsiaTheme="minorEastAsia"/>
          <w:b/>
          <w:sz w:val="24"/>
          <w:szCs w:val="24"/>
        </w:rPr>
        <w:t>仪器一览表</w:t>
      </w:r>
    </w:p>
    <w:tbl>
      <w:tblPr>
        <w:tblStyle w:val="78"/>
        <w:tblW w:w="500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17"/>
        <w:gridCol w:w="1524"/>
        <w:gridCol w:w="4048"/>
        <w:gridCol w:w="23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trPr>
        <w:tc>
          <w:tcPr>
            <w:tcW w:w="615"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检测类型</w:t>
            </w:r>
          </w:p>
        </w:tc>
        <w:tc>
          <w:tcPr>
            <w:tcW w:w="839"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项目</w:t>
            </w:r>
          </w:p>
        </w:tc>
        <w:tc>
          <w:tcPr>
            <w:tcW w:w="2228"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检测方法</w:t>
            </w:r>
          </w:p>
        </w:tc>
        <w:tc>
          <w:tcPr>
            <w:tcW w:w="1316"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检测仪器名称型号及编号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15"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噪声</w:t>
            </w:r>
          </w:p>
        </w:tc>
        <w:tc>
          <w:tcPr>
            <w:tcW w:w="839"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厂界噪声</w:t>
            </w:r>
          </w:p>
        </w:tc>
        <w:tc>
          <w:tcPr>
            <w:tcW w:w="2228"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工业企业厂界环境噪声排放标准 GB 12348-2008（5 测量方法）</w:t>
            </w:r>
          </w:p>
        </w:tc>
        <w:tc>
          <w:tcPr>
            <w:tcW w:w="1316"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多功能声级计</w:t>
            </w:r>
          </w:p>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AWA5688/A-011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15" w:type="pct"/>
            <w:vMerge w:val="restart"/>
            <w:tcBorders>
              <w:bottom w:val="nil"/>
            </w:tcBorders>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废水</w:t>
            </w:r>
          </w:p>
        </w:tc>
        <w:tc>
          <w:tcPr>
            <w:tcW w:w="839"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悬浮物</w:t>
            </w:r>
          </w:p>
        </w:tc>
        <w:tc>
          <w:tcPr>
            <w:tcW w:w="2228"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水质  悬浮物的测定重量法 GB/T 11901-1989</w:t>
            </w:r>
          </w:p>
        </w:tc>
        <w:tc>
          <w:tcPr>
            <w:tcW w:w="1316"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万分之一电子天平 FA2004B/A-002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15" w:type="pct"/>
            <w:vMerge w:val="continue"/>
            <w:tcBorders>
              <w:top w:val="nil"/>
              <w:bottom w:val="nil"/>
            </w:tcBorders>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p>
        </w:tc>
        <w:tc>
          <w:tcPr>
            <w:tcW w:w="839"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氨氮</w:t>
            </w:r>
          </w:p>
        </w:tc>
        <w:tc>
          <w:tcPr>
            <w:tcW w:w="2228"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水质 氨氮的测定</w:t>
            </w:r>
            <w:r>
              <w:rPr>
                <w:rFonts w:hint="eastAsia" w:ascii="Times New Roman" w:hAnsi="Times New Roman" w:cs="Times New Roman" w:eastAsiaTheme="minorEastAsia"/>
                <w:color w:val="000000"/>
                <w:szCs w:val="21"/>
                <w:lang w:val="en-US" w:eastAsia="zh-CN"/>
              </w:rPr>
              <w:t xml:space="preserve">  </w:t>
            </w:r>
            <w:r>
              <w:rPr>
                <w:rFonts w:ascii="Times New Roman" w:hAnsi="Times New Roman" w:cs="Times New Roman" w:eastAsiaTheme="minorEastAsia"/>
                <w:color w:val="000000"/>
                <w:szCs w:val="21"/>
              </w:rPr>
              <w:t xml:space="preserve">纳氏试剂分光光度法 </w:t>
            </w:r>
          </w:p>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HJ 535-2009</w:t>
            </w:r>
          </w:p>
        </w:tc>
        <w:tc>
          <w:tcPr>
            <w:tcW w:w="1316"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紫外可见分光光度计 TU-1810DPC/A-010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15" w:type="pct"/>
            <w:vMerge w:val="continue"/>
            <w:tcBorders>
              <w:top w:val="nil"/>
              <w:bottom w:val="nil"/>
            </w:tcBorders>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p>
        </w:tc>
        <w:tc>
          <w:tcPr>
            <w:tcW w:w="839"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化学需氧量</w:t>
            </w:r>
          </w:p>
        </w:tc>
        <w:tc>
          <w:tcPr>
            <w:tcW w:w="2228"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水质 化学需氧量的测定</w:t>
            </w:r>
            <w:r>
              <w:rPr>
                <w:rFonts w:hint="eastAsia" w:ascii="Times New Roman" w:hAnsi="Times New Roman" w:cs="Times New Roman" w:eastAsiaTheme="minorEastAsia"/>
                <w:color w:val="000000"/>
                <w:szCs w:val="21"/>
                <w:lang w:val="en-US" w:eastAsia="zh-CN"/>
              </w:rPr>
              <w:t xml:space="preserve"> </w:t>
            </w:r>
            <w:r>
              <w:rPr>
                <w:rFonts w:ascii="Times New Roman" w:hAnsi="Times New Roman" w:cs="Times New Roman" w:eastAsiaTheme="minorEastAsia"/>
                <w:color w:val="000000"/>
                <w:szCs w:val="21"/>
              </w:rPr>
              <w:t xml:space="preserve">重铬酸盐法 </w:t>
            </w:r>
          </w:p>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HJ 828-2017</w:t>
            </w:r>
          </w:p>
        </w:tc>
        <w:tc>
          <w:tcPr>
            <w:tcW w:w="1316"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具塞式滴定管</w:t>
            </w:r>
          </w:p>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50mL/C-003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15" w:type="pct"/>
            <w:vMerge w:val="continue"/>
            <w:tcBorders>
              <w:top w:val="nil"/>
              <w:bottom w:val="nil"/>
            </w:tcBorders>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p>
        </w:tc>
        <w:tc>
          <w:tcPr>
            <w:tcW w:w="839"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五日生化</w:t>
            </w:r>
          </w:p>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需氧量</w:t>
            </w:r>
          </w:p>
        </w:tc>
        <w:tc>
          <w:tcPr>
            <w:tcW w:w="2228"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水质 五日生化需氧量（BOD5 ）的测定 稀释与接种法 HJ 505-2009</w:t>
            </w:r>
          </w:p>
        </w:tc>
        <w:tc>
          <w:tcPr>
            <w:tcW w:w="1316"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便携式溶解氧仪 JPB607A/A-005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15" w:type="pct"/>
            <w:vMerge w:val="continue"/>
            <w:tcBorders>
              <w:top w:val="nil"/>
            </w:tcBorders>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p>
        </w:tc>
        <w:tc>
          <w:tcPr>
            <w:tcW w:w="839"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石油类</w:t>
            </w:r>
          </w:p>
        </w:tc>
        <w:tc>
          <w:tcPr>
            <w:tcW w:w="2228"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水质 石油类和动植物油类的测定红外分光光 度法 HJ 637-2018</w:t>
            </w:r>
          </w:p>
        </w:tc>
        <w:tc>
          <w:tcPr>
            <w:tcW w:w="1316"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红外分光测油仪 OIL460/A-004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15"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无组织废气</w:t>
            </w:r>
          </w:p>
        </w:tc>
        <w:tc>
          <w:tcPr>
            <w:tcW w:w="839"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非甲烷总烃</w:t>
            </w:r>
          </w:p>
        </w:tc>
        <w:tc>
          <w:tcPr>
            <w:tcW w:w="2228"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环境空气 总烃、 甲烷和非甲烷总烃的测定 直接进样-气相色谱法 HJ 604-2017</w:t>
            </w:r>
          </w:p>
        </w:tc>
        <w:tc>
          <w:tcPr>
            <w:tcW w:w="1316"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气相色谱仪</w:t>
            </w:r>
          </w:p>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GC9790Ⅱ/A-028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15" w:type="pct"/>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备 注</w:t>
            </w:r>
          </w:p>
        </w:tc>
        <w:tc>
          <w:tcPr>
            <w:tcW w:w="4384" w:type="pct"/>
            <w:gridSpan w:val="3"/>
            <w:vAlign w:val="center"/>
          </w:tcPr>
          <w:p>
            <w:pPr>
              <w:autoSpaceDE w:val="0"/>
              <w:autoSpaceDN w:val="0"/>
              <w:adjustRightInd w:val="0"/>
              <w:snapToGrid w:val="0"/>
              <w:spacing w:line="280" w:lineRule="exact"/>
              <w:jc w:val="center"/>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仪器均在检定/校准有效期内使用。</w:t>
            </w:r>
          </w:p>
        </w:tc>
      </w:tr>
    </w:tbl>
    <w:p>
      <w:pPr>
        <w:pStyle w:val="62"/>
        <w:rPr>
          <w:rFonts w:cs="Times New Roman"/>
          <w:sz w:val="32"/>
        </w:rPr>
      </w:pPr>
      <w:bookmarkStart w:id="153" w:name="_Toc8684"/>
      <w:r>
        <w:rPr>
          <w:rFonts w:hint="eastAsia" w:cs="Times New Roman"/>
          <w:sz w:val="32"/>
        </w:rPr>
        <w:t>8</w:t>
      </w:r>
      <w:r>
        <w:rPr>
          <w:rFonts w:cs="Times New Roman"/>
          <w:sz w:val="32"/>
        </w:rPr>
        <w:t>.</w:t>
      </w:r>
      <w:r>
        <w:rPr>
          <w:rFonts w:hint="eastAsia" w:cs="Times New Roman"/>
          <w:sz w:val="32"/>
        </w:rPr>
        <w:t>3人员资质</w:t>
      </w:r>
      <w:bookmarkEnd w:id="153"/>
    </w:p>
    <w:p>
      <w:pPr>
        <w:autoSpaceDE w:val="0"/>
        <w:autoSpaceDN w:val="0"/>
        <w:adjustRightInd w:val="0"/>
        <w:spacing w:line="540" w:lineRule="exact"/>
        <w:ind w:firstLine="480" w:firstLineChars="200"/>
        <w:jc w:val="left"/>
        <w:rPr>
          <w:kern w:val="0"/>
          <w:sz w:val="28"/>
          <w:szCs w:val="28"/>
        </w:rPr>
      </w:pPr>
      <w:r>
        <w:rPr>
          <w:rFonts w:hint="eastAsia"/>
          <w:sz w:val="24"/>
          <w:szCs w:val="24"/>
        </w:rPr>
        <w:t>参与本次验收监测的现场采样及实验室分析的人员均</w:t>
      </w:r>
      <w:r>
        <w:rPr>
          <w:sz w:val="24"/>
          <w:szCs w:val="24"/>
        </w:rPr>
        <w:t>经考核合格</w:t>
      </w:r>
      <w:r>
        <w:rPr>
          <w:rFonts w:hint="eastAsia"/>
          <w:sz w:val="24"/>
          <w:szCs w:val="24"/>
        </w:rPr>
        <w:t>。</w:t>
      </w:r>
    </w:p>
    <w:p>
      <w:pPr>
        <w:pStyle w:val="62"/>
        <w:rPr>
          <w:rFonts w:cs="Times New Roman"/>
          <w:sz w:val="32"/>
        </w:rPr>
      </w:pPr>
      <w:bookmarkStart w:id="154" w:name="_Toc19650"/>
      <w:r>
        <w:rPr>
          <w:rFonts w:hint="eastAsia" w:cs="Times New Roman"/>
          <w:sz w:val="32"/>
        </w:rPr>
        <w:t>8</w:t>
      </w:r>
      <w:r>
        <w:rPr>
          <w:rFonts w:cs="Times New Roman"/>
          <w:sz w:val="32"/>
        </w:rPr>
        <w:t>.</w:t>
      </w:r>
      <w:r>
        <w:rPr>
          <w:rFonts w:hint="eastAsia" w:cs="Times New Roman"/>
          <w:sz w:val="32"/>
        </w:rPr>
        <w:t>4</w:t>
      </w:r>
      <w:r>
        <w:rPr>
          <w:rFonts w:cs="Times New Roman"/>
          <w:sz w:val="32"/>
        </w:rPr>
        <w:t>质量保证和质量控制</w:t>
      </w:r>
      <w:bookmarkEnd w:id="154"/>
    </w:p>
    <w:p>
      <w:pPr>
        <w:autoSpaceDE w:val="0"/>
        <w:autoSpaceDN w:val="0"/>
        <w:adjustRightInd w:val="0"/>
        <w:spacing w:line="540" w:lineRule="exact"/>
        <w:ind w:firstLine="480" w:firstLineChars="200"/>
        <w:jc w:val="left"/>
        <w:rPr>
          <w:color w:val="000000"/>
          <w:kern w:val="0"/>
          <w:sz w:val="24"/>
          <w:szCs w:val="24"/>
        </w:rPr>
      </w:pPr>
      <w:r>
        <w:rPr>
          <w:color w:val="000000"/>
          <w:kern w:val="0"/>
          <w:sz w:val="24"/>
          <w:szCs w:val="24"/>
        </w:rPr>
        <w:t>建设项目竣工环境保护验收现场监测质量控制与质量保证按环发[2000]38号文附件和相关监测技术规范要求进行。</w:t>
      </w:r>
    </w:p>
    <w:p>
      <w:pPr>
        <w:autoSpaceDE w:val="0"/>
        <w:autoSpaceDN w:val="0"/>
        <w:adjustRightInd w:val="0"/>
        <w:spacing w:line="540" w:lineRule="exact"/>
        <w:ind w:firstLine="480" w:firstLineChars="200"/>
        <w:jc w:val="left"/>
        <w:rPr>
          <w:color w:val="000000"/>
          <w:kern w:val="0"/>
          <w:sz w:val="24"/>
          <w:szCs w:val="24"/>
        </w:rPr>
      </w:pPr>
      <w:r>
        <w:rPr>
          <w:color w:val="000000"/>
          <w:kern w:val="0"/>
          <w:sz w:val="24"/>
          <w:szCs w:val="24"/>
        </w:rPr>
        <w:t>为了确保验收监测的环境样品的代表性，分析测试的准确性、精密性，监测报告的完整性，对验收监测的全过程（包括布点、采样、样品贮运、实验室分析、数据统计分析、报告编制和审核等）进行严格的质量控制。</w:t>
      </w:r>
    </w:p>
    <w:p>
      <w:pPr>
        <w:autoSpaceDE w:val="0"/>
        <w:autoSpaceDN w:val="0"/>
        <w:adjustRightInd w:val="0"/>
        <w:spacing w:line="540" w:lineRule="exact"/>
        <w:ind w:firstLine="480" w:firstLineChars="200"/>
        <w:jc w:val="left"/>
        <w:rPr>
          <w:color w:val="000000"/>
          <w:kern w:val="0"/>
          <w:sz w:val="24"/>
          <w:szCs w:val="24"/>
        </w:rPr>
      </w:pPr>
      <w:r>
        <w:rPr>
          <w:color w:val="000000"/>
          <w:kern w:val="0"/>
          <w:sz w:val="24"/>
          <w:szCs w:val="24"/>
        </w:rPr>
        <w:t>1、严格按照验收监测方案要求开展监测工作</w:t>
      </w:r>
      <w:r>
        <w:rPr>
          <w:rFonts w:hint="eastAsia"/>
          <w:color w:val="000000"/>
          <w:kern w:val="0"/>
          <w:sz w:val="24"/>
          <w:szCs w:val="24"/>
        </w:rPr>
        <w:t>。</w:t>
      </w:r>
    </w:p>
    <w:p>
      <w:pPr>
        <w:autoSpaceDE w:val="0"/>
        <w:autoSpaceDN w:val="0"/>
        <w:adjustRightInd w:val="0"/>
        <w:spacing w:line="540" w:lineRule="exact"/>
        <w:ind w:firstLine="480" w:firstLineChars="200"/>
        <w:jc w:val="left"/>
        <w:rPr>
          <w:color w:val="000000"/>
          <w:kern w:val="0"/>
          <w:sz w:val="24"/>
          <w:szCs w:val="24"/>
        </w:rPr>
      </w:pPr>
      <w:r>
        <w:rPr>
          <w:color w:val="000000"/>
          <w:kern w:val="0"/>
          <w:sz w:val="24"/>
          <w:szCs w:val="24"/>
        </w:rPr>
        <w:t>2、合理布设监测点，保证各监测点位布设的科学性和代表性</w:t>
      </w:r>
      <w:r>
        <w:rPr>
          <w:rFonts w:hint="eastAsia"/>
          <w:color w:val="000000"/>
          <w:kern w:val="0"/>
          <w:sz w:val="24"/>
          <w:szCs w:val="24"/>
        </w:rPr>
        <w:t>。</w:t>
      </w:r>
    </w:p>
    <w:p>
      <w:pPr>
        <w:autoSpaceDE w:val="0"/>
        <w:autoSpaceDN w:val="0"/>
        <w:adjustRightInd w:val="0"/>
        <w:spacing w:line="540" w:lineRule="exact"/>
        <w:ind w:firstLine="480" w:firstLineChars="200"/>
        <w:jc w:val="left"/>
        <w:rPr>
          <w:color w:val="000000"/>
          <w:kern w:val="0"/>
          <w:sz w:val="24"/>
          <w:szCs w:val="24"/>
        </w:rPr>
      </w:pPr>
      <w:r>
        <w:rPr>
          <w:color w:val="000000"/>
          <w:kern w:val="0"/>
          <w:sz w:val="24"/>
          <w:szCs w:val="24"/>
        </w:rPr>
        <w:t>3、采样人员严格遵守采样操作规程，在生产设备和环保设施运行稳定条件下采样。同时，认真填写采样记录，注明采样工况，并按规定保存、运输样品，确保验收监测样品采集的代表性</w:t>
      </w:r>
      <w:r>
        <w:rPr>
          <w:rFonts w:hint="eastAsia"/>
          <w:color w:val="000000"/>
          <w:kern w:val="0"/>
          <w:sz w:val="24"/>
          <w:szCs w:val="24"/>
        </w:rPr>
        <w:t>。</w:t>
      </w:r>
    </w:p>
    <w:p>
      <w:pPr>
        <w:autoSpaceDE w:val="0"/>
        <w:autoSpaceDN w:val="0"/>
        <w:adjustRightInd w:val="0"/>
        <w:spacing w:line="540" w:lineRule="exact"/>
        <w:ind w:firstLine="480" w:firstLineChars="200"/>
        <w:jc w:val="left"/>
        <w:rPr>
          <w:color w:val="000000"/>
          <w:kern w:val="0"/>
          <w:sz w:val="24"/>
          <w:szCs w:val="24"/>
        </w:rPr>
      </w:pPr>
      <w:r>
        <w:rPr>
          <w:color w:val="000000"/>
          <w:kern w:val="0"/>
          <w:sz w:val="24"/>
          <w:szCs w:val="24"/>
        </w:rPr>
        <w:t>4、监测分析采用国家有关部门颁布的标准分析方法或推荐方法；监测人员经考核合格并持有上岗证，所有监测仪器、量具均经过计量部门检定合格并在有效期内使用</w:t>
      </w:r>
      <w:r>
        <w:rPr>
          <w:rFonts w:hint="eastAsia"/>
          <w:color w:val="000000"/>
          <w:kern w:val="0"/>
          <w:sz w:val="24"/>
          <w:szCs w:val="24"/>
        </w:rPr>
        <w:t>。</w:t>
      </w:r>
    </w:p>
    <w:p>
      <w:pPr>
        <w:autoSpaceDE w:val="0"/>
        <w:autoSpaceDN w:val="0"/>
        <w:adjustRightInd w:val="0"/>
        <w:spacing w:line="360" w:lineRule="auto"/>
        <w:ind w:firstLine="480" w:firstLineChars="200"/>
        <w:jc w:val="left"/>
        <w:rPr>
          <w:rFonts w:hAnsi="宋体"/>
          <w:color w:val="000000"/>
          <w:kern w:val="0"/>
          <w:sz w:val="24"/>
          <w:szCs w:val="24"/>
        </w:rPr>
      </w:pPr>
      <w:r>
        <w:rPr>
          <w:rFonts w:hint="eastAsia"/>
          <w:color w:val="000000"/>
          <w:kern w:val="0"/>
          <w:sz w:val="24"/>
          <w:szCs w:val="24"/>
        </w:rPr>
        <w:t>5</w:t>
      </w:r>
      <w:r>
        <w:rPr>
          <w:color w:val="000000"/>
          <w:kern w:val="0"/>
          <w:sz w:val="24"/>
          <w:szCs w:val="24"/>
        </w:rPr>
        <w:t>、</w:t>
      </w:r>
      <w:r>
        <w:rPr>
          <w:rFonts w:hAnsi="宋体"/>
          <w:color w:val="000000"/>
          <w:kern w:val="0"/>
          <w:sz w:val="24"/>
          <w:szCs w:val="24"/>
        </w:rPr>
        <w:t>水样、固体废物采集采用合适的器皿和保存措施，并采集不少于10%的平行样；实验室分析加测不少于10%的平行样；对可以得到标准/质控样品的监测因子，加测10%的标准/质控样品；对无标准/质控样品的监测因子，</w:t>
      </w:r>
      <w:r>
        <w:rPr>
          <w:rFonts w:hint="eastAsia" w:hAnsi="宋体"/>
          <w:color w:val="000000"/>
          <w:kern w:val="0"/>
          <w:sz w:val="24"/>
          <w:szCs w:val="24"/>
        </w:rPr>
        <w:t>在</w:t>
      </w:r>
      <w:r>
        <w:rPr>
          <w:rFonts w:hAnsi="宋体"/>
          <w:color w:val="000000"/>
          <w:kern w:val="0"/>
          <w:sz w:val="24"/>
          <w:szCs w:val="24"/>
        </w:rPr>
        <w:t>可进行加标回收测试的</w:t>
      </w:r>
      <w:r>
        <w:rPr>
          <w:rFonts w:hint="eastAsia" w:hAnsi="宋体"/>
          <w:color w:val="000000"/>
          <w:kern w:val="0"/>
          <w:sz w:val="24"/>
          <w:szCs w:val="24"/>
        </w:rPr>
        <w:t>时</w:t>
      </w:r>
      <w:r>
        <w:rPr>
          <w:rFonts w:hAnsi="宋体"/>
          <w:color w:val="000000"/>
          <w:kern w:val="0"/>
          <w:sz w:val="24"/>
          <w:szCs w:val="24"/>
        </w:rPr>
        <w:t>，加测10%加标回收样品，或采取其他质控措施。</w:t>
      </w:r>
    </w:p>
    <w:p>
      <w:pPr>
        <w:autoSpaceDE w:val="0"/>
        <w:autoSpaceDN w:val="0"/>
        <w:adjustRightInd w:val="0"/>
        <w:spacing w:line="360" w:lineRule="auto"/>
        <w:ind w:firstLine="480" w:firstLineChars="200"/>
        <w:jc w:val="left"/>
        <w:rPr>
          <w:rFonts w:hAnsi="宋体"/>
          <w:color w:val="000000"/>
          <w:kern w:val="0"/>
          <w:sz w:val="24"/>
          <w:szCs w:val="24"/>
        </w:rPr>
      </w:pPr>
      <w:r>
        <w:rPr>
          <w:rFonts w:hAnsi="宋体"/>
          <w:color w:val="000000"/>
          <w:kern w:val="0"/>
          <w:sz w:val="24"/>
          <w:szCs w:val="24"/>
        </w:rPr>
        <w:t>废气监测（分析）仪在测试前用标准气体和流量计进行校核（标定），测试时应保证其采样流量和气密性，并合理选择量程，使被测污染物浓度落在仪器测试量程的有效范围</w:t>
      </w:r>
      <w:r>
        <w:rPr>
          <w:rFonts w:hint="eastAsia" w:hAnsi="宋体"/>
          <w:color w:val="000000"/>
          <w:kern w:val="0"/>
          <w:sz w:val="24"/>
          <w:szCs w:val="24"/>
        </w:rPr>
        <w:t>，</w:t>
      </w:r>
      <w:r>
        <w:rPr>
          <w:rFonts w:hAnsi="宋体"/>
          <w:color w:val="000000"/>
          <w:kern w:val="0"/>
          <w:sz w:val="24"/>
          <w:szCs w:val="24"/>
        </w:rPr>
        <w:t>即仪器量程的30～70%之间，避免共存污染因子的交叉干扰。</w:t>
      </w:r>
    </w:p>
    <w:p>
      <w:pPr>
        <w:autoSpaceDE w:val="0"/>
        <w:autoSpaceDN w:val="0"/>
        <w:adjustRightInd w:val="0"/>
        <w:spacing w:line="540" w:lineRule="exact"/>
        <w:ind w:firstLine="480" w:firstLineChars="200"/>
        <w:jc w:val="left"/>
        <w:rPr>
          <w:color w:val="000000"/>
          <w:kern w:val="0"/>
          <w:sz w:val="24"/>
          <w:szCs w:val="24"/>
        </w:rPr>
      </w:pPr>
      <w:r>
        <w:rPr>
          <w:rFonts w:hAnsi="宋体"/>
          <w:color w:val="000000"/>
          <w:kern w:val="0"/>
          <w:sz w:val="24"/>
          <w:szCs w:val="24"/>
        </w:rPr>
        <w:t>声级计在测试前后用标准声源进行校准，测量前后仪器的灵敏度相差不大于0.5dB，若大于0.5dB</w:t>
      </w:r>
      <w:r>
        <w:rPr>
          <w:rFonts w:hint="eastAsia" w:hAnsi="宋体"/>
          <w:color w:val="000000"/>
          <w:kern w:val="0"/>
          <w:sz w:val="24"/>
          <w:szCs w:val="24"/>
        </w:rPr>
        <w:t>，</w:t>
      </w:r>
      <w:r>
        <w:rPr>
          <w:rFonts w:hAnsi="宋体"/>
          <w:color w:val="000000"/>
          <w:kern w:val="0"/>
          <w:sz w:val="24"/>
          <w:szCs w:val="24"/>
        </w:rPr>
        <w:t>则测试数据无效</w:t>
      </w:r>
      <w:r>
        <w:rPr>
          <w:rFonts w:hint="eastAsia"/>
          <w:color w:val="000000"/>
          <w:kern w:val="0"/>
          <w:sz w:val="24"/>
          <w:szCs w:val="24"/>
        </w:rPr>
        <w:t>。</w:t>
      </w:r>
    </w:p>
    <w:p>
      <w:pPr>
        <w:autoSpaceDE w:val="0"/>
        <w:autoSpaceDN w:val="0"/>
        <w:adjustRightInd w:val="0"/>
        <w:spacing w:line="540" w:lineRule="exact"/>
        <w:ind w:firstLine="480" w:firstLineChars="200"/>
        <w:jc w:val="left"/>
        <w:rPr>
          <w:kern w:val="0"/>
          <w:sz w:val="28"/>
          <w:szCs w:val="28"/>
        </w:rPr>
      </w:pPr>
      <w:r>
        <w:rPr>
          <w:rFonts w:hint="eastAsia"/>
          <w:color w:val="000000"/>
          <w:kern w:val="0"/>
          <w:sz w:val="24"/>
          <w:szCs w:val="24"/>
        </w:rPr>
        <w:t>6</w:t>
      </w:r>
      <w:r>
        <w:rPr>
          <w:color w:val="000000"/>
          <w:kern w:val="0"/>
          <w:sz w:val="24"/>
          <w:szCs w:val="24"/>
        </w:rPr>
        <w:t>、监测数据和监测报告严格实行</w:t>
      </w:r>
      <w:r>
        <w:rPr>
          <w:rFonts w:hint="eastAsia"/>
          <w:color w:val="000000"/>
          <w:kern w:val="0"/>
          <w:sz w:val="24"/>
          <w:szCs w:val="24"/>
        </w:rPr>
        <w:t>“</w:t>
      </w:r>
      <w:r>
        <w:rPr>
          <w:color w:val="000000"/>
          <w:kern w:val="0"/>
          <w:sz w:val="24"/>
          <w:szCs w:val="24"/>
        </w:rPr>
        <w:t>三级审核</w:t>
      </w:r>
      <w:r>
        <w:rPr>
          <w:rFonts w:hint="eastAsia"/>
          <w:color w:val="000000"/>
          <w:kern w:val="0"/>
          <w:sz w:val="24"/>
          <w:szCs w:val="24"/>
        </w:rPr>
        <w:t>”</w:t>
      </w:r>
      <w:r>
        <w:rPr>
          <w:color w:val="000000"/>
          <w:kern w:val="0"/>
          <w:sz w:val="24"/>
          <w:szCs w:val="24"/>
        </w:rPr>
        <w:t>制度。</w:t>
      </w:r>
    </w:p>
    <w:p>
      <w:pPr>
        <w:pStyle w:val="61"/>
        <w:rPr>
          <w:rFonts w:cs="Times New Roman"/>
          <w:sz w:val="36"/>
        </w:rPr>
        <w:sectPr>
          <w:footerReference r:id="rId6" w:type="default"/>
          <w:pgSz w:w="11906" w:h="16838"/>
          <w:pgMar w:top="1701" w:right="1418" w:bottom="1588" w:left="1418" w:header="851" w:footer="992" w:gutter="0"/>
          <w:cols w:space="425" w:num="1"/>
          <w:docGrid w:type="lines" w:linePitch="312" w:charSpace="0"/>
        </w:sectPr>
      </w:pPr>
      <w:bookmarkStart w:id="155" w:name="_Toc333501126"/>
      <w:bookmarkStart w:id="156" w:name="_Toc333501415"/>
      <w:bookmarkStart w:id="157" w:name="_Toc312829626"/>
      <w:bookmarkStart w:id="158" w:name="_Toc333588667"/>
    </w:p>
    <w:p>
      <w:pPr>
        <w:pStyle w:val="61"/>
        <w:spacing w:beforeLines="50"/>
        <w:rPr>
          <w:rFonts w:hint="eastAsia" w:ascii="Times New Roman" w:hAnsi="Times New Roman" w:cs="Times New Roman"/>
          <w:sz w:val="36"/>
        </w:rPr>
      </w:pPr>
      <w:bookmarkStart w:id="159" w:name="_Toc18572"/>
      <w:r>
        <w:rPr>
          <w:rFonts w:hint="eastAsia" w:ascii="Times New Roman" w:hAnsi="Times New Roman" w:cs="Times New Roman"/>
          <w:sz w:val="36"/>
        </w:rPr>
        <w:t>9</w:t>
      </w:r>
      <w:bookmarkStart w:id="160" w:name="_Toc307820542"/>
      <w:bookmarkStart w:id="161" w:name="_Toc279396329"/>
      <w:bookmarkStart w:id="162" w:name="_Toc279396510"/>
      <w:bookmarkStart w:id="163" w:name="_Toc307944460"/>
      <w:r>
        <w:rPr>
          <w:rFonts w:hint="eastAsia" w:ascii="Times New Roman" w:hAnsi="Times New Roman" w:cs="Times New Roman"/>
          <w:sz w:val="36"/>
        </w:rPr>
        <w:t>验收监测结果</w:t>
      </w:r>
      <w:bookmarkEnd w:id="160"/>
      <w:bookmarkEnd w:id="161"/>
      <w:bookmarkEnd w:id="162"/>
      <w:r>
        <w:rPr>
          <w:rFonts w:hint="eastAsia" w:ascii="Times New Roman" w:hAnsi="Times New Roman" w:cs="Times New Roman"/>
          <w:sz w:val="36"/>
        </w:rPr>
        <w:t>及分析</w:t>
      </w:r>
      <w:bookmarkEnd w:id="155"/>
      <w:bookmarkEnd w:id="156"/>
      <w:bookmarkEnd w:id="157"/>
      <w:bookmarkEnd w:id="158"/>
      <w:bookmarkEnd w:id="159"/>
      <w:bookmarkEnd w:id="163"/>
    </w:p>
    <w:p>
      <w:pPr>
        <w:spacing w:line="540" w:lineRule="exact"/>
        <w:ind w:firstLine="480" w:firstLineChars="200"/>
        <w:rPr>
          <w:sz w:val="24"/>
          <w:szCs w:val="24"/>
        </w:rPr>
      </w:pPr>
      <w:r>
        <w:rPr>
          <w:rFonts w:hint="eastAsia" w:hAnsi="宋体"/>
          <w:sz w:val="24"/>
          <w:szCs w:val="24"/>
          <w:lang w:eastAsia="zh-CN"/>
        </w:rPr>
        <w:t>重庆新晨环境监测有限公司</w:t>
      </w:r>
      <w:r>
        <w:rPr>
          <w:rFonts w:hAnsi="宋体"/>
          <w:sz w:val="24"/>
          <w:szCs w:val="24"/>
        </w:rPr>
        <w:t>于</w:t>
      </w:r>
      <w:r>
        <w:rPr>
          <w:rFonts w:hint="eastAsia"/>
          <w:sz w:val="24"/>
          <w:szCs w:val="24"/>
          <w:lang w:eastAsia="zh-CN"/>
        </w:rPr>
        <w:t xml:space="preserve"> 2023年12月29日-30日</w:t>
      </w:r>
      <w:r>
        <w:rPr>
          <w:rFonts w:hAnsi="宋体"/>
          <w:sz w:val="24"/>
          <w:szCs w:val="24"/>
        </w:rPr>
        <w:t>按照</w:t>
      </w:r>
      <w:r>
        <w:rPr>
          <w:rFonts w:hint="eastAsia" w:hAnsi="宋体"/>
          <w:sz w:val="24"/>
          <w:szCs w:val="24"/>
          <w:lang w:eastAsia="zh-CN"/>
        </w:rPr>
        <w:t>中国石油天然气股份有限公司万州金龙加油站新建工程</w:t>
      </w:r>
      <w:r>
        <w:rPr>
          <w:rFonts w:hAnsi="宋体"/>
          <w:sz w:val="24"/>
          <w:szCs w:val="24"/>
        </w:rPr>
        <w:t>验收监测方案对</w:t>
      </w:r>
      <w:r>
        <w:rPr>
          <w:rFonts w:hint="eastAsia" w:hAnsi="宋体"/>
          <w:sz w:val="24"/>
          <w:szCs w:val="24"/>
          <w:lang w:eastAsia="zh-CN"/>
        </w:rPr>
        <w:t>中国石油天然气股份有限公司万州金龙加油站新建工程</w:t>
      </w:r>
      <w:r>
        <w:rPr>
          <w:rFonts w:hAnsi="宋体"/>
          <w:sz w:val="24"/>
          <w:szCs w:val="24"/>
        </w:rPr>
        <w:t>外排废水、废气及</w:t>
      </w:r>
      <w:r>
        <w:rPr>
          <w:rFonts w:hint="eastAsia" w:hAnsi="宋体"/>
          <w:sz w:val="24"/>
          <w:szCs w:val="24"/>
        </w:rPr>
        <w:t>厂界</w:t>
      </w:r>
      <w:r>
        <w:rPr>
          <w:rFonts w:hAnsi="宋体"/>
          <w:sz w:val="24"/>
          <w:szCs w:val="24"/>
        </w:rPr>
        <w:t>噪声</w:t>
      </w:r>
      <w:r>
        <w:rPr>
          <w:rFonts w:hAnsi="宋体"/>
          <w:bCs/>
          <w:sz w:val="24"/>
          <w:szCs w:val="24"/>
        </w:rPr>
        <w:t>实施了监测</w:t>
      </w:r>
      <w:r>
        <w:rPr>
          <w:rFonts w:hint="eastAsia" w:hAnsi="宋体"/>
          <w:bCs/>
          <w:sz w:val="24"/>
          <w:szCs w:val="24"/>
        </w:rPr>
        <w:t>，</w:t>
      </w:r>
      <w:r>
        <w:rPr>
          <w:rFonts w:hAnsi="宋体"/>
          <w:sz w:val="24"/>
          <w:szCs w:val="24"/>
        </w:rPr>
        <w:t>监测结果详见附件</w:t>
      </w:r>
      <w:r>
        <w:rPr>
          <w:rFonts w:hint="eastAsia"/>
          <w:sz w:val="24"/>
          <w:szCs w:val="24"/>
        </w:rPr>
        <w:t>2</w:t>
      </w:r>
      <w:r>
        <w:rPr>
          <w:rFonts w:hAnsi="宋体"/>
          <w:sz w:val="24"/>
          <w:szCs w:val="24"/>
        </w:rPr>
        <w:t>（</w:t>
      </w:r>
      <w:r>
        <w:rPr>
          <w:rFonts w:hint="eastAsia" w:hAnsi="宋体"/>
          <w:sz w:val="24"/>
          <w:szCs w:val="24"/>
          <w:lang w:eastAsia="zh-CN"/>
        </w:rPr>
        <w:t>新晨（检）字﹝2023﹞第 1233 号</w:t>
      </w:r>
      <w:r>
        <w:rPr>
          <w:rFonts w:hAnsi="宋体"/>
          <w:sz w:val="24"/>
          <w:szCs w:val="24"/>
        </w:rPr>
        <w:t>）。</w:t>
      </w:r>
    </w:p>
    <w:p>
      <w:pPr>
        <w:pStyle w:val="62"/>
        <w:rPr>
          <w:rFonts w:cs="Times New Roman"/>
          <w:sz w:val="32"/>
        </w:rPr>
      </w:pPr>
      <w:bookmarkStart w:id="164" w:name="_Toc11516"/>
      <w:bookmarkStart w:id="165" w:name="_Toc333501416"/>
      <w:bookmarkStart w:id="166" w:name="_Toc307820543"/>
      <w:bookmarkStart w:id="167" w:name="_Toc333588668"/>
      <w:bookmarkStart w:id="168" w:name="_Toc333501127"/>
      <w:bookmarkStart w:id="169" w:name="_Toc307944461"/>
      <w:bookmarkStart w:id="170" w:name="_Toc312829627"/>
      <w:r>
        <w:rPr>
          <w:rFonts w:hint="eastAsia" w:cs="Times New Roman"/>
          <w:sz w:val="32"/>
        </w:rPr>
        <w:t>9</w:t>
      </w:r>
      <w:r>
        <w:rPr>
          <w:rFonts w:cs="Times New Roman"/>
          <w:sz w:val="32"/>
        </w:rPr>
        <w:t>.1 监测期间工况</w:t>
      </w:r>
      <w:bookmarkEnd w:id="164"/>
      <w:bookmarkEnd w:id="165"/>
      <w:bookmarkEnd w:id="166"/>
      <w:bookmarkEnd w:id="167"/>
      <w:bookmarkEnd w:id="168"/>
      <w:bookmarkEnd w:id="169"/>
      <w:bookmarkEnd w:id="170"/>
    </w:p>
    <w:p>
      <w:pPr>
        <w:pStyle w:val="14"/>
        <w:spacing w:line="5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检测期间，</w:t>
      </w:r>
      <w:r>
        <w:rPr>
          <w:rFonts w:hint="eastAsia" w:ascii="Times New Roman" w:hAnsi="Times New Roman" w:cs="Times New Roman"/>
          <w:sz w:val="24"/>
          <w:szCs w:val="24"/>
          <w:lang w:eastAsia="zh-CN"/>
        </w:rPr>
        <w:t>中国石油天然气股份有限公司万州金龙加油站新建工程建设项目</w:t>
      </w:r>
      <w:r>
        <w:rPr>
          <w:rFonts w:hint="eastAsia" w:ascii="Times New Roman" w:hAnsi="Times New Roman" w:cs="Times New Roman"/>
          <w:sz w:val="24"/>
          <w:szCs w:val="24"/>
        </w:rPr>
        <w:t>正常</w:t>
      </w:r>
      <w:r>
        <w:rPr>
          <w:rFonts w:ascii="Times New Roman" w:hAnsi="Times New Roman" w:cs="Times New Roman"/>
          <w:sz w:val="24"/>
          <w:szCs w:val="24"/>
        </w:rPr>
        <w:t>运行。</w:t>
      </w:r>
    </w:p>
    <w:p>
      <w:pPr>
        <w:pStyle w:val="62"/>
        <w:rPr>
          <w:rFonts w:cs="Times New Roman"/>
          <w:sz w:val="32"/>
        </w:rPr>
      </w:pPr>
      <w:bookmarkStart w:id="171" w:name="_Toc279396511"/>
      <w:bookmarkStart w:id="172" w:name="_Toc333501417"/>
      <w:bookmarkStart w:id="173" w:name="_Toc333501128"/>
      <w:bookmarkStart w:id="174" w:name="_Toc312829628"/>
      <w:bookmarkStart w:id="175" w:name="_Toc333588669"/>
      <w:bookmarkStart w:id="176" w:name="_Toc307944462"/>
      <w:bookmarkStart w:id="177" w:name="_Toc279396330"/>
      <w:bookmarkStart w:id="178" w:name="_Toc307820544"/>
      <w:bookmarkStart w:id="179" w:name="_Toc21042"/>
      <w:r>
        <w:rPr>
          <w:rFonts w:hint="eastAsia" w:cs="Times New Roman"/>
          <w:sz w:val="32"/>
        </w:rPr>
        <w:t>9</w:t>
      </w:r>
      <w:r>
        <w:rPr>
          <w:rFonts w:cs="Times New Roman"/>
          <w:sz w:val="32"/>
        </w:rPr>
        <w:t xml:space="preserve">.2 </w:t>
      </w:r>
      <w:bookmarkEnd w:id="171"/>
      <w:bookmarkEnd w:id="172"/>
      <w:bookmarkEnd w:id="173"/>
      <w:bookmarkEnd w:id="174"/>
      <w:bookmarkEnd w:id="175"/>
      <w:bookmarkEnd w:id="176"/>
      <w:bookmarkEnd w:id="177"/>
      <w:bookmarkEnd w:id="178"/>
      <w:r>
        <w:rPr>
          <w:rFonts w:hint="eastAsia" w:cs="Times New Roman"/>
          <w:sz w:val="32"/>
        </w:rPr>
        <w:t>环境保护设施调试效果</w:t>
      </w:r>
      <w:bookmarkEnd w:id="179"/>
    </w:p>
    <w:p>
      <w:pPr>
        <w:spacing w:line="360" w:lineRule="auto"/>
        <w:rPr>
          <w:b/>
          <w:sz w:val="28"/>
          <w:szCs w:val="28"/>
        </w:rPr>
      </w:pPr>
      <w:r>
        <w:rPr>
          <w:rFonts w:hint="eastAsia"/>
          <w:b/>
          <w:sz w:val="28"/>
        </w:rPr>
        <w:t>9</w:t>
      </w:r>
      <w:r>
        <w:rPr>
          <w:b/>
          <w:sz w:val="28"/>
        </w:rPr>
        <w:t xml:space="preserve">.2.1 </w:t>
      </w:r>
      <w:r>
        <w:rPr>
          <w:rFonts w:hint="eastAsia"/>
          <w:b/>
          <w:sz w:val="28"/>
        </w:rPr>
        <w:t>废水</w:t>
      </w:r>
    </w:p>
    <w:p>
      <w:pPr>
        <w:spacing w:line="540" w:lineRule="exact"/>
        <w:ind w:firstLine="480" w:firstLineChars="200"/>
        <w:rPr>
          <w:rFonts w:hAnsi="宋体"/>
          <w:sz w:val="24"/>
          <w:szCs w:val="24"/>
        </w:rPr>
      </w:pPr>
      <w:bookmarkStart w:id="180" w:name="_Toc333501129"/>
      <w:bookmarkStart w:id="181" w:name="_Toc333588670"/>
      <w:bookmarkStart w:id="182" w:name="_Toc333501418"/>
      <w:bookmarkStart w:id="183" w:name="_Toc312829629"/>
      <w:r>
        <w:rPr>
          <w:rFonts w:hint="eastAsia" w:hAnsi="宋体"/>
          <w:sz w:val="24"/>
          <w:szCs w:val="24"/>
        </w:rPr>
        <w:t>废水监测结果详见表9-1。</w:t>
      </w:r>
    </w:p>
    <w:p>
      <w:pPr>
        <w:spacing w:line="500" w:lineRule="exact"/>
        <w:jc w:val="center"/>
        <w:rPr>
          <w:rFonts w:hAnsi="宋体"/>
          <w:b/>
          <w:sz w:val="24"/>
          <w:szCs w:val="24"/>
        </w:rPr>
      </w:pPr>
      <w:r>
        <w:rPr>
          <w:rFonts w:hAnsi="宋体"/>
          <w:b/>
          <w:sz w:val="24"/>
          <w:szCs w:val="24"/>
        </w:rPr>
        <w:t>表</w:t>
      </w:r>
      <w:r>
        <w:rPr>
          <w:rFonts w:hint="eastAsia"/>
          <w:b/>
          <w:sz w:val="24"/>
          <w:szCs w:val="24"/>
        </w:rPr>
        <w:t>9-1</w:t>
      </w:r>
      <w:r>
        <w:rPr>
          <w:rFonts w:hAnsi="宋体"/>
          <w:b/>
          <w:sz w:val="24"/>
          <w:szCs w:val="24"/>
        </w:rPr>
        <w:t>废水监测结果一览表</w:t>
      </w:r>
    </w:p>
    <w:tbl>
      <w:tblPr>
        <w:tblStyle w:val="78"/>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8"/>
        <w:gridCol w:w="1596"/>
        <w:gridCol w:w="927"/>
        <w:gridCol w:w="927"/>
        <w:gridCol w:w="927"/>
        <w:gridCol w:w="927"/>
        <w:gridCol w:w="942"/>
        <w:gridCol w:w="758"/>
        <w:gridCol w:w="8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55" w:type="pct"/>
            <w:vMerge w:val="restart"/>
            <w:tcBorders>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日期</w:t>
            </w:r>
          </w:p>
        </w:tc>
        <w:tc>
          <w:tcPr>
            <w:tcW w:w="880" w:type="pct"/>
            <w:vMerge w:val="restart"/>
            <w:tcBorders>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项目</w:t>
            </w:r>
          </w:p>
        </w:tc>
        <w:tc>
          <w:tcPr>
            <w:tcW w:w="2563" w:type="pct"/>
            <w:gridSpan w:val="5"/>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S1 检测结果</w:t>
            </w:r>
          </w:p>
        </w:tc>
        <w:tc>
          <w:tcPr>
            <w:tcW w:w="418" w:type="pct"/>
            <w:vMerge w:val="restart"/>
            <w:tcBorders>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限值</w:t>
            </w:r>
          </w:p>
        </w:tc>
        <w:tc>
          <w:tcPr>
            <w:tcW w:w="481" w:type="pct"/>
            <w:vMerge w:val="restart"/>
            <w:tcBorders>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55" w:type="pct"/>
            <w:vMerge w:val="continue"/>
            <w:tcBorders>
              <w:top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880" w:type="pct"/>
            <w:vMerge w:val="continue"/>
            <w:tcBorders>
              <w:top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第一次</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第二次</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第三次</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第四次</w:t>
            </w:r>
          </w:p>
        </w:tc>
        <w:tc>
          <w:tcPr>
            <w:tcW w:w="516"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平均值</w:t>
            </w:r>
          </w:p>
        </w:tc>
        <w:tc>
          <w:tcPr>
            <w:tcW w:w="418" w:type="pct"/>
            <w:vMerge w:val="continue"/>
            <w:tcBorders>
              <w:top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481" w:type="pct"/>
            <w:vMerge w:val="continue"/>
            <w:tcBorders>
              <w:top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55" w:type="pct"/>
            <w:vMerge w:val="restart"/>
            <w:tcBorders>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2023.12.29</w:t>
            </w:r>
          </w:p>
        </w:tc>
        <w:tc>
          <w:tcPr>
            <w:tcW w:w="88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悬浮物</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33</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36</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37</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30</w:t>
            </w:r>
          </w:p>
        </w:tc>
        <w:tc>
          <w:tcPr>
            <w:tcW w:w="516"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34</w:t>
            </w:r>
          </w:p>
        </w:tc>
        <w:tc>
          <w:tcPr>
            <w:tcW w:w="418"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400</w:t>
            </w:r>
          </w:p>
        </w:tc>
        <w:tc>
          <w:tcPr>
            <w:tcW w:w="48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55" w:type="pct"/>
            <w:vMerge w:val="continue"/>
            <w:tcBorders>
              <w:top w:val="nil"/>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88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氨氮</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33.6</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37.9</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36.0</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34.8</w:t>
            </w:r>
          </w:p>
        </w:tc>
        <w:tc>
          <w:tcPr>
            <w:tcW w:w="516"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35.6</w:t>
            </w:r>
          </w:p>
        </w:tc>
        <w:tc>
          <w:tcPr>
            <w:tcW w:w="418"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45</w:t>
            </w:r>
          </w:p>
        </w:tc>
        <w:tc>
          <w:tcPr>
            <w:tcW w:w="48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55" w:type="pct"/>
            <w:vMerge w:val="continue"/>
            <w:tcBorders>
              <w:top w:val="nil"/>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88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化学需氧量</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118</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110</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119</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124</w:t>
            </w:r>
          </w:p>
        </w:tc>
        <w:tc>
          <w:tcPr>
            <w:tcW w:w="516"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118</w:t>
            </w:r>
          </w:p>
        </w:tc>
        <w:tc>
          <w:tcPr>
            <w:tcW w:w="418"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500</w:t>
            </w:r>
          </w:p>
        </w:tc>
        <w:tc>
          <w:tcPr>
            <w:tcW w:w="48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55" w:type="pct"/>
            <w:vMerge w:val="continue"/>
            <w:tcBorders>
              <w:top w:val="nil"/>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88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五日生化需氧量</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35.9</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35.9</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40.9</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34.9</w:t>
            </w:r>
          </w:p>
        </w:tc>
        <w:tc>
          <w:tcPr>
            <w:tcW w:w="516"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36.9</w:t>
            </w:r>
          </w:p>
        </w:tc>
        <w:tc>
          <w:tcPr>
            <w:tcW w:w="418"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300</w:t>
            </w:r>
          </w:p>
        </w:tc>
        <w:tc>
          <w:tcPr>
            <w:tcW w:w="48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55" w:type="pct"/>
            <w:vMerge w:val="continue"/>
            <w:tcBorders>
              <w:top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88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石油类</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1.03</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0.89</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0.96</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1.03</w:t>
            </w:r>
          </w:p>
        </w:tc>
        <w:tc>
          <w:tcPr>
            <w:tcW w:w="516"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0.98</w:t>
            </w:r>
          </w:p>
        </w:tc>
        <w:tc>
          <w:tcPr>
            <w:tcW w:w="418"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w:t>
            </w:r>
          </w:p>
        </w:tc>
        <w:tc>
          <w:tcPr>
            <w:tcW w:w="48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55" w:type="pct"/>
            <w:vMerge w:val="restart"/>
            <w:tcBorders>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2023.12.30</w:t>
            </w:r>
          </w:p>
        </w:tc>
        <w:tc>
          <w:tcPr>
            <w:tcW w:w="88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悬浮物</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35</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41</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38</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39</w:t>
            </w:r>
          </w:p>
        </w:tc>
        <w:tc>
          <w:tcPr>
            <w:tcW w:w="516"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38</w:t>
            </w:r>
          </w:p>
        </w:tc>
        <w:tc>
          <w:tcPr>
            <w:tcW w:w="418"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400</w:t>
            </w:r>
          </w:p>
        </w:tc>
        <w:tc>
          <w:tcPr>
            <w:tcW w:w="48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55" w:type="pct"/>
            <w:vMerge w:val="continue"/>
            <w:tcBorders>
              <w:top w:val="nil"/>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88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氨氮</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37.1</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39.4</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38.6</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33.0</w:t>
            </w:r>
          </w:p>
        </w:tc>
        <w:tc>
          <w:tcPr>
            <w:tcW w:w="516"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37.0</w:t>
            </w:r>
          </w:p>
        </w:tc>
        <w:tc>
          <w:tcPr>
            <w:tcW w:w="418"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45</w:t>
            </w:r>
          </w:p>
        </w:tc>
        <w:tc>
          <w:tcPr>
            <w:tcW w:w="48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55" w:type="pct"/>
            <w:vMerge w:val="continue"/>
            <w:tcBorders>
              <w:top w:val="nil"/>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88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化学需氧量</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104</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95</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125</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92</w:t>
            </w:r>
          </w:p>
        </w:tc>
        <w:tc>
          <w:tcPr>
            <w:tcW w:w="516"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104</w:t>
            </w:r>
          </w:p>
        </w:tc>
        <w:tc>
          <w:tcPr>
            <w:tcW w:w="418"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500</w:t>
            </w:r>
          </w:p>
        </w:tc>
        <w:tc>
          <w:tcPr>
            <w:tcW w:w="48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55" w:type="pct"/>
            <w:vMerge w:val="continue"/>
            <w:tcBorders>
              <w:top w:val="nil"/>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88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五日生化需氧量</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34.2</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35.2</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40.2</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30.2</w:t>
            </w:r>
          </w:p>
        </w:tc>
        <w:tc>
          <w:tcPr>
            <w:tcW w:w="516"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35.0</w:t>
            </w:r>
          </w:p>
        </w:tc>
        <w:tc>
          <w:tcPr>
            <w:tcW w:w="418"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300</w:t>
            </w:r>
          </w:p>
        </w:tc>
        <w:tc>
          <w:tcPr>
            <w:tcW w:w="48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55" w:type="pct"/>
            <w:vMerge w:val="continue"/>
            <w:tcBorders>
              <w:top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88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石油类</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1.15</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1.02</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0.86</w:t>
            </w:r>
          </w:p>
        </w:tc>
        <w:tc>
          <w:tcPr>
            <w:tcW w:w="51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0.77</w:t>
            </w:r>
          </w:p>
        </w:tc>
        <w:tc>
          <w:tcPr>
            <w:tcW w:w="516"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0.95</w:t>
            </w:r>
          </w:p>
        </w:tc>
        <w:tc>
          <w:tcPr>
            <w:tcW w:w="418"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w:t>
            </w:r>
          </w:p>
        </w:tc>
        <w:tc>
          <w:tcPr>
            <w:tcW w:w="48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55"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备 注</w:t>
            </w:r>
          </w:p>
        </w:tc>
        <w:tc>
          <w:tcPr>
            <w:tcW w:w="4344" w:type="pct"/>
            <w:gridSpan w:val="8"/>
            <w:vAlign w:val="center"/>
          </w:tcPr>
          <w:p>
            <w:pPr>
              <w:widowControl w:val="0"/>
              <w:kinsoku/>
              <w:overflowPunct/>
              <w:autoSpaceDE/>
              <w:autoSpaceDN/>
              <w:adjustRightInd/>
              <w:snapToGrid/>
              <w:spacing w:after="0" w:line="240" w:lineRule="auto"/>
              <w:ind w:firstLine="0" w:firstLineChars="0"/>
              <w:jc w:val="left"/>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1.本次检测数据仅对本次采样点位所采集样品有效。</w:t>
            </w:r>
          </w:p>
          <w:p>
            <w:pPr>
              <w:widowControl w:val="0"/>
              <w:kinsoku/>
              <w:overflowPunct/>
              <w:autoSpaceDE/>
              <w:autoSpaceDN/>
              <w:adjustRightInd/>
              <w:snapToGrid/>
              <w:spacing w:after="0" w:line="240" w:lineRule="auto"/>
              <w:ind w:firstLine="0" w:firstLineChars="0"/>
              <w:jc w:val="left"/>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2.“氨氮 ”限值参照《污水排入城镇下水道水质标准》（GB/T 31962-2015）表 1,B 级标准， 其它限值参照《污水综合排放标准》（GB 8978-1996)表 4,三级标准。</w:t>
            </w:r>
          </w:p>
        </w:tc>
      </w:tr>
    </w:tbl>
    <w:p>
      <w:pPr>
        <w:spacing w:line="540" w:lineRule="exact"/>
        <w:ind w:firstLine="480" w:firstLineChars="200"/>
        <w:rPr>
          <w:rFonts w:hint="eastAsia"/>
          <w:b/>
          <w:sz w:val="28"/>
        </w:rPr>
      </w:pPr>
      <w:r>
        <w:rPr>
          <w:rFonts w:hint="eastAsia" w:hAnsi="宋体"/>
          <w:sz w:val="24"/>
          <w:szCs w:val="24"/>
        </w:rPr>
        <w:t>根据表9-1可知，</w:t>
      </w:r>
      <w:r>
        <w:rPr>
          <w:bCs/>
          <w:sz w:val="24"/>
          <w:szCs w:val="24"/>
        </w:rPr>
        <w:t>验收监测期间，</w:t>
      </w:r>
      <w:r>
        <w:rPr>
          <w:rFonts w:hint="eastAsia"/>
          <w:bCs/>
          <w:sz w:val="24"/>
          <w:szCs w:val="24"/>
          <w:lang w:eastAsia="zh-CN"/>
        </w:rPr>
        <w:t>中国石油天然气股份有限公司万州金龙加油站新建工程</w:t>
      </w:r>
      <w:r>
        <w:rPr>
          <w:rFonts w:hint="eastAsia"/>
          <w:bCs/>
          <w:sz w:val="24"/>
          <w:szCs w:val="24"/>
        </w:rPr>
        <w:t>外排废水</w:t>
      </w:r>
      <w:r>
        <w:rPr>
          <w:rFonts w:hint="eastAsia"/>
          <w:sz w:val="24"/>
          <w:szCs w:val="24"/>
        </w:rPr>
        <w:t>CO</w:t>
      </w:r>
      <w:r>
        <w:rPr>
          <w:rFonts w:hint="eastAsia" w:ascii="Times New Roman" w:hAnsi="Times New Roman" w:cs="Times New Roman"/>
          <w:bCs/>
          <w:sz w:val="24"/>
          <w:szCs w:val="24"/>
        </w:rPr>
        <w:t>D、BOD</w:t>
      </w:r>
      <w:r>
        <w:rPr>
          <w:rFonts w:hint="eastAsia" w:ascii="Times New Roman" w:hAnsi="Times New Roman" w:cs="Times New Roman"/>
          <w:bCs/>
          <w:sz w:val="24"/>
          <w:szCs w:val="24"/>
          <w:vertAlign w:val="subscript"/>
        </w:rPr>
        <w:t>5</w:t>
      </w:r>
      <w:r>
        <w:rPr>
          <w:rFonts w:hint="eastAsia" w:ascii="Times New Roman" w:hAnsi="Times New Roman" w:cs="Times New Roman"/>
          <w:bCs/>
          <w:sz w:val="24"/>
          <w:szCs w:val="24"/>
        </w:rPr>
        <w:t>、SS、石油类排放浓度能够满足《污水综合排放标准》（</w:t>
      </w:r>
      <w:r>
        <w:rPr>
          <w:rFonts w:ascii="Times New Roman" w:hAnsi="Times New Roman" w:cs="Times New Roman"/>
          <w:bCs/>
          <w:sz w:val="24"/>
          <w:szCs w:val="24"/>
        </w:rPr>
        <w:t>GB8978-1996</w:t>
      </w:r>
      <w:r>
        <w:rPr>
          <w:rFonts w:hint="eastAsia" w:ascii="Times New Roman" w:hAnsi="Times New Roman" w:cs="Times New Roman"/>
          <w:bCs/>
          <w:sz w:val="24"/>
          <w:szCs w:val="24"/>
        </w:rPr>
        <w:t>）三级标准限值要求</w:t>
      </w:r>
      <w:r>
        <w:rPr>
          <w:rFonts w:hint="eastAsia" w:ascii="Times New Roman" w:hAnsi="Times New Roman" w:cs="Times New Roman"/>
          <w:bCs/>
          <w:sz w:val="24"/>
          <w:szCs w:val="24"/>
          <w:lang w:eastAsia="zh-CN"/>
        </w:rPr>
        <w:t>，</w:t>
      </w:r>
      <w:r>
        <w:rPr>
          <w:rFonts w:ascii="Times New Roman" w:hAnsi="Times New Roman" w:cs="Times New Roman"/>
          <w:bCs/>
          <w:sz w:val="24"/>
          <w:szCs w:val="24"/>
        </w:rPr>
        <w:t>氨氮</w:t>
      </w:r>
      <w:r>
        <w:rPr>
          <w:rFonts w:hint="eastAsia" w:ascii="Times New Roman" w:hAnsi="Times New Roman" w:cs="Times New Roman"/>
          <w:bCs/>
          <w:sz w:val="24"/>
          <w:szCs w:val="24"/>
          <w:lang w:eastAsia="zh-CN"/>
        </w:rPr>
        <w:t>满足</w:t>
      </w:r>
      <w:r>
        <w:rPr>
          <w:rFonts w:ascii="Times New Roman" w:hAnsi="Times New Roman" w:cs="Times New Roman"/>
          <w:bCs/>
          <w:sz w:val="24"/>
          <w:szCs w:val="24"/>
        </w:rPr>
        <w:t>《污水排入城镇下水道水质标准》（GB/T 31962-2015）表 1</w:t>
      </w:r>
      <w:r>
        <w:rPr>
          <w:rFonts w:hint="eastAsia" w:ascii="Times New Roman" w:hAnsi="Times New Roman" w:cs="Times New Roman"/>
          <w:bCs/>
          <w:sz w:val="24"/>
          <w:szCs w:val="24"/>
          <w:lang w:val="en-US" w:eastAsia="zh-CN"/>
        </w:rPr>
        <w:t>.</w:t>
      </w:r>
      <w:r>
        <w:rPr>
          <w:rFonts w:ascii="Times New Roman" w:hAnsi="Times New Roman" w:cs="Times New Roman"/>
          <w:bCs/>
          <w:sz w:val="24"/>
          <w:szCs w:val="24"/>
        </w:rPr>
        <w:t>B 级标准</w:t>
      </w:r>
      <w:r>
        <w:rPr>
          <w:rFonts w:hint="eastAsia" w:ascii="Times New Roman" w:hAnsi="Times New Roman" w:cs="Times New Roman"/>
          <w:bCs/>
          <w:sz w:val="24"/>
          <w:szCs w:val="24"/>
        </w:rPr>
        <w:t>。</w:t>
      </w:r>
    </w:p>
    <w:p>
      <w:pPr>
        <w:spacing w:beforeLines="50" w:line="360" w:lineRule="auto"/>
        <w:rPr>
          <w:b/>
          <w:sz w:val="28"/>
        </w:rPr>
      </w:pPr>
      <w:r>
        <w:rPr>
          <w:rFonts w:hint="eastAsia"/>
          <w:b/>
          <w:sz w:val="28"/>
        </w:rPr>
        <w:t>9</w:t>
      </w:r>
      <w:r>
        <w:rPr>
          <w:b/>
          <w:sz w:val="28"/>
        </w:rPr>
        <w:t xml:space="preserve">.2.2 </w:t>
      </w:r>
      <w:bookmarkEnd w:id="180"/>
      <w:bookmarkEnd w:id="181"/>
      <w:bookmarkEnd w:id="182"/>
      <w:bookmarkEnd w:id="183"/>
      <w:r>
        <w:rPr>
          <w:rFonts w:hint="eastAsia"/>
          <w:b/>
          <w:sz w:val="28"/>
        </w:rPr>
        <w:t>废气</w:t>
      </w:r>
    </w:p>
    <w:p>
      <w:pPr>
        <w:adjustRightInd w:val="0"/>
        <w:snapToGrid w:val="0"/>
        <w:spacing w:line="540" w:lineRule="exact"/>
        <w:ind w:firstLine="480" w:firstLineChars="200"/>
        <w:jc w:val="left"/>
        <w:rPr>
          <w:sz w:val="24"/>
          <w:szCs w:val="24"/>
        </w:rPr>
      </w:pPr>
      <w:r>
        <w:rPr>
          <w:rFonts w:hint="eastAsia"/>
          <w:sz w:val="24"/>
          <w:szCs w:val="24"/>
          <w:lang w:eastAsia="zh-CN"/>
        </w:rPr>
        <w:t>厂界</w:t>
      </w:r>
      <w:r>
        <w:rPr>
          <w:rFonts w:hint="eastAsia"/>
          <w:sz w:val="24"/>
          <w:szCs w:val="24"/>
        </w:rPr>
        <w:t>无组织排放废气监测结果详见表9-2。</w:t>
      </w:r>
    </w:p>
    <w:p>
      <w:pPr>
        <w:spacing w:line="500" w:lineRule="exact"/>
        <w:jc w:val="center"/>
        <w:rPr>
          <w:rFonts w:hint="eastAsia" w:hAnsi="宋体"/>
          <w:b/>
          <w:sz w:val="24"/>
          <w:szCs w:val="24"/>
        </w:rPr>
      </w:pPr>
      <w:r>
        <w:rPr>
          <w:rFonts w:hint="eastAsia" w:hAnsi="宋体"/>
          <w:b/>
          <w:sz w:val="24"/>
          <w:szCs w:val="24"/>
        </w:rPr>
        <w:t>表9-</w:t>
      </w:r>
      <w:r>
        <w:rPr>
          <w:rFonts w:hint="eastAsia"/>
          <w:b/>
          <w:sz w:val="24"/>
          <w:szCs w:val="24"/>
        </w:rPr>
        <w:t>2</w:t>
      </w:r>
      <w:r>
        <w:rPr>
          <w:rFonts w:hint="eastAsia"/>
          <w:b/>
          <w:sz w:val="24"/>
          <w:szCs w:val="24"/>
          <w:lang w:eastAsia="zh-CN"/>
        </w:rPr>
        <w:t>厂界</w:t>
      </w:r>
      <w:r>
        <w:rPr>
          <w:rFonts w:hint="eastAsia" w:hAnsi="宋体"/>
          <w:b/>
          <w:sz w:val="24"/>
          <w:szCs w:val="24"/>
        </w:rPr>
        <w:t>无组织排放废气监测结果一览表</w:t>
      </w:r>
    </w:p>
    <w:tbl>
      <w:tblPr>
        <w:tblStyle w:val="7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76"/>
        <w:gridCol w:w="1225"/>
        <w:gridCol w:w="628"/>
        <w:gridCol w:w="1054"/>
        <w:gridCol w:w="1056"/>
        <w:gridCol w:w="1056"/>
        <w:gridCol w:w="1183"/>
        <w:gridCol w:w="729"/>
        <w:gridCol w:w="8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3" w:type="pct"/>
            <w:vMerge w:val="restart"/>
            <w:tcBorders>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日期</w:t>
            </w:r>
          </w:p>
        </w:tc>
        <w:tc>
          <w:tcPr>
            <w:tcW w:w="675" w:type="pct"/>
            <w:vMerge w:val="restart"/>
            <w:tcBorders>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项目</w:t>
            </w:r>
          </w:p>
        </w:tc>
        <w:tc>
          <w:tcPr>
            <w:tcW w:w="346" w:type="pct"/>
            <w:vMerge w:val="restart"/>
            <w:tcBorders>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点位</w:t>
            </w:r>
          </w:p>
        </w:tc>
        <w:tc>
          <w:tcPr>
            <w:tcW w:w="2397" w:type="pct"/>
            <w:gridSpan w:val="4"/>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检测结果</w:t>
            </w:r>
          </w:p>
        </w:tc>
        <w:tc>
          <w:tcPr>
            <w:tcW w:w="402" w:type="pct"/>
            <w:vMerge w:val="restart"/>
            <w:tcBorders>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限值</w:t>
            </w:r>
          </w:p>
        </w:tc>
        <w:tc>
          <w:tcPr>
            <w:tcW w:w="474" w:type="pct"/>
            <w:vMerge w:val="restart"/>
            <w:tcBorders>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3" w:type="pct"/>
            <w:vMerge w:val="continue"/>
            <w:tcBorders>
              <w:top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675" w:type="pct"/>
            <w:vMerge w:val="continue"/>
            <w:tcBorders>
              <w:top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346" w:type="pct"/>
            <w:vMerge w:val="continue"/>
            <w:tcBorders>
              <w:top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58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第一次</w:t>
            </w:r>
          </w:p>
        </w:tc>
        <w:tc>
          <w:tcPr>
            <w:tcW w:w="582"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第二次</w:t>
            </w:r>
          </w:p>
        </w:tc>
        <w:tc>
          <w:tcPr>
            <w:tcW w:w="582"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第三次</w:t>
            </w:r>
          </w:p>
        </w:tc>
        <w:tc>
          <w:tcPr>
            <w:tcW w:w="65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报出结果  （最大值）</w:t>
            </w:r>
          </w:p>
        </w:tc>
        <w:tc>
          <w:tcPr>
            <w:tcW w:w="402" w:type="pct"/>
            <w:vMerge w:val="continue"/>
            <w:tcBorders>
              <w:top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474" w:type="pct"/>
            <w:vMerge w:val="continue"/>
            <w:tcBorders>
              <w:top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3"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2023.12.29</w:t>
            </w:r>
          </w:p>
        </w:tc>
        <w:tc>
          <w:tcPr>
            <w:tcW w:w="675"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非甲烷总烃</w:t>
            </w:r>
          </w:p>
        </w:tc>
        <w:tc>
          <w:tcPr>
            <w:tcW w:w="346"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Q1</w:t>
            </w:r>
          </w:p>
        </w:tc>
        <w:tc>
          <w:tcPr>
            <w:tcW w:w="58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0.41</w:t>
            </w:r>
          </w:p>
        </w:tc>
        <w:tc>
          <w:tcPr>
            <w:tcW w:w="582"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0.45</w:t>
            </w:r>
          </w:p>
        </w:tc>
        <w:tc>
          <w:tcPr>
            <w:tcW w:w="582"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0.41</w:t>
            </w:r>
          </w:p>
        </w:tc>
        <w:tc>
          <w:tcPr>
            <w:tcW w:w="65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0.45</w:t>
            </w:r>
          </w:p>
        </w:tc>
        <w:tc>
          <w:tcPr>
            <w:tcW w:w="402" w:type="pct"/>
            <w:vMerge w:val="restart"/>
            <w:tcBorders>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4.0</w:t>
            </w:r>
          </w:p>
        </w:tc>
        <w:tc>
          <w:tcPr>
            <w:tcW w:w="474" w:type="pct"/>
            <w:vMerge w:val="restart"/>
            <w:tcBorders>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mg/m</w:t>
            </w:r>
            <w:r>
              <w:rPr>
                <w:rFonts w:hint="eastAsia" w:ascii="Times New Roman" w:hAnsi="Times New Roman" w:cs="Times New Roman" w:eastAsiaTheme="minorEastAsia"/>
                <w:kern w:val="0"/>
                <w:sz w:val="21"/>
                <w:szCs w:val="21"/>
                <w:vertAlign w:val="superscript"/>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3"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2023.12.30</w:t>
            </w:r>
          </w:p>
        </w:tc>
        <w:tc>
          <w:tcPr>
            <w:tcW w:w="675"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非甲烷总烃</w:t>
            </w:r>
          </w:p>
        </w:tc>
        <w:tc>
          <w:tcPr>
            <w:tcW w:w="346"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Q1</w:t>
            </w:r>
          </w:p>
        </w:tc>
        <w:tc>
          <w:tcPr>
            <w:tcW w:w="58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0.50</w:t>
            </w:r>
          </w:p>
        </w:tc>
        <w:tc>
          <w:tcPr>
            <w:tcW w:w="582"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0.43</w:t>
            </w:r>
          </w:p>
        </w:tc>
        <w:tc>
          <w:tcPr>
            <w:tcW w:w="582"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0.30</w:t>
            </w:r>
          </w:p>
        </w:tc>
        <w:tc>
          <w:tcPr>
            <w:tcW w:w="65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0.50</w:t>
            </w:r>
          </w:p>
        </w:tc>
        <w:tc>
          <w:tcPr>
            <w:tcW w:w="402" w:type="pct"/>
            <w:vMerge w:val="continue"/>
            <w:tcBorders>
              <w:top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474" w:type="pct"/>
            <w:vMerge w:val="continue"/>
            <w:tcBorders>
              <w:top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3"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备 注</w:t>
            </w:r>
          </w:p>
        </w:tc>
        <w:tc>
          <w:tcPr>
            <w:tcW w:w="4296" w:type="pct"/>
            <w:gridSpan w:val="8"/>
            <w:vAlign w:val="center"/>
          </w:tcPr>
          <w:p>
            <w:pPr>
              <w:widowControl w:val="0"/>
              <w:kinsoku/>
              <w:overflowPunct/>
              <w:autoSpaceDE/>
              <w:autoSpaceDN/>
              <w:adjustRightInd/>
              <w:snapToGrid/>
              <w:spacing w:after="0" w:line="240" w:lineRule="auto"/>
              <w:ind w:firstLine="0" w:firstLineChars="0"/>
              <w:jc w:val="left"/>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1.本次检测数据仅对本次采样点位所采集样品有效。</w:t>
            </w:r>
          </w:p>
          <w:p>
            <w:pPr>
              <w:widowControl w:val="0"/>
              <w:kinsoku/>
              <w:overflowPunct/>
              <w:autoSpaceDE/>
              <w:autoSpaceDN/>
              <w:adjustRightInd/>
              <w:snapToGrid/>
              <w:spacing w:after="0" w:line="240" w:lineRule="auto"/>
              <w:ind w:firstLine="0" w:firstLineChars="0"/>
              <w:jc w:val="left"/>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2.限值参照《加油站大气污染物排放标准》（GB 20952-2020）表 3。</w:t>
            </w:r>
          </w:p>
        </w:tc>
      </w:tr>
    </w:tbl>
    <w:p>
      <w:pPr>
        <w:adjustRightInd w:val="0"/>
        <w:snapToGrid w:val="0"/>
        <w:spacing w:line="540" w:lineRule="exact"/>
        <w:ind w:firstLine="480" w:firstLineChars="200"/>
        <w:jc w:val="left"/>
        <w:rPr>
          <w:sz w:val="24"/>
          <w:szCs w:val="24"/>
        </w:rPr>
      </w:pPr>
      <w:r>
        <w:rPr>
          <w:rFonts w:hint="eastAsia"/>
          <w:sz w:val="24"/>
          <w:szCs w:val="24"/>
          <w:lang w:val="en-US" w:eastAsia="zh-CN"/>
        </w:rPr>
        <w:t>站区内</w:t>
      </w:r>
      <w:r>
        <w:rPr>
          <w:rFonts w:hint="eastAsia"/>
          <w:sz w:val="24"/>
          <w:szCs w:val="24"/>
        </w:rPr>
        <w:t>无组织排放废气监测结果详见表9-</w:t>
      </w:r>
      <w:r>
        <w:rPr>
          <w:rFonts w:hint="eastAsia"/>
          <w:sz w:val="24"/>
          <w:szCs w:val="24"/>
          <w:lang w:val="en-US" w:eastAsia="zh-CN"/>
        </w:rPr>
        <w:t>3</w:t>
      </w:r>
      <w:r>
        <w:rPr>
          <w:rFonts w:hint="eastAsia"/>
          <w:sz w:val="24"/>
          <w:szCs w:val="24"/>
        </w:rPr>
        <w:t>。</w:t>
      </w:r>
    </w:p>
    <w:p>
      <w:pPr>
        <w:spacing w:line="500" w:lineRule="exact"/>
        <w:jc w:val="center"/>
        <w:rPr>
          <w:rFonts w:hint="eastAsia" w:ascii="Times New Roman" w:hAnsi="宋体" w:cs="Times New Roman"/>
          <w:b/>
          <w:sz w:val="24"/>
          <w:szCs w:val="24"/>
        </w:rPr>
      </w:pPr>
      <w:r>
        <w:rPr>
          <w:rFonts w:hint="eastAsia" w:ascii="Times New Roman" w:hAnsi="宋体" w:cs="Times New Roman"/>
          <w:b/>
          <w:sz w:val="24"/>
          <w:szCs w:val="24"/>
        </w:rPr>
        <w:t>表9-</w:t>
      </w:r>
      <w:r>
        <w:rPr>
          <w:rFonts w:hint="eastAsia" w:ascii="Times New Roman" w:hAnsi="宋体" w:cs="Times New Roman"/>
          <w:b/>
          <w:sz w:val="24"/>
          <w:szCs w:val="24"/>
          <w:lang w:val="en-US" w:eastAsia="zh-CN"/>
        </w:rPr>
        <w:t>3站区内</w:t>
      </w:r>
      <w:r>
        <w:rPr>
          <w:rFonts w:hint="eastAsia" w:ascii="Times New Roman" w:hAnsi="宋体" w:cs="Times New Roman"/>
          <w:b/>
          <w:sz w:val="24"/>
          <w:szCs w:val="24"/>
        </w:rPr>
        <w:t>无组织排放废气监测结果一览表</w:t>
      </w:r>
    </w:p>
    <w:tbl>
      <w:tblPr>
        <w:tblStyle w:val="7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76"/>
        <w:gridCol w:w="1237"/>
        <w:gridCol w:w="617"/>
        <w:gridCol w:w="1070"/>
        <w:gridCol w:w="1036"/>
        <w:gridCol w:w="1070"/>
        <w:gridCol w:w="1172"/>
        <w:gridCol w:w="729"/>
        <w:gridCol w:w="8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3" w:type="pct"/>
            <w:vMerge w:val="restart"/>
            <w:tcBorders>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日期</w:t>
            </w:r>
          </w:p>
        </w:tc>
        <w:tc>
          <w:tcPr>
            <w:tcW w:w="682" w:type="pct"/>
            <w:vMerge w:val="restart"/>
            <w:tcBorders>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项目</w:t>
            </w:r>
          </w:p>
        </w:tc>
        <w:tc>
          <w:tcPr>
            <w:tcW w:w="340" w:type="pct"/>
            <w:vMerge w:val="restart"/>
            <w:tcBorders>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点位</w:t>
            </w:r>
          </w:p>
        </w:tc>
        <w:tc>
          <w:tcPr>
            <w:tcW w:w="2397" w:type="pct"/>
            <w:gridSpan w:val="4"/>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检测结果</w:t>
            </w:r>
          </w:p>
        </w:tc>
        <w:tc>
          <w:tcPr>
            <w:tcW w:w="402" w:type="pct"/>
            <w:vMerge w:val="restart"/>
            <w:tcBorders>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限值</w:t>
            </w:r>
          </w:p>
        </w:tc>
        <w:tc>
          <w:tcPr>
            <w:tcW w:w="474" w:type="pct"/>
            <w:vMerge w:val="restart"/>
            <w:tcBorders>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3" w:type="pct"/>
            <w:vMerge w:val="continue"/>
            <w:tcBorders>
              <w:top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682" w:type="pct"/>
            <w:vMerge w:val="continue"/>
            <w:tcBorders>
              <w:top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340" w:type="pct"/>
            <w:vMerge w:val="continue"/>
            <w:tcBorders>
              <w:top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59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第一次</w:t>
            </w:r>
          </w:p>
        </w:tc>
        <w:tc>
          <w:tcPr>
            <w:tcW w:w="57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第二次</w:t>
            </w:r>
          </w:p>
        </w:tc>
        <w:tc>
          <w:tcPr>
            <w:tcW w:w="59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第三次</w:t>
            </w:r>
          </w:p>
        </w:tc>
        <w:tc>
          <w:tcPr>
            <w:tcW w:w="644"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报出结果  （最大值）</w:t>
            </w:r>
          </w:p>
        </w:tc>
        <w:tc>
          <w:tcPr>
            <w:tcW w:w="402" w:type="pct"/>
            <w:vMerge w:val="continue"/>
            <w:tcBorders>
              <w:top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474" w:type="pct"/>
            <w:vMerge w:val="continue"/>
            <w:tcBorders>
              <w:top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3"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2023.12.29</w:t>
            </w:r>
          </w:p>
        </w:tc>
        <w:tc>
          <w:tcPr>
            <w:tcW w:w="682"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非甲烷总烃</w:t>
            </w:r>
          </w:p>
        </w:tc>
        <w:tc>
          <w:tcPr>
            <w:tcW w:w="34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Q2</w:t>
            </w:r>
          </w:p>
        </w:tc>
        <w:tc>
          <w:tcPr>
            <w:tcW w:w="59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0.54</w:t>
            </w:r>
          </w:p>
        </w:tc>
        <w:tc>
          <w:tcPr>
            <w:tcW w:w="57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0.46</w:t>
            </w:r>
          </w:p>
        </w:tc>
        <w:tc>
          <w:tcPr>
            <w:tcW w:w="59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0.43</w:t>
            </w:r>
          </w:p>
        </w:tc>
        <w:tc>
          <w:tcPr>
            <w:tcW w:w="644"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0.54</w:t>
            </w:r>
          </w:p>
        </w:tc>
        <w:tc>
          <w:tcPr>
            <w:tcW w:w="402" w:type="pct"/>
            <w:vMerge w:val="restart"/>
            <w:tcBorders>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30</w:t>
            </w:r>
          </w:p>
        </w:tc>
        <w:tc>
          <w:tcPr>
            <w:tcW w:w="474" w:type="pct"/>
            <w:vMerge w:val="restart"/>
            <w:tcBorders>
              <w:bottom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mg/m</w:t>
            </w:r>
            <w:r>
              <w:rPr>
                <w:rFonts w:hint="eastAsia" w:ascii="Times New Roman" w:hAnsi="Times New Roman" w:cs="Times New Roman" w:eastAsiaTheme="minorEastAsia"/>
                <w:kern w:val="0"/>
                <w:sz w:val="21"/>
                <w:szCs w:val="21"/>
                <w:vertAlign w:val="superscript"/>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3"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2023.12.30</w:t>
            </w:r>
          </w:p>
        </w:tc>
        <w:tc>
          <w:tcPr>
            <w:tcW w:w="682"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非甲烷总烃</w:t>
            </w:r>
          </w:p>
        </w:tc>
        <w:tc>
          <w:tcPr>
            <w:tcW w:w="34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Q2</w:t>
            </w:r>
          </w:p>
        </w:tc>
        <w:tc>
          <w:tcPr>
            <w:tcW w:w="59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0.50</w:t>
            </w:r>
          </w:p>
        </w:tc>
        <w:tc>
          <w:tcPr>
            <w:tcW w:w="571"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0.51</w:t>
            </w:r>
          </w:p>
        </w:tc>
        <w:tc>
          <w:tcPr>
            <w:tcW w:w="590"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0.50</w:t>
            </w:r>
          </w:p>
        </w:tc>
        <w:tc>
          <w:tcPr>
            <w:tcW w:w="644"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0.51</w:t>
            </w:r>
          </w:p>
        </w:tc>
        <w:tc>
          <w:tcPr>
            <w:tcW w:w="402" w:type="pct"/>
            <w:vMerge w:val="continue"/>
            <w:tcBorders>
              <w:top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c>
          <w:tcPr>
            <w:tcW w:w="474" w:type="pct"/>
            <w:vMerge w:val="continue"/>
            <w:tcBorders>
              <w:top w:val="nil"/>
            </w:tcBorders>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3" w:type="pct"/>
            <w:vAlign w:val="center"/>
          </w:tcPr>
          <w:p>
            <w:pPr>
              <w:widowControl w:val="0"/>
              <w:kinsoku/>
              <w:overflowPunct/>
              <w:autoSpaceDE/>
              <w:autoSpaceDN/>
              <w:adjustRightInd/>
              <w:snapToGrid/>
              <w:spacing w:after="0" w:line="240" w:lineRule="auto"/>
              <w:ind w:firstLine="0" w:firstLineChars="0"/>
              <w:jc w:val="center"/>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备 注</w:t>
            </w:r>
          </w:p>
        </w:tc>
        <w:tc>
          <w:tcPr>
            <w:tcW w:w="4296" w:type="pct"/>
            <w:gridSpan w:val="8"/>
            <w:vAlign w:val="center"/>
          </w:tcPr>
          <w:p>
            <w:pPr>
              <w:widowControl w:val="0"/>
              <w:kinsoku/>
              <w:overflowPunct/>
              <w:autoSpaceDE/>
              <w:autoSpaceDN/>
              <w:adjustRightInd/>
              <w:snapToGrid/>
              <w:spacing w:after="0" w:line="240" w:lineRule="auto"/>
              <w:ind w:firstLine="0" w:firstLineChars="0"/>
              <w:jc w:val="left"/>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1.本次检测数据仅对本次采样点位所采集样品有效。</w:t>
            </w:r>
          </w:p>
          <w:p>
            <w:pPr>
              <w:widowControl w:val="0"/>
              <w:kinsoku/>
              <w:overflowPunct/>
              <w:autoSpaceDE/>
              <w:autoSpaceDN/>
              <w:adjustRightInd/>
              <w:snapToGrid/>
              <w:spacing w:after="0" w:line="240" w:lineRule="auto"/>
              <w:ind w:firstLine="0" w:firstLineChars="0"/>
              <w:jc w:val="left"/>
              <w:rPr>
                <w:rFonts w:hint="eastAsia"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2.限值参照《挥发性有机物无组织排放控制标准》（GB 37822-2019）附录 A。</w:t>
            </w:r>
          </w:p>
        </w:tc>
      </w:tr>
    </w:tbl>
    <w:p>
      <w:pPr>
        <w:adjustRightInd w:val="0"/>
        <w:snapToGrid w:val="0"/>
        <w:spacing w:line="540" w:lineRule="exact"/>
        <w:ind w:firstLine="480" w:firstLineChars="200"/>
        <w:jc w:val="left"/>
        <w:rPr>
          <w:bCs/>
          <w:sz w:val="28"/>
          <w:szCs w:val="28"/>
        </w:rPr>
      </w:pPr>
      <w:r>
        <w:rPr>
          <w:rFonts w:hint="eastAsia"/>
          <w:sz w:val="24"/>
          <w:szCs w:val="24"/>
        </w:rPr>
        <w:t>根据表9-2</w:t>
      </w:r>
      <w:r>
        <w:rPr>
          <w:rFonts w:hint="eastAsia"/>
          <w:sz w:val="24"/>
          <w:szCs w:val="24"/>
          <w:lang w:eastAsia="zh-CN"/>
        </w:rPr>
        <w:t>、</w:t>
      </w:r>
      <w:r>
        <w:rPr>
          <w:rFonts w:hint="eastAsia"/>
          <w:sz w:val="24"/>
          <w:szCs w:val="24"/>
          <w:lang w:val="en-US" w:eastAsia="zh-CN"/>
        </w:rPr>
        <w:t>9-3</w:t>
      </w:r>
      <w:r>
        <w:rPr>
          <w:rFonts w:hint="eastAsia"/>
          <w:sz w:val="24"/>
          <w:szCs w:val="24"/>
        </w:rPr>
        <w:t>可知，</w:t>
      </w:r>
      <w:r>
        <w:rPr>
          <w:bCs/>
          <w:sz w:val="24"/>
          <w:szCs w:val="24"/>
        </w:rPr>
        <w:t>验收监测期间，</w:t>
      </w:r>
      <w:r>
        <w:rPr>
          <w:rFonts w:hint="eastAsia"/>
          <w:bCs/>
          <w:sz w:val="24"/>
          <w:szCs w:val="24"/>
          <w:lang w:eastAsia="zh-CN"/>
        </w:rPr>
        <w:t>中国石油天然气股份有限公司万州金龙加油站新建工程厂界</w:t>
      </w:r>
      <w:r>
        <w:rPr>
          <w:rFonts w:hint="eastAsia"/>
          <w:sz w:val="24"/>
          <w:szCs w:val="24"/>
        </w:rPr>
        <w:t>无组织排放废气非甲烷总烃符合</w:t>
      </w:r>
      <w:r>
        <w:rPr>
          <w:spacing w:val="7"/>
          <w:sz w:val="24"/>
          <w:szCs w:val="24"/>
        </w:rPr>
        <w:t>《加油站大气污染物排放标准》（</w:t>
      </w:r>
      <w:r>
        <w:rPr>
          <w:sz w:val="24"/>
          <w:szCs w:val="24"/>
        </w:rPr>
        <w:t>GB</w:t>
      </w:r>
      <w:r>
        <w:rPr>
          <w:spacing w:val="7"/>
          <w:sz w:val="24"/>
          <w:szCs w:val="24"/>
        </w:rPr>
        <w:t xml:space="preserve"> 20952-2020）表</w:t>
      </w:r>
      <w:r>
        <w:rPr>
          <w:spacing w:val="-24"/>
          <w:sz w:val="24"/>
          <w:szCs w:val="24"/>
        </w:rPr>
        <w:t xml:space="preserve"> </w:t>
      </w:r>
      <w:r>
        <w:rPr>
          <w:spacing w:val="7"/>
          <w:sz w:val="24"/>
          <w:szCs w:val="24"/>
        </w:rPr>
        <w:t>3</w:t>
      </w:r>
      <w:r>
        <w:rPr>
          <w:rFonts w:hint="eastAsia"/>
          <w:spacing w:val="7"/>
          <w:sz w:val="24"/>
          <w:szCs w:val="24"/>
          <w:lang w:eastAsia="zh-CN"/>
        </w:rPr>
        <w:t>，</w:t>
      </w:r>
      <w:r>
        <w:rPr>
          <w:rFonts w:hint="eastAsia" w:ascii="Times New Roman" w:hAnsi="Times New Roman" w:cs="Times New Roman"/>
          <w:color w:val="auto"/>
          <w:sz w:val="24"/>
          <w:szCs w:val="24"/>
          <w:lang w:val="en-US" w:eastAsia="zh-CN"/>
        </w:rPr>
        <w:t>站区内</w:t>
      </w:r>
      <w:r>
        <w:rPr>
          <w:rFonts w:hint="eastAsia"/>
          <w:sz w:val="24"/>
          <w:szCs w:val="24"/>
        </w:rPr>
        <w:t>无组织排放废气非甲烷总烃符合</w:t>
      </w:r>
      <w:r>
        <w:rPr>
          <w:spacing w:val="8"/>
          <w:sz w:val="24"/>
          <w:szCs w:val="24"/>
        </w:rPr>
        <w:t>《挥发性有机物无组织排放控制标准》（</w:t>
      </w:r>
      <w:r>
        <w:rPr>
          <w:sz w:val="24"/>
          <w:szCs w:val="24"/>
        </w:rPr>
        <w:t>GB</w:t>
      </w:r>
      <w:r>
        <w:rPr>
          <w:spacing w:val="8"/>
          <w:sz w:val="24"/>
          <w:szCs w:val="24"/>
        </w:rPr>
        <w:t xml:space="preserve"> 37822-201</w:t>
      </w:r>
      <w:r>
        <w:rPr>
          <w:spacing w:val="7"/>
          <w:sz w:val="24"/>
          <w:szCs w:val="24"/>
        </w:rPr>
        <w:t>9）附录</w:t>
      </w:r>
      <w:r>
        <w:rPr>
          <w:spacing w:val="-46"/>
          <w:sz w:val="24"/>
          <w:szCs w:val="24"/>
        </w:rPr>
        <w:t xml:space="preserve"> </w:t>
      </w:r>
      <w:r>
        <w:rPr>
          <w:spacing w:val="7"/>
          <w:sz w:val="24"/>
          <w:szCs w:val="24"/>
        </w:rPr>
        <w:t>A。</w:t>
      </w:r>
    </w:p>
    <w:p>
      <w:pPr>
        <w:adjustRightInd w:val="0"/>
        <w:snapToGrid w:val="0"/>
        <w:spacing w:line="540" w:lineRule="exact"/>
        <w:ind w:firstLine="562" w:firstLineChars="200"/>
        <w:jc w:val="left"/>
        <w:rPr>
          <w:sz w:val="28"/>
        </w:rPr>
      </w:pPr>
      <w:r>
        <w:rPr>
          <w:rFonts w:hint="eastAsia"/>
          <w:b/>
          <w:sz w:val="28"/>
        </w:rPr>
        <w:t>9</w:t>
      </w:r>
      <w:r>
        <w:rPr>
          <w:b/>
          <w:sz w:val="28"/>
        </w:rPr>
        <w:t>.2.</w:t>
      </w:r>
      <w:r>
        <w:rPr>
          <w:rFonts w:hint="eastAsia"/>
          <w:b/>
          <w:sz w:val="28"/>
        </w:rPr>
        <w:t>3噪声</w:t>
      </w:r>
    </w:p>
    <w:p>
      <w:pPr>
        <w:spacing w:line="500" w:lineRule="exact"/>
        <w:ind w:firstLine="420"/>
        <w:rPr>
          <w:sz w:val="24"/>
          <w:szCs w:val="24"/>
        </w:rPr>
      </w:pPr>
      <w:r>
        <w:rPr>
          <w:rFonts w:hint="eastAsia"/>
          <w:sz w:val="24"/>
          <w:szCs w:val="24"/>
        </w:rPr>
        <w:t>厂界噪声监测结果见表9-</w:t>
      </w:r>
      <w:r>
        <w:rPr>
          <w:rFonts w:hint="eastAsia"/>
          <w:sz w:val="24"/>
          <w:szCs w:val="24"/>
          <w:lang w:val="en-US" w:eastAsia="zh-CN"/>
        </w:rPr>
        <w:t>4</w:t>
      </w:r>
      <w:r>
        <w:rPr>
          <w:rFonts w:hint="eastAsia"/>
          <w:sz w:val="24"/>
          <w:szCs w:val="24"/>
        </w:rPr>
        <w:t>。</w:t>
      </w:r>
    </w:p>
    <w:p>
      <w:pPr>
        <w:spacing w:line="500" w:lineRule="exact"/>
        <w:ind w:firstLine="2048" w:firstLineChars="850"/>
        <w:rPr>
          <w:rFonts w:hint="eastAsia"/>
          <w:b/>
          <w:sz w:val="24"/>
          <w:szCs w:val="24"/>
        </w:rPr>
      </w:pPr>
      <w:r>
        <w:rPr>
          <w:rFonts w:hint="eastAsia"/>
          <w:b/>
          <w:sz w:val="24"/>
          <w:szCs w:val="24"/>
        </w:rPr>
        <w:t>表9-</w:t>
      </w:r>
      <w:r>
        <w:rPr>
          <w:rFonts w:hint="eastAsia"/>
          <w:b/>
          <w:sz w:val="24"/>
          <w:szCs w:val="24"/>
          <w:lang w:val="en-US" w:eastAsia="zh-CN"/>
        </w:rPr>
        <w:t>4</w:t>
      </w:r>
      <w:r>
        <w:rPr>
          <w:rFonts w:hint="eastAsia"/>
          <w:b/>
          <w:sz w:val="24"/>
          <w:szCs w:val="24"/>
        </w:rPr>
        <w:t>厂界噪声监测结果一览表</w:t>
      </w:r>
    </w:p>
    <w:tbl>
      <w:tblPr>
        <w:tblStyle w:val="78"/>
        <w:tblW w:w="500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76"/>
        <w:gridCol w:w="1229"/>
        <w:gridCol w:w="1104"/>
        <w:gridCol w:w="1548"/>
        <w:gridCol w:w="1548"/>
        <w:gridCol w:w="1189"/>
        <w:gridCol w:w="11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2" w:type="pct"/>
            <w:vMerge w:val="restart"/>
            <w:tcBorders>
              <w:bottom w:val="nil"/>
            </w:tcBorders>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日期</w:t>
            </w:r>
          </w:p>
        </w:tc>
        <w:tc>
          <w:tcPr>
            <w:tcW w:w="676" w:type="pct"/>
            <w:vMerge w:val="restart"/>
            <w:tcBorders>
              <w:bottom w:val="nil"/>
            </w:tcBorders>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项目</w:t>
            </w:r>
          </w:p>
        </w:tc>
        <w:tc>
          <w:tcPr>
            <w:tcW w:w="607" w:type="pct"/>
            <w:vMerge w:val="restart"/>
            <w:tcBorders>
              <w:bottom w:val="nil"/>
            </w:tcBorders>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点位</w:t>
            </w:r>
          </w:p>
        </w:tc>
        <w:tc>
          <w:tcPr>
            <w:tcW w:w="851"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昼间结果</w:t>
            </w:r>
          </w:p>
        </w:tc>
        <w:tc>
          <w:tcPr>
            <w:tcW w:w="851"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夜间结果</w:t>
            </w:r>
          </w:p>
        </w:tc>
        <w:tc>
          <w:tcPr>
            <w:tcW w:w="654"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昼间限值</w:t>
            </w:r>
          </w:p>
        </w:tc>
        <w:tc>
          <w:tcPr>
            <w:tcW w:w="655"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夜间限值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2" w:type="pct"/>
            <w:vMerge w:val="continue"/>
            <w:tcBorders>
              <w:top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76" w:type="pct"/>
            <w:vMerge w:val="continue"/>
            <w:tcBorders>
              <w:top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07" w:type="pct"/>
            <w:vMerge w:val="continue"/>
            <w:tcBorders>
              <w:top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851"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Leq（dB）</w:t>
            </w:r>
          </w:p>
        </w:tc>
        <w:tc>
          <w:tcPr>
            <w:tcW w:w="851"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Leq（dB）</w:t>
            </w:r>
          </w:p>
        </w:tc>
        <w:tc>
          <w:tcPr>
            <w:tcW w:w="654"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Leq（dB）</w:t>
            </w:r>
          </w:p>
        </w:tc>
        <w:tc>
          <w:tcPr>
            <w:tcW w:w="655"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Leq（dB）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2" w:type="pct"/>
            <w:vMerge w:val="restart"/>
            <w:tcBorders>
              <w:bottom w:val="nil"/>
            </w:tcBorders>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2023.12.29</w:t>
            </w:r>
          </w:p>
        </w:tc>
        <w:tc>
          <w:tcPr>
            <w:tcW w:w="676" w:type="pct"/>
            <w:vMerge w:val="restart"/>
            <w:tcBorders>
              <w:bottom w:val="nil"/>
            </w:tcBorders>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厂界噪声</w:t>
            </w:r>
          </w:p>
        </w:tc>
        <w:tc>
          <w:tcPr>
            <w:tcW w:w="607"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Z1</w:t>
            </w:r>
          </w:p>
        </w:tc>
        <w:tc>
          <w:tcPr>
            <w:tcW w:w="851"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54</w:t>
            </w:r>
          </w:p>
        </w:tc>
        <w:tc>
          <w:tcPr>
            <w:tcW w:w="851"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42</w:t>
            </w:r>
          </w:p>
        </w:tc>
        <w:tc>
          <w:tcPr>
            <w:tcW w:w="654" w:type="pct"/>
            <w:vMerge w:val="restart"/>
            <w:tcBorders>
              <w:bottom w:val="nil"/>
            </w:tcBorders>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55</w:t>
            </w:r>
          </w:p>
        </w:tc>
        <w:tc>
          <w:tcPr>
            <w:tcW w:w="655" w:type="pct"/>
            <w:vMerge w:val="restart"/>
            <w:tcBorders>
              <w:bottom w:val="nil"/>
            </w:tcBorders>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2" w:type="pct"/>
            <w:vMerge w:val="continue"/>
            <w:tcBorders>
              <w:top w:val="nil"/>
              <w:bottom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76" w:type="pct"/>
            <w:vMerge w:val="continue"/>
            <w:tcBorders>
              <w:top w:val="nil"/>
              <w:bottom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07"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Z2</w:t>
            </w:r>
          </w:p>
        </w:tc>
        <w:tc>
          <w:tcPr>
            <w:tcW w:w="851"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50</w:t>
            </w:r>
          </w:p>
        </w:tc>
        <w:tc>
          <w:tcPr>
            <w:tcW w:w="851"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38</w:t>
            </w:r>
          </w:p>
        </w:tc>
        <w:tc>
          <w:tcPr>
            <w:tcW w:w="654" w:type="pct"/>
            <w:vMerge w:val="continue"/>
            <w:tcBorders>
              <w:top w:val="nil"/>
              <w:bottom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55" w:type="pct"/>
            <w:vMerge w:val="continue"/>
            <w:tcBorders>
              <w:top w:val="nil"/>
              <w:bottom w:val="nil"/>
            </w:tcBorders>
            <w:vAlign w:val="center"/>
          </w:tcPr>
          <w:p>
            <w:pPr>
              <w:pStyle w:val="83"/>
              <w:autoSpaceDE w:val="0"/>
              <w:autoSpaceDN w:val="0"/>
              <w:spacing w:line="360" w:lineRule="exact"/>
              <w:rPr>
                <w:rFonts w:ascii="Times New Roman" w:hAnsi="Times New Roman" w:cs="Times New Roman"/>
                <w:color w:val="00000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02" w:type="pct"/>
            <w:vMerge w:val="continue"/>
            <w:tcBorders>
              <w:top w:val="nil"/>
              <w:bottom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76" w:type="pct"/>
            <w:vMerge w:val="continue"/>
            <w:tcBorders>
              <w:top w:val="nil"/>
              <w:bottom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07"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Z3</w:t>
            </w:r>
          </w:p>
        </w:tc>
        <w:tc>
          <w:tcPr>
            <w:tcW w:w="851"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52</w:t>
            </w:r>
          </w:p>
        </w:tc>
        <w:tc>
          <w:tcPr>
            <w:tcW w:w="851"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44</w:t>
            </w:r>
          </w:p>
        </w:tc>
        <w:tc>
          <w:tcPr>
            <w:tcW w:w="654" w:type="pct"/>
            <w:vMerge w:val="continue"/>
            <w:tcBorders>
              <w:top w:val="nil"/>
              <w:bottom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55" w:type="pct"/>
            <w:vMerge w:val="continue"/>
            <w:tcBorders>
              <w:top w:val="nil"/>
              <w:bottom w:val="nil"/>
            </w:tcBorders>
            <w:vAlign w:val="center"/>
          </w:tcPr>
          <w:p>
            <w:pPr>
              <w:pStyle w:val="83"/>
              <w:autoSpaceDE w:val="0"/>
              <w:autoSpaceDN w:val="0"/>
              <w:spacing w:line="360" w:lineRule="exact"/>
              <w:rPr>
                <w:rFonts w:ascii="Times New Roman" w:hAnsi="Times New Roman" w:cs="Times New Roman"/>
                <w:color w:val="00000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trPr>
        <w:tc>
          <w:tcPr>
            <w:tcW w:w="702" w:type="pct"/>
            <w:vMerge w:val="continue"/>
            <w:tcBorders>
              <w:top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76" w:type="pct"/>
            <w:vMerge w:val="continue"/>
            <w:tcBorders>
              <w:top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07"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Z4</w:t>
            </w:r>
          </w:p>
        </w:tc>
        <w:tc>
          <w:tcPr>
            <w:tcW w:w="851"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53</w:t>
            </w:r>
          </w:p>
        </w:tc>
        <w:tc>
          <w:tcPr>
            <w:tcW w:w="851"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43</w:t>
            </w:r>
          </w:p>
        </w:tc>
        <w:tc>
          <w:tcPr>
            <w:tcW w:w="654" w:type="pct"/>
            <w:vMerge w:val="continue"/>
            <w:tcBorders>
              <w:top w:val="nil"/>
              <w:bottom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55" w:type="pct"/>
            <w:vMerge w:val="continue"/>
            <w:tcBorders>
              <w:top w:val="nil"/>
              <w:bottom w:val="nil"/>
            </w:tcBorders>
            <w:vAlign w:val="center"/>
          </w:tcPr>
          <w:p>
            <w:pPr>
              <w:pStyle w:val="83"/>
              <w:autoSpaceDE w:val="0"/>
              <w:autoSpaceDN w:val="0"/>
              <w:spacing w:line="360" w:lineRule="exact"/>
              <w:rPr>
                <w:rFonts w:ascii="Times New Roman" w:hAnsi="Times New Roman" w:cs="Times New Roman"/>
                <w:color w:val="00000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trPr>
        <w:tc>
          <w:tcPr>
            <w:tcW w:w="702" w:type="pct"/>
            <w:vMerge w:val="restart"/>
            <w:tcBorders>
              <w:bottom w:val="nil"/>
            </w:tcBorders>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2023.12.30</w:t>
            </w:r>
          </w:p>
        </w:tc>
        <w:tc>
          <w:tcPr>
            <w:tcW w:w="676" w:type="pct"/>
            <w:vMerge w:val="restart"/>
            <w:tcBorders>
              <w:bottom w:val="nil"/>
            </w:tcBorders>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厂界噪声</w:t>
            </w:r>
          </w:p>
        </w:tc>
        <w:tc>
          <w:tcPr>
            <w:tcW w:w="607"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Z1</w:t>
            </w:r>
          </w:p>
        </w:tc>
        <w:tc>
          <w:tcPr>
            <w:tcW w:w="851"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51</w:t>
            </w:r>
          </w:p>
        </w:tc>
        <w:tc>
          <w:tcPr>
            <w:tcW w:w="851"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43</w:t>
            </w:r>
          </w:p>
        </w:tc>
        <w:tc>
          <w:tcPr>
            <w:tcW w:w="654" w:type="pct"/>
            <w:vMerge w:val="continue"/>
            <w:tcBorders>
              <w:top w:val="nil"/>
              <w:bottom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55" w:type="pct"/>
            <w:vMerge w:val="continue"/>
            <w:tcBorders>
              <w:top w:val="nil"/>
              <w:bottom w:val="nil"/>
            </w:tcBorders>
            <w:vAlign w:val="center"/>
          </w:tcPr>
          <w:p>
            <w:pPr>
              <w:pStyle w:val="83"/>
              <w:autoSpaceDE w:val="0"/>
              <w:autoSpaceDN w:val="0"/>
              <w:spacing w:line="360" w:lineRule="exact"/>
              <w:rPr>
                <w:rFonts w:ascii="Times New Roman" w:hAnsi="Times New Roman" w:cs="Times New Roman"/>
                <w:color w:val="00000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trPr>
        <w:tc>
          <w:tcPr>
            <w:tcW w:w="702" w:type="pct"/>
            <w:vMerge w:val="continue"/>
            <w:tcBorders>
              <w:top w:val="nil"/>
              <w:bottom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76" w:type="pct"/>
            <w:vMerge w:val="continue"/>
            <w:tcBorders>
              <w:top w:val="nil"/>
              <w:bottom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07"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Z2</w:t>
            </w:r>
          </w:p>
        </w:tc>
        <w:tc>
          <w:tcPr>
            <w:tcW w:w="851"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49</w:t>
            </w:r>
          </w:p>
        </w:tc>
        <w:tc>
          <w:tcPr>
            <w:tcW w:w="851"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44</w:t>
            </w:r>
          </w:p>
        </w:tc>
        <w:tc>
          <w:tcPr>
            <w:tcW w:w="654" w:type="pct"/>
            <w:vMerge w:val="continue"/>
            <w:tcBorders>
              <w:top w:val="nil"/>
              <w:bottom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55" w:type="pct"/>
            <w:vMerge w:val="continue"/>
            <w:tcBorders>
              <w:top w:val="nil"/>
              <w:bottom w:val="nil"/>
            </w:tcBorders>
            <w:vAlign w:val="center"/>
          </w:tcPr>
          <w:p>
            <w:pPr>
              <w:pStyle w:val="83"/>
              <w:autoSpaceDE w:val="0"/>
              <w:autoSpaceDN w:val="0"/>
              <w:spacing w:line="360" w:lineRule="exact"/>
              <w:rPr>
                <w:rFonts w:ascii="Times New Roman" w:hAnsi="Times New Roman" w:cs="Times New Roman"/>
                <w:color w:val="00000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trPr>
        <w:tc>
          <w:tcPr>
            <w:tcW w:w="702" w:type="pct"/>
            <w:vMerge w:val="continue"/>
            <w:tcBorders>
              <w:top w:val="nil"/>
              <w:bottom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76" w:type="pct"/>
            <w:vMerge w:val="continue"/>
            <w:tcBorders>
              <w:top w:val="nil"/>
              <w:bottom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07"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Z3</w:t>
            </w:r>
          </w:p>
        </w:tc>
        <w:tc>
          <w:tcPr>
            <w:tcW w:w="851"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51</w:t>
            </w:r>
          </w:p>
        </w:tc>
        <w:tc>
          <w:tcPr>
            <w:tcW w:w="851"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39</w:t>
            </w:r>
          </w:p>
        </w:tc>
        <w:tc>
          <w:tcPr>
            <w:tcW w:w="654" w:type="pct"/>
            <w:vMerge w:val="continue"/>
            <w:tcBorders>
              <w:top w:val="nil"/>
              <w:bottom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55" w:type="pct"/>
            <w:vMerge w:val="continue"/>
            <w:tcBorders>
              <w:top w:val="nil"/>
              <w:bottom w:val="nil"/>
            </w:tcBorders>
            <w:vAlign w:val="center"/>
          </w:tcPr>
          <w:p>
            <w:pPr>
              <w:pStyle w:val="83"/>
              <w:autoSpaceDE w:val="0"/>
              <w:autoSpaceDN w:val="0"/>
              <w:spacing w:line="360" w:lineRule="exact"/>
              <w:rPr>
                <w:rFonts w:ascii="Times New Roman" w:hAnsi="Times New Roman" w:cs="Times New Roman"/>
                <w:color w:val="00000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trPr>
        <w:tc>
          <w:tcPr>
            <w:tcW w:w="702" w:type="pct"/>
            <w:vMerge w:val="continue"/>
            <w:tcBorders>
              <w:top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76" w:type="pct"/>
            <w:vMerge w:val="continue"/>
            <w:tcBorders>
              <w:top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07"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Z4</w:t>
            </w:r>
          </w:p>
        </w:tc>
        <w:tc>
          <w:tcPr>
            <w:tcW w:w="851"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49</w:t>
            </w:r>
          </w:p>
        </w:tc>
        <w:tc>
          <w:tcPr>
            <w:tcW w:w="851" w:type="pct"/>
            <w:vAlign w:val="center"/>
          </w:tcPr>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40</w:t>
            </w:r>
          </w:p>
        </w:tc>
        <w:tc>
          <w:tcPr>
            <w:tcW w:w="654" w:type="pct"/>
            <w:vMerge w:val="continue"/>
            <w:tcBorders>
              <w:top w:val="nil"/>
            </w:tcBorders>
            <w:vAlign w:val="center"/>
          </w:tcPr>
          <w:p>
            <w:pPr>
              <w:pStyle w:val="83"/>
              <w:autoSpaceDE w:val="0"/>
              <w:autoSpaceDN w:val="0"/>
              <w:spacing w:line="360" w:lineRule="exact"/>
              <w:rPr>
                <w:rFonts w:ascii="Times New Roman" w:hAnsi="Times New Roman" w:cs="Times New Roman"/>
                <w:color w:val="000000"/>
                <w:szCs w:val="21"/>
              </w:rPr>
            </w:pPr>
          </w:p>
        </w:tc>
        <w:tc>
          <w:tcPr>
            <w:tcW w:w="655" w:type="pct"/>
            <w:vMerge w:val="continue"/>
            <w:tcBorders>
              <w:top w:val="nil"/>
            </w:tcBorders>
            <w:vAlign w:val="center"/>
          </w:tcPr>
          <w:p>
            <w:pPr>
              <w:pStyle w:val="83"/>
              <w:autoSpaceDE w:val="0"/>
              <w:autoSpaceDN w:val="0"/>
              <w:spacing w:line="360" w:lineRule="exact"/>
              <w:rPr>
                <w:rFonts w:ascii="Times New Roman" w:hAnsi="Times New Roman" w:cs="Times New Roman"/>
                <w:color w:val="00000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trPr>
        <w:tc>
          <w:tcPr>
            <w:tcW w:w="702" w:type="pct"/>
            <w:vAlign w:val="center"/>
          </w:tcPr>
          <w:p>
            <w:pPr>
              <w:pStyle w:val="83"/>
              <w:autoSpaceDE w:val="0"/>
              <w:autoSpaceDN w:val="0"/>
              <w:spacing w:line="360" w:lineRule="exact"/>
              <w:rPr>
                <w:rFonts w:ascii="Times New Roman" w:hAnsi="Times New Roman" w:cs="Times New Roman"/>
                <w:color w:val="000000"/>
                <w:szCs w:val="21"/>
              </w:rPr>
            </w:pPr>
          </w:p>
          <w:p>
            <w:pPr>
              <w:pStyle w:val="83"/>
              <w:autoSpaceDE w:val="0"/>
              <w:autoSpaceDN w:val="0"/>
              <w:spacing w:line="360" w:lineRule="exact"/>
              <w:rPr>
                <w:rFonts w:ascii="Times New Roman" w:hAnsi="Times New Roman" w:cs="Times New Roman"/>
                <w:color w:val="000000"/>
                <w:szCs w:val="21"/>
              </w:rPr>
            </w:pPr>
            <w:r>
              <w:rPr>
                <w:rFonts w:ascii="Times New Roman" w:hAnsi="Times New Roman" w:cs="Times New Roman"/>
                <w:color w:val="000000"/>
                <w:szCs w:val="21"/>
              </w:rPr>
              <w:t>备 注</w:t>
            </w:r>
          </w:p>
        </w:tc>
        <w:tc>
          <w:tcPr>
            <w:tcW w:w="4297" w:type="pct"/>
            <w:gridSpan w:val="6"/>
            <w:vAlign w:val="center"/>
          </w:tcPr>
          <w:p>
            <w:pPr>
              <w:pStyle w:val="83"/>
              <w:autoSpaceDE w:val="0"/>
              <w:autoSpaceDN w:val="0"/>
              <w:spacing w:line="360" w:lineRule="exact"/>
              <w:jc w:val="left"/>
              <w:rPr>
                <w:rFonts w:ascii="Times New Roman" w:hAnsi="Times New Roman" w:cs="Times New Roman"/>
                <w:color w:val="000000"/>
                <w:szCs w:val="21"/>
              </w:rPr>
            </w:pPr>
            <w:r>
              <w:rPr>
                <w:rFonts w:ascii="Times New Roman" w:hAnsi="Times New Roman" w:cs="Times New Roman"/>
                <w:color w:val="000000"/>
                <w:szCs w:val="21"/>
              </w:rPr>
              <w:t>1.本次检测数据仅对本次检测点位所检测数据有效。</w:t>
            </w:r>
          </w:p>
          <w:p>
            <w:pPr>
              <w:pStyle w:val="83"/>
              <w:autoSpaceDE w:val="0"/>
              <w:autoSpaceDN w:val="0"/>
              <w:spacing w:line="360" w:lineRule="exact"/>
              <w:jc w:val="left"/>
              <w:rPr>
                <w:rFonts w:ascii="Times New Roman" w:hAnsi="Times New Roman" w:cs="Times New Roman"/>
                <w:color w:val="000000"/>
                <w:szCs w:val="21"/>
              </w:rPr>
            </w:pPr>
            <w:r>
              <w:rPr>
                <w:rFonts w:ascii="Times New Roman" w:hAnsi="Times New Roman" w:cs="Times New Roman"/>
                <w:color w:val="000000"/>
                <w:szCs w:val="21"/>
              </w:rPr>
              <w:t>2.限值参照标准《工业企业厂界环境噪声排放标准》（GB 12348-2008）表 1，声环境功能区类别 1 类。</w:t>
            </w:r>
          </w:p>
        </w:tc>
      </w:tr>
    </w:tbl>
    <w:p>
      <w:pPr>
        <w:spacing w:line="540" w:lineRule="exact"/>
        <w:ind w:firstLine="480" w:firstLineChars="200"/>
        <w:rPr>
          <w:sz w:val="24"/>
          <w:szCs w:val="24"/>
        </w:rPr>
      </w:pPr>
      <w:r>
        <w:rPr>
          <w:rFonts w:hint="eastAsia"/>
          <w:sz w:val="24"/>
          <w:szCs w:val="24"/>
        </w:rPr>
        <w:t>根据表9-</w:t>
      </w:r>
      <w:r>
        <w:rPr>
          <w:rFonts w:hint="eastAsia"/>
          <w:sz w:val="24"/>
          <w:szCs w:val="24"/>
          <w:lang w:val="en-US" w:eastAsia="zh-CN"/>
        </w:rPr>
        <w:t>4</w:t>
      </w:r>
      <w:r>
        <w:rPr>
          <w:rFonts w:hint="eastAsia"/>
          <w:sz w:val="24"/>
          <w:szCs w:val="24"/>
        </w:rPr>
        <w:t>可知，</w:t>
      </w:r>
      <w:r>
        <w:rPr>
          <w:bCs/>
          <w:sz w:val="24"/>
          <w:szCs w:val="24"/>
        </w:rPr>
        <w:t>验收监测期间</w:t>
      </w:r>
      <w:r>
        <w:rPr>
          <w:sz w:val="24"/>
          <w:szCs w:val="24"/>
        </w:rPr>
        <w:t>，</w:t>
      </w:r>
      <w:r>
        <w:rPr>
          <w:rFonts w:hint="eastAsia"/>
          <w:bCs/>
          <w:sz w:val="24"/>
          <w:szCs w:val="24"/>
          <w:lang w:eastAsia="zh-CN"/>
        </w:rPr>
        <w:t>中国石油天然气股份有限公司万州金龙加油站新建工程</w:t>
      </w:r>
      <w:r>
        <w:rPr>
          <w:sz w:val="24"/>
          <w:szCs w:val="24"/>
        </w:rPr>
        <w:t>昼间</w:t>
      </w:r>
      <w:r>
        <w:rPr>
          <w:rFonts w:hint="eastAsia"/>
          <w:sz w:val="24"/>
          <w:szCs w:val="24"/>
        </w:rPr>
        <w:t>、</w:t>
      </w:r>
      <w:r>
        <w:rPr>
          <w:sz w:val="24"/>
          <w:szCs w:val="24"/>
        </w:rPr>
        <w:t>夜间外排厂界噪声符合《工业企业厂界环境噪声排放标准》（GB12348-2008）</w:t>
      </w:r>
      <w:r>
        <w:rPr>
          <w:rFonts w:hint="eastAsia"/>
          <w:sz w:val="24"/>
          <w:szCs w:val="24"/>
          <w:lang w:val="en-US" w:eastAsia="zh-CN"/>
        </w:rPr>
        <w:t>1</w:t>
      </w:r>
      <w:r>
        <w:rPr>
          <w:rFonts w:hint="eastAsia"/>
          <w:sz w:val="24"/>
          <w:szCs w:val="24"/>
        </w:rPr>
        <w:t>类</w:t>
      </w:r>
      <w:r>
        <w:rPr>
          <w:sz w:val="24"/>
          <w:szCs w:val="24"/>
        </w:rPr>
        <w:t>区标准。</w:t>
      </w:r>
    </w:p>
    <w:p>
      <w:pPr>
        <w:spacing w:line="540" w:lineRule="exact"/>
        <w:ind w:firstLine="560" w:firstLineChars="200"/>
        <w:rPr>
          <w:sz w:val="28"/>
        </w:rPr>
      </w:pPr>
    </w:p>
    <w:p>
      <w:pPr>
        <w:widowControl/>
        <w:jc w:val="left"/>
        <w:rPr>
          <w:b/>
          <w:bCs/>
          <w:kern w:val="0"/>
          <w:sz w:val="36"/>
          <w:szCs w:val="20"/>
        </w:rPr>
      </w:pPr>
      <w:bookmarkStart w:id="184" w:name="_Toc333588678"/>
      <w:bookmarkStart w:id="185" w:name="_Toc333501426"/>
      <w:bookmarkStart w:id="186" w:name="_Toc312829637"/>
      <w:bookmarkStart w:id="187" w:name="_Toc333501137"/>
    </w:p>
    <w:p>
      <w:pPr>
        <w:widowControl/>
        <w:jc w:val="left"/>
        <w:rPr>
          <w:b/>
          <w:bCs/>
          <w:kern w:val="0"/>
          <w:sz w:val="36"/>
          <w:szCs w:val="20"/>
        </w:rPr>
      </w:pPr>
      <w:r>
        <w:rPr>
          <w:sz w:val="36"/>
        </w:rPr>
        <w:br w:type="page"/>
      </w:r>
    </w:p>
    <w:bookmarkEnd w:id="184"/>
    <w:bookmarkEnd w:id="185"/>
    <w:bookmarkEnd w:id="186"/>
    <w:bookmarkEnd w:id="187"/>
    <w:p>
      <w:pPr>
        <w:pStyle w:val="61"/>
        <w:spacing w:beforeLines="50"/>
        <w:rPr>
          <w:rFonts w:hint="eastAsia" w:ascii="Times New Roman" w:hAnsi="Times New Roman" w:cs="Times New Roman"/>
          <w:sz w:val="36"/>
        </w:rPr>
      </w:pPr>
      <w:bookmarkStart w:id="188" w:name="_Toc333588688"/>
      <w:bookmarkStart w:id="189" w:name="_Toc333501436"/>
      <w:bookmarkStart w:id="190" w:name="_Toc333501147"/>
      <w:bookmarkStart w:id="191" w:name="_Toc7469"/>
      <w:bookmarkStart w:id="192" w:name="_Toc312829648"/>
      <w:r>
        <w:rPr>
          <w:rFonts w:hint="eastAsia" w:ascii="Times New Roman" w:hAnsi="Times New Roman" w:cs="Times New Roman"/>
          <w:sz w:val="36"/>
        </w:rPr>
        <w:t>10 验收监测结论</w:t>
      </w:r>
      <w:bookmarkEnd w:id="188"/>
      <w:bookmarkEnd w:id="189"/>
      <w:bookmarkEnd w:id="190"/>
      <w:bookmarkEnd w:id="191"/>
      <w:bookmarkEnd w:id="192"/>
    </w:p>
    <w:p>
      <w:pPr>
        <w:spacing w:line="540" w:lineRule="exact"/>
        <w:ind w:firstLine="464" w:firstLineChars="200"/>
        <w:rPr>
          <w:bCs/>
          <w:spacing w:val="-4"/>
          <w:sz w:val="28"/>
          <w:szCs w:val="28"/>
        </w:rPr>
      </w:pPr>
      <w:r>
        <w:rPr>
          <w:rFonts w:hint="eastAsia"/>
          <w:spacing w:val="-4"/>
          <w:sz w:val="24"/>
          <w:szCs w:val="24"/>
          <w:lang w:eastAsia="zh-CN"/>
        </w:rPr>
        <w:t>中国石油天然气股份有限公司万州金龙加油站新建工程</w:t>
      </w:r>
      <w:r>
        <w:rPr>
          <w:spacing w:val="-4"/>
          <w:sz w:val="24"/>
          <w:szCs w:val="24"/>
        </w:rPr>
        <w:t>项目</w:t>
      </w:r>
      <w:r>
        <w:rPr>
          <w:bCs/>
          <w:color w:val="000000"/>
          <w:spacing w:val="-4"/>
          <w:sz w:val="24"/>
          <w:szCs w:val="24"/>
        </w:rPr>
        <w:t>在建</w:t>
      </w:r>
      <w:r>
        <w:rPr>
          <w:spacing w:val="-4"/>
          <w:sz w:val="24"/>
          <w:szCs w:val="24"/>
        </w:rPr>
        <w:t>设过程</w:t>
      </w:r>
      <w:r>
        <w:rPr>
          <w:bCs/>
          <w:spacing w:val="-4"/>
          <w:sz w:val="24"/>
          <w:szCs w:val="24"/>
        </w:rPr>
        <w:t>中严格执行建设项目</w:t>
      </w:r>
      <w:r>
        <w:rPr>
          <w:rFonts w:hint="eastAsia"/>
          <w:bCs/>
          <w:spacing w:val="-4"/>
          <w:sz w:val="24"/>
          <w:szCs w:val="24"/>
          <w:lang w:eastAsia="zh-CN"/>
        </w:rPr>
        <w:t>“</w:t>
      </w:r>
      <w:r>
        <w:rPr>
          <w:bCs/>
          <w:spacing w:val="-4"/>
          <w:sz w:val="24"/>
          <w:szCs w:val="24"/>
        </w:rPr>
        <w:t>三同时</w:t>
      </w:r>
      <w:r>
        <w:rPr>
          <w:rFonts w:hint="eastAsia"/>
          <w:bCs/>
          <w:spacing w:val="-4"/>
          <w:sz w:val="24"/>
          <w:szCs w:val="24"/>
          <w:lang w:eastAsia="zh-CN"/>
        </w:rPr>
        <w:t>”</w:t>
      </w:r>
      <w:r>
        <w:rPr>
          <w:bCs/>
          <w:spacing w:val="-4"/>
          <w:sz w:val="24"/>
          <w:szCs w:val="24"/>
        </w:rPr>
        <w:t>环保政策，做到了环保设施与主体工程同时设计、同时施工、同时投入运行。</w:t>
      </w:r>
    </w:p>
    <w:p>
      <w:pPr>
        <w:pStyle w:val="62"/>
        <w:rPr>
          <w:rFonts w:cs="Times New Roman"/>
          <w:sz w:val="32"/>
        </w:rPr>
      </w:pPr>
      <w:bookmarkStart w:id="193" w:name="_Toc13784"/>
      <w:r>
        <w:rPr>
          <w:rFonts w:cs="Times New Roman"/>
          <w:sz w:val="32"/>
        </w:rPr>
        <w:t>10.1</w:t>
      </w:r>
      <w:r>
        <w:rPr>
          <w:rFonts w:hint="eastAsia" w:cs="Times New Roman"/>
          <w:sz w:val="32"/>
        </w:rPr>
        <w:t>环境保护设施调试效果</w:t>
      </w:r>
      <w:bookmarkEnd w:id="193"/>
    </w:p>
    <w:p>
      <w:pPr>
        <w:spacing w:line="540" w:lineRule="exact"/>
        <w:ind w:firstLine="480" w:firstLineChars="200"/>
        <w:rPr>
          <w:sz w:val="24"/>
          <w:szCs w:val="24"/>
        </w:rPr>
      </w:pPr>
      <w:r>
        <w:rPr>
          <w:sz w:val="24"/>
          <w:szCs w:val="24"/>
        </w:rPr>
        <w:t>1、废水</w:t>
      </w:r>
    </w:p>
    <w:p>
      <w:pPr>
        <w:adjustRightInd w:val="0"/>
        <w:snapToGrid w:val="0"/>
        <w:spacing w:line="540" w:lineRule="exact"/>
        <w:ind w:firstLine="480" w:firstLineChars="200"/>
        <w:rPr>
          <w:sz w:val="24"/>
          <w:szCs w:val="24"/>
        </w:rPr>
      </w:pPr>
      <w:r>
        <w:rPr>
          <w:bCs/>
          <w:sz w:val="24"/>
          <w:szCs w:val="24"/>
        </w:rPr>
        <w:t>验收监测期间，</w:t>
      </w:r>
      <w:r>
        <w:rPr>
          <w:rFonts w:hint="eastAsia"/>
          <w:bCs/>
          <w:sz w:val="24"/>
          <w:szCs w:val="24"/>
          <w:lang w:eastAsia="zh-CN"/>
        </w:rPr>
        <w:t>中国石油天然气股份有限公司万州金龙加油站新建工程外排废水COD、BOD5、SS、石油类排放浓度能够满足《污水综合排放标准》（GB8978-1996）三级标准限值要求，氨氮满足《污水排入城镇下水道水质标准》（GB/T 31962-2015）表 1.B 级标准</w:t>
      </w:r>
      <w:r>
        <w:rPr>
          <w:rFonts w:hint="eastAsia"/>
          <w:sz w:val="24"/>
          <w:szCs w:val="24"/>
        </w:rPr>
        <w:t>。</w:t>
      </w:r>
    </w:p>
    <w:p>
      <w:pPr>
        <w:spacing w:line="540" w:lineRule="exact"/>
        <w:ind w:firstLine="480" w:firstLineChars="200"/>
        <w:rPr>
          <w:sz w:val="24"/>
          <w:szCs w:val="24"/>
        </w:rPr>
      </w:pPr>
      <w:r>
        <w:rPr>
          <w:sz w:val="24"/>
          <w:szCs w:val="24"/>
        </w:rPr>
        <w:t>2、废气</w:t>
      </w:r>
    </w:p>
    <w:p>
      <w:pPr>
        <w:spacing w:line="540" w:lineRule="exact"/>
        <w:ind w:firstLine="480" w:firstLineChars="200"/>
        <w:rPr>
          <w:sz w:val="24"/>
          <w:szCs w:val="24"/>
        </w:rPr>
      </w:pPr>
      <w:r>
        <w:rPr>
          <w:rFonts w:hint="eastAsia"/>
          <w:sz w:val="24"/>
          <w:szCs w:val="24"/>
        </w:rPr>
        <w:t>验收监测期间，</w:t>
      </w:r>
      <w:r>
        <w:rPr>
          <w:rFonts w:hint="eastAsia"/>
          <w:bCs/>
          <w:sz w:val="24"/>
          <w:szCs w:val="24"/>
          <w:lang w:eastAsia="zh-CN"/>
        </w:rPr>
        <w:t>中国石油天然气股份有限公司万州金龙加油站新建工程厂界无组织排放废气非甲烷总烃符合《加油站大气污染物排放标准》（GB 20952-2020）表 3，站区内无组织排放废气非甲烷总烃符合《挥发性有机物无组织排放控制标准》（GB 37822-2019）附录 A</w:t>
      </w:r>
      <w:r>
        <w:rPr>
          <w:rFonts w:hint="eastAsia"/>
          <w:bCs/>
          <w:sz w:val="24"/>
          <w:szCs w:val="24"/>
        </w:rPr>
        <w:t>。</w:t>
      </w:r>
    </w:p>
    <w:p>
      <w:pPr>
        <w:spacing w:line="540" w:lineRule="exact"/>
        <w:ind w:firstLine="480" w:firstLineChars="200"/>
        <w:rPr>
          <w:sz w:val="24"/>
          <w:szCs w:val="24"/>
        </w:rPr>
      </w:pPr>
      <w:r>
        <w:rPr>
          <w:sz w:val="24"/>
          <w:szCs w:val="24"/>
        </w:rPr>
        <w:t>3、噪声</w:t>
      </w:r>
    </w:p>
    <w:p>
      <w:pPr>
        <w:spacing w:line="540" w:lineRule="exact"/>
        <w:ind w:firstLine="480" w:firstLineChars="200"/>
        <w:rPr>
          <w:sz w:val="24"/>
          <w:szCs w:val="24"/>
        </w:rPr>
      </w:pPr>
      <w:r>
        <w:rPr>
          <w:rFonts w:hint="eastAsia"/>
          <w:sz w:val="24"/>
          <w:szCs w:val="24"/>
        </w:rPr>
        <w:t>验收监测期间，</w:t>
      </w:r>
      <w:r>
        <w:rPr>
          <w:rFonts w:hint="eastAsia"/>
          <w:bCs/>
          <w:sz w:val="24"/>
          <w:szCs w:val="24"/>
          <w:lang w:eastAsia="zh-CN"/>
        </w:rPr>
        <w:t>中国石油天然气股份有限公司万州金龙加油站新建工程</w:t>
      </w:r>
      <w:r>
        <w:rPr>
          <w:rFonts w:hint="eastAsia"/>
          <w:sz w:val="24"/>
          <w:szCs w:val="24"/>
        </w:rPr>
        <w:t>昼间、夜间</w:t>
      </w:r>
      <w:r>
        <w:rPr>
          <w:sz w:val="24"/>
          <w:szCs w:val="24"/>
        </w:rPr>
        <w:t>外排厂界噪声符合《工业企业厂界环境噪声排放标准》（GB12348-2008）</w:t>
      </w:r>
      <w:r>
        <w:rPr>
          <w:rFonts w:hint="eastAsia"/>
          <w:sz w:val="24"/>
          <w:szCs w:val="24"/>
          <w:lang w:val="en-US" w:eastAsia="zh-CN"/>
        </w:rPr>
        <w:t>1</w:t>
      </w:r>
      <w:r>
        <w:rPr>
          <w:rFonts w:hint="eastAsia"/>
          <w:sz w:val="24"/>
          <w:szCs w:val="24"/>
        </w:rPr>
        <w:t>类</w:t>
      </w:r>
      <w:r>
        <w:rPr>
          <w:sz w:val="24"/>
          <w:szCs w:val="24"/>
        </w:rPr>
        <w:t>区标准。</w:t>
      </w:r>
    </w:p>
    <w:p>
      <w:pPr>
        <w:spacing w:line="540" w:lineRule="exact"/>
        <w:ind w:firstLine="480" w:firstLineChars="200"/>
        <w:rPr>
          <w:sz w:val="24"/>
          <w:szCs w:val="24"/>
        </w:rPr>
      </w:pPr>
      <w:r>
        <w:rPr>
          <w:sz w:val="24"/>
          <w:szCs w:val="24"/>
        </w:rPr>
        <w:t>4、固体废物</w:t>
      </w:r>
    </w:p>
    <w:p>
      <w:pPr>
        <w:adjustRightInd w:val="0"/>
        <w:snapToGrid w:val="0"/>
        <w:spacing w:line="540" w:lineRule="exact"/>
        <w:ind w:firstLine="480" w:firstLineChars="200"/>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本项目产生的固体废物包括包括生活垃圾、生化池污泥、便利店包装废物、危险废物。</w:t>
      </w:r>
    </w:p>
    <w:p>
      <w:pPr>
        <w:adjustRightInd w:val="0"/>
        <w:snapToGrid w:val="0"/>
        <w:spacing w:line="540" w:lineRule="exact"/>
        <w:ind w:firstLine="480" w:firstLineChars="200"/>
        <w:rPr>
          <w:bCs/>
          <w:sz w:val="24"/>
          <w:szCs w:val="24"/>
        </w:rPr>
      </w:pPr>
      <w:r>
        <w:rPr>
          <w:rFonts w:hint="eastAsia" w:asciiTheme="minorEastAsia" w:hAnsiTheme="minorEastAsia" w:eastAsiaTheme="minorEastAsia"/>
          <w:sz w:val="24"/>
          <w:szCs w:val="24"/>
          <w:lang w:eastAsia="zh-CN"/>
        </w:rPr>
        <w:t>油罐清洗废物、隔油池油泥、废油、含油棉纱及手套、油水混合物等危险废物暂存于铁桶内，定期交有危废资质单位处理；生活垃圾由环卫部门收集后处理，生化池污泥由由指定单位定期清掏并送城市生活垃圾填埋场处置</w:t>
      </w:r>
      <w:r>
        <w:rPr>
          <w:rFonts w:hint="eastAsia" w:asciiTheme="minorEastAsia" w:hAnsiTheme="minorEastAsia" w:eastAsiaTheme="minorEastAsia"/>
          <w:bCs/>
          <w:sz w:val="24"/>
          <w:szCs w:val="24"/>
        </w:rPr>
        <w:t>。</w:t>
      </w:r>
    </w:p>
    <w:p>
      <w:pPr>
        <w:spacing w:line="540" w:lineRule="exact"/>
        <w:ind w:firstLine="480" w:firstLineChars="200"/>
        <w:rPr>
          <w:sz w:val="24"/>
          <w:szCs w:val="24"/>
        </w:rPr>
      </w:pPr>
      <w:r>
        <w:rPr>
          <w:rFonts w:hint="eastAsia"/>
          <w:sz w:val="24"/>
          <w:szCs w:val="24"/>
        </w:rPr>
        <w:t>本项目</w:t>
      </w:r>
      <w:r>
        <w:rPr>
          <w:sz w:val="24"/>
          <w:szCs w:val="24"/>
        </w:rPr>
        <w:t>固体废物</w:t>
      </w:r>
      <w:r>
        <w:rPr>
          <w:rFonts w:hint="eastAsia"/>
          <w:sz w:val="24"/>
          <w:szCs w:val="24"/>
        </w:rPr>
        <w:t>处理措施落实了</w:t>
      </w:r>
      <w:r>
        <w:rPr>
          <w:sz w:val="24"/>
          <w:szCs w:val="24"/>
        </w:rPr>
        <w:t>环评报告</w:t>
      </w:r>
      <w:r>
        <w:rPr>
          <w:rFonts w:hint="eastAsia"/>
          <w:sz w:val="24"/>
          <w:szCs w:val="24"/>
          <w:lang w:eastAsia="zh-CN"/>
        </w:rPr>
        <w:t>表</w:t>
      </w:r>
      <w:r>
        <w:rPr>
          <w:sz w:val="24"/>
          <w:szCs w:val="24"/>
        </w:rPr>
        <w:t>及环评批复要求。</w:t>
      </w:r>
    </w:p>
    <w:p>
      <w:pPr>
        <w:numPr>
          <w:ilvl w:val="0"/>
          <w:numId w:val="2"/>
        </w:numPr>
        <w:spacing w:line="540" w:lineRule="exact"/>
        <w:ind w:firstLine="480" w:firstLineChars="200"/>
        <w:rPr>
          <w:rFonts w:hint="eastAsia"/>
          <w:sz w:val="24"/>
          <w:szCs w:val="24"/>
          <w:lang w:val="en-US" w:eastAsia="zh-CN"/>
        </w:rPr>
      </w:pPr>
      <w:r>
        <w:rPr>
          <w:rFonts w:hint="eastAsia"/>
          <w:sz w:val="24"/>
          <w:szCs w:val="24"/>
          <w:lang w:val="en-US" w:eastAsia="zh-CN"/>
        </w:rPr>
        <w:t>其他</w:t>
      </w:r>
    </w:p>
    <w:p>
      <w:pPr>
        <w:spacing w:line="540" w:lineRule="exact"/>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该项目主要从事</w:t>
      </w:r>
      <w:r>
        <w:rPr>
          <w:rFonts w:hint="eastAsia" w:ascii="Times New Roman" w:hAnsi="Times New Roman" w:eastAsia="宋体" w:cs="Times New Roman"/>
          <w:bCs/>
          <w:sz w:val="24"/>
          <w:szCs w:val="24"/>
          <w:lang w:eastAsia="zh-CN"/>
        </w:rPr>
        <w:t>机动车燃油零售项目</w:t>
      </w:r>
      <w:r>
        <w:rPr>
          <w:rFonts w:hint="eastAsia" w:ascii="Times New Roman" w:hAnsi="Times New Roman" w:eastAsia="宋体" w:cs="Times New Roman"/>
          <w:bCs/>
          <w:sz w:val="24"/>
          <w:szCs w:val="24"/>
          <w:lang w:val="en-US" w:eastAsia="zh-CN"/>
        </w:rPr>
        <w:t>，行业划分属于汽车、摩托车、零配件和燃料及其他动力销售 526，位于城市建成区的加油站，根据固定污染源排污许可证分类管理名录（2019 年版）的相关要求，属于简化管理，需要办理排污许可证。企业于2024年1月16日审批通过排污许可证。许可证编号：91500101MAD8K8WE71001Q。项目在建设及试生产期间没有居民投诉。</w:t>
      </w:r>
    </w:p>
    <w:p>
      <w:pPr>
        <w:pStyle w:val="62"/>
        <w:rPr>
          <w:rFonts w:cs="Times New Roman"/>
          <w:sz w:val="32"/>
        </w:rPr>
      </w:pPr>
      <w:bookmarkStart w:id="194" w:name="_Toc17073"/>
      <w:r>
        <w:rPr>
          <w:rFonts w:cs="Times New Roman"/>
          <w:sz w:val="32"/>
        </w:rPr>
        <w:t>10.</w:t>
      </w:r>
      <w:r>
        <w:rPr>
          <w:rFonts w:hint="eastAsia" w:cs="Times New Roman"/>
          <w:sz w:val="32"/>
        </w:rPr>
        <w:t>2</w:t>
      </w:r>
      <w:r>
        <w:rPr>
          <w:rFonts w:cs="Times New Roman"/>
          <w:sz w:val="32"/>
        </w:rPr>
        <w:t>环境风险措施检查结论</w:t>
      </w:r>
      <w:bookmarkEnd w:id="194"/>
    </w:p>
    <w:p>
      <w:pPr>
        <w:adjustRightInd w:val="0"/>
        <w:snapToGrid w:val="0"/>
        <w:spacing w:line="540" w:lineRule="exact"/>
        <w:ind w:firstLine="480" w:firstLineChars="200"/>
        <w:rPr>
          <w:rFonts w:hAnsiTheme="minorEastAsia" w:eastAsiaTheme="minorEastAsia"/>
          <w:bCs/>
          <w:sz w:val="28"/>
          <w:szCs w:val="28"/>
        </w:rPr>
      </w:pPr>
      <w:r>
        <w:rPr>
          <w:rFonts w:hint="eastAsia" w:asciiTheme="minorEastAsia" w:hAnsiTheme="minorEastAsia" w:eastAsiaTheme="minorEastAsia"/>
          <w:bCs/>
          <w:sz w:val="24"/>
          <w:szCs w:val="24"/>
        </w:rPr>
        <w:t>本项目编制了《突发环境事件应急预案》、《突发环境事件风险评估报告》确保事故发生时能够得到及时有效的处理。本项目油罐均为双层油罐，设置了液位仪和测漏仪，若油罐破裂，油品泄漏在罐内，不会外泄，同时终端会声音报警，罐池采用防渗钢筋混凝土整体浇筑，能有效防止事故的发生。本项目配</w:t>
      </w:r>
      <w:r>
        <w:rPr>
          <w:rFonts w:hAnsiTheme="minorEastAsia" w:eastAsiaTheme="minorEastAsia"/>
          <w:bCs/>
          <w:sz w:val="24"/>
          <w:szCs w:val="24"/>
        </w:rPr>
        <w:t>备应急物资与装备</w:t>
      </w:r>
      <w:r>
        <w:rPr>
          <w:rFonts w:hint="eastAsia" w:hAnsiTheme="minorEastAsia" w:eastAsiaTheme="minorEastAsia"/>
          <w:bCs/>
          <w:sz w:val="24"/>
          <w:szCs w:val="24"/>
        </w:rPr>
        <w:t>，事故发生时能够得到及时有效的处理。</w:t>
      </w:r>
    </w:p>
    <w:p>
      <w:pPr>
        <w:pStyle w:val="62"/>
        <w:rPr>
          <w:rFonts w:cs="Times New Roman"/>
          <w:sz w:val="32"/>
        </w:rPr>
      </w:pPr>
      <w:bookmarkStart w:id="195" w:name="_Toc3212"/>
      <w:r>
        <w:rPr>
          <w:rFonts w:cs="Times New Roman"/>
          <w:sz w:val="32"/>
        </w:rPr>
        <w:t>10.</w:t>
      </w:r>
      <w:r>
        <w:rPr>
          <w:rFonts w:hint="eastAsia" w:cs="Times New Roman"/>
          <w:sz w:val="32"/>
        </w:rPr>
        <w:t>3综合结论</w:t>
      </w:r>
      <w:bookmarkEnd w:id="195"/>
    </w:p>
    <w:p>
      <w:pPr>
        <w:adjustRightInd w:val="0"/>
        <w:snapToGrid w:val="0"/>
        <w:spacing w:line="540" w:lineRule="exact"/>
        <w:ind w:firstLine="480" w:firstLineChars="200"/>
        <w:rPr>
          <w:rFonts w:asciiTheme="minorEastAsia" w:hAnsiTheme="minorEastAsia" w:eastAsiaTheme="minorEastAsia"/>
          <w:bCs/>
          <w:sz w:val="28"/>
          <w:szCs w:val="28"/>
        </w:rPr>
      </w:pPr>
      <w:r>
        <w:rPr>
          <w:rFonts w:hint="eastAsia"/>
          <w:bCs/>
          <w:sz w:val="24"/>
          <w:szCs w:val="24"/>
          <w:lang w:eastAsia="zh-CN"/>
        </w:rPr>
        <w:t>中国石油天然气股份有限公司万州金龙加油站新建工程</w:t>
      </w:r>
      <w:r>
        <w:rPr>
          <w:rFonts w:asciiTheme="minorEastAsia" w:hAnsiTheme="minorEastAsia" w:eastAsiaTheme="minorEastAsia"/>
          <w:bCs/>
          <w:sz w:val="24"/>
          <w:szCs w:val="24"/>
        </w:rPr>
        <w:t>建设前环境保护审查、审批手续完备，工程在设计、施工和营运过程中采取的污染防治措施有效，环境保护设施及其他措施已基本按批准的环境影响报告</w:t>
      </w:r>
      <w:r>
        <w:rPr>
          <w:rFonts w:hint="eastAsia" w:asciiTheme="minorEastAsia" w:hAnsiTheme="minorEastAsia" w:eastAsiaTheme="minorEastAsia"/>
          <w:bCs/>
          <w:sz w:val="24"/>
          <w:szCs w:val="24"/>
        </w:rPr>
        <w:t>表</w:t>
      </w:r>
      <w:r>
        <w:rPr>
          <w:rFonts w:asciiTheme="minorEastAsia" w:hAnsiTheme="minorEastAsia" w:eastAsiaTheme="minorEastAsia"/>
          <w:bCs/>
          <w:sz w:val="24"/>
          <w:szCs w:val="24"/>
        </w:rPr>
        <w:t>的要求落实，达到环评和环保局批复提出的环境保护和管理要求，</w:t>
      </w:r>
      <w:r>
        <w:rPr>
          <w:rFonts w:hint="eastAsia" w:asciiTheme="minorEastAsia" w:hAnsiTheme="minorEastAsia" w:eastAsiaTheme="minorEastAsia"/>
          <w:bCs/>
          <w:sz w:val="24"/>
          <w:szCs w:val="24"/>
        </w:rPr>
        <w:t>试运营期间</w:t>
      </w:r>
      <w:r>
        <w:rPr>
          <w:rFonts w:asciiTheme="minorEastAsia" w:hAnsiTheme="minorEastAsia" w:eastAsiaTheme="minorEastAsia"/>
          <w:bCs/>
          <w:sz w:val="24"/>
          <w:szCs w:val="24"/>
        </w:rPr>
        <w:t>无污染投诉</w:t>
      </w:r>
      <w:r>
        <w:rPr>
          <w:rFonts w:hint="eastAsia" w:asciiTheme="minorEastAsia" w:hAnsiTheme="minorEastAsia" w:eastAsiaTheme="minorEastAsia"/>
          <w:bCs/>
          <w:sz w:val="24"/>
          <w:szCs w:val="24"/>
        </w:rPr>
        <w:t>，建议通过本项目环境保护竣工验收。</w:t>
      </w:r>
    </w:p>
    <w:p>
      <w:pPr>
        <w:pStyle w:val="62"/>
        <w:rPr>
          <w:rFonts w:cs="Times New Roman"/>
          <w:sz w:val="32"/>
        </w:rPr>
      </w:pPr>
      <w:bookmarkStart w:id="196" w:name="_Toc16118"/>
      <w:r>
        <w:rPr>
          <w:rFonts w:cs="Times New Roman"/>
          <w:sz w:val="32"/>
        </w:rPr>
        <w:t>10.</w:t>
      </w:r>
      <w:r>
        <w:rPr>
          <w:rFonts w:hint="eastAsia" w:cs="Times New Roman"/>
          <w:sz w:val="32"/>
        </w:rPr>
        <w:t>4建议</w:t>
      </w:r>
      <w:bookmarkEnd w:id="196"/>
    </w:p>
    <w:p>
      <w:pPr>
        <w:adjustRightInd w:val="0"/>
        <w:snapToGrid w:val="0"/>
        <w:spacing w:line="540" w:lineRule="exact"/>
        <w:ind w:firstLine="480" w:firstLineChars="200"/>
        <w:rPr>
          <w:sz w:val="24"/>
          <w:szCs w:val="24"/>
        </w:rPr>
      </w:pPr>
      <w:r>
        <w:rPr>
          <w:sz w:val="24"/>
          <w:szCs w:val="24"/>
        </w:rPr>
        <w:t>（</w:t>
      </w:r>
      <w:r>
        <w:rPr>
          <w:rFonts w:hint="eastAsia"/>
          <w:sz w:val="24"/>
          <w:szCs w:val="24"/>
        </w:rPr>
        <w:t>1</w:t>
      </w:r>
      <w:r>
        <w:rPr>
          <w:sz w:val="24"/>
          <w:szCs w:val="24"/>
        </w:rPr>
        <w:t>）</w:t>
      </w:r>
      <w:r>
        <w:rPr>
          <w:rFonts w:hint="eastAsia"/>
          <w:sz w:val="24"/>
          <w:szCs w:val="24"/>
        </w:rPr>
        <w:t>加强厂区绿化，减少外环境对本项目的影响。</w:t>
      </w:r>
    </w:p>
    <w:p>
      <w:pPr>
        <w:adjustRightInd w:val="0"/>
        <w:snapToGrid w:val="0"/>
        <w:spacing w:line="540" w:lineRule="exact"/>
        <w:ind w:firstLine="480" w:firstLineChars="200"/>
        <w:rPr>
          <w:sz w:val="24"/>
          <w:szCs w:val="24"/>
        </w:rPr>
      </w:pPr>
      <w:r>
        <w:rPr>
          <w:rFonts w:hint="eastAsia"/>
          <w:sz w:val="24"/>
          <w:szCs w:val="24"/>
        </w:rPr>
        <w:t>（2）加强环保设施的运行管理和维护，确保环保设施处于良好运行状态，以保证污染治理设施的处理效果。</w:t>
      </w:r>
    </w:p>
    <w:p>
      <w:pPr>
        <w:adjustRightInd w:val="0"/>
        <w:snapToGrid w:val="0"/>
        <w:spacing w:line="540" w:lineRule="exact"/>
        <w:ind w:firstLine="480" w:firstLineChars="200"/>
        <w:rPr>
          <w:sz w:val="24"/>
          <w:szCs w:val="24"/>
        </w:rPr>
      </w:pPr>
      <w:r>
        <w:rPr>
          <w:rFonts w:hint="eastAsia"/>
          <w:sz w:val="24"/>
          <w:szCs w:val="24"/>
        </w:rPr>
        <w:t>（3）制定环境管理制度，提高工作人员的环境保护意识。</w:t>
      </w:r>
    </w:p>
    <w:p>
      <w:pPr>
        <w:adjustRightInd w:val="0"/>
        <w:snapToGrid w:val="0"/>
        <w:spacing w:line="540" w:lineRule="exact"/>
        <w:ind w:firstLine="480" w:firstLineChars="200"/>
        <w:rPr>
          <w:rFonts w:hint="eastAsia" w:eastAsia="宋体"/>
          <w:sz w:val="36"/>
          <w:lang w:eastAsia="zh-CN"/>
        </w:rPr>
        <w:sectPr>
          <w:pgSz w:w="11906" w:h="16838"/>
          <w:pgMar w:top="1701" w:right="1418" w:bottom="1701" w:left="1418" w:header="851" w:footer="992" w:gutter="0"/>
          <w:cols w:space="425" w:num="1"/>
          <w:docGrid w:type="lines" w:linePitch="312" w:charSpace="0"/>
        </w:sectPr>
      </w:pPr>
      <w:r>
        <w:rPr>
          <w:rFonts w:hint="eastAsia"/>
          <w:sz w:val="24"/>
          <w:szCs w:val="24"/>
        </w:rPr>
        <w:t>（4）做好危险废物的临时储存，严格执行</w:t>
      </w:r>
      <w:r>
        <w:rPr>
          <w:sz w:val="24"/>
          <w:szCs w:val="24"/>
        </w:rPr>
        <w:t>《危险废物贮存污染控制标准》（</w:t>
      </w:r>
      <w:r>
        <w:rPr>
          <w:rFonts w:hint="eastAsia"/>
          <w:sz w:val="24"/>
          <w:szCs w:val="24"/>
        </w:rPr>
        <w:t>GB18597-2023</w:t>
      </w:r>
      <w:r>
        <w:rPr>
          <w:sz w:val="24"/>
          <w:szCs w:val="24"/>
        </w:rPr>
        <w:t>）</w:t>
      </w:r>
      <w:r>
        <w:rPr>
          <w:rFonts w:hint="eastAsia"/>
          <w:sz w:val="24"/>
          <w:szCs w:val="24"/>
          <w:lang w:eastAsia="zh-CN"/>
        </w:rPr>
        <w:t>。</w:t>
      </w:r>
    </w:p>
    <w:p>
      <w:pPr>
        <w:widowControl/>
        <w:spacing w:line="360" w:lineRule="auto"/>
        <w:ind w:firstLine="560" w:firstLineChars="200"/>
        <w:rPr>
          <w:rFonts w:hint="eastAsia" w:ascii="Times New Roman" w:hAnsi="Times New Roman" w:eastAsia="宋体" w:cs="Times New Roman"/>
          <w:b/>
          <w:color w:val="auto"/>
          <w:sz w:val="28"/>
          <w:szCs w:val="22"/>
          <w:lang w:eastAsia="zh-CN"/>
        </w:rPr>
      </w:pPr>
      <w:r>
        <w:rPr>
          <w:rFonts w:hint="eastAsia" w:ascii="Times New Roman" w:hAnsi="Times New Roman" w:eastAsia="宋体" w:cs="Times New Roman"/>
          <w:b/>
          <w:color w:val="auto"/>
          <w:sz w:val="28"/>
          <w:szCs w:val="22"/>
          <w:lang w:eastAsia="zh-CN"/>
        </w:rPr>
        <w:t>附图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sz w:val="24"/>
          <w:szCs w:val="24"/>
        </w:rPr>
      </w:pPr>
      <w:r>
        <w:rPr>
          <w:bCs/>
          <w:sz w:val="24"/>
          <w:szCs w:val="24"/>
        </w:rPr>
        <w:t>附图1：项目地理位置图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sz w:val="24"/>
          <w:szCs w:val="24"/>
        </w:rPr>
      </w:pPr>
      <w:r>
        <w:rPr>
          <w:bCs/>
          <w:sz w:val="24"/>
          <w:szCs w:val="24"/>
        </w:rPr>
        <w:t>附图</w:t>
      </w:r>
      <w:r>
        <w:rPr>
          <w:rFonts w:hint="eastAsia"/>
          <w:bCs/>
          <w:sz w:val="24"/>
          <w:szCs w:val="24"/>
          <w:lang w:val="en-US" w:eastAsia="zh-CN"/>
        </w:rPr>
        <w:t>2</w:t>
      </w:r>
      <w:r>
        <w:rPr>
          <w:bCs/>
          <w:sz w:val="24"/>
          <w:szCs w:val="24"/>
        </w:rPr>
        <w:t>：项目</w:t>
      </w:r>
      <w:r>
        <w:rPr>
          <w:rFonts w:hint="eastAsia"/>
          <w:bCs/>
          <w:sz w:val="24"/>
          <w:szCs w:val="24"/>
        </w:rPr>
        <w:t>总平面布置图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sz w:val="24"/>
          <w:szCs w:val="24"/>
        </w:rPr>
      </w:pPr>
      <w:r>
        <w:rPr>
          <w:bCs/>
          <w:sz w:val="24"/>
          <w:szCs w:val="24"/>
        </w:rPr>
        <w:t>附图</w:t>
      </w:r>
      <w:r>
        <w:rPr>
          <w:rFonts w:hint="eastAsia"/>
          <w:bCs/>
          <w:sz w:val="24"/>
          <w:szCs w:val="24"/>
          <w:lang w:val="en-US" w:eastAsia="zh-CN"/>
        </w:rPr>
        <w:t>3</w:t>
      </w:r>
      <w:r>
        <w:rPr>
          <w:bCs/>
          <w:sz w:val="24"/>
          <w:szCs w:val="24"/>
        </w:rPr>
        <w:t>：</w:t>
      </w:r>
      <w:r>
        <w:rPr>
          <w:rFonts w:hint="eastAsia"/>
          <w:bCs/>
          <w:sz w:val="24"/>
          <w:szCs w:val="24"/>
        </w:rPr>
        <w:t xml:space="preserve">项目雨污管网图 </w:t>
      </w:r>
    </w:p>
    <w:p>
      <w:pPr>
        <w:pStyle w:val="61"/>
        <w:rPr>
          <w:rFonts w:hint="eastAsia" w:cs="Times New Roman"/>
          <w:sz w:val="36"/>
          <w:lang w:eastAsia="zh-CN"/>
        </w:rPr>
      </w:pPr>
    </w:p>
    <w:p>
      <w:pPr>
        <w:widowControl/>
        <w:spacing w:line="360" w:lineRule="auto"/>
        <w:ind w:firstLine="560" w:firstLineChars="200"/>
        <w:rPr>
          <w:rFonts w:hint="eastAsia" w:ascii="Times New Roman" w:hAnsi="Times New Roman" w:eastAsia="宋体" w:cs="Times New Roman"/>
          <w:b/>
          <w:color w:val="auto"/>
          <w:sz w:val="28"/>
          <w:szCs w:val="22"/>
          <w:lang w:eastAsia="zh-CN"/>
        </w:rPr>
      </w:pPr>
      <w:r>
        <w:rPr>
          <w:rFonts w:hint="eastAsia" w:ascii="Times New Roman" w:hAnsi="Times New Roman" w:eastAsia="宋体" w:cs="Times New Roman"/>
          <w:b/>
          <w:color w:val="auto"/>
          <w:sz w:val="28"/>
          <w:szCs w:val="22"/>
          <w:lang w:eastAsia="zh-CN"/>
        </w:rPr>
        <w:t>附 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Cs/>
          <w:sz w:val="24"/>
          <w:szCs w:val="24"/>
          <w:lang w:val="en-US" w:eastAsia="zh-CN"/>
        </w:rPr>
      </w:pPr>
      <w:r>
        <w:rPr>
          <w:rFonts w:hint="eastAsia"/>
          <w:bCs/>
          <w:sz w:val="24"/>
          <w:szCs w:val="24"/>
        </w:rPr>
        <w:t>1、</w:t>
      </w:r>
      <w:r>
        <w:rPr>
          <w:bCs/>
          <w:sz w:val="24"/>
          <w:szCs w:val="24"/>
        </w:rPr>
        <w:t>重庆市</w:t>
      </w:r>
      <w:r>
        <w:rPr>
          <w:rFonts w:hint="eastAsia"/>
          <w:bCs/>
          <w:sz w:val="24"/>
          <w:szCs w:val="24"/>
          <w:lang w:eastAsia="zh-CN"/>
        </w:rPr>
        <w:t>万州区</w:t>
      </w:r>
      <w:r>
        <w:rPr>
          <w:bCs/>
          <w:sz w:val="24"/>
          <w:szCs w:val="24"/>
        </w:rPr>
        <w:t>生态环境局（</w:t>
      </w:r>
      <w:r>
        <w:rPr>
          <w:rFonts w:hint="eastAsia"/>
          <w:bCs/>
          <w:sz w:val="24"/>
          <w:szCs w:val="24"/>
          <w:lang w:eastAsia="zh-CN"/>
        </w:rPr>
        <w:t>渝（万）环准[2023]038号</w:t>
      </w:r>
      <w:r>
        <w:rPr>
          <w:bCs/>
          <w:sz w:val="24"/>
          <w:szCs w:val="24"/>
        </w:rPr>
        <w:t>）《重庆市建设项目环境影响评价文件批准书》</w:t>
      </w:r>
      <w:r>
        <w:rPr>
          <w:rFonts w:hint="eastAsia"/>
          <w:bCs/>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szCs w:val="24"/>
          <w:lang w:eastAsia="zh-CN"/>
        </w:rPr>
      </w:pPr>
      <w:r>
        <w:rPr>
          <w:color w:val="000000" w:themeColor="text1"/>
          <w:sz w:val="24"/>
          <w:szCs w:val="24"/>
        </w:rPr>
        <w:t>2</w:t>
      </w:r>
      <w:r>
        <w:rPr>
          <w:rFonts w:hAnsi="宋体"/>
          <w:color w:val="000000" w:themeColor="text1"/>
          <w:sz w:val="24"/>
          <w:szCs w:val="24"/>
        </w:rPr>
        <w:t>、</w:t>
      </w:r>
      <w:r>
        <w:rPr>
          <w:rFonts w:hint="eastAsia"/>
          <w:b w:val="0"/>
          <w:bCs/>
          <w:color w:val="000000" w:themeColor="text1"/>
          <w:sz w:val="24"/>
          <w:szCs w:val="24"/>
          <w:lang w:val="en-US" w:eastAsia="zh-CN"/>
        </w:rPr>
        <w:t>重庆新晨环境监测有限公司</w:t>
      </w:r>
      <w:r>
        <w:rPr>
          <w:b w:val="0"/>
          <w:bCs/>
          <w:color w:val="000000" w:themeColor="text1"/>
          <w:sz w:val="24"/>
          <w:szCs w:val="24"/>
        </w:rPr>
        <w:t>《</w:t>
      </w:r>
      <w:r>
        <w:rPr>
          <w:rFonts w:hint="eastAsia"/>
          <w:b w:val="0"/>
          <w:bCs/>
          <w:color w:val="000000" w:themeColor="text1"/>
          <w:sz w:val="24"/>
          <w:szCs w:val="24"/>
          <w:lang w:eastAsia="zh-CN"/>
        </w:rPr>
        <w:t>验收监</w:t>
      </w:r>
      <w:r>
        <w:rPr>
          <w:rFonts w:hint="eastAsia"/>
          <w:b w:val="0"/>
          <w:bCs/>
          <w:color w:val="000000" w:themeColor="text1"/>
          <w:sz w:val="24"/>
          <w:szCs w:val="24"/>
        </w:rPr>
        <w:t>测</w:t>
      </w:r>
      <w:r>
        <w:rPr>
          <w:b w:val="0"/>
          <w:bCs/>
          <w:color w:val="000000" w:themeColor="text1"/>
          <w:sz w:val="24"/>
          <w:szCs w:val="24"/>
        </w:rPr>
        <w:t>报告》（</w:t>
      </w:r>
      <w:r>
        <w:rPr>
          <w:rFonts w:hint="eastAsia"/>
          <w:b w:val="0"/>
          <w:bCs/>
          <w:color w:val="000000" w:themeColor="text1"/>
          <w:sz w:val="24"/>
          <w:szCs w:val="24"/>
        </w:rPr>
        <w:t>新晨（检）字﹝2023﹞第 1233 号</w:t>
      </w:r>
      <w:r>
        <w:rPr>
          <w:b w:val="0"/>
          <w:bCs/>
          <w:color w:val="000000" w:themeColor="text1"/>
          <w:sz w:val="24"/>
          <w:szCs w:val="24"/>
        </w:rPr>
        <w:t>）</w:t>
      </w:r>
      <w:r>
        <w:rPr>
          <w:rFonts w:hint="eastAsia"/>
          <w:b w:val="0"/>
          <w:bCs/>
          <w:color w:val="000000" w:themeColor="text1"/>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3、排污许可证91500101MAD8K8WE71001Q；</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4、危废协议。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szCs w:val="24"/>
          <w:lang w:val="en-US" w:eastAsia="zh-CN"/>
        </w:rPr>
      </w:pPr>
    </w:p>
    <w:p>
      <w:pPr>
        <w:widowControl/>
        <w:spacing w:line="360" w:lineRule="auto"/>
        <w:ind w:firstLine="560" w:firstLineChars="200"/>
        <w:rPr>
          <w:rFonts w:hint="eastAsia" w:ascii="Times New Roman" w:hAnsi="Times New Roman" w:eastAsia="宋体" w:cs="Times New Roman"/>
          <w:b/>
          <w:color w:val="auto"/>
          <w:sz w:val="28"/>
          <w:szCs w:val="22"/>
          <w:lang w:val="en-US" w:eastAsia="zh-CN"/>
        </w:rPr>
      </w:pPr>
      <w:r>
        <w:rPr>
          <w:rFonts w:hint="eastAsia" w:ascii="Times New Roman" w:hAnsi="Times New Roman" w:eastAsia="宋体" w:cs="Times New Roman"/>
          <w:b/>
          <w:color w:val="auto"/>
          <w:sz w:val="28"/>
          <w:szCs w:val="22"/>
          <w:lang w:val="en-US" w:eastAsia="zh-CN"/>
        </w:rPr>
        <w:t>附表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建设项目工程竣工环境保护“三同时”验收登记表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szCs w:val="24"/>
          <w:lang w:val="en-US" w:eastAsia="zh-CN"/>
        </w:rPr>
        <w:sectPr>
          <w:pgSz w:w="11906" w:h="16838"/>
          <w:pgMar w:top="851" w:right="567" w:bottom="851" w:left="851" w:header="284" w:footer="284" w:gutter="0"/>
          <w:cols w:space="425" w:num="1"/>
          <w:docGrid w:type="linesAndChars" w:linePitch="312" w:charSpace="0"/>
        </w:sectPr>
      </w:pPr>
    </w:p>
    <w:p>
      <w:pPr>
        <w:spacing w:after="0" w:line="360" w:lineRule="auto"/>
        <w:jc w:val="center"/>
        <w:rPr>
          <w:rFonts w:eastAsia="黑体"/>
          <w:b/>
          <w:sz w:val="21"/>
          <w:szCs w:val="21"/>
        </w:rPr>
      </w:pPr>
      <w:r>
        <w:rPr>
          <w:rFonts w:eastAsia="黑体"/>
          <w:b/>
          <w:sz w:val="21"/>
          <w:szCs w:val="21"/>
        </w:rPr>
        <w:t>建设项目工程竣工环境保护“三同时”验收登记表</w:t>
      </w:r>
    </w:p>
    <w:p>
      <w:pPr>
        <w:spacing w:after="0" w:line="240" w:lineRule="auto"/>
        <w:ind w:firstLine="103" w:firstLineChars="49"/>
        <w:rPr>
          <w:rFonts w:ascii="宋体" w:hAnsi="宋体" w:eastAsia="宋体"/>
          <w:b/>
          <w:sz w:val="21"/>
          <w:szCs w:val="21"/>
        </w:rPr>
      </w:pPr>
      <w:r>
        <w:rPr>
          <w:rFonts w:ascii="宋体" w:hAnsi="宋体" w:eastAsia="宋体"/>
          <w:b/>
          <w:sz w:val="21"/>
          <w:szCs w:val="21"/>
        </w:rPr>
        <w:t>填表单位（盖章）</w:t>
      </w:r>
      <w:r>
        <w:rPr>
          <w:rFonts w:ascii="宋体" w:hAnsi="宋体" w:eastAsia="宋体"/>
          <w:b/>
          <w:kern w:val="2"/>
          <w:sz w:val="21"/>
          <w:szCs w:val="21"/>
        </w:rPr>
        <w:t>：</w:t>
      </w:r>
      <w:r>
        <w:rPr>
          <w:rFonts w:hint="eastAsia" w:ascii="宋体" w:hAnsi="宋体" w:eastAsia="宋体"/>
          <w:b/>
          <w:sz w:val="21"/>
          <w:szCs w:val="21"/>
        </w:rPr>
        <w:t>中国石油天然气股份有限公司重庆万州销售分公司</w:t>
      </w:r>
      <w:r>
        <w:rPr>
          <w:rFonts w:ascii="宋体" w:hAnsi="宋体" w:eastAsia="宋体"/>
          <w:b/>
          <w:sz w:val="21"/>
          <w:szCs w:val="21"/>
        </w:rPr>
        <w:t xml:space="preserve">       填表人（签字）：         </w:t>
      </w:r>
      <w:r>
        <w:rPr>
          <w:rFonts w:hint="eastAsia" w:ascii="宋体" w:hAnsi="宋体" w:eastAsia="宋体"/>
          <w:b/>
          <w:sz w:val="21"/>
          <w:szCs w:val="21"/>
        </w:rPr>
        <w:t xml:space="preserve">  </w:t>
      </w:r>
      <w:r>
        <w:rPr>
          <w:rFonts w:ascii="宋体" w:hAnsi="宋体" w:eastAsia="宋体"/>
          <w:b/>
          <w:sz w:val="21"/>
          <w:szCs w:val="21"/>
        </w:rPr>
        <w:t xml:space="preserve">            项目经办人（签字）：</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168"/>
        <w:gridCol w:w="1110"/>
        <w:gridCol w:w="640"/>
        <w:gridCol w:w="774"/>
        <w:gridCol w:w="1117"/>
        <w:gridCol w:w="205"/>
        <w:gridCol w:w="641"/>
        <w:gridCol w:w="262"/>
        <w:gridCol w:w="768"/>
        <w:gridCol w:w="138"/>
        <w:gridCol w:w="199"/>
        <w:gridCol w:w="888"/>
        <w:gridCol w:w="912"/>
        <w:gridCol w:w="229"/>
        <w:gridCol w:w="1159"/>
        <w:gridCol w:w="503"/>
        <w:gridCol w:w="849"/>
        <w:gridCol w:w="1099"/>
        <w:gridCol w:w="656"/>
        <w:gridCol w:w="190"/>
        <w:gridCol w:w="352"/>
        <w:gridCol w:w="777"/>
        <w:gridCol w:w="434"/>
        <w:gridCol w:w="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75" w:type="pct"/>
            <w:vMerge w:val="restart"/>
            <w:noWrap w:val="0"/>
            <w:textDirection w:val="tbRlV"/>
            <w:vAlign w:val="center"/>
          </w:tcPr>
          <w:p>
            <w:pPr>
              <w:spacing w:after="0" w:line="240" w:lineRule="auto"/>
              <w:ind w:firstLine="1801" w:firstLineChars="1200"/>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建设项目</w:t>
            </w:r>
          </w:p>
        </w:tc>
        <w:tc>
          <w:tcPr>
            <w:tcW w:w="638" w:type="pct"/>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项目名称</w:t>
            </w:r>
          </w:p>
        </w:tc>
        <w:tc>
          <w:tcPr>
            <w:tcW w:w="1363" w:type="pct"/>
            <w:gridSpan w:val="8"/>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中国石油天然气股份有限公司重庆万州销售分公司</w:t>
            </w:r>
          </w:p>
        </w:tc>
        <w:tc>
          <w:tcPr>
            <w:tcW w:w="598" w:type="pct"/>
            <w:gridSpan w:val="2"/>
            <w:noWrap w:val="0"/>
            <w:vAlign w:val="center"/>
          </w:tcPr>
          <w:p>
            <w:pPr>
              <w:widowControl/>
              <w:adjustRightInd w:val="0"/>
              <w:snapToGrid w:val="0"/>
              <w:spacing w:after="0" w:line="240" w:lineRule="auto"/>
              <w:jc w:val="left"/>
              <w:rPr>
                <w:rFonts w:hint="eastAsia" w:ascii="Tahoma" w:hAnsi="Tahoma" w:eastAsia="微软雅黑" w:cs="Times New Roman"/>
                <w:b/>
                <w:kern w:val="2"/>
                <w:sz w:val="15"/>
                <w:szCs w:val="15"/>
                <w:lang w:eastAsia="zh-CN"/>
              </w:rPr>
            </w:pPr>
            <w:r>
              <w:rPr>
                <w:rFonts w:hint="eastAsia" w:ascii="Tahoma" w:hAnsi="Tahoma" w:eastAsia="微软雅黑" w:cs="Times New Roman"/>
                <w:b/>
                <w:kern w:val="2"/>
                <w:sz w:val="15"/>
                <w:szCs w:val="15"/>
                <w:lang w:eastAsia="zh-CN"/>
              </w:rPr>
              <w:t>项目代码</w:t>
            </w:r>
          </w:p>
        </w:tc>
        <w:tc>
          <w:tcPr>
            <w:tcW w:w="910" w:type="pct"/>
            <w:gridSpan w:val="4"/>
            <w:noWrap w:val="0"/>
            <w:vAlign w:val="center"/>
          </w:tcPr>
          <w:p>
            <w:pPr>
              <w:spacing w:after="0" w:line="240" w:lineRule="auto"/>
              <w:rPr>
                <w:rFonts w:hint="eastAsia" w:ascii="Tahoma" w:hAnsi="Tahoma" w:eastAsia="微软雅黑" w:cs="Times New Roman"/>
                <w:kern w:val="2"/>
                <w:sz w:val="15"/>
                <w:szCs w:val="15"/>
                <w:lang w:val="en-US" w:eastAsia="zh-CN"/>
              </w:rPr>
            </w:pPr>
            <w:r>
              <w:rPr>
                <w:rFonts w:hint="default" w:ascii="Tahoma" w:hAnsi="Tahoma" w:eastAsia="微软雅黑" w:cs="Times New Roman"/>
                <w:kern w:val="2"/>
                <w:sz w:val="15"/>
                <w:szCs w:val="15"/>
                <w:lang w:eastAsia="zh-CN"/>
              </w:rPr>
              <w:t>2106-500101-04-01-654783</w:t>
            </w:r>
          </w:p>
        </w:tc>
        <w:tc>
          <w:tcPr>
            <w:tcW w:w="365" w:type="pct"/>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b/>
                <w:bCs/>
                <w:kern w:val="2"/>
                <w:sz w:val="15"/>
                <w:szCs w:val="15"/>
                <w:lang w:val="en-US" w:eastAsia="zh-CN"/>
              </w:rPr>
              <w:t>建设地点</w:t>
            </w:r>
          </w:p>
        </w:tc>
        <w:tc>
          <w:tcPr>
            <w:tcW w:w="948" w:type="pct"/>
            <w:gridSpan w:val="6"/>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eastAsia="zh-CN"/>
              </w:rPr>
              <w:t>重庆市万州区九池街道大包村8社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75" w:type="pct"/>
            <w:vMerge w:val="continue"/>
            <w:noWrap w:val="0"/>
            <w:vAlign w:val="center"/>
          </w:tcPr>
          <w:p>
            <w:pPr>
              <w:spacing w:after="0" w:line="240" w:lineRule="auto"/>
              <w:rPr>
                <w:rFonts w:hint="eastAsia" w:ascii="Tahoma" w:hAnsi="Tahoma" w:eastAsia="微软雅黑" w:cs="Times New Roman"/>
                <w:b/>
                <w:kern w:val="2"/>
                <w:sz w:val="15"/>
                <w:szCs w:val="15"/>
              </w:rPr>
            </w:pPr>
          </w:p>
        </w:tc>
        <w:tc>
          <w:tcPr>
            <w:tcW w:w="638" w:type="pct"/>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行业类别（分类管理名录）</w:t>
            </w:r>
          </w:p>
        </w:tc>
        <w:tc>
          <w:tcPr>
            <w:tcW w:w="1363" w:type="pct"/>
            <w:gridSpan w:val="8"/>
            <w:noWrap w:val="0"/>
            <w:vAlign w:val="center"/>
          </w:tcPr>
          <w:p>
            <w:pPr>
              <w:spacing w:after="0" w:line="240" w:lineRule="auto"/>
              <w:rPr>
                <w:rFonts w:hint="eastAsia" w:ascii="Tahoma" w:hAnsi="Tahoma" w:eastAsia="微软雅黑" w:cs="Times New Roman"/>
                <w:kern w:val="2"/>
                <w:sz w:val="15"/>
                <w:szCs w:val="15"/>
                <w:lang w:eastAsia="zh-CN"/>
              </w:rPr>
            </w:pPr>
            <w:r>
              <w:rPr>
                <w:rFonts w:hint="default" w:ascii="Tahoma" w:hAnsi="Tahoma" w:eastAsia="微软雅黑" w:cs="Times New Roman"/>
                <w:kern w:val="2"/>
                <w:sz w:val="15"/>
                <w:szCs w:val="15"/>
                <w:lang w:eastAsia="zh-CN"/>
              </w:rPr>
              <w:t>F5265 机动车燃油零售</w:t>
            </w:r>
          </w:p>
        </w:tc>
        <w:tc>
          <w:tcPr>
            <w:tcW w:w="598" w:type="pct"/>
            <w:gridSpan w:val="2"/>
            <w:noWrap w:val="0"/>
            <w:vAlign w:val="center"/>
          </w:tcPr>
          <w:p>
            <w:pPr>
              <w:widowControl/>
              <w:adjustRightInd w:val="0"/>
              <w:snapToGrid w:val="0"/>
              <w:spacing w:after="0" w:line="240" w:lineRule="auto"/>
              <w:jc w:val="left"/>
              <w:rPr>
                <w:rFonts w:hint="eastAsia" w:ascii="Tahoma" w:hAnsi="Tahoma" w:eastAsia="微软雅黑" w:cs="Times New Roman"/>
                <w:b/>
                <w:kern w:val="2"/>
                <w:sz w:val="15"/>
                <w:szCs w:val="15"/>
                <w:lang w:eastAsia="zh-CN"/>
              </w:rPr>
            </w:pPr>
            <w:r>
              <w:rPr>
                <w:rFonts w:hint="eastAsia" w:ascii="Tahoma" w:hAnsi="Tahoma" w:eastAsia="微软雅黑" w:cs="Times New Roman"/>
                <w:b/>
                <w:kern w:val="2"/>
                <w:sz w:val="15"/>
                <w:szCs w:val="15"/>
                <w:lang w:eastAsia="zh-CN"/>
              </w:rPr>
              <w:t>建设性质</w:t>
            </w:r>
          </w:p>
        </w:tc>
        <w:tc>
          <w:tcPr>
            <w:tcW w:w="2224" w:type="pct"/>
            <w:gridSpan w:val="11"/>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☑新建  □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75" w:type="pct"/>
            <w:vMerge w:val="continue"/>
            <w:noWrap w:val="0"/>
            <w:vAlign w:val="center"/>
          </w:tcPr>
          <w:p>
            <w:pPr>
              <w:spacing w:after="0" w:line="240" w:lineRule="auto"/>
              <w:rPr>
                <w:rFonts w:hint="eastAsia" w:ascii="Tahoma" w:hAnsi="Tahoma" w:eastAsia="微软雅黑" w:cs="Times New Roman"/>
                <w:b/>
                <w:kern w:val="2"/>
                <w:sz w:val="15"/>
                <w:szCs w:val="15"/>
              </w:rPr>
            </w:pPr>
          </w:p>
        </w:tc>
        <w:tc>
          <w:tcPr>
            <w:tcW w:w="638" w:type="pct"/>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设计生产能力</w:t>
            </w:r>
          </w:p>
        </w:tc>
        <w:tc>
          <w:tcPr>
            <w:tcW w:w="1363" w:type="pct"/>
            <w:gridSpan w:val="8"/>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eastAsia="zh-CN"/>
              </w:rPr>
            </w:pPr>
            <w:r>
              <w:rPr>
                <w:rFonts w:hint="default" w:ascii="Tahoma" w:hAnsi="Tahoma" w:eastAsia="微软雅黑" w:cs="Times New Roman"/>
                <w:b w:val="0"/>
                <w:bCs/>
                <w:kern w:val="2"/>
                <w:sz w:val="15"/>
                <w:szCs w:val="15"/>
                <w:lang w:val="en-US" w:eastAsia="zh-CN"/>
              </w:rPr>
              <w:t>双层 FF 卧式罐，包括 1 个25m</w:t>
            </w:r>
            <w:r>
              <w:rPr>
                <w:rFonts w:hint="default" w:ascii="Tahoma" w:hAnsi="Tahoma" w:eastAsia="微软雅黑" w:cs="Times New Roman"/>
                <w:b w:val="0"/>
                <w:bCs/>
                <w:kern w:val="2"/>
                <w:sz w:val="15"/>
                <w:szCs w:val="15"/>
                <w:vertAlign w:val="superscript"/>
                <w:lang w:val="en-US" w:eastAsia="zh-CN"/>
              </w:rPr>
              <w:t>3</w:t>
            </w:r>
            <w:r>
              <w:rPr>
                <w:rFonts w:hint="default" w:ascii="Tahoma" w:hAnsi="Tahoma" w:eastAsia="微软雅黑" w:cs="Times New Roman"/>
                <w:b w:val="0"/>
                <w:bCs/>
                <w:kern w:val="2"/>
                <w:sz w:val="15"/>
                <w:szCs w:val="15"/>
                <w:lang w:val="en-US" w:eastAsia="zh-CN"/>
              </w:rPr>
              <w:t>的 0#柴油罐、1个25m</w:t>
            </w:r>
            <w:r>
              <w:rPr>
                <w:rFonts w:hint="default" w:ascii="Tahoma" w:hAnsi="Tahoma" w:eastAsia="微软雅黑" w:cs="Times New Roman"/>
                <w:b w:val="0"/>
                <w:bCs/>
                <w:kern w:val="2"/>
                <w:sz w:val="15"/>
                <w:szCs w:val="15"/>
                <w:vertAlign w:val="superscript"/>
                <w:lang w:val="en-US" w:eastAsia="zh-CN"/>
              </w:rPr>
              <w:t>3</w:t>
            </w:r>
            <w:r>
              <w:rPr>
                <w:rFonts w:hint="default" w:ascii="Tahoma" w:hAnsi="Tahoma" w:eastAsia="微软雅黑" w:cs="Times New Roman"/>
                <w:b w:val="0"/>
                <w:bCs/>
                <w:kern w:val="2"/>
                <w:sz w:val="15"/>
                <w:szCs w:val="15"/>
                <w:lang w:val="en-US" w:eastAsia="zh-CN"/>
              </w:rPr>
              <w:t>的 92#汽油罐、1 个25m</w:t>
            </w:r>
            <w:r>
              <w:rPr>
                <w:rFonts w:hint="default" w:ascii="Tahoma" w:hAnsi="Tahoma" w:eastAsia="微软雅黑" w:cs="Times New Roman"/>
                <w:b w:val="0"/>
                <w:bCs/>
                <w:kern w:val="2"/>
                <w:sz w:val="15"/>
                <w:szCs w:val="15"/>
                <w:vertAlign w:val="superscript"/>
                <w:lang w:val="en-US" w:eastAsia="zh-CN"/>
              </w:rPr>
              <w:t>3</w:t>
            </w:r>
            <w:r>
              <w:rPr>
                <w:rFonts w:hint="default" w:ascii="Tahoma" w:hAnsi="Tahoma" w:eastAsia="微软雅黑" w:cs="Times New Roman"/>
                <w:b w:val="0"/>
                <w:bCs/>
                <w:kern w:val="2"/>
                <w:sz w:val="15"/>
                <w:szCs w:val="15"/>
                <w:lang w:val="en-US" w:eastAsia="zh-CN"/>
              </w:rPr>
              <w:t>的 95#汽油罐，油罐总容积 V=62.5m</w:t>
            </w:r>
            <w:r>
              <w:rPr>
                <w:rFonts w:hint="default" w:ascii="Tahoma" w:hAnsi="Tahoma" w:eastAsia="微软雅黑" w:cs="Times New Roman"/>
                <w:b w:val="0"/>
                <w:bCs/>
                <w:kern w:val="2"/>
                <w:sz w:val="15"/>
                <w:szCs w:val="15"/>
                <w:vertAlign w:val="superscript"/>
                <w:lang w:val="en-US" w:eastAsia="zh-CN"/>
              </w:rPr>
              <w:t>3</w:t>
            </w:r>
            <w:r>
              <w:rPr>
                <w:rFonts w:hint="default" w:ascii="Tahoma" w:hAnsi="Tahoma" w:eastAsia="微软雅黑" w:cs="Times New Roman"/>
                <w:b w:val="0"/>
                <w:bCs/>
                <w:kern w:val="2"/>
                <w:sz w:val="15"/>
                <w:szCs w:val="15"/>
                <w:lang w:val="en-US" w:eastAsia="zh-CN"/>
              </w:rPr>
              <w:t>（柴油折半计）。</w:t>
            </w:r>
          </w:p>
        </w:tc>
        <w:tc>
          <w:tcPr>
            <w:tcW w:w="598" w:type="pct"/>
            <w:gridSpan w:val="2"/>
            <w:noWrap w:val="0"/>
            <w:vAlign w:val="center"/>
          </w:tcPr>
          <w:p>
            <w:pPr>
              <w:widowControl/>
              <w:adjustRightInd w:val="0"/>
              <w:snapToGrid w:val="0"/>
              <w:spacing w:after="0" w:line="240" w:lineRule="auto"/>
              <w:jc w:val="left"/>
              <w:rPr>
                <w:rFonts w:hint="eastAsia" w:ascii="Tahoma" w:hAnsi="Tahoma" w:eastAsia="微软雅黑" w:cs="Times New Roman"/>
                <w:b/>
                <w:kern w:val="2"/>
                <w:sz w:val="15"/>
                <w:szCs w:val="15"/>
                <w:lang w:eastAsia="zh-CN"/>
              </w:rPr>
            </w:pPr>
            <w:r>
              <w:rPr>
                <w:rFonts w:hint="eastAsia" w:ascii="Tahoma" w:hAnsi="Tahoma" w:eastAsia="微软雅黑" w:cs="Times New Roman"/>
                <w:b/>
                <w:kern w:val="2"/>
                <w:sz w:val="15"/>
                <w:szCs w:val="15"/>
                <w:lang w:eastAsia="zh-CN"/>
              </w:rPr>
              <w:t>实际生产能力</w:t>
            </w:r>
          </w:p>
        </w:tc>
        <w:tc>
          <w:tcPr>
            <w:tcW w:w="910" w:type="pct"/>
            <w:gridSpan w:val="4"/>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val="en-US" w:eastAsia="zh-CN"/>
              </w:rPr>
            </w:pPr>
            <w:r>
              <w:rPr>
                <w:rFonts w:hint="default" w:ascii="Tahoma" w:hAnsi="Tahoma" w:eastAsia="微软雅黑" w:cs="Times New Roman"/>
                <w:b w:val="0"/>
                <w:bCs/>
                <w:kern w:val="2"/>
                <w:sz w:val="15"/>
                <w:szCs w:val="15"/>
                <w:lang w:val="en-US" w:eastAsia="zh-CN"/>
              </w:rPr>
              <w:t>双层 FF 卧式罐，包括 1 个25m</w:t>
            </w:r>
            <w:r>
              <w:rPr>
                <w:rFonts w:hint="default" w:ascii="Tahoma" w:hAnsi="Tahoma" w:eastAsia="微软雅黑" w:cs="Times New Roman"/>
                <w:b w:val="0"/>
                <w:bCs/>
                <w:kern w:val="2"/>
                <w:sz w:val="15"/>
                <w:szCs w:val="15"/>
                <w:vertAlign w:val="superscript"/>
                <w:lang w:val="en-US" w:eastAsia="zh-CN"/>
              </w:rPr>
              <w:t>3</w:t>
            </w:r>
            <w:r>
              <w:rPr>
                <w:rFonts w:hint="default" w:ascii="Tahoma" w:hAnsi="Tahoma" w:eastAsia="微软雅黑" w:cs="Times New Roman"/>
                <w:b w:val="0"/>
                <w:bCs/>
                <w:kern w:val="2"/>
                <w:sz w:val="15"/>
                <w:szCs w:val="15"/>
                <w:lang w:val="en-US" w:eastAsia="zh-CN"/>
              </w:rPr>
              <w:t>的 0#柴油罐、1个25m</w:t>
            </w:r>
            <w:r>
              <w:rPr>
                <w:rFonts w:hint="default" w:ascii="Tahoma" w:hAnsi="Tahoma" w:eastAsia="微软雅黑" w:cs="Times New Roman"/>
                <w:b w:val="0"/>
                <w:bCs/>
                <w:kern w:val="2"/>
                <w:sz w:val="15"/>
                <w:szCs w:val="15"/>
                <w:vertAlign w:val="superscript"/>
                <w:lang w:val="en-US" w:eastAsia="zh-CN"/>
              </w:rPr>
              <w:t>3</w:t>
            </w:r>
            <w:r>
              <w:rPr>
                <w:rFonts w:hint="default" w:ascii="Tahoma" w:hAnsi="Tahoma" w:eastAsia="微软雅黑" w:cs="Times New Roman"/>
                <w:b w:val="0"/>
                <w:bCs/>
                <w:kern w:val="2"/>
                <w:sz w:val="15"/>
                <w:szCs w:val="15"/>
                <w:lang w:val="en-US" w:eastAsia="zh-CN"/>
              </w:rPr>
              <w:t>的 92#汽油罐、1 个25m</w:t>
            </w:r>
            <w:r>
              <w:rPr>
                <w:rFonts w:hint="default" w:ascii="Tahoma" w:hAnsi="Tahoma" w:eastAsia="微软雅黑" w:cs="Times New Roman"/>
                <w:b w:val="0"/>
                <w:bCs/>
                <w:kern w:val="2"/>
                <w:sz w:val="15"/>
                <w:szCs w:val="15"/>
                <w:vertAlign w:val="superscript"/>
                <w:lang w:val="en-US" w:eastAsia="zh-CN"/>
              </w:rPr>
              <w:t>3</w:t>
            </w:r>
            <w:r>
              <w:rPr>
                <w:rFonts w:hint="default" w:ascii="Tahoma" w:hAnsi="Tahoma" w:eastAsia="微软雅黑" w:cs="Times New Roman"/>
                <w:b w:val="0"/>
                <w:bCs/>
                <w:kern w:val="2"/>
                <w:sz w:val="15"/>
                <w:szCs w:val="15"/>
                <w:lang w:val="en-US" w:eastAsia="zh-CN"/>
              </w:rPr>
              <w:t>的 95#汽油罐，油罐总容积 V=62.5m</w:t>
            </w:r>
            <w:r>
              <w:rPr>
                <w:rFonts w:hint="default" w:ascii="Tahoma" w:hAnsi="Tahoma" w:eastAsia="微软雅黑" w:cs="Times New Roman"/>
                <w:b w:val="0"/>
                <w:bCs/>
                <w:kern w:val="2"/>
                <w:sz w:val="15"/>
                <w:szCs w:val="15"/>
                <w:vertAlign w:val="superscript"/>
                <w:lang w:val="en-US" w:eastAsia="zh-CN"/>
              </w:rPr>
              <w:t>3</w:t>
            </w:r>
            <w:r>
              <w:rPr>
                <w:rFonts w:hint="default" w:ascii="Tahoma" w:hAnsi="Tahoma" w:eastAsia="微软雅黑" w:cs="Times New Roman"/>
                <w:b w:val="0"/>
                <w:bCs/>
                <w:kern w:val="2"/>
                <w:sz w:val="15"/>
                <w:szCs w:val="15"/>
                <w:lang w:val="en-US" w:eastAsia="zh-CN"/>
              </w:rPr>
              <w:t>（柴油折半计）。</w:t>
            </w:r>
          </w:p>
        </w:tc>
        <w:tc>
          <w:tcPr>
            <w:tcW w:w="583" w:type="pct"/>
            <w:gridSpan w:val="2"/>
            <w:noWrap w:val="0"/>
            <w:vAlign w:val="center"/>
          </w:tcPr>
          <w:p>
            <w:pPr>
              <w:widowControl/>
              <w:adjustRightInd w:val="0"/>
              <w:snapToGrid w:val="0"/>
              <w:spacing w:after="0" w:line="240" w:lineRule="auto"/>
              <w:jc w:val="left"/>
              <w:rPr>
                <w:rFonts w:hint="eastAsia" w:ascii="Tahoma" w:hAnsi="Tahoma" w:eastAsia="微软雅黑" w:cs="Times New Roman"/>
                <w:b/>
                <w:kern w:val="2"/>
                <w:sz w:val="15"/>
                <w:szCs w:val="15"/>
                <w:lang w:eastAsia="zh-CN"/>
              </w:rPr>
            </w:pPr>
            <w:r>
              <w:rPr>
                <w:rFonts w:hint="eastAsia" w:ascii="Tahoma" w:hAnsi="Tahoma" w:eastAsia="微软雅黑" w:cs="Times New Roman"/>
                <w:b/>
                <w:kern w:val="2"/>
                <w:sz w:val="15"/>
                <w:szCs w:val="15"/>
                <w:lang w:eastAsia="zh-CN"/>
              </w:rPr>
              <w:t>环评单位</w:t>
            </w:r>
          </w:p>
        </w:tc>
        <w:tc>
          <w:tcPr>
            <w:tcW w:w="730" w:type="pct"/>
            <w:gridSpan w:val="5"/>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val="en-US" w:eastAsia="zh-CN"/>
              </w:rPr>
              <w:t>重庆长嵘环保科技有限公司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75" w:type="pct"/>
            <w:vMerge w:val="continue"/>
            <w:noWrap w:val="0"/>
            <w:vAlign w:val="center"/>
          </w:tcPr>
          <w:p>
            <w:pPr>
              <w:spacing w:after="0" w:line="240" w:lineRule="auto"/>
              <w:rPr>
                <w:rFonts w:hint="eastAsia" w:ascii="Tahoma" w:hAnsi="Tahoma" w:eastAsia="微软雅黑" w:cs="Times New Roman"/>
                <w:b/>
                <w:kern w:val="2"/>
                <w:sz w:val="15"/>
                <w:szCs w:val="15"/>
              </w:rPr>
            </w:pPr>
          </w:p>
        </w:tc>
        <w:tc>
          <w:tcPr>
            <w:tcW w:w="638" w:type="pct"/>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环评文件审批机关</w:t>
            </w:r>
          </w:p>
        </w:tc>
        <w:tc>
          <w:tcPr>
            <w:tcW w:w="1363" w:type="pct"/>
            <w:gridSpan w:val="8"/>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eastAsia="zh-CN"/>
              </w:rPr>
            </w:pPr>
            <w:r>
              <w:rPr>
                <w:rFonts w:hint="eastAsia" w:ascii="Tahoma" w:hAnsi="Tahoma" w:eastAsia="微软雅黑" w:cs="Times New Roman"/>
                <w:b w:val="0"/>
                <w:bCs/>
                <w:kern w:val="2"/>
                <w:sz w:val="15"/>
                <w:szCs w:val="15"/>
                <w:lang w:eastAsia="zh-CN"/>
              </w:rPr>
              <w:t>万州区生态环境保护局</w:t>
            </w:r>
          </w:p>
        </w:tc>
        <w:tc>
          <w:tcPr>
            <w:tcW w:w="598" w:type="pct"/>
            <w:gridSpan w:val="2"/>
            <w:noWrap w:val="0"/>
            <w:vAlign w:val="center"/>
          </w:tcPr>
          <w:p>
            <w:pPr>
              <w:widowControl/>
              <w:adjustRightInd w:val="0"/>
              <w:snapToGrid w:val="0"/>
              <w:spacing w:after="0" w:line="240" w:lineRule="auto"/>
              <w:jc w:val="left"/>
              <w:rPr>
                <w:rFonts w:hint="eastAsia" w:ascii="Tahoma" w:hAnsi="Tahoma" w:eastAsia="微软雅黑" w:cs="Times New Roman"/>
                <w:b/>
                <w:kern w:val="2"/>
                <w:sz w:val="15"/>
                <w:szCs w:val="15"/>
                <w:lang w:eastAsia="zh-CN"/>
              </w:rPr>
            </w:pPr>
            <w:r>
              <w:rPr>
                <w:rFonts w:hint="eastAsia" w:ascii="Tahoma" w:hAnsi="Tahoma" w:eastAsia="微软雅黑" w:cs="Times New Roman"/>
                <w:b/>
                <w:kern w:val="2"/>
                <w:sz w:val="15"/>
                <w:szCs w:val="15"/>
                <w:lang w:eastAsia="zh-CN"/>
              </w:rPr>
              <w:t>审批文号</w:t>
            </w:r>
          </w:p>
        </w:tc>
        <w:tc>
          <w:tcPr>
            <w:tcW w:w="910" w:type="pct"/>
            <w:gridSpan w:val="4"/>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渝（万）环准[2023]038号</w:t>
            </w:r>
          </w:p>
        </w:tc>
        <w:tc>
          <w:tcPr>
            <w:tcW w:w="583" w:type="pct"/>
            <w:gridSpan w:val="2"/>
            <w:noWrap w:val="0"/>
            <w:vAlign w:val="center"/>
          </w:tcPr>
          <w:p>
            <w:pPr>
              <w:widowControl/>
              <w:adjustRightInd w:val="0"/>
              <w:snapToGrid w:val="0"/>
              <w:spacing w:after="0" w:line="240" w:lineRule="auto"/>
              <w:jc w:val="left"/>
              <w:rPr>
                <w:rFonts w:hint="eastAsia" w:ascii="Tahoma" w:hAnsi="Tahoma" w:eastAsia="微软雅黑" w:cs="Times New Roman"/>
                <w:b/>
                <w:kern w:val="2"/>
                <w:sz w:val="15"/>
                <w:szCs w:val="15"/>
                <w:lang w:eastAsia="zh-CN"/>
              </w:rPr>
            </w:pPr>
            <w:r>
              <w:rPr>
                <w:rFonts w:hint="eastAsia" w:ascii="Tahoma" w:hAnsi="Tahoma" w:eastAsia="微软雅黑" w:cs="Times New Roman"/>
                <w:b/>
                <w:kern w:val="2"/>
                <w:sz w:val="15"/>
                <w:szCs w:val="15"/>
                <w:lang w:eastAsia="zh-CN"/>
              </w:rPr>
              <w:t>环评文件类型</w:t>
            </w:r>
          </w:p>
        </w:tc>
        <w:tc>
          <w:tcPr>
            <w:tcW w:w="730" w:type="pct"/>
            <w:gridSpan w:val="5"/>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75" w:type="pct"/>
            <w:vMerge w:val="continue"/>
            <w:noWrap w:val="0"/>
            <w:vAlign w:val="center"/>
          </w:tcPr>
          <w:p>
            <w:pPr>
              <w:spacing w:after="0" w:line="240" w:lineRule="auto"/>
              <w:rPr>
                <w:rFonts w:hint="eastAsia" w:ascii="Tahoma" w:hAnsi="Tahoma" w:eastAsia="微软雅黑" w:cs="Times New Roman"/>
                <w:b/>
                <w:kern w:val="2"/>
                <w:sz w:val="15"/>
                <w:szCs w:val="15"/>
              </w:rPr>
            </w:pPr>
          </w:p>
        </w:tc>
        <w:tc>
          <w:tcPr>
            <w:tcW w:w="638" w:type="pct"/>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开工日期</w:t>
            </w:r>
          </w:p>
        </w:tc>
        <w:tc>
          <w:tcPr>
            <w:tcW w:w="1363" w:type="pct"/>
            <w:gridSpan w:val="8"/>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eastAsia="zh-CN"/>
              </w:rPr>
            </w:pPr>
            <w:r>
              <w:rPr>
                <w:rFonts w:hint="eastAsia" w:ascii="Tahoma" w:hAnsi="Tahoma" w:eastAsia="微软雅黑" w:cs="Times New Roman"/>
                <w:b w:val="0"/>
                <w:bCs/>
                <w:kern w:val="2"/>
                <w:sz w:val="15"/>
                <w:szCs w:val="15"/>
                <w:lang w:eastAsia="zh-CN"/>
              </w:rPr>
              <w:t>20</w:t>
            </w:r>
            <w:r>
              <w:rPr>
                <w:rFonts w:hint="eastAsia" w:ascii="Tahoma" w:hAnsi="Tahoma" w:eastAsia="微软雅黑" w:cs="Times New Roman"/>
                <w:b w:val="0"/>
                <w:bCs/>
                <w:kern w:val="2"/>
                <w:sz w:val="15"/>
                <w:szCs w:val="15"/>
                <w:lang w:val="en-US" w:eastAsia="zh-CN"/>
              </w:rPr>
              <w:t>23</w:t>
            </w:r>
            <w:r>
              <w:rPr>
                <w:rFonts w:hint="eastAsia" w:ascii="Tahoma" w:hAnsi="Tahoma" w:eastAsia="微软雅黑" w:cs="Times New Roman"/>
                <w:b w:val="0"/>
                <w:bCs/>
                <w:kern w:val="2"/>
                <w:sz w:val="15"/>
                <w:szCs w:val="15"/>
                <w:lang w:eastAsia="zh-CN"/>
              </w:rPr>
              <w:t>.</w:t>
            </w:r>
            <w:r>
              <w:rPr>
                <w:rFonts w:hint="eastAsia" w:ascii="Tahoma" w:hAnsi="Tahoma" w:eastAsia="微软雅黑" w:cs="Times New Roman"/>
                <w:b w:val="0"/>
                <w:bCs/>
                <w:kern w:val="2"/>
                <w:sz w:val="15"/>
                <w:szCs w:val="15"/>
                <w:lang w:val="en-US" w:eastAsia="zh-CN"/>
              </w:rPr>
              <w:t>7</w:t>
            </w:r>
          </w:p>
        </w:tc>
        <w:tc>
          <w:tcPr>
            <w:tcW w:w="598" w:type="pct"/>
            <w:gridSpan w:val="2"/>
            <w:noWrap w:val="0"/>
            <w:vAlign w:val="center"/>
          </w:tcPr>
          <w:p>
            <w:pPr>
              <w:widowControl/>
              <w:adjustRightInd w:val="0"/>
              <w:snapToGrid w:val="0"/>
              <w:spacing w:after="0" w:line="240" w:lineRule="auto"/>
              <w:jc w:val="left"/>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竣工日期</w:t>
            </w:r>
          </w:p>
        </w:tc>
        <w:tc>
          <w:tcPr>
            <w:tcW w:w="910" w:type="pct"/>
            <w:gridSpan w:val="4"/>
            <w:noWrap w:val="0"/>
            <w:vAlign w:val="center"/>
          </w:tcPr>
          <w:p>
            <w:pPr>
              <w:widowControl/>
              <w:adjustRightInd w:val="0"/>
              <w:snapToGrid w:val="0"/>
              <w:spacing w:after="0" w:line="240" w:lineRule="auto"/>
              <w:jc w:val="left"/>
              <w:rPr>
                <w:rFonts w:hint="default"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2023.12</w:t>
            </w:r>
          </w:p>
        </w:tc>
        <w:tc>
          <w:tcPr>
            <w:tcW w:w="583" w:type="pct"/>
            <w:gridSpan w:val="2"/>
            <w:noWrap w:val="0"/>
            <w:vAlign w:val="center"/>
          </w:tcPr>
          <w:p>
            <w:pPr>
              <w:widowControl/>
              <w:adjustRightInd w:val="0"/>
              <w:snapToGrid w:val="0"/>
              <w:spacing w:after="0" w:line="240" w:lineRule="auto"/>
              <w:jc w:val="left"/>
              <w:rPr>
                <w:rFonts w:hint="eastAsia" w:ascii="Tahoma" w:hAnsi="Tahoma" w:eastAsia="微软雅黑" w:cs="Times New Roman"/>
                <w:b/>
                <w:kern w:val="2"/>
                <w:sz w:val="15"/>
                <w:szCs w:val="15"/>
                <w:lang w:eastAsia="zh-CN"/>
              </w:rPr>
            </w:pPr>
            <w:r>
              <w:rPr>
                <w:rFonts w:hint="eastAsia" w:ascii="Tahoma" w:hAnsi="Tahoma" w:eastAsia="微软雅黑" w:cs="Times New Roman"/>
                <w:b/>
                <w:kern w:val="2"/>
                <w:sz w:val="15"/>
                <w:szCs w:val="15"/>
                <w:lang w:eastAsia="zh-CN"/>
              </w:rPr>
              <w:t>排污许可证申领时间</w:t>
            </w:r>
          </w:p>
        </w:tc>
        <w:tc>
          <w:tcPr>
            <w:tcW w:w="730" w:type="pct"/>
            <w:gridSpan w:val="5"/>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2024.1.16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75" w:type="pct"/>
            <w:vMerge w:val="continue"/>
            <w:noWrap w:val="0"/>
            <w:vAlign w:val="center"/>
          </w:tcPr>
          <w:p>
            <w:pPr>
              <w:spacing w:after="0" w:line="240" w:lineRule="auto"/>
              <w:rPr>
                <w:rFonts w:hint="eastAsia" w:ascii="Tahoma" w:hAnsi="Tahoma" w:eastAsia="微软雅黑" w:cs="Times New Roman"/>
                <w:b/>
                <w:kern w:val="2"/>
                <w:sz w:val="15"/>
                <w:szCs w:val="15"/>
              </w:rPr>
            </w:pPr>
          </w:p>
        </w:tc>
        <w:tc>
          <w:tcPr>
            <w:tcW w:w="638" w:type="pct"/>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环保设施设计单位</w:t>
            </w:r>
          </w:p>
        </w:tc>
        <w:tc>
          <w:tcPr>
            <w:tcW w:w="1363" w:type="pct"/>
            <w:gridSpan w:val="8"/>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eastAsia="zh-CN"/>
              </w:rPr>
            </w:pPr>
            <w:r>
              <w:rPr>
                <w:rFonts w:hint="eastAsia" w:ascii="Tahoma" w:hAnsi="Tahoma" w:eastAsia="微软雅黑" w:cs="Times New Roman"/>
                <w:b w:val="0"/>
                <w:bCs/>
                <w:kern w:val="2"/>
                <w:sz w:val="15"/>
                <w:szCs w:val="15"/>
                <w:lang w:eastAsia="zh-CN"/>
              </w:rPr>
              <w:t>中国石油天然气股份有限公司重庆万州销售分公司</w:t>
            </w:r>
          </w:p>
        </w:tc>
        <w:tc>
          <w:tcPr>
            <w:tcW w:w="598" w:type="pct"/>
            <w:gridSpan w:val="2"/>
            <w:noWrap w:val="0"/>
            <w:vAlign w:val="center"/>
          </w:tcPr>
          <w:p>
            <w:pPr>
              <w:widowControl/>
              <w:adjustRightInd w:val="0"/>
              <w:snapToGrid w:val="0"/>
              <w:spacing w:after="0" w:line="240" w:lineRule="auto"/>
              <w:jc w:val="left"/>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环保设施施工单位</w:t>
            </w:r>
          </w:p>
        </w:tc>
        <w:tc>
          <w:tcPr>
            <w:tcW w:w="910" w:type="pct"/>
            <w:gridSpan w:val="4"/>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中国石油天然气股份有限公司重庆万州销售分公司</w:t>
            </w:r>
          </w:p>
        </w:tc>
        <w:tc>
          <w:tcPr>
            <w:tcW w:w="583" w:type="pct"/>
            <w:gridSpan w:val="2"/>
            <w:noWrap w:val="0"/>
            <w:vAlign w:val="center"/>
          </w:tcPr>
          <w:p>
            <w:pPr>
              <w:widowControl/>
              <w:adjustRightInd w:val="0"/>
              <w:snapToGrid w:val="0"/>
              <w:spacing w:after="0" w:line="240" w:lineRule="auto"/>
              <w:jc w:val="left"/>
              <w:rPr>
                <w:rFonts w:hint="eastAsia" w:ascii="Tahoma" w:hAnsi="Tahoma" w:eastAsia="微软雅黑" w:cs="Times New Roman"/>
                <w:b/>
                <w:kern w:val="2"/>
                <w:sz w:val="15"/>
                <w:szCs w:val="15"/>
                <w:lang w:eastAsia="zh-CN"/>
              </w:rPr>
            </w:pPr>
            <w:r>
              <w:rPr>
                <w:rFonts w:hint="eastAsia" w:ascii="Tahoma" w:hAnsi="Tahoma" w:eastAsia="微软雅黑" w:cs="Times New Roman"/>
                <w:b/>
                <w:kern w:val="2"/>
                <w:sz w:val="15"/>
                <w:szCs w:val="15"/>
                <w:lang w:eastAsia="zh-CN"/>
              </w:rPr>
              <w:t>本工程排污许可证编号</w:t>
            </w:r>
          </w:p>
        </w:tc>
        <w:tc>
          <w:tcPr>
            <w:tcW w:w="730" w:type="pct"/>
            <w:gridSpan w:val="5"/>
            <w:noWrap w:val="0"/>
            <w:vAlign w:val="center"/>
          </w:tcPr>
          <w:p>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rPr>
              <w:t>91500101MAD8K8WE71001Q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75" w:type="pct"/>
            <w:vMerge w:val="continue"/>
            <w:noWrap w:val="0"/>
            <w:vAlign w:val="center"/>
          </w:tcPr>
          <w:p>
            <w:pPr>
              <w:spacing w:after="0" w:line="240" w:lineRule="auto"/>
              <w:rPr>
                <w:rFonts w:hint="eastAsia" w:ascii="Tahoma" w:hAnsi="Tahoma" w:eastAsia="微软雅黑" w:cs="Times New Roman"/>
                <w:b/>
                <w:kern w:val="2"/>
                <w:sz w:val="15"/>
                <w:szCs w:val="15"/>
              </w:rPr>
            </w:pPr>
          </w:p>
        </w:tc>
        <w:tc>
          <w:tcPr>
            <w:tcW w:w="638" w:type="pct"/>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验收单位</w:t>
            </w:r>
          </w:p>
        </w:tc>
        <w:tc>
          <w:tcPr>
            <w:tcW w:w="1363" w:type="pct"/>
            <w:gridSpan w:val="8"/>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eastAsia="zh-CN"/>
              </w:rPr>
            </w:pPr>
            <w:r>
              <w:rPr>
                <w:rFonts w:hint="eastAsia" w:ascii="Tahoma" w:hAnsi="Tahoma" w:eastAsia="微软雅黑" w:cs="Times New Roman"/>
                <w:b w:val="0"/>
                <w:bCs/>
                <w:kern w:val="2"/>
                <w:sz w:val="15"/>
                <w:szCs w:val="15"/>
                <w:lang w:eastAsia="zh-CN"/>
              </w:rPr>
              <w:t>中国石油天然气股份有限公司重庆万州销售分公司</w:t>
            </w:r>
          </w:p>
        </w:tc>
        <w:tc>
          <w:tcPr>
            <w:tcW w:w="598" w:type="pct"/>
            <w:gridSpan w:val="2"/>
            <w:noWrap w:val="0"/>
            <w:vAlign w:val="center"/>
          </w:tcPr>
          <w:p>
            <w:pPr>
              <w:widowControl/>
              <w:adjustRightInd w:val="0"/>
              <w:snapToGrid w:val="0"/>
              <w:spacing w:after="0" w:line="240" w:lineRule="auto"/>
              <w:jc w:val="left"/>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环保设施监测单位</w:t>
            </w:r>
          </w:p>
        </w:tc>
        <w:tc>
          <w:tcPr>
            <w:tcW w:w="910" w:type="pct"/>
            <w:gridSpan w:val="4"/>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重庆新晨环境监测有限公司</w:t>
            </w:r>
          </w:p>
        </w:tc>
        <w:tc>
          <w:tcPr>
            <w:tcW w:w="583" w:type="pct"/>
            <w:gridSpan w:val="2"/>
            <w:noWrap w:val="0"/>
            <w:vAlign w:val="center"/>
          </w:tcPr>
          <w:p>
            <w:pPr>
              <w:widowControl/>
              <w:adjustRightInd w:val="0"/>
              <w:snapToGrid w:val="0"/>
              <w:spacing w:after="0" w:line="240" w:lineRule="auto"/>
              <w:jc w:val="left"/>
              <w:rPr>
                <w:rFonts w:hint="eastAsia" w:ascii="Tahoma" w:hAnsi="Tahoma" w:eastAsia="微软雅黑" w:cs="Times New Roman"/>
                <w:b/>
                <w:kern w:val="2"/>
                <w:sz w:val="15"/>
                <w:szCs w:val="15"/>
                <w:lang w:eastAsia="zh-CN"/>
              </w:rPr>
            </w:pPr>
            <w:r>
              <w:rPr>
                <w:rFonts w:hint="eastAsia" w:ascii="Tahoma" w:hAnsi="Tahoma" w:eastAsia="微软雅黑" w:cs="Times New Roman"/>
                <w:b/>
                <w:kern w:val="2"/>
                <w:sz w:val="15"/>
                <w:szCs w:val="15"/>
                <w:lang w:eastAsia="zh-CN"/>
              </w:rPr>
              <w:t>验收监测时工况</w:t>
            </w:r>
          </w:p>
        </w:tc>
        <w:tc>
          <w:tcPr>
            <w:tcW w:w="730" w:type="pct"/>
            <w:gridSpan w:val="5"/>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75" w:type="pct"/>
            <w:vMerge w:val="continue"/>
            <w:noWrap w:val="0"/>
            <w:vAlign w:val="center"/>
          </w:tcPr>
          <w:p>
            <w:pPr>
              <w:spacing w:after="0" w:line="240" w:lineRule="auto"/>
              <w:rPr>
                <w:rFonts w:hint="eastAsia" w:ascii="Tahoma" w:hAnsi="Tahoma" w:eastAsia="微软雅黑" w:cs="Times New Roman"/>
                <w:b/>
                <w:kern w:val="2"/>
                <w:sz w:val="15"/>
                <w:szCs w:val="15"/>
              </w:rPr>
            </w:pPr>
          </w:p>
        </w:tc>
        <w:tc>
          <w:tcPr>
            <w:tcW w:w="638" w:type="pct"/>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投资总概算（万元）</w:t>
            </w:r>
          </w:p>
        </w:tc>
        <w:tc>
          <w:tcPr>
            <w:tcW w:w="1363" w:type="pct"/>
            <w:gridSpan w:val="8"/>
            <w:noWrap w:val="0"/>
            <w:vAlign w:val="center"/>
          </w:tcPr>
          <w:p>
            <w:pPr>
              <w:widowControl/>
              <w:adjustRightInd w:val="0"/>
              <w:snapToGrid w:val="0"/>
              <w:spacing w:after="0" w:line="240" w:lineRule="auto"/>
              <w:jc w:val="left"/>
              <w:rPr>
                <w:rFonts w:hint="default"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573.00</w:t>
            </w:r>
          </w:p>
        </w:tc>
        <w:tc>
          <w:tcPr>
            <w:tcW w:w="598" w:type="pct"/>
            <w:gridSpan w:val="2"/>
            <w:noWrap w:val="0"/>
            <w:vAlign w:val="center"/>
          </w:tcPr>
          <w:p>
            <w:pPr>
              <w:widowControl/>
              <w:adjustRightInd w:val="0"/>
              <w:snapToGrid w:val="0"/>
              <w:spacing w:after="0" w:line="240" w:lineRule="auto"/>
              <w:jc w:val="left"/>
              <w:rPr>
                <w:rFonts w:hint="eastAsia" w:ascii="Tahoma" w:hAnsi="Tahoma" w:eastAsia="微软雅黑" w:cs="Times New Roman"/>
                <w:b/>
                <w:kern w:val="2"/>
                <w:sz w:val="15"/>
                <w:szCs w:val="15"/>
                <w:lang w:eastAsia="zh-CN"/>
              </w:rPr>
            </w:pPr>
            <w:r>
              <w:rPr>
                <w:rFonts w:hint="eastAsia" w:ascii="Tahoma" w:hAnsi="Tahoma" w:eastAsia="微软雅黑" w:cs="Times New Roman"/>
                <w:b/>
                <w:kern w:val="2"/>
                <w:sz w:val="15"/>
                <w:szCs w:val="15"/>
                <w:lang w:eastAsia="zh-CN"/>
              </w:rPr>
              <w:t>环保投资总概算（万元）</w:t>
            </w:r>
          </w:p>
        </w:tc>
        <w:tc>
          <w:tcPr>
            <w:tcW w:w="910" w:type="pct"/>
            <w:gridSpan w:val="4"/>
            <w:noWrap w:val="0"/>
            <w:vAlign w:val="center"/>
          </w:tcPr>
          <w:p>
            <w:pPr>
              <w:widowControl/>
              <w:adjustRightInd w:val="0"/>
              <w:snapToGrid w:val="0"/>
              <w:spacing w:after="0" w:line="240" w:lineRule="auto"/>
              <w:jc w:val="left"/>
              <w:rPr>
                <w:rFonts w:hint="default"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30.00</w:t>
            </w:r>
          </w:p>
        </w:tc>
        <w:tc>
          <w:tcPr>
            <w:tcW w:w="583" w:type="pct"/>
            <w:gridSpan w:val="2"/>
            <w:noWrap w:val="0"/>
            <w:vAlign w:val="center"/>
          </w:tcPr>
          <w:p>
            <w:pPr>
              <w:widowControl/>
              <w:adjustRightInd w:val="0"/>
              <w:snapToGrid w:val="0"/>
              <w:spacing w:after="0" w:line="240" w:lineRule="auto"/>
              <w:jc w:val="left"/>
              <w:rPr>
                <w:rFonts w:hint="eastAsia" w:ascii="Tahoma" w:hAnsi="Tahoma" w:eastAsia="微软雅黑" w:cs="Times New Roman"/>
                <w:b/>
                <w:kern w:val="2"/>
                <w:sz w:val="15"/>
                <w:szCs w:val="15"/>
                <w:lang w:eastAsia="zh-CN"/>
              </w:rPr>
            </w:pPr>
            <w:r>
              <w:rPr>
                <w:rFonts w:hint="eastAsia" w:ascii="Tahoma" w:hAnsi="Tahoma" w:eastAsia="微软雅黑" w:cs="Times New Roman"/>
                <w:b/>
                <w:kern w:val="2"/>
                <w:sz w:val="15"/>
                <w:szCs w:val="15"/>
                <w:lang w:eastAsia="zh-CN"/>
              </w:rPr>
              <w:t>所占比例（%）</w:t>
            </w:r>
          </w:p>
        </w:tc>
        <w:tc>
          <w:tcPr>
            <w:tcW w:w="730" w:type="pct"/>
            <w:gridSpan w:val="5"/>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75" w:type="pct"/>
            <w:vMerge w:val="continue"/>
            <w:noWrap w:val="0"/>
            <w:vAlign w:val="center"/>
          </w:tcPr>
          <w:p>
            <w:pPr>
              <w:spacing w:after="0" w:line="240" w:lineRule="auto"/>
              <w:rPr>
                <w:rFonts w:hint="eastAsia" w:ascii="Tahoma" w:hAnsi="Tahoma" w:eastAsia="微软雅黑" w:cs="Times New Roman"/>
                <w:b/>
                <w:kern w:val="2"/>
                <w:sz w:val="15"/>
                <w:szCs w:val="15"/>
              </w:rPr>
            </w:pPr>
          </w:p>
        </w:tc>
        <w:tc>
          <w:tcPr>
            <w:tcW w:w="638" w:type="pct"/>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实际总投资</w:t>
            </w:r>
          </w:p>
        </w:tc>
        <w:tc>
          <w:tcPr>
            <w:tcW w:w="1363" w:type="pct"/>
            <w:gridSpan w:val="8"/>
            <w:noWrap w:val="0"/>
            <w:vAlign w:val="center"/>
          </w:tcPr>
          <w:p>
            <w:pPr>
              <w:widowControl/>
              <w:adjustRightInd w:val="0"/>
              <w:snapToGrid w:val="0"/>
              <w:spacing w:after="0" w:line="240" w:lineRule="auto"/>
              <w:jc w:val="left"/>
              <w:rPr>
                <w:rFonts w:hint="default"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573.00</w:t>
            </w:r>
          </w:p>
        </w:tc>
        <w:tc>
          <w:tcPr>
            <w:tcW w:w="598" w:type="pct"/>
            <w:gridSpan w:val="2"/>
            <w:noWrap w:val="0"/>
            <w:vAlign w:val="center"/>
          </w:tcPr>
          <w:p>
            <w:pPr>
              <w:widowControl/>
              <w:adjustRightInd w:val="0"/>
              <w:snapToGrid w:val="0"/>
              <w:spacing w:after="0" w:line="240" w:lineRule="auto"/>
              <w:jc w:val="left"/>
              <w:rPr>
                <w:rFonts w:hint="eastAsia" w:ascii="Tahoma" w:hAnsi="Tahoma" w:eastAsia="微软雅黑" w:cs="Times New Roman"/>
                <w:b/>
                <w:kern w:val="2"/>
                <w:sz w:val="15"/>
                <w:szCs w:val="15"/>
                <w:lang w:eastAsia="zh-CN"/>
              </w:rPr>
            </w:pPr>
            <w:r>
              <w:rPr>
                <w:rFonts w:hint="eastAsia" w:ascii="Tahoma" w:hAnsi="Tahoma" w:eastAsia="微软雅黑" w:cs="Times New Roman"/>
                <w:b/>
                <w:kern w:val="2"/>
                <w:sz w:val="15"/>
                <w:szCs w:val="15"/>
                <w:lang w:eastAsia="zh-CN"/>
              </w:rPr>
              <w:t>实际环保投资（万元）</w:t>
            </w:r>
          </w:p>
        </w:tc>
        <w:tc>
          <w:tcPr>
            <w:tcW w:w="910" w:type="pct"/>
            <w:gridSpan w:val="4"/>
            <w:noWrap w:val="0"/>
            <w:vAlign w:val="center"/>
          </w:tcPr>
          <w:p>
            <w:pPr>
              <w:widowControl/>
              <w:adjustRightInd w:val="0"/>
              <w:snapToGrid w:val="0"/>
              <w:spacing w:after="0" w:line="240" w:lineRule="auto"/>
              <w:jc w:val="left"/>
              <w:rPr>
                <w:rFonts w:hint="default"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30.00</w:t>
            </w:r>
          </w:p>
        </w:tc>
        <w:tc>
          <w:tcPr>
            <w:tcW w:w="583" w:type="pct"/>
            <w:gridSpan w:val="2"/>
            <w:noWrap w:val="0"/>
            <w:vAlign w:val="center"/>
          </w:tcPr>
          <w:p>
            <w:pPr>
              <w:widowControl/>
              <w:adjustRightInd w:val="0"/>
              <w:snapToGrid w:val="0"/>
              <w:spacing w:after="0" w:line="240" w:lineRule="auto"/>
              <w:jc w:val="left"/>
              <w:rPr>
                <w:rFonts w:hint="eastAsia" w:ascii="Tahoma" w:hAnsi="Tahoma" w:eastAsia="微软雅黑" w:cs="Times New Roman"/>
                <w:b/>
                <w:kern w:val="2"/>
                <w:sz w:val="15"/>
                <w:szCs w:val="15"/>
                <w:lang w:eastAsia="zh-CN"/>
              </w:rPr>
            </w:pPr>
            <w:r>
              <w:rPr>
                <w:rFonts w:hint="eastAsia" w:ascii="Tahoma" w:hAnsi="Tahoma" w:eastAsia="微软雅黑" w:cs="Times New Roman"/>
                <w:b/>
                <w:kern w:val="2"/>
                <w:sz w:val="15"/>
                <w:szCs w:val="15"/>
                <w:lang w:eastAsia="zh-CN"/>
              </w:rPr>
              <w:t>所占比例（%）</w:t>
            </w:r>
          </w:p>
        </w:tc>
        <w:tc>
          <w:tcPr>
            <w:tcW w:w="730" w:type="pct"/>
            <w:gridSpan w:val="5"/>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75" w:type="pct"/>
            <w:vMerge w:val="continue"/>
            <w:noWrap w:val="0"/>
            <w:vAlign w:val="center"/>
          </w:tcPr>
          <w:p>
            <w:pPr>
              <w:spacing w:after="0" w:line="240" w:lineRule="auto"/>
              <w:rPr>
                <w:rFonts w:hint="eastAsia" w:ascii="Tahoma" w:hAnsi="Tahoma" w:eastAsia="微软雅黑" w:cs="Times New Roman"/>
                <w:b/>
                <w:kern w:val="2"/>
                <w:sz w:val="15"/>
                <w:szCs w:val="15"/>
              </w:rPr>
            </w:pPr>
          </w:p>
        </w:tc>
        <w:tc>
          <w:tcPr>
            <w:tcW w:w="638" w:type="pct"/>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废水治理（万元）</w:t>
            </w:r>
          </w:p>
        </w:tc>
        <w:tc>
          <w:tcPr>
            <w:tcW w:w="257" w:type="pct"/>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9</w:t>
            </w:r>
          </w:p>
        </w:tc>
        <w:tc>
          <w:tcPr>
            <w:tcW w:w="439" w:type="pct"/>
            <w:gridSpan w:val="2"/>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b/>
                <w:bCs/>
                <w:kern w:val="2"/>
                <w:sz w:val="15"/>
                <w:szCs w:val="15"/>
              </w:rPr>
              <w:t>废气治理（万元）</w:t>
            </w:r>
          </w:p>
        </w:tc>
        <w:tc>
          <w:tcPr>
            <w:tcW w:w="213" w:type="pct"/>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10</w:t>
            </w:r>
          </w:p>
        </w:tc>
        <w:tc>
          <w:tcPr>
            <w:tcW w:w="453" w:type="pct"/>
            <w:gridSpan w:val="4"/>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b/>
                <w:bCs/>
                <w:kern w:val="2"/>
                <w:sz w:val="15"/>
                <w:szCs w:val="15"/>
              </w:rPr>
              <w:t>噪声治理（万元）</w:t>
            </w:r>
          </w:p>
        </w:tc>
        <w:tc>
          <w:tcPr>
            <w:tcW w:w="598" w:type="pct"/>
            <w:gridSpan w:val="2"/>
            <w:noWrap w:val="0"/>
            <w:vAlign w:val="center"/>
          </w:tcPr>
          <w:p>
            <w:pPr>
              <w:spacing w:after="0" w:line="240" w:lineRule="auto"/>
              <w:jc w:val="center"/>
              <w:rPr>
                <w:rFonts w:hint="default" w:ascii="Tahoma" w:hAnsi="Tahoma" w:eastAsia="微软雅黑" w:cs="Times New Roman"/>
                <w:kern w:val="2"/>
                <w:sz w:val="15"/>
                <w:szCs w:val="15"/>
                <w:lang w:val="en-US"/>
              </w:rPr>
            </w:pPr>
            <w:r>
              <w:rPr>
                <w:rFonts w:hint="eastAsia" w:ascii="Tahoma" w:hAnsi="Tahoma" w:eastAsia="微软雅黑" w:cs="Times New Roman"/>
                <w:kern w:val="2"/>
                <w:sz w:val="15"/>
                <w:szCs w:val="15"/>
                <w:lang w:val="en-US" w:eastAsia="zh-CN"/>
              </w:rPr>
              <w:t>5</w:t>
            </w:r>
          </w:p>
        </w:tc>
        <w:tc>
          <w:tcPr>
            <w:tcW w:w="628" w:type="pct"/>
            <w:gridSpan w:val="3"/>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固体废物治理（万元）</w:t>
            </w:r>
          </w:p>
        </w:tc>
        <w:tc>
          <w:tcPr>
            <w:tcW w:w="282" w:type="pct"/>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3</w:t>
            </w:r>
          </w:p>
        </w:tc>
        <w:tc>
          <w:tcPr>
            <w:tcW w:w="583" w:type="pct"/>
            <w:gridSpan w:val="2"/>
            <w:noWrap w:val="0"/>
            <w:vAlign w:val="center"/>
          </w:tcPr>
          <w:p>
            <w:pPr>
              <w:widowControl/>
              <w:adjustRightInd w:val="0"/>
              <w:snapToGrid w:val="0"/>
              <w:spacing w:after="0" w:line="240" w:lineRule="auto"/>
              <w:jc w:val="left"/>
              <w:rPr>
                <w:rFonts w:hint="eastAsia" w:ascii="Tahoma" w:hAnsi="Tahoma" w:eastAsia="微软雅黑" w:cs="Times New Roman"/>
                <w:b/>
                <w:kern w:val="2"/>
                <w:sz w:val="15"/>
                <w:szCs w:val="15"/>
                <w:lang w:eastAsia="zh-CN"/>
              </w:rPr>
            </w:pPr>
            <w:r>
              <w:rPr>
                <w:rFonts w:hint="eastAsia" w:ascii="Tahoma" w:hAnsi="Tahoma" w:eastAsia="微软雅黑" w:cs="Times New Roman"/>
                <w:b/>
                <w:kern w:val="2"/>
                <w:sz w:val="15"/>
                <w:szCs w:val="15"/>
                <w:lang w:eastAsia="zh-CN"/>
              </w:rPr>
              <w:t>绿化及生态（万元）</w:t>
            </w:r>
          </w:p>
        </w:tc>
        <w:tc>
          <w:tcPr>
            <w:tcW w:w="180" w:type="pct"/>
            <w:gridSpan w:val="2"/>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3</w:t>
            </w:r>
          </w:p>
        </w:tc>
        <w:tc>
          <w:tcPr>
            <w:tcW w:w="402" w:type="pct"/>
            <w:gridSpan w:val="2"/>
            <w:noWrap w:val="0"/>
            <w:vAlign w:val="center"/>
          </w:tcPr>
          <w:p>
            <w:pPr>
              <w:spacing w:after="0" w:line="240" w:lineRule="auto"/>
              <w:rPr>
                <w:rFonts w:hint="default" w:ascii="Tahoma" w:hAnsi="Tahoma" w:eastAsia="微软雅黑" w:cs="Times New Roman"/>
                <w:b/>
                <w:bCs/>
                <w:kern w:val="2"/>
                <w:sz w:val="15"/>
                <w:szCs w:val="15"/>
                <w:lang w:val="en-US" w:eastAsia="zh-CN"/>
              </w:rPr>
            </w:pPr>
            <w:r>
              <w:rPr>
                <w:rFonts w:hint="eastAsia" w:ascii="Tahoma" w:hAnsi="Tahoma" w:eastAsia="微软雅黑" w:cs="Times New Roman"/>
                <w:b/>
                <w:bCs/>
                <w:kern w:val="2"/>
                <w:sz w:val="15"/>
                <w:szCs w:val="15"/>
              </w:rPr>
              <w:t>其他（万元）</w:t>
            </w:r>
          </w:p>
        </w:tc>
        <w:tc>
          <w:tcPr>
            <w:tcW w:w="148" w:type="pct"/>
            <w:noWrap w:val="0"/>
            <w:vAlign w:val="center"/>
          </w:tcPr>
          <w:p>
            <w:pPr>
              <w:spacing w:after="0" w:line="240" w:lineRule="auto"/>
              <w:rPr>
                <w:rFonts w:hint="default" w:ascii="Tahoma" w:hAnsi="Tahoma" w:eastAsia="微软雅黑" w:cs="Times New Roman"/>
                <w:b/>
                <w:bCs/>
                <w:kern w:val="2"/>
                <w:sz w:val="15"/>
                <w:szCs w:val="15"/>
                <w:lang w:val="en-US" w:eastAsia="zh-CN"/>
              </w:rPr>
            </w:pPr>
            <w:r>
              <w:rPr>
                <w:rFonts w:hint="eastAsia" w:ascii="Tahoma" w:hAnsi="Tahoma" w:eastAsia="微软雅黑" w:cs="Times New Roman"/>
                <w:b w:val="0"/>
                <w:bCs w:val="0"/>
                <w:kern w:val="2"/>
                <w:sz w:val="15"/>
                <w:szCs w:val="15"/>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75" w:type="pct"/>
            <w:vMerge w:val="continue"/>
            <w:noWrap w:val="0"/>
            <w:vAlign w:val="center"/>
          </w:tcPr>
          <w:p>
            <w:pPr>
              <w:spacing w:after="0"/>
              <w:rPr>
                <w:kern w:val="2"/>
                <w:sz w:val="15"/>
                <w:szCs w:val="15"/>
              </w:rPr>
            </w:pPr>
          </w:p>
        </w:tc>
        <w:tc>
          <w:tcPr>
            <w:tcW w:w="638" w:type="pct"/>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新增废水处理设施能力</w:t>
            </w:r>
          </w:p>
        </w:tc>
        <w:tc>
          <w:tcPr>
            <w:tcW w:w="1363" w:type="pct"/>
            <w:gridSpan w:val="8"/>
            <w:noWrap w:val="0"/>
            <w:vAlign w:val="center"/>
          </w:tcPr>
          <w:p>
            <w:pPr>
              <w:spacing w:after="0" w:line="240" w:lineRule="auto"/>
              <w:rPr>
                <w:rFonts w:hint="default" w:ascii="Tahoma" w:hAnsi="Tahoma" w:eastAsia="微软雅黑" w:cs="Times New Roman"/>
                <w:b/>
                <w:kern w:val="2"/>
                <w:sz w:val="15"/>
                <w:szCs w:val="15"/>
                <w:lang w:val="en-US" w:eastAsia="zh-CN"/>
              </w:rPr>
            </w:pPr>
            <w:r>
              <w:rPr>
                <w:rFonts w:hint="eastAsia" w:ascii="Tahoma" w:hAnsi="Tahoma" w:eastAsia="微软雅黑" w:cs="Times New Roman"/>
                <w:b/>
                <w:kern w:val="2"/>
                <w:sz w:val="15"/>
                <w:szCs w:val="15"/>
                <w:lang w:val="en-US" w:eastAsia="zh-CN"/>
              </w:rPr>
              <w:t>/</w:t>
            </w:r>
          </w:p>
        </w:tc>
        <w:tc>
          <w:tcPr>
            <w:tcW w:w="598" w:type="pct"/>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新增废气处理设施能力</w:t>
            </w:r>
          </w:p>
        </w:tc>
        <w:tc>
          <w:tcPr>
            <w:tcW w:w="910" w:type="pct"/>
            <w:gridSpan w:val="4"/>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w:t>
            </w:r>
          </w:p>
        </w:tc>
        <w:tc>
          <w:tcPr>
            <w:tcW w:w="583" w:type="pct"/>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年平均工作时</w:t>
            </w:r>
            <w:bookmarkStart w:id="197" w:name="_GoBack"/>
            <w:bookmarkEnd w:id="197"/>
          </w:p>
        </w:tc>
        <w:tc>
          <w:tcPr>
            <w:tcW w:w="730" w:type="pct"/>
            <w:gridSpan w:val="5"/>
            <w:noWrap w:val="0"/>
            <w:vAlign w:val="center"/>
          </w:tcPr>
          <w:p>
            <w:pPr>
              <w:spacing w:after="0" w:line="240" w:lineRule="auto"/>
              <w:rPr>
                <w:rFonts w:hint="default" w:ascii="Tahoma" w:hAnsi="Tahoma" w:eastAsia="微软雅黑" w:cs="Times New Roman"/>
                <w:b/>
                <w:kern w:val="2"/>
                <w:sz w:val="15"/>
                <w:szCs w:val="15"/>
                <w:lang w:val="en-US" w:eastAsia="zh-CN"/>
              </w:rPr>
            </w:pPr>
            <w:r>
              <w:rPr>
                <w:rFonts w:hint="eastAsia" w:ascii="Tahoma" w:hAnsi="Tahoma" w:eastAsia="微软雅黑" w:cs="Times New Roman"/>
                <w:b w:val="0"/>
                <w:bCs/>
                <w:kern w:val="2"/>
                <w:sz w:val="15"/>
                <w:szCs w:val="15"/>
                <w:lang w:val="en-US" w:eastAsia="zh-CN"/>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813" w:type="pct"/>
            <w:gridSpan w:val="4"/>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运营单位</w:t>
            </w:r>
          </w:p>
        </w:tc>
        <w:tc>
          <w:tcPr>
            <w:tcW w:w="1251" w:type="pct"/>
            <w:gridSpan w:val="6"/>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val="en-US" w:eastAsia="zh-CN"/>
              </w:rPr>
              <w:t>/</w:t>
            </w:r>
          </w:p>
        </w:tc>
        <w:tc>
          <w:tcPr>
            <w:tcW w:w="710" w:type="pct"/>
            <w:gridSpan w:val="4"/>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b/>
                <w:bCs/>
                <w:kern w:val="2"/>
                <w:sz w:val="15"/>
                <w:szCs w:val="15"/>
                <w:lang w:eastAsia="zh-CN"/>
              </w:rPr>
              <w:t>运营单位社会统一信用代码</w:t>
            </w:r>
          </w:p>
        </w:tc>
        <w:tc>
          <w:tcPr>
            <w:tcW w:w="910" w:type="pct"/>
            <w:gridSpan w:val="4"/>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w:t>
            </w:r>
          </w:p>
        </w:tc>
        <w:tc>
          <w:tcPr>
            <w:tcW w:w="583" w:type="pct"/>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验收时间</w:t>
            </w:r>
          </w:p>
        </w:tc>
        <w:tc>
          <w:tcPr>
            <w:tcW w:w="730" w:type="pct"/>
            <w:gridSpan w:val="5"/>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rPr>
              <w:t>20</w:t>
            </w:r>
            <w:r>
              <w:rPr>
                <w:rFonts w:hint="eastAsia" w:ascii="Tahoma" w:hAnsi="Tahoma" w:eastAsia="微软雅黑" w:cs="Times New Roman"/>
                <w:kern w:val="2"/>
                <w:sz w:val="15"/>
                <w:szCs w:val="15"/>
                <w:lang w:val="en-US" w:eastAsia="zh-CN"/>
              </w:rPr>
              <w:t>24</w:t>
            </w:r>
            <w:r>
              <w:rPr>
                <w:rFonts w:hint="eastAsia" w:ascii="Tahoma" w:hAnsi="Tahoma" w:eastAsia="微软雅黑" w:cs="Times New Roman"/>
                <w:kern w:val="2"/>
                <w:sz w:val="15"/>
                <w:szCs w:val="15"/>
              </w:rPr>
              <w:t>.</w:t>
            </w:r>
            <w:r>
              <w:rPr>
                <w:rFonts w:hint="eastAsia" w:ascii="Tahoma" w:hAnsi="Tahoma" w:eastAsia="微软雅黑" w:cs="Times New Roman"/>
                <w:kern w:val="2"/>
                <w:sz w:val="15"/>
                <w:szCs w:val="15"/>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31" w:type="pct"/>
            <w:gridSpan w:val="2"/>
            <w:vMerge w:val="restart"/>
            <w:noWrap w:val="0"/>
            <w:vAlign w:val="center"/>
          </w:tcPr>
          <w:p>
            <w:pPr>
              <w:widowControl/>
              <w:adjustRightInd w:val="0"/>
              <w:snapToGrid w:val="0"/>
              <w:spacing w:after="0" w:line="240" w:lineRule="auto"/>
              <w:jc w:val="left"/>
              <w:rPr>
                <w:rFonts w:hint="eastAsia" w:ascii="Tahoma" w:hAnsi="Tahoma" w:eastAsia="微软雅黑" w:cs="Times New Roman"/>
                <w:b/>
                <w:bCs w:val="0"/>
                <w:kern w:val="2"/>
                <w:sz w:val="15"/>
                <w:szCs w:val="15"/>
                <w:lang w:val="en-US" w:eastAsia="zh-CN"/>
              </w:rPr>
            </w:pPr>
            <w:r>
              <w:rPr>
                <w:rFonts w:hint="eastAsia" w:ascii="Tahoma" w:hAnsi="Tahoma" w:eastAsia="微软雅黑" w:cs="Times New Roman"/>
                <w:b/>
                <w:bCs w:val="0"/>
                <w:kern w:val="2"/>
                <w:sz w:val="15"/>
                <w:szCs w:val="15"/>
                <w:lang w:val="en-US" w:eastAsia="zh-CN"/>
              </w:rPr>
              <w:t>污染</w:t>
            </w:r>
          </w:p>
          <w:p>
            <w:pPr>
              <w:widowControl/>
              <w:adjustRightInd w:val="0"/>
              <w:snapToGrid w:val="0"/>
              <w:spacing w:after="0" w:line="240" w:lineRule="auto"/>
              <w:jc w:val="left"/>
              <w:rPr>
                <w:rFonts w:hint="eastAsia" w:ascii="Tahoma" w:hAnsi="Tahoma" w:eastAsia="微软雅黑" w:cs="Times New Roman"/>
                <w:b/>
                <w:bCs w:val="0"/>
                <w:kern w:val="2"/>
                <w:sz w:val="15"/>
                <w:szCs w:val="15"/>
                <w:lang w:val="en-US" w:eastAsia="zh-CN"/>
              </w:rPr>
            </w:pPr>
            <w:r>
              <w:rPr>
                <w:rFonts w:hint="eastAsia" w:ascii="Tahoma" w:hAnsi="Tahoma" w:eastAsia="微软雅黑" w:cs="Times New Roman"/>
                <w:b/>
                <w:bCs w:val="0"/>
                <w:kern w:val="2"/>
                <w:sz w:val="15"/>
                <w:szCs w:val="15"/>
                <w:lang w:val="en-US" w:eastAsia="zh-CN"/>
              </w:rPr>
              <w:t>物排</w:t>
            </w:r>
          </w:p>
          <w:p>
            <w:pPr>
              <w:widowControl/>
              <w:adjustRightInd w:val="0"/>
              <w:snapToGrid w:val="0"/>
              <w:spacing w:after="0" w:line="240" w:lineRule="auto"/>
              <w:jc w:val="left"/>
              <w:rPr>
                <w:rFonts w:hint="eastAsia" w:ascii="Tahoma" w:hAnsi="Tahoma" w:eastAsia="微软雅黑" w:cs="Times New Roman"/>
                <w:b/>
                <w:bCs w:val="0"/>
                <w:kern w:val="2"/>
                <w:sz w:val="15"/>
                <w:szCs w:val="15"/>
                <w:lang w:val="en-US" w:eastAsia="zh-CN"/>
              </w:rPr>
            </w:pPr>
            <w:r>
              <w:rPr>
                <w:rFonts w:hint="eastAsia" w:ascii="Tahoma" w:hAnsi="Tahoma" w:eastAsia="微软雅黑" w:cs="Times New Roman"/>
                <w:b/>
                <w:bCs w:val="0"/>
                <w:kern w:val="2"/>
                <w:sz w:val="15"/>
                <w:szCs w:val="15"/>
                <w:lang w:val="en-US" w:eastAsia="zh-CN"/>
              </w:rPr>
              <w:t>放达</w:t>
            </w:r>
          </w:p>
          <w:p>
            <w:pPr>
              <w:widowControl/>
              <w:adjustRightInd w:val="0"/>
              <w:snapToGrid w:val="0"/>
              <w:spacing w:after="0" w:line="240" w:lineRule="auto"/>
              <w:jc w:val="left"/>
              <w:rPr>
                <w:rFonts w:hint="eastAsia" w:ascii="Tahoma" w:hAnsi="Tahoma" w:eastAsia="微软雅黑" w:cs="Times New Roman"/>
                <w:b/>
                <w:bCs w:val="0"/>
                <w:kern w:val="2"/>
                <w:sz w:val="15"/>
                <w:szCs w:val="15"/>
                <w:lang w:val="en-US" w:eastAsia="zh-CN"/>
              </w:rPr>
            </w:pPr>
            <w:r>
              <w:rPr>
                <w:rFonts w:hint="eastAsia" w:ascii="Tahoma" w:hAnsi="Tahoma" w:eastAsia="微软雅黑" w:cs="Times New Roman"/>
                <w:b/>
                <w:bCs w:val="0"/>
                <w:kern w:val="2"/>
                <w:sz w:val="15"/>
                <w:szCs w:val="15"/>
                <w:lang w:val="en-US" w:eastAsia="zh-CN"/>
              </w:rPr>
              <w:t>标与</w:t>
            </w:r>
          </w:p>
          <w:p>
            <w:pPr>
              <w:widowControl/>
              <w:adjustRightInd w:val="0"/>
              <w:snapToGrid w:val="0"/>
              <w:spacing w:after="0" w:line="240" w:lineRule="auto"/>
              <w:jc w:val="left"/>
              <w:rPr>
                <w:rFonts w:hint="eastAsia" w:ascii="Tahoma" w:hAnsi="Tahoma" w:eastAsia="微软雅黑" w:cs="Times New Roman"/>
                <w:b/>
                <w:bCs w:val="0"/>
                <w:kern w:val="2"/>
                <w:sz w:val="15"/>
                <w:szCs w:val="15"/>
                <w:lang w:val="en-US" w:eastAsia="zh-CN"/>
              </w:rPr>
            </w:pPr>
            <w:r>
              <w:rPr>
                <w:rFonts w:hint="eastAsia" w:ascii="Tahoma" w:hAnsi="Tahoma" w:eastAsia="微软雅黑" w:cs="Times New Roman"/>
                <w:b/>
                <w:bCs w:val="0"/>
                <w:kern w:val="2"/>
                <w:sz w:val="15"/>
                <w:szCs w:val="15"/>
                <w:lang w:val="en-US" w:eastAsia="zh-CN"/>
              </w:rPr>
              <w:t>总量</w:t>
            </w:r>
          </w:p>
          <w:p>
            <w:pPr>
              <w:widowControl/>
              <w:adjustRightInd w:val="0"/>
              <w:snapToGrid w:val="0"/>
              <w:spacing w:after="0" w:line="240" w:lineRule="auto"/>
              <w:jc w:val="left"/>
              <w:rPr>
                <w:rFonts w:hint="eastAsia" w:ascii="Tahoma" w:hAnsi="Tahoma" w:eastAsia="微软雅黑" w:cs="Times New Roman"/>
                <w:b/>
                <w:bCs w:val="0"/>
                <w:kern w:val="2"/>
                <w:sz w:val="15"/>
                <w:szCs w:val="15"/>
                <w:lang w:val="en-US" w:eastAsia="zh-CN"/>
              </w:rPr>
            </w:pPr>
            <w:r>
              <w:rPr>
                <w:rFonts w:hint="eastAsia" w:ascii="Tahoma" w:hAnsi="Tahoma" w:eastAsia="微软雅黑" w:cs="Times New Roman"/>
                <w:b/>
                <w:bCs w:val="0"/>
                <w:kern w:val="2"/>
                <w:sz w:val="15"/>
                <w:szCs w:val="15"/>
                <w:lang w:val="en-US" w:eastAsia="zh-CN"/>
              </w:rPr>
              <w:t>控制（工</w:t>
            </w:r>
          </w:p>
          <w:p>
            <w:pPr>
              <w:widowControl/>
              <w:adjustRightInd w:val="0"/>
              <w:snapToGrid w:val="0"/>
              <w:spacing w:after="0" w:line="240" w:lineRule="auto"/>
              <w:jc w:val="left"/>
              <w:rPr>
                <w:rFonts w:hint="eastAsia" w:ascii="Tahoma" w:hAnsi="Tahoma" w:eastAsia="微软雅黑" w:cs="Times New Roman"/>
                <w:b/>
                <w:bCs w:val="0"/>
                <w:kern w:val="2"/>
                <w:sz w:val="15"/>
                <w:szCs w:val="15"/>
                <w:lang w:val="en-US" w:eastAsia="zh-CN"/>
              </w:rPr>
            </w:pPr>
            <w:r>
              <w:rPr>
                <w:rFonts w:hint="eastAsia" w:ascii="Tahoma" w:hAnsi="Tahoma" w:eastAsia="微软雅黑" w:cs="Times New Roman"/>
                <w:b/>
                <w:bCs w:val="0"/>
                <w:kern w:val="2"/>
                <w:sz w:val="15"/>
                <w:szCs w:val="15"/>
                <w:lang w:val="en-US" w:eastAsia="zh-CN"/>
              </w:rPr>
              <w:t>业建</w:t>
            </w:r>
          </w:p>
          <w:p>
            <w:pPr>
              <w:widowControl/>
              <w:adjustRightInd w:val="0"/>
              <w:snapToGrid w:val="0"/>
              <w:spacing w:after="0" w:line="240" w:lineRule="auto"/>
              <w:jc w:val="left"/>
              <w:rPr>
                <w:rFonts w:hint="eastAsia" w:ascii="Tahoma" w:hAnsi="Tahoma" w:eastAsia="微软雅黑" w:cs="Times New Roman"/>
                <w:b/>
                <w:bCs w:val="0"/>
                <w:kern w:val="2"/>
                <w:sz w:val="15"/>
                <w:szCs w:val="15"/>
                <w:lang w:val="en-US" w:eastAsia="zh-CN"/>
              </w:rPr>
            </w:pPr>
            <w:r>
              <w:rPr>
                <w:rFonts w:hint="eastAsia" w:ascii="Tahoma" w:hAnsi="Tahoma" w:eastAsia="微软雅黑" w:cs="Times New Roman"/>
                <w:b/>
                <w:bCs w:val="0"/>
                <w:kern w:val="2"/>
                <w:sz w:val="15"/>
                <w:szCs w:val="15"/>
                <w:lang w:val="en-US" w:eastAsia="zh-CN"/>
              </w:rPr>
              <w:t>设项</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bCs w:val="0"/>
                <w:kern w:val="2"/>
                <w:sz w:val="15"/>
                <w:szCs w:val="15"/>
                <w:lang w:val="en-US" w:eastAsia="zh-CN"/>
              </w:rPr>
              <w:t>目详填）</w:t>
            </w:r>
          </w:p>
        </w:tc>
        <w:tc>
          <w:tcPr>
            <w:tcW w:w="582" w:type="pct"/>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污染物</w:t>
            </w:r>
          </w:p>
        </w:tc>
        <w:tc>
          <w:tcPr>
            <w:tcW w:w="257" w:type="pct"/>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原有排</w:t>
            </w:r>
          </w:p>
          <w:p>
            <w:pPr>
              <w:widowControl/>
              <w:adjustRightInd w:val="0"/>
              <w:snapToGrid w:val="0"/>
              <w:spacing w:after="0" w:line="240" w:lineRule="auto"/>
              <w:jc w:val="left"/>
              <w:rPr>
                <w:rFonts w:hint="eastAsia"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放量(1)</w:t>
            </w:r>
          </w:p>
        </w:tc>
        <w:tc>
          <w:tcPr>
            <w:tcW w:w="371" w:type="pct"/>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本期工程实际排放浓度(2)</w:t>
            </w:r>
          </w:p>
        </w:tc>
        <w:tc>
          <w:tcPr>
            <w:tcW w:w="368" w:type="pct"/>
            <w:gridSpan w:val="3"/>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本期工程允许排放浓度(3)</w:t>
            </w:r>
          </w:p>
        </w:tc>
        <w:tc>
          <w:tcPr>
            <w:tcW w:w="301" w:type="pct"/>
            <w:gridSpan w:val="2"/>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本期工程产生量(4)</w:t>
            </w:r>
          </w:p>
        </w:tc>
        <w:tc>
          <w:tcPr>
            <w:tcW w:w="361" w:type="pct"/>
            <w:gridSpan w:val="2"/>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本期工程自身削减量(5)</w:t>
            </w:r>
          </w:p>
        </w:tc>
        <w:tc>
          <w:tcPr>
            <w:tcW w:w="379" w:type="pct"/>
            <w:gridSpan w:val="2"/>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本期工程实际排放量(6)</w:t>
            </w:r>
          </w:p>
        </w:tc>
        <w:tc>
          <w:tcPr>
            <w:tcW w:w="385" w:type="pct"/>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本期工程核定排放总量(7)</w:t>
            </w:r>
          </w:p>
        </w:tc>
        <w:tc>
          <w:tcPr>
            <w:tcW w:w="449" w:type="pct"/>
            <w:gridSpan w:val="2"/>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本期工程“以新带老”削减量(8)</w:t>
            </w:r>
          </w:p>
        </w:tc>
        <w:tc>
          <w:tcPr>
            <w:tcW w:w="365" w:type="pct"/>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全厂实际排放总量(9)</w:t>
            </w:r>
          </w:p>
        </w:tc>
        <w:tc>
          <w:tcPr>
            <w:tcW w:w="281" w:type="pct"/>
            <w:gridSpan w:val="2"/>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全厂核定排放总量(10)</w:t>
            </w:r>
          </w:p>
        </w:tc>
        <w:tc>
          <w:tcPr>
            <w:tcW w:w="375" w:type="pct"/>
            <w:gridSpan w:val="2"/>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区域平衡替代削减量(11)</w:t>
            </w:r>
          </w:p>
        </w:tc>
        <w:tc>
          <w:tcPr>
            <w:tcW w:w="292" w:type="pct"/>
            <w:gridSpan w:val="2"/>
            <w:noWrap w:val="0"/>
            <w:vAlign w:val="center"/>
          </w:tcPr>
          <w:p>
            <w:pPr>
              <w:widowControl/>
              <w:adjustRightInd w:val="0"/>
              <w:snapToGrid w:val="0"/>
              <w:spacing w:after="0" w:line="240" w:lineRule="auto"/>
              <w:jc w:val="left"/>
              <w:rPr>
                <w:rFonts w:hint="eastAsia" w:ascii="Tahoma" w:hAnsi="Tahoma" w:eastAsia="微软雅黑" w:cs="Times New Roman"/>
                <w:b w:val="0"/>
                <w:bCs/>
                <w:kern w:val="2"/>
                <w:sz w:val="15"/>
                <w:szCs w:val="15"/>
                <w:lang w:val="en-US" w:eastAsia="zh-CN"/>
              </w:rPr>
            </w:pPr>
            <w:r>
              <w:rPr>
                <w:rFonts w:hint="eastAsia" w:ascii="Tahoma" w:hAnsi="Tahoma" w:eastAsia="微软雅黑" w:cs="Times New Roman"/>
                <w:b w:val="0"/>
                <w:bCs/>
                <w:kern w:val="2"/>
                <w:sz w:val="15"/>
                <w:szCs w:val="15"/>
                <w:lang w:val="en-US" w:eastAsia="zh-CN"/>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31" w:type="pct"/>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582" w:type="pct"/>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废水</w:t>
            </w:r>
          </w:p>
        </w:tc>
        <w:tc>
          <w:tcPr>
            <w:tcW w:w="257" w:type="pct"/>
            <w:noWrap w:val="0"/>
            <w:vAlign w:val="center"/>
          </w:tcPr>
          <w:p>
            <w:pPr>
              <w:spacing w:after="0" w:line="240" w:lineRule="auto"/>
              <w:rPr>
                <w:rFonts w:hint="eastAsia" w:ascii="Tahoma" w:hAnsi="Tahoma" w:eastAsia="微软雅黑" w:cs="Times New Roman"/>
                <w:kern w:val="2"/>
                <w:sz w:val="15"/>
                <w:szCs w:val="15"/>
              </w:rPr>
            </w:pPr>
          </w:p>
        </w:tc>
        <w:tc>
          <w:tcPr>
            <w:tcW w:w="371" w:type="pct"/>
            <w:noWrap w:val="0"/>
            <w:vAlign w:val="center"/>
          </w:tcPr>
          <w:p>
            <w:pPr>
              <w:spacing w:after="0" w:line="240" w:lineRule="auto"/>
              <w:rPr>
                <w:rFonts w:hint="eastAsia" w:ascii="Tahoma" w:hAnsi="Tahoma" w:eastAsia="微软雅黑" w:cs="Times New Roman"/>
                <w:kern w:val="2"/>
                <w:sz w:val="15"/>
                <w:szCs w:val="15"/>
              </w:rPr>
            </w:pPr>
          </w:p>
        </w:tc>
        <w:tc>
          <w:tcPr>
            <w:tcW w:w="368" w:type="pct"/>
            <w:gridSpan w:val="3"/>
            <w:noWrap w:val="0"/>
            <w:vAlign w:val="center"/>
          </w:tcPr>
          <w:p>
            <w:pPr>
              <w:spacing w:after="0" w:line="240" w:lineRule="auto"/>
              <w:rPr>
                <w:rFonts w:hint="eastAsia" w:ascii="Tahoma" w:hAnsi="Tahoma" w:eastAsia="微软雅黑" w:cs="Times New Roman"/>
                <w:kern w:val="2"/>
                <w:sz w:val="15"/>
                <w:szCs w:val="15"/>
              </w:rPr>
            </w:pPr>
          </w:p>
        </w:tc>
        <w:tc>
          <w:tcPr>
            <w:tcW w:w="301" w:type="pct"/>
            <w:gridSpan w:val="2"/>
            <w:noWrap w:val="0"/>
            <w:vAlign w:val="center"/>
          </w:tcPr>
          <w:p>
            <w:pPr>
              <w:spacing w:after="0" w:line="240" w:lineRule="auto"/>
              <w:rPr>
                <w:rFonts w:hint="eastAsia" w:ascii="Tahoma" w:hAnsi="Tahoma" w:eastAsia="微软雅黑" w:cs="Times New Roman"/>
                <w:kern w:val="2"/>
                <w:sz w:val="15"/>
                <w:szCs w:val="15"/>
              </w:rPr>
            </w:pPr>
          </w:p>
        </w:tc>
        <w:tc>
          <w:tcPr>
            <w:tcW w:w="36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9" w:type="pct"/>
            <w:gridSpan w:val="2"/>
            <w:noWrap w:val="0"/>
            <w:vAlign w:val="center"/>
          </w:tcPr>
          <w:p>
            <w:pPr>
              <w:spacing w:after="0" w:line="240" w:lineRule="auto"/>
              <w:rPr>
                <w:rFonts w:hint="eastAsia" w:ascii="Tahoma" w:hAnsi="Tahoma" w:eastAsia="微软雅黑" w:cs="Times New Roman"/>
                <w:kern w:val="2"/>
                <w:sz w:val="15"/>
                <w:szCs w:val="15"/>
              </w:rPr>
            </w:pPr>
          </w:p>
        </w:tc>
        <w:tc>
          <w:tcPr>
            <w:tcW w:w="385" w:type="pct"/>
            <w:noWrap w:val="0"/>
            <w:vAlign w:val="center"/>
          </w:tcPr>
          <w:p>
            <w:pPr>
              <w:spacing w:after="0" w:line="240" w:lineRule="auto"/>
              <w:rPr>
                <w:rFonts w:hint="eastAsia" w:ascii="Tahoma" w:hAnsi="Tahoma" w:eastAsia="微软雅黑" w:cs="Times New Roman"/>
                <w:kern w:val="2"/>
                <w:sz w:val="15"/>
                <w:szCs w:val="15"/>
              </w:rPr>
            </w:pPr>
          </w:p>
        </w:tc>
        <w:tc>
          <w:tcPr>
            <w:tcW w:w="449" w:type="pct"/>
            <w:gridSpan w:val="2"/>
            <w:noWrap w:val="0"/>
            <w:vAlign w:val="center"/>
          </w:tcPr>
          <w:p>
            <w:pPr>
              <w:spacing w:after="0" w:line="240" w:lineRule="auto"/>
              <w:rPr>
                <w:rFonts w:hint="eastAsia" w:ascii="Tahoma" w:hAnsi="Tahoma" w:eastAsia="微软雅黑" w:cs="Times New Roman"/>
                <w:kern w:val="2"/>
                <w:sz w:val="15"/>
                <w:szCs w:val="15"/>
              </w:rPr>
            </w:pPr>
          </w:p>
        </w:tc>
        <w:tc>
          <w:tcPr>
            <w:tcW w:w="365" w:type="pct"/>
            <w:noWrap w:val="0"/>
            <w:vAlign w:val="center"/>
          </w:tcPr>
          <w:p>
            <w:pPr>
              <w:spacing w:after="0" w:line="240" w:lineRule="auto"/>
              <w:rPr>
                <w:rFonts w:hint="eastAsia" w:ascii="Tahoma" w:hAnsi="Tahoma" w:eastAsia="微软雅黑" w:cs="Times New Roman"/>
                <w:kern w:val="2"/>
                <w:sz w:val="15"/>
                <w:szCs w:val="15"/>
              </w:rPr>
            </w:pPr>
          </w:p>
        </w:tc>
        <w:tc>
          <w:tcPr>
            <w:tcW w:w="28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5" w:type="pct"/>
            <w:gridSpan w:val="2"/>
            <w:noWrap w:val="0"/>
            <w:vAlign w:val="center"/>
          </w:tcPr>
          <w:p>
            <w:pPr>
              <w:spacing w:after="0" w:line="240" w:lineRule="auto"/>
              <w:rPr>
                <w:rFonts w:hint="eastAsia" w:ascii="Tahoma" w:hAnsi="Tahoma" w:eastAsia="微软雅黑" w:cs="Times New Roman"/>
                <w:kern w:val="2"/>
                <w:sz w:val="15"/>
                <w:szCs w:val="15"/>
              </w:rPr>
            </w:pPr>
          </w:p>
        </w:tc>
        <w:tc>
          <w:tcPr>
            <w:tcW w:w="292" w:type="pct"/>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31" w:type="pct"/>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582" w:type="pct"/>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化学需氧量</w:t>
            </w:r>
          </w:p>
        </w:tc>
        <w:tc>
          <w:tcPr>
            <w:tcW w:w="257" w:type="pct"/>
            <w:noWrap w:val="0"/>
            <w:vAlign w:val="center"/>
          </w:tcPr>
          <w:p>
            <w:pPr>
              <w:spacing w:after="0" w:line="240" w:lineRule="auto"/>
              <w:rPr>
                <w:rFonts w:hint="eastAsia" w:ascii="Tahoma" w:hAnsi="Tahoma" w:eastAsia="微软雅黑" w:cs="Times New Roman"/>
                <w:kern w:val="2"/>
                <w:sz w:val="15"/>
                <w:szCs w:val="15"/>
              </w:rPr>
            </w:pPr>
          </w:p>
        </w:tc>
        <w:tc>
          <w:tcPr>
            <w:tcW w:w="371" w:type="pct"/>
            <w:noWrap w:val="0"/>
            <w:vAlign w:val="center"/>
          </w:tcPr>
          <w:p>
            <w:pPr>
              <w:spacing w:after="0" w:line="240" w:lineRule="auto"/>
              <w:rPr>
                <w:rFonts w:hint="eastAsia" w:ascii="Tahoma" w:hAnsi="Tahoma" w:eastAsia="微软雅黑" w:cs="Times New Roman"/>
                <w:kern w:val="2"/>
                <w:sz w:val="15"/>
                <w:szCs w:val="15"/>
              </w:rPr>
            </w:pPr>
          </w:p>
        </w:tc>
        <w:tc>
          <w:tcPr>
            <w:tcW w:w="368" w:type="pct"/>
            <w:gridSpan w:val="3"/>
            <w:noWrap w:val="0"/>
            <w:vAlign w:val="center"/>
          </w:tcPr>
          <w:p>
            <w:pPr>
              <w:spacing w:after="0" w:line="240" w:lineRule="auto"/>
              <w:rPr>
                <w:rFonts w:hint="eastAsia" w:ascii="Tahoma" w:hAnsi="Tahoma" w:eastAsia="微软雅黑" w:cs="Times New Roman"/>
                <w:kern w:val="2"/>
                <w:sz w:val="15"/>
                <w:szCs w:val="15"/>
              </w:rPr>
            </w:pPr>
          </w:p>
        </w:tc>
        <w:tc>
          <w:tcPr>
            <w:tcW w:w="301" w:type="pct"/>
            <w:gridSpan w:val="2"/>
            <w:noWrap w:val="0"/>
            <w:vAlign w:val="center"/>
          </w:tcPr>
          <w:p>
            <w:pPr>
              <w:spacing w:after="0" w:line="240" w:lineRule="auto"/>
              <w:rPr>
                <w:rFonts w:hint="eastAsia" w:ascii="Tahoma" w:hAnsi="Tahoma" w:eastAsia="微软雅黑" w:cs="Times New Roman"/>
                <w:kern w:val="2"/>
                <w:sz w:val="15"/>
                <w:szCs w:val="15"/>
              </w:rPr>
            </w:pPr>
          </w:p>
        </w:tc>
        <w:tc>
          <w:tcPr>
            <w:tcW w:w="36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9" w:type="pct"/>
            <w:gridSpan w:val="2"/>
            <w:noWrap w:val="0"/>
            <w:vAlign w:val="center"/>
          </w:tcPr>
          <w:p>
            <w:pPr>
              <w:spacing w:after="0" w:line="240" w:lineRule="auto"/>
              <w:rPr>
                <w:rFonts w:hint="eastAsia" w:ascii="Tahoma" w:hAnsi="Tahoma" w:eastAsia="微软雅黑" w:cs="Times New Roman"/>
                <w:kern w:val="2"/>
                <w:sz w:val="15"/>
                <w:szCs w:val="15"/>
              </w:rPr>
            </w:pPr>
          </w:p>
        </w:tc>
        <w:tc>
          <w:tcPr>
            <w:tcW w:w="385" w:type="pct"/>
            <w:noWrap w:val="0"/>
            <w:vAlign w:val="center"/>
          </w:tcPr>
          <w:p>
            <w:pPr>
              <w:spacing w:after="0" w:line="240" w:lineRule="auto"/>
              <w:rPr>
                <w:rFonts w:hint="eastAsia" w:ascii="Tahoma" w:hAnsi="Tahoma" w:eastAsia="微软雅黑" w:cs="Times New Roman"/>
                <w:kern w:val="2"/>
                <w:sz w:val="15"/>
                <w:szCs w:val="15"/>
              </w:rPr>
            </w:pPr>
          </w:p>
        </w:tc>
        <w:tc>
          <w:tcPr>
            <w:tcW w:w="449" w:type="pct"/>
            <w:gridSpan w:val="2"/>
            <w:noWrap w:val="0"/>
            <w:vAlign w:val="center"/>
          </w:tcPr>
          <w:p>
            <w:pPr>
              <w:spacing w:after="0" w:line="240" w:lineRule="auto"/>
              <w:rPr>
                <w:rFonts w:hint="eastAsia" w:ascii="Tahoma" w:hAnsi="Tahoma" w:eastAsia="微软雅黑" w:cs="Times New Roman"/>
                <w:kern w:val="2"/>
                <w:sz w:val="15"/>
                <w:szCs w:val="15"/>
              </w:rPr>
            </w:pPr>
          </w:p>
        </w:tc>
        <w:tc>
          <w:tcPr>
            <w:tcW w:w="365" w:type="pct"/>
            <w:noWrap w:val="0"/>
            <w:vAlign w:val="center"/>
          </w:tcPr>
          <w:p>
            <w:pPr>
              <w:spacing w:after="0" w:line="240" w:lineRule="auto"/>
              <w:rPr>
                <w:rFonts w:hint="eastAsia" w:ascii="Tahoma" w:hAnsi="Tahoma" w:eastAsia="微软雅黑" w:cs="Times New Roman"/>
                <w:kern w:val="2"/>
                <w:sz w:val="15"/>
                <w:szCs w:val="15"/>
              </w:rPr>
            </w:pPr>
          </w:p>
        </w:tc>
        <w:tc>
          <w:tcPr>
            <w:tcW w:w="28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5" w:type="pct"/>
            <w:gridSpan w:val="2"/>
            <w:noWrap w:val="0"/>
            <w:vAlign w:val="center"/>
          </w:tcPr>
          <w:p>
            <w:pPr>
              <w:spacing w:after="0" w:line="240" w:lineRule="auto"/>
              <w:rPr>
                <w:rFonts w:hint="eastAsia" w:ascii="Tahoma" w:hAnsi="Tahoma" w:eastAsia="微软雅黑" w:cs="Times New Roman"/>
                <w:kern w:val="2"/>
                <w:sz w:val="15"/>
                <w:szCs w:val="15"/>
              </w:rPr>
            </w:pPr>
          </w:p>
        </w:tc>
        <w:tc>
          <w:tcPr>
            <w:tcW w:w="292" w:type="pct"/>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31" w:type="pct"/>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582" w:type="pct"/>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氨氮</w:t>
            </w:r>
          </w:p>
        </w:tc>
        <w:tc>
          <w:tcPr>
            <w:tcW w:w="257" w:type="pct"/>
            <w:noWrap w:val="0"/>
            <w:vAlign w:val="center"/>
          </w:tcPr>
          <w:p>
            <w:pPr>
              <w:spacing w:after="0" w:line="240" w:lineRule="auto"/>
              <w:rPr>
                <w:rFonts w:hint="eastAsia" w:ascii="Tahoma" w:hAnsi="Tahoma" w:eastAsia="微软雅黑" w:cs="Times New Roman"/>
                <w:kern w:val="2"/>
                <w:sz w:val="15"/>
                <w:szCs w:val="15"/>
              </w:rPr>
            </w:pPr>
          </w:p>
        </w:tc>
        <w:tc>
          <w:tcPr>
            <w:tcW w:w="371" w:type="pct"/>
            <w:noWrap w:val="0"/>
            <w:vAlign w:val="center"/>
          </w:tcPr>
          <w:p>
            <w:pPr>
              <w:spacing w:after="0" w:line="240" w:lineRule="auto"/>
              <w:rPr>
                <w:rFonts w:hint="eastAsia" w:ascii="Tahoma" w:hAnsi="Tahoma" w:eastAsia="微软雅黑" w:cs="Times New Roman"/>
                <w:kern w:val="2"/>
                <w:sz w:val="15"/>
                <w:szCs w:val="15"/>
              </w:rPr>
            </w:pPr>
          </w:p>
        </w:tc>
        <w:tc>
          <w:tcPr>
            <w:tcW w:w="368" w:type="pct"/>
            <w:gridSpan w:val="3"/>
            <w:noWrap w:val="0"/>
            <w:vAlign w:val="center"/>
          </w:tcPr>
          <w:p>
            <w:pPr>
              <w:spacing w:after="0" w:line="240" w:lineRule="auto"/>
              <w:rPr>
                <w:rFonts w:hint="eastAsia" w:ascii="Tahoma" w:hAnsi="Tahoma" w:eastAsia="微软雅黑" w:cs="Times New Roman"/>
                <w:kern w:val="2"/>
                <w:sz w:val="15"/>
                <w:szCs w:val="15"/>
              </w:rPr>
            </w:pPr>
          </w:p>
        </w:tc>
        <w:tc>
          <w:tcPr>
            <w:tcW w:w="301" w:type="pct"/>
            <w:gridSpan w:val="2"/>
            <w:noWrap w:val="0"/>
            <w:vAlign w:val="center"/>
          </w:tcPr>
          <w:p>
            <w:pPr>
              <w:spacing w:after="0" w:line="240" w:lineRule="auto"/>
              <w:rPr>
                <w:rFonts w:hint="eastAsia" w:ascii="Tahoma" w:hAnsi="Tahoma" w:eastAsia="微软雅黑" w:cs="Times New Roman"/>
                <w:kern w:val="2"/>
                <w:sz w:val="15"/>
                <w:szCs w:val="15"/>
              </w:rPr>
            </w:pPr>
          </w:p>
        </w:tc>
        <w:tc>
          <w:tcPr>
            <w:tcW w:w="36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9" w:type="pct"/>
            <w:gridSpan w:val="2"/>
            <w:noWrap w:val="0"/>
            <w:vAlign w:val="center"/>
          </w:tcPr>
          <w:p>
            <w:pPr>
              <w:spacing w:after="0" w:line="240" w:lineRule="auto"/>
              <w:rPr>
                <w:rFonts w:hint="eastAsia" w:ascii="Tahoma" w:hAnsi="Tahoma" w:eastAsia="微软雅黑" w:cs="Times New Roman"/>
                <w:kern w:val="2"/>
                <w:sz w:val="15"/>
                <w:szCs w:val="15"/>
              </w:rPr>
            </w:pPr>
          </w:p>
        </w:tc>
        <w:tc>
          <w:tcPr>
            <w:tcW w:w="385" w:type="pct"/>
            <w:noWrap w:val="0"/>
            <w:vAlign w:val="center"/>
          </w:tcPr>
          <w:p>
            <w:pPr>
              <w:spacing w:after="0" w:line="240" w:lineRule="auto"/>
              <w:rPr>
                <w:rFonts w:hint="eastAsia" w:ascii="Tahoma" w:hAnsi="Tahoma" w:eastAsia="微软雅黑" w:cs="Times New Roman"/>
                <w:kern w:val="2"/>
                <w:sz w:val="15"/>
                <w:szCs w:val="15"/>
              </w:rPr>
            </w:pPr>
          </w:p>
        </w:tc>
        <w:tc>
          <w:tcPr>
            <w:tcW w:w="449" w:type="pct"/>
            <w:gridSpan w:val="2"/>
            <w:noWrap w:val="0"/>
            <w:vAlign w:val="center"/>
          </w:tcPr>
          <w:p>
            <w:pPr>
              <w:spacing w:after="0" w:line="240" w:lineRule="auto"/>
              <w:rPr>
                <w:rFonts w:hint="eastAsia" w:ascii="Tahoma" w:hAnsi="Tahoma" w:eastAsia="微软雅黑" w:cs="Times New Roman"/>
                <w:kern w:val="2"/>
                <w:sz w:val="15"/>
                <w:szCs w:val="15"/>
              </w:rPr>
            </w:pPr>
          </w:p>
        </w:tc>
        <w:tc>
          <w:tcPr>
            <w:tcW w:w="365" w:type="pct"/>
            <w:noWrap w:val="0"/>
            <w:vAlign w:val="center"/>
          </w:tcPr>
          <w:p>
            <w:pPr>
              <w:spacing w:after="0" w:line="240" w:lineRule="auto"/>
              <w:rPr>
                <w:rFonts w:hint="eastAsia" w:ascii="Tahoma" w:hAnsi="Tahoma" w:eastAsia="微软雅黑" w:cs="Times New Roman"/>
                <w:kern w:val="2"/>
                <w:sz w:val="15"/>
                <w:szCs w:val="15"/>
              </w:rPr>
            </w:pPr>
          </w:p>
        </w:tc>
        <w:tc>
          <w:tcPr>
            <w:tcW w:w="28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5" w:type="pct"/>
            <w:gridSpan w:val="2"/>
            <w:noWrap w:val="0"/>
            <w:vAlign w:val="center"/>
          </w:tcPr>
          <w:p>
            <w:pPr>
              <w:spacing w:after="0" w:line="240" w:lineRule="auto"/>
              <w:rPr>
                <w:rFonts w:hint="eastAsia" w:ascii="Tahoma" w:hAnsi="Tahoma" w:eastAsia="微软雅黑" w:cs="Times New Roman"/>
                <w:kern w:val="2"/>
                <w:sz w:val="15"/>
                <w:szCs w:val="15"/>
              </w:rPr>
            </w:pPr>
          </w:p>
        </w:tc>
        <w:tc>
          <w:tcPr>
            <w:tcW w:w="292" w:type="pct"/>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31" w:type="pct"/>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582" w:type="pct"/>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石油类</w:t>
            </w:r>
          </w:p>
        </w:tc>
        <w:tc>
          <w:tcPr>
            <w:tcW w:w="257" w:type="pct"/>
            <w:noWrap w:val="0"/>
            <w:vAlign w:val="center"/>
          </w:tcPr>
          <w:p>
            <w:pPr>
              <w:spacing w:after="0" w:line="240" w:lineRule="auto"/>
              <w:rPr>
                <w:rFonts w:hint="eastAsia" w:ascii="Tahoma" w:hAnsi="Tahoma" w:eastAsia="微软雅黑" w:cs="Times New Roman"/>
                <w:kern w:val="2"/>
                <w:sz w:val="15"/>
                <w:szCs w:val="15"/>
              </w:rPr>
            </w:pPr>
          </w:p>
        </w:tc>
        <w:tc>
          <w:tcPr>
            <w:tcW w:w="371" w:type="pct"/>
            <w:noWrap w:val="0"/>
            <w:vAlign w:val="center"/>
          </w:tcPr>
          <w:p>
            <w:pPr>
              <w:spacing w:after="0" w:line="240" w:lineRule="auto"/>
              <w:rPr>
                <w:rFonts w:hint="eastAsia" w:ascii="Tahoma" w:hAnsi="Tahoma" w:eastAsia="微软雅黑" w:cs="Times New Roman"/>
                <w:kern w:val="2"/>
                <w:sz w:val="15"/>
                <w:szCs w:val="15"/>
              </w:rPr>
            </w:pPr>
          </w:p>
        </w:tc>
        <w:tc>
          <w:tcPr>
            <w:tcW w:w="368" w:type="pct"/>
            <w:gridSpan w:val="3"/>
            <w:noWrap w:val="0"/>
            <w:vAlign w:val="center"/>
          </w:tcPr>
          <w:p>
            <w:pPr>
              <w:spacing w:after="0" w:line="240" w:lineRule="auto"/>
              <w:rPr>
                <w:rFonts w:hint="eastAsia" w:ascii="Tahoma" w:hAnsi="Tahoma" w:eastAsia="微软雅黑" w:cs="Times New Roman"/>
                <w:kern w:val="2"/>
                <w:sz w:val="15"/>
                <w:szCs w:val="15"/>
              </w:rPr>
            </w:pPr>
          </w:p>
        </w:tc>
        <w:tc>
          <w:tcPr>
            <w:tcW w:w="301" w:type="pct"/>
            <w:gridSpan w:val="2"/>
            <w:noWrap w:val="0"/>
            <w:vAlign w:val="center"/>
          </w:tcPr>
          <w:p>
            <w:pPr>
              <w:spacing w:after="0" w:line="240" w:lineRule="auto"/>
              <w:rPr>
                <w:rFonts w:hint="eastAsia" w:ascii="Tahoma" w:hAnsi="Tahoma" w:eastAsia="微软雅黑" w:cs="Times New Roman"/>
                <w:kern w:val="2"/>
                <w:sz w:val="15"/>
                <w:szCs w:val="15"/>
              </w:rPr>
            </w:pPr>
          </w:p>
        </w:tc>
        <w:tc>
          <w:tcPr>
            <w:tcW w:w="36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9" w:type="pct"/>
            <w:gridSpan w:val="2"/>
            <w:noWrap w:val="0"/>
            <w:vAlign w:val="center"/>
          </w:tcPr>
          <w:p>
            <w:pPr>
              <w:spacing w:after="0" w:line="240" w:lineRule="auto"/>
              <w:rPr>
                <w:rFonts w:hint="eastAsia" w:ascii="Tahoma" w:hAnsi="Tahoma" w:eastAsia="微软雅黑" w:cs="Times New Roman"/>
                <w:kern w:val="2"/>
                <w:sz w:val="15"/>
                <w:szCs w:val="15"/>
              </w:rPr>
            </w:pPr>
          </w:p>
        </w:tc>
        <w:tc>
          <w:tcPr>
            <w:tcW w:w="385" w:type="pct"/>
            <w:noWrap w:val="0"/>
            <w:vAlign w:val="center"/>
          </w:tcPr>
          <w:p>
            <w:pPr>
              <w:spacing w:after="0" w:line="240" w:lineRule="auto"/>
              <w:rPr>
                <w:rFonts w:hint="eastAsia" w:ascii="Tahoma" w:hAnsi="Tahoma" w:eastAsia="微软雅黑" w:cs="Times New Roman"/>
                <w:kern w:val="2"/>
                <w:sz w:val="15"/>
                <w:szCs w:val="15"/>
              </w:rPr>
            </w:pPr>
          </w:p>
        </w:tc>
        <w:tc>
          <w:tcPr>
            <w:tcW w:w="449" w:type="pct"/>
            <w:gridSpan w:val="2"/>
            <w:noWrap w:val="0"/>
            <w:vAlign w:val="center"/>
          </w:tcPr>
          <w:p>
            <w:pPr>
              <w:spacing w:after="0" w:line="240" w:lineRule="auto"/>
              <w:rPr>
                <w:rFonts w:hint="eastAsia" w:ascii="Tahoma" w:hAnsi="Tahoma" w:eastAsia="微软雅黑" w:cs="Times New Roman"/>
                <w:kern w:val="2"/>
                <w:sz w:val="15"/>
                <w:szCs w:val="15"/>
              </w:rPr>
            </w:pPr>
          </w:p>
        </w:tc>
        <w:tc>
          <w:tcPr>
            <w:tcW w:w="365" w:type="pct"/>
            <w:noWrap w:val="0"/>
            <w:vAlign w:val="center"/>
          </w:tcPr>
          <w:p>
            <w:pPr>
              <w:spacing w:after="0" w:line="240" w:lineRule="auto"/>
              <w:rPr>
                <w:rFonts w:hint="eastAsia" w:ascii="Tahoma" w:hAnsi="Tahoma" w:eastAsia="微软雅黑" w:cs="Times New Roman"/>
                <w:kern w:val="2"/>
                <w:sz w:val="15"/>
                <w:szCs w:val="15"/>
              </w:rPr>
            </w:pPr>
          </w:p>
        </w:tc>
        <w:tc>
          <w:tcPr>
            <w:tcW w:w="28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5" w:type="pct"/>
            <w:gridSpan w:val="2"/>
            <w:noWrap w:val="0"/>
            <w:vAlign w:val="center"/>
          </w:tcPr>
          <w:p>
            <w:pPr>
              <w:spacing w:after="0" w:line="240" w:lineRule="auto"/>
              <w:rPr>
                <w:rFonts w:hint="eastAsia" w:ascii="Tahoma" w:hAnsi="Tahoma" w:eastAsia="微软雅黑" w:cs="Times New Roman"/>
                <w:kern w:val="2"/>
                <w:sz w:val="15"/>
                <w:szCs w:val="15"/>
              </w:rPr>
            </w:pPr>
          </w:p>
        </w:tc>
        <w:tc>
          <w:tcPr>
            <w:tcW w:w="292" w:type="pct"/>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31" w:type="pct"/>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582" w:type="pct"/>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废气</w:t>
            </w:r>
          </w:p>
        </w:tc>
        <w:tc>
          <w:tcPr>
            <w:tcW w:w="257" w:type="pct"/>
            <w:noWrap w:val="0"/>
            <w:vAlign w:val="center"/>
          </w:tcPr>
          <w:p>
            <w:pPr>
              <w:spacing w:after="0" w:line="240" w:lineRule="auto"/>
              <w:rPr>
                <w:rFonts w:hint="eastAsia" w:ascii="Tahoma" w:hAnsi="Tahoma" w:eastAsia="微软雅黑" w:cs="Times New Roman"/>
                <w:kern w:val="2"/>
                <w:sz w:val="15"/>
                <w:szCs w:val="15"/>
              </w:rPr>
            </w:pPr>
          </w:p>
        </w:tc>
        <w:tc>
          <w:tcPr>
            <w:tcW w:w="371" w:type="pct"/>
            <w:noWrap w:val="0"/>
            <w:vAlign w:val="center"/>
          </w:tcPr>
          <w:p>
            <w:pPr>
              <w:spacing w:after="0" w:line="240" w:lineRule="auto"/>
              <w:rPr>
                <w:rFonts w:hint="eastAsia" w:ascii="Tahoma" w:hAnsi="Tahoma" w:eastAsia="微软雅黑" w:cs="Times New Roman"/>
                <w:kern w:val="2"/>
                <w:sz w:val="15"/>
                <w:szCs w:val="15"/>
              </w:rPr>
            </w:pPr>
          </w:p>
        </w:tc>
        <w:tc>
          <w:tcPr>
            <w:tcW w:w="368" w:type="pct"/>
            <w:gridSpan w:val="3"/>
            <w:noWrap w:val="0"/>
            <w:vAlign w:val="center"/>
          </w:tcPr>
          <w:p>
            <w:pPr>
              <w:spacing w:after="0" w:line="240" w:lineRule="auto"/>
              <w:rPr>
                <w:rFonts w:hint="eastAsia" w:ascii="Tahoma" w:hAnsi="Tahoma" w:eastAsia="微软雅黑" w:cs="Times New Roman"/>
                <w:kern w:val="2"/>
                <w:sz w:val="15"/>
                <w:szCs w:val="15"/>
              </w:rPr>
            </w:pPr>
          </w:p>
        </w:tc>
        <w:tc>
          <w:tcPr>
            <w:tcW w:w="301" w:type="pct"/>
            <w:gridSpan w:val="2"/>
            <w:noWrap w:val="0"/>
            <w:vAlign w:val="center"/>
          </w:tcPr>
          <w:p>
            <w:pPr>
              <w:spacing w:after="0" w:line="240" w:lineRule="auto"/>
              <w:rPr>
                <w:rFonts w:hint="eastAsia" w:ascii="Tahoma" w:hAnsi="Tahoma" w:eastAsia="微软雅黑" w:cs="Times New Roman"/>
                <w:kern w:val="2"/>
                <w:sz w:val="15"/>
                <w:szCs w:val="15"/>
              </w:rPr>
            </w:pPr>
          </w:p>
        </w:tc>
        <w:tc>
          <w:tcPr>
            <w:tcW w:w="36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9" w:type="pct"/>
            <w:gridSpan w:val="2"/>
            <w:noWrap w:val="0"/>
            <w:vAlign w:val="center"/>
          </w:tcPr>
          <w:p>
            <w:pPr>
              <w:spacing w:after="0" w:line="240" w:lineRule="auto"/>
              <w:rPr>
                <w:rFonts w:hint="eastAsia" w:ascii="Tahoma" w:hAnsi="Tahoma" w:eastAsia="微软雅黑" w:cs="Times New Roman"/>
                <w:kern w:val="2"/>
                <w:sz w:val="15"/>
                <w:szCs w:val="15"/>
              </w:rPr>
            </w:pPr>
          </w:p>
        </w:tc>
        <w:tc>
          <w:tcPr>
            <w:tcW w:w="385" w:type="pct"/>
            <w:noWrap w:val="0"/>
            <w:vAlign w:val="center"/>
          </w:tcPr>
          <w:p>
            <w:pPr>
              <w:spacing w:after="0" w:line="240" w:lineRule="auto"/>
              <w:rPr>
                <w:rFonts w:hint="eastAsia" w:ascii="Tahoma" w:hAnsi="Tahoma" w:eastAsia="微软雅黑" w:cs="Times New Roman"/>
                <w:kern w:val="2"/>
                <w:sz w:val="15"/>
                <w:szCs w:val="15"/>
              </w:rPr>
            </w:pPr>
          </w:p>
        </w:tc>
        <w:tc>
          <w:tcPr>
            <w:tcW w:w="449" w:type="pct"/>
            <w:gridSpan w:val="2"/>
            <w:noWrap w:val="0"/>
            <w:vAlign w:val="center"/>
          </w:tcPr>
          <w:p>
            <w:pPr>
              <w:spacing w:after="0" w:line="240" w:lineRule="auto"/>
              <w:rPr>
                <w:rFonts w:hint="eastAsia" w:ascii="Tahoma" w:hAnsi="Tahoma" w:eastAsia="微软雅黑" w:cs="Times New Roman"/>
                <w:kern w:val="2"/>
                <w:sz w:val="15"/>
                <w:szCs w:val="15"/>
              </w:rPr>
            </w:pPr>
          </w:p>
        </w:tc>
        <w:tc>
          <w:tcPr>
            <w:tcW w:w="365" w:type="pct"/>
            <w:noWrap w:val="0"/>
            <w:vAlign w:val="center"/>
          </w:tcPr>
          <w:p>
            <w:pPr>
              <w:spacing w:after="0" w:line="240" w:lineRule="auto"/>
              <w:rPr>
                <w:rFonts w:hint="eastAsia" w:ascii="Tahoma" w:hAnsi="Tahoma" w:eastAsia="微软雅黑" w:cs="Times New Roman"/>
                <w:kern w:val="2"/>
                <w:sz w:val="15"/>
                <w:szCs w:val="15"/>
              </w:rPr>
            </w:pPr>
          </w:p>
        </w:tc>
        <w:tc>
          <w:tcPr>
            <w:tcW w:w="28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5" w:type="pct"/>
            <w:gridSpan w:val="2"/>
            <w:noWrap w:val="0"/>
            <w:vAlign w:val="center"/>
          </w:tcPr>
          <w:p>
            <w:pPr>
              <w:spacing w:after="0" w:line="240" w:lineRule="auto"/>
              <w:rPr>
                <w:rFonts w:hint="eastAsia" w:ascii="Tahoma" w:hAnsi="Tahoma" w:eastAsia="微软雅黑" w:cs="Times New Roman"/>
                <w:kern w:val="2"/>
                <w:sz w:val="15"/>
                <w:szCs w:val="15"/>
              </w:rPr>
            </w:pPr>
          </w:p>
        </w:tc>
        <w:tc>
          <w:tcPr>
            <w:tcW w:w="292" w:type="pct"/>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31" w:type="pct"/>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582" w:type="pct"/>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二氧化硫</w:t>
            </w:r>
          </w:p>
        </w:tc>
        <w:tc>
          <w:tcPr>
            <w:tcW w:w="257" w:type="pct"/>
            <w:noWrap w:val="0"/>
            <w:vAlign w:val="center"/>
          </w:tcPr>
          <w:p>
            <w:pPr>
              <w:spacing w:after="0" w:line="240" w:lineRule="auto"/>
              <w:rPr>
                <w:rFonts w:hint="eastAsia" w:ascii="Tahoma" w:hAnsi="Tahoma" w:eastAsia="微软雅黑" w:cs="Times New Roman"/>
                <w:kern w:val="2"/>
                <w:sz w:val="15"/>
                <w:szCs w:val="15"/>
              </w:rPr>
            </w:pPr>
          </w:p>
        </w:tc>
        <w:tc>
          <w:tcPr>
            <w:tcW w:w="371" w:type="pct"/>
            <w:noWrap w:val="0"/>
            <w:vAlign w:val="center"/>
          </w:tcPr>
          <w:p>
            <w:pPr>
              <w:spacing w:after="0" w:line="240" w:lineRule="auto"/>
              <w:rPr>
                <w:rFonts w:hint="eastAsia" w:ascii="Tahoma" w:hAnsi="Tahoma" w:eastAsia="微软雅黑" w:cs="Times New Roman"/>
                <w:kern w:val="2"/>
                <w:sz w:val="15"/>
                <w:szCs w:val="15"/>
              </w:rPr>
            </w:pPr>
          </w:p>
        </w:tc>
        <w:tc>
          <w:tcPr>
            <w:tcW w:w="368" w:type="pct"/>
            <w:gridSpan w:val="3"/>
            <w:noWrap w:val="0"/>
            <w:vAlign w:val="center"/>
          </w:tcPr>
          <w:p>
            <w:pPr>
              <w:spacing w:after="0" w:line="240" w:lineRule="auto"/>
              <w:rPr>
                <w:rFonts w:hint="eastAsia" w:ascii="Tahoma" w:hAnsi="Tahoma" w:eastAsia="微软雅黑" w:cs="Times New Roman"/>
                <w:kern w:val="2"/>
                <w:sz w:val="15"/>
                <w:szCs w:val="15"/>
              </w:rPr>
            </w:pPr>
          </w:p>
        </w:tc>
        <w:tc>
          <w:tcPr>
            <w:tcW w:w="301" w:type="pct"/>
            <w:gridSpan w:val="2"/>
            <w:noWrap w:val="0"/>
            <w:vAlign w:val="center"/>
          </w:tcPr>
          <w:p>
            <w:pPr>
              <w:spacing w:after="0" w:line="240" w:lineRule="auto"/>
              <w:rPr>
                <w:rFonts w:hint="eastAsia" w:ascii="Tahoma" w:hAnsi="Tahoma" w:eastAsia="微软雅黑" w:cs="Times New Roman"/>
                <w:kern w:val="2"/>
                <w:sz w:val="15"/>
                <w:szCs w:val="15"/>
              </w:rPr>
            </w:pPr>
          </w:p>
        </w:tc>
        <w:tc>
          <w:tcPr>
            <w:tcW w:w="36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9" w:type="pct"/>
            <w:gridSpan w:val="2"/>
            <w:noWrap w:val="0"/>
            <w:vAlign w:val="center"/>
          </w:tcPr>
          <w:p>
            <w:pPr>
              <w:spacing w:after="0" w:line="240" w:lineRule="auto"/>
              <w:rPr>
                <w:rFonts w:hint="eastAsia" w:ascii="Tahoma" w:hAnsi="Tahoma" w:eastAsia="微软雅黑" w:cs="Times New Roman"/>
                <w:kern w:val="2"/>
                <w:sz w:val="15"/>
                <w:szCs w:val="15"/>
              </w:rPr>
            </w:pPr>
          </w:p>
        </w:tc>
        <w:tc>
          <w:tcPr>
            <w:tcW w:w="385" w:type="pct"/>
            <w:noWrap w:val="0"/>
            <w:vAlign w:val="center"/>
          </w:tcPr>
          <w:p>
            <w:pPr>
              <w:spacing w:after="0" w:line="240" w:lineRule="auto"/>
              <w:rPr>
                <w:rFonts w:hint="eastAsia" w:ascii="Tahoma" w:hAnsi="Tahoma" w:eastAsia="微软雅黑" w:cs="Times New Roman"/>
                <w:kern w:val="2"/>
                <w:sz w:val="15"/>
                <w:szCs w:val="15"/>
              </w:rPr>
            </w:pPr>
          </w:p>
        </w:tc>
        <w:tc>
          <w:tcPr>
            <w:tcW w:w="449" w:type="pct"/>
            <w:gridSpan w:val="2"/>
            <w:noWrap w:val="0"/>
            <w:vAlign w:val="center"/>
          </w:tcPr>
          <w:p>
            <w:pPr>
              <w:spacing w:after="0" w:line="240" w:lineRule="auto"/>
              <w:rPr>
                <w:rFonts w:hint="eastAsia" w:ascii="Tahoma" w:hAnsi="Tahoma" w:eastAsia="微软雅黑" w:cs="Times New Roman"/>
                <w:kern w:val="2"/>
                <w:sz w:val="15"/>
                <w:szCs w:val="15"/>
              </w:rPr>
            </w:pPr>
          </w:p>
        </w:tc>
        <w:tc>
          <w:tcPr>
            <w:tcW w:w="365" w:type="pct"/>
            <w:noWrap w:val="0"/>
            <w:vAlign w:val="center"/>
          </w:tcPr>
          <w:p>
            <w:pPr>
              <w:spacing w:after="0" w:line="240" w:lineRule="auto"/>
              <w:rPr>
                <w:rFonts w:hint="eastAsia" w:ascii="Tahoma" w:hAnsi="Tahoma" w:eastAsia="微软雅黑" w:cs="Times New Roman"/>
                <w:kern w:val="2"/>
                <w:sz w:val="15"/>
                <w:szCs w:val="15"/>
              </w:rPr>
            </w:pPr>
          </w:p>
        </w:tc>
        <w:tc>
          <w:tcPr>
            <w:tcW w:w="28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5" w:type="pct"/>
            <w:gridSpan w:val="2"/>
            <w:noWrap w:val="0"/>
            <w:vAlign w:val="center"/>
          </w:tcPr>
          <w:p>
            <w:pPr>
              <w:spacing w:after="0" w:line="240" w:lineRule="auto"/>
              <w:rPr>
                <w:rFonts w:hint="eastAsia" w:ascii="Tahoma" w:hAnsi="Tahoma" w:eastAsia="微软雅黑" w:cs="Times New Roman"/>
                <w:kern w:val="2"/>
                <w:sz w:val="15"/>
                <w:szCs w:val="15"/>
              </w:rPr>
            </w:pPr>
          </w:p>
        </w:tc>
        <w:tc>
          <w:tcPr>
            <w:tcW w:w="292" w:type="pct"/>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31" w:type="pct"/>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582" w:type="pct"/>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烟尘</w:t>
            </w:r>
          </w:p>
        </w:tc>
        <w:tc>
          <w:tcPr>
            <w:tcW w:w="257" w:type="pct"/>
            <w:noWrap w:val="0"/>
            <w:vAlign w:val="center"/>
          </w:tcPr>
          <w:p>
            <w:pPr>
              <w:spacing w:after="0" w:line="240" w:lineRule="auto"/>
              <w:rPr>
                <w:rFonts w:hint="eastAsia" w:ascii="Tahoma" w:hAnsi="Tahoma" w:eastAsia="微软雅黑" w:cs="Times New Roman"/>
                <w:kern w:val="2"/>
                <w:sz w:val="15"/>
                <w:szCs w:val="15"/>
              </w:rPr>
            </w:pPr>
          </w:p>
        </w:tc>
        <w:tc>
          <w:tcPr>
            <w:tcW w:w="371" w:type="pct"/>
            <w:noWrap w:val="0"/>
            <w:vAlign w:val="center"/>
          </w:tcPr>
          <w:p>
            <w:pPr>
              <w:spacing w:after="0" w:line="240" w:lineRule="auto"/>
              <w:rPr>
                <w:rFonts w:hint="eastAsia" w:ascii="Tahoma" w:hAnsi="Tahoma" w:eastAsia="微软雅黑" w:cs="Times New Roman"/>
                <w:kern w:val="2"/>
                <w:sz w:val="15"/>
                <w:szCs w:val="15"/>
              </w:rPr>
            </w:pPr>
          </w:p>
        </w:tc>
        <w:tc>
          <w:tcPr>
            <w:tcW w:w="368" w:type="pct"/>
            <w:gridSpan w:val="3"/>
            <w:noWrap w:val="0"/>
            <w:vAlign w:val="center"/>
          </w:tcPr>
          <w:p>
            <w:pPr>
              <w:spacing w:after="0" w:line="240" w:lineRule="auto"/>
              <w:rPr>
                <w:rFonts w:hint="eastAsia" w:ascii="Tahoma" w:hAnsi="Tahoma" w:eastAsia="微软雅黑" w:cs="Times New Roman"/>
                <w:kern w:val="2"/>
                <w:sz w:val="15"/>
                <w:szCs w:val="15"/>
              </w:rPr>
            </w:pPr>
          </w:p>
        </w:tc>
        <w:tc>
          <w:tcPr>
            <w:tcW w:w="301" w:type="pct"/>
            <w:gridSpan w:val="2"/>
            <w:noWrap w:val="0"/>
            <w:vAlign w:val="center"/>
          </w:tcPr>
          <w:p>
            <w:pPr>
              <w:spacing w:after="0" w:line="240" w:lineRule="auto"/>
              <w:rPr>
                <w:rFonts w:hint="eastAsia" w:ascii="Tahoma" w:hAnsi="Tahoma" w:eastAsia="微软雅黑" w:cs="Times New Roman"/>
                <w:kern w:val="2"/>
                <w:sz w:val="15"/>
                <w:szCs w:val="15"/>
              </w:rPr>
            </w:pPr>
          </w:p>
        </w:tc>
        <w:tc>
          <w:tcPr>
            <w:tcW w:w="36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9" w:type="pct"/>
            <w:gridSpan w:val="2"/>
            <w:noWrap w:val="0"/>
            <w:vAlign w:val="center"/>
          </w:tcPr>
          <w:p>
            <w:pPr>
              <w:spacing w:after="0" w:line="240" w:lineRule="auto"/>
              <w:rPr>
                <w:rFonts w:hint="eastAsia" w:ascii="Tahoma" w:hAnsi="Tahoma" w:eastAsia="微软雅黑" w:cs="Times New Roman"/>
                <w:kern w:val="2"/>
                <w:sz w:val="15"/>
                <w:szCs w:val="15"/>
              </w:rPr>
            </w:pPr>
          </w:p>
        </w:tc>
        <w:tc>
          <w:tcPr>
            <w:tcW w:w="385" w:type="pct"/>
            <w:noWrap w:val="0"/>
            <w:vAlign w:val="center"/>
          </w:tcPr>
          <w:p>
            <w:pPr>
              <w:spacing w:after="0" w:line="240" w:lineRule="auto"/>
              <w:rPr>
                <w:rFonts w:hint="eastAsia" w:ascii="Tahoma" w:hAnsi="Tahoma" w:eastAsia="微软雅黑" w:cs="Times New Roman"/>
                <w:kern w:val="2"/>
                <w:sz w:val="15"/>
                <w:szCs w:val="15"/>
              </w:rPr>
            </w:pPr>
          </w:p>
        </w:tc>
        <w:tc>
          <w:tcPr>
            <w:tcW w:w="449" w:type="pct"/>
            <w:gridSpan w:val="2"/>
            <w:noWrap w:val="0"/>
            <w:vAlign w:val="center"/>
          </w:tcPr>
          <w:p>
            <w:pPr>
              <w:spacing w:after="0" w:line="240" w:lineRule="auto"/>
              <w:rPr>
                <w:rFonts w:hint="eastAsia" w:ascii="Tahoma" w:hAnsi="Tahoma" w:eastAsia="微软雅黑" w:cs="Times New Roman"/>
                <w:kern w:val="2"/>
                <w:sz w:val="15"/>
                <w:szCs w:val="15"/>
              </w:rPr>
            </w:pPr>
          </w:p>
        </w:tc>
        <w:tc>
          <w:tcPr>
            <w:tcW w:w="365" w:type="pct"/>
            <w:noWrap w:val="0"/>
            <w:vAlign w:val="center"/>
          </w:tcPr>
          <w:p>
            <w:pPr>
              <w:spacing w:after="0" w:line="240" w:lineRule="auto"/>
              <w:rPr>
                <w:rFonts w:hint="eastAsia" w:ascii="Tahoma" w:hAnsi="Tahoma" w:eastAsia="微软雅黑" w:cs="Times New Roman"/>
                <w:kern w:val="2"/>
                <w:sz w:val="15"/>
                <w:szCs w:val="15"/>
              </w:rPr>
            </w:pPr>
          </w:p>
        </w:tc>
        <w:tc>
          <w:tcPr>
            <w:tcW w:w="28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5" w:type="pct"/>
            <w:gridSpan w:val="2"/>
            <w:noWrap w:val="0"/>
            <w:vAlign w:val="center"/>
          </w:tcPr>
          <w:p>
            <w:pPr>
              <w:spacing w:after="0" w:line="240" w:lineRule="auto"/>
              <w:rPr>
                <w:rFonts w:hint="eastAsia" w:ascii="Tahoma" w:hAnsi="Tahoma" w:eastAsia="微软雅黑" w:cs="Times New Roman"/>
                <w:kern w:val="2"/>
                <w:sz w:val="15"/>
                <w:szCs w:val="15"/>
              </w:rPr>
            </w:pPr>
          </w:p>
        </w:tc>
        <w:tc>
          <w:tcPr>
            <w:tcW w:w="292" w:type="pct"/>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31" w:type="pct"/>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582" w:type="pct"/>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工业粉尘</w:t>
            </w:r>
          </w:p>
        </w:tc>
        <w:tc>
          <w:tcPr>
            <w:tcW w:w="257" w:type="pct"/>
            <w:noWrap w:val="0"/>
            <w:vAlign w:val="center"/>
          </w:tcPr>
          <w:p>
            <w:pPr>
              <w:spacing w:after="0" w:line="240" w:lineRule="auto"/>
              <w:rPr>
                <w:rFonts w:hint="eastAsia" w:ascii="Tahoma" w:hAnsi="Tahoma" w:eastAsia="微软雅黑" w:cs="Times New Roman"/>
                <w:kern w:val="2"/>
                <w:sz w:val="15"/>
                <w:szCs w:val="15"/>
              </w:rPr>
            </w:pPr>
          </w:p>
        </w:tc>
        <w:tc>
          <w:tcPr>
            <w:tcW w:w="371" w:type="pct"/>
            <w:noWrap w:val="0"/>
            <w:vAlign w:val="center"/>
          </w:tcPr>
          <w:p>
            <w:pPr>
              <w:spacing w:after="0" w:line="240" w:lineRule="auto"/>
              <w:rPr>
                <w:rFonts w:hint="eastAsia" w:ascii="Tahoma" w:hAnsi="Tahoma" w:eastAsia="微软雅黑" w:cs="Times New Roman"/>
                <w:kern w:val="2"/>
                <w:sz w:val="15"/>
                <w:szCs w:val="15"/>
              </w:rPr>
            </w:pPr>
          </w:p>
        </w:tc>
        <w:tc>
          <w:tcPr>
            <w:tcW w:w="368" w:type="pct"/>
            <w:gridSpan w:val="3"/>
            <w:noWrap w:val="0"/>
            <w:vAlign w:val="center"/>
          </w:tcPr>
          <w:p>
            <w:pPr>
              <w:spacing w:after="0" w:line="240" w:lineRule="auto"/>
              <w:rPr>
                <w:rFonts w:hint="eastAsia" w:ascii="Tahoma" w:hAnsi="Tahoma" w:eastAsia="微软雅黑" w:cs="Times New Roman"/>
                <w:kern w:val="2"/>
                <w:sz w:val="15"/>
                <w:szCs w:val="15"/>
              </w:rPr>
            </w:pPr>
          </w:p>
        </w:tc>
        <w:tc>
          <w:tcPr>
            <w:tcW w:w="301" w:type="pct"/>
            <w:gridSpan w:val="2"/>
            <w:noWrap w:val="0"/>
            <w:vAlign w:val="center"/>
          </w:tcPr>
          <w:p>
            <w:pPr>
              <w:spacing w:after="0" w:line="240" w:lineRule="auto"/>
              <w:rPr>
                <w:rFonts w:hint="eastAsia" w:ascii="Tahoma" w:hAnsi="Tahoma" w:eastAsia="微软雅黑" w:cs="Times New Roman"/>
                <w:kern w:val="2"/>
                <w:sz w:val="15"/>
                <w:szCs w:val="15"/>
              </w:rPr>
            </w:pPr>
          </w:p>
        </w:tc>
        <w:tc>
          <w:tcPr>
            <w:tcW w:w="36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9" w:type="pct"/>
            <w:gridSpan w:val="2"/>
            <w:noWrap w:val="0"/>
            <w:vAlign w:val="center"/>
          </w:tcPr>
          <w:p>
            <w:pPr>
              <w:spacing w:after="0" w:line="240" w:lineRule="auto"/>
              <w:rPr>
                <w:rFonts w:hint="eastAsia" w:ascii="Tahoma" w:hAnsi="Tahoma" w:eastAsia="微软雅黑" w:cs="Times New Roman"/>
                <w:kern w:val="2"/>
                <w:sz w:val="15"/>
                <w:szCs w:val="15"/>
              </w:rPr>
            </w:pPr>
          </w:p>
        </w:tc>
        <w:tc>
          <w:tcPr>
            <w:tcW w:w="385" w:type="pct"/>
            <w:noWrap w:val="0"/>
            <w:vAlign w:val="center"/>
          </w:tcPr>
          <w:p>
            <w:pPr>
              <w:spacing w:after="0" w:line="240" w:lineRule="auto"/>
              <w:rPr>
                <w:rFonts w:hint="eastAsia" w:ascii="Tahoma" w:hAnsi="Tahoma" w:eastAsia="微软雅黑" w:cs="Times New Roman"/>
                <w:kern w:val="2"/>
                <w:sz w:val="15"/>
                <w:szCs w:val="15"/>
              </w:rPr>
            </w:pPr>
          </w:p>
        </w:tc>
        <w:tc>
          <w:tcPr>
            <w:tcW w:w="449" w:type="pct"/>
            <w:gridSpan w:val="2"/>
            <w:noWrap w:val="0"/>
            <w:vAlign w:val="center"/>
          </w:tcPr>
          <w:p>
            <w:pPr>
              <w:spacing w:after="0" w:line="240" w:lineRule="auto"/>
              <w:rPr>
                <w:rFonts w:hint="eastAsia" w:ascii="Tahoma" w:hAnsi="Tahoma" w:eastAsia="微软雅黑" w:cs="Times New Roman"/>
                <w:kern w:val="2"/>
                <w:sz w:val="15"/>
                <w:szCs w:val="15"/>
              </w:rPr>
            </w:pPr>
          </w:p>
        </w:tc>
        <w:tc>
          <w:tcPr>
            <w:tcW w:w="365" w:type="pct"/>
            <w:noWrap w:val="0"/>
            <w:vAlign w:val="center"/>
          </w:tcPr>
          <w:p>
            <w:pPr>
              <w:spacing w:after="0" w:line="240" w:lineRule="auto"/>
              <w:rPr>
                <w:rFonts w:hint="eastAsia" w:ascii="Tahoma" w:hAnsi="Tahoma" w:eastAsia="微软雅黑" w:cs="Times New Roman"/>
                <w:kern w:val="2"/>
                <w:sz w:val="15"/>
                <w:szCs w:val="15"/>
              </w:rPr>
            </w:pPr>
          </w:p>
        </w:tc>
        <w:tc>
          <w:tcPr>
            <w:tcW w:w="28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5" w:type="pct"/>
            <w:gridSpan w:val="2"/>
            <w:noWrap w:val="0"/>
            <w:vAlign w:val="center"/>
          </w:tcPr>
          <w:p>
            <w:pPr>
              <w:spacing w:after="0" w:line="240" w:lineRule="auto"/>
              <w:rPr>
                <w:rFonts w:hint="eastAsia" w:ascii="Tahoma" w:hAnsi="Tahoma" w:eastAsia="微软雅黑" w:cs="Times New Roman"/>
                <w:kern w:val="2"/>
                <w:sz w:val="15"/>
                <w:szCs w:val="15"/>
              </w:rPr>
            </w:pPr>
          </w:p>
        </w:tc>
        <w:tc>
          <w:tcPr>
            <w:tcW w:w="292" w:type="pct"/>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31" w:type="pct"/>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582" w:type="pct"/>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氮氧化物</w:t>
            </w:r>
          </w:p>
        </w:tc>
        <w:tc>
          <w:tcPr>
            <w:tcW w:w="257" w:type="pct"/>
            <w:noWrap w:val="0"/>
            <w:vAlign w:val="center"/>
          </w:tcPr>
          <w:p>
            <w:pPr>
              <w:spacing w:after="0" w:line="240" w:lineRule="auto"/>
              <w:rPr>
                <w:rFonts w:hint="eastAsia" w:ascii="Tahoma" w:hAnsi="Tahoma" w:eastAsia="微软雅黑" w:cs="Times New Roman"/>
                <w:kern w:val="2"/>
                <w:sz w:val="15"/>
                <w:szCs w:val="15"/>
              </w:rPr>
            </w:pPr>
          </w:p>
        </w:tc>
        <w:tc>
          <w:tcPr>
            <w:tcW w:w="371" w:type="pct"/>
            <w:noWrap w:val="0"/>
            <w:vAlign w:val="center"/>
          </w:tcPr>
          <w:p>
            <w:pPr>
              <w:spacing w:after="0" w:line="240" w:lineRule="auto"/>
              <w:rPr>
                <w:rFonts w:hint="eastAsia" w:ascii="Tahoma" w:hAnsi="Tahoma" w:eastAsia="微软雅黑" w:cs="Times New Roman"/>
                <w:kern w:val="2"/>
                <w:sz w:val="15"/>
                <w:szCs w:val="15"/>
              </w:rPr>
            </w:pPr>
          </w:p>
        </w:tc>
        <w:tc>
          <w:tcPr>
            <w:tcW w:w="368" w:type="pct"/>
            <w:gridSpan w:val="3"/>
            <w:noWrap w:val="0"/>
            <w:vAlign w:val="center"/>
          </w:tcPr>
          <w:p>
            <w:pPr>
              <w:spacing w:after="0" w:line="240" w:lineRule="auto"/>
              <w:rPr>
                <w:rFonts w:hint="eastAsia" w:ascii="Tahoma" w:hAnsi="Tahoma" w:eastAsia="微软雅黑" w:cs="Times New Roman"/>
                <w:kern w:val="2"/>
                <w:sz w:val="15"/>
                <w:szCs w:val="15"/>
              </w:rPr>
            </w:pPr>
          </w:p>
        </w:tc>
        <w:tc>
          <w:tcPr>
            <w:tcW w:w="301" w:type="pct"/>
            <w:gridSpan w:val="2"/>
            <w:noWrap w:val="0"/>
            <w:vAlign w:val="center"/>
          </w:tcPr>
          <w:p>
            <w:pPr>
              <w:spacing w:after="0" w:line="240" w:lineRule="auto"/>
              <w:rPr>
                <w:rFonts w:hint="eastAsia" w:ascii="Tahoma" w:hAnsi="Tahoma" w:eastAsia="微软雅黑" w:cs="Times New Roman"/>
                <w:kern w:val="2"/>
                <w:sz w:val="15"/>
                <w:szCs w:val="15"/>
              </w:rPr>
            </w:pPr>
          </w:p>
        </w:tc>
        <w:tc>
          <w:tcPr>
            <w:tcW w:w="36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9" w:type="pct"/>
            <w:gridSpan w:val="2"/>
            <w:noWrap w:val="0"/>
            <w:vAlign w:val="center"/>
          </w:tcPr>
          <w:p>
            <w:pPr>
              <w:spacing w:after="0" w:line="240" w:lineRule="auto"/>
              <w:rPr>
                <w:rFonts w:hint="eastAsia" w:ascii="Tahoma" w:hAnsi="Tahoma" w:eastAsia="微软雅黑" w:cs="Times New Roman"/>
                <w:kern w:val="2"/>
                <w:sz w:val="15"/>
                <w:szCs w:val="15"/>
              </w:rPr>
            </w:pPr>
          </w:p>
        </w:tc>
        <w:tc>
          <w:tcPr>
            <w:tcW w:w="385" w:type="pct"/>
            <w:noWrap w:val="0"/>
            <w:vAlign w:val="center"/>
          </w:tcPr>
          <w:p>
            <w:pPr>
              <w:spacing w:after="0" w:line="240" w:lineRule="auto"/>
              <w:rPr>
                <w:rFonts w:hint="eastAsia" w:ascii="Tahoma" w:hAnsi="Tahoma" w:eastAsia="微软雅黑" w:cs="Times New Roman"/>
                <w:kern w:val="2"/>
                <w:sz w:val="15"/>
                <w:szCs w:val="15"/>
              </w:rPr>
            </w:pPr>
          </w:p>
        </w:tc>
        <w:tc>
          <w:tcPr>
            <w:tcW w:w="449" w:type="pct"/>
            <w:gridSpan w:val="2"/>
            <w:noWrap w:val="0"/>
            <w:vAlign w:val="center"/>
          </w:tcPr>
          <w:p>
            <w:pPr>
              <w:spacing w:after="0" w:line="240" w:lineRule="auto"/>
              <w:rPr>
                <w:rFonts w:hint="eastAsia" w:ascii="Tahoma" w:hAnsi="Tahoma" w:eastAsia="微软雅黑" w:cs="Times New Roman"/>
                <w:kern w:val="2"/>
                <w:sz w:val="15"/>
                <w:szCs w:val="15"/>
              </w:rPr>
            </w:pPr>
          </w:p>
        </w:tc>
        <w:tc>
          <w:tcPr>
            <w:tcW w:w="365" w:type="pct"/>
            <w:noWrap w:val="0"/>
            <w:vAlign w:val="center"/>
          </w:tcPr>
          <w:p>
            <w:pPr>
              <w:spacing w:after="0" w:line="240" w:lineRule="auto"/>
              <w:rPr>
                <w:rFonts w:hint="eastAsia" w:ascii="Tahoma" w:hAnsi="Tahoma" w:eastAsia="微软雅黑" w:cs="Times New Roman"/>
                <w:kern w:val="2"/>
                <w:sz w:val="15"/>
                <w:szCs w:val="15"/>
              </w:rPr>
            </w:pPr>
          </w:p>
        </w:tc>
        <w:tc>
          <w:tcPr>
            <w:tcW w:w="28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5" w:type="pct"/>
            <w:gridSpan w:val="2"/>
            <w:noWrap w:val="0"/>
            <w:vAlign w:val="center"/>
          </w:tcPr>
          <w:p>
            <w:pPr>
              <w:spacing w:after="0" w:line="240" w:lineRule="auto"/>
              <w:rPr>
                <w:rFonts w:hint="eastAsia" w:ascii="Tahoma" w:hAnsi="Tahoma" w:eastAsia="微软雅黑" w:cs="Times New Roman"/>
                <w:kern w:val="2"/>
                <w:sz w:val="15"/>
                <w:szCs w:val="15"/>
              </w:rPr>
            </w:pPr>
          </w:p>
        </w:tc>
        <w:tc>
          <w:tcPr>
            <w:tcW w:w="292" w:type="pct"/>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31" w:type="pct"/>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582" w:type="pct"/>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工业固体废物</w:t>
            </w:r>
          </w:p>
        </w:tc>
        <w:tc>
          <w:tcPr>
            <w:tcW w:w="257" w:type="pct"/>
            <w:noWrap w:val="0"/>
            <w:vAlign w:val="center"/>
          </w:tcPr>
          <w:p>
            <w:pPr>
              <w:spacing w:after="0" w:line="240" w:lineRule="auto"/>
              <w:rPr>
                <w:rFonts w:hint="eastAsia" w:ascii="Tahoma" w:hAnsi="Tahoma" w:eastAsia="微软雅黑" w:cs="Times New Roman"/>
                <w:kern w:val="2"/>
                <w:sz w:val="15"/>
                <w:szCs w:val="15"/>
              </w:rPr>
            </w:pPr>
          </w:p>
        </w:tc>
        <w:tc>
          <w:tcPr>
            <w:tcW w:w="371" w:type="pct"/>
            <w:noWrap w:val="0"/>
            <w:vAlign w:val="center"/>
          </w:tcPr>
          <w:p>
            <w:pPr>
              <w:spacing w:after="0" w:line="240" w:lineRule="auto"/>
              <w:rPr>
                <w:rFonts w:hint="eastAsia" w:ascii="Tahoma" w:hAnsi="Tahoma" w:eastAsia="微软雅黑" w:cs="Times New Roman"/>
                <w:kern w:val="2"/>
                <w:sz w:val="15"/>
                <w:szCs w:val="15"/>
              </w:rPr>
            </w:pPr>
          </w:p>
        </w:tc>
        <w:tc>
          <w:tcPr>
            <w:tcW w:w="368" w:type="pct"/>
            <w:gridSpan w:val="3"/>
            <w:noWrap w:val="0"/>
            <w:vAlign w:val="center"/>
          </w:tcPr>
          <w:p>
            <w:pPr>
              <w:spacing w:after="0" w:line="240" w:lineRule="auto"/>
              <w:rPr>
                <w:rFonts w:hint="eastAsia" w:ascii="Tahoma" w:hAnsi="Tahoma" w:eastAsia="微软雅黑" w:cs="Times New Roman"/>
                <w:kern w:val="2"/>
                <w:sz w:val="15"/>
                <w:szCs w:val="15"/>
              </w:rPr>
            </w:pPr>
          </w:p>
        </w:tc>
        <w:tc>
          <w:tcPr>
            <w:tcW w:w="301" w:type="pct"/>
            <w:gridSpan w:val="2"/>
            <w:noWrap w:val="0"/>
            <w:vAlign w:val="center"/>
          </w:tcPr>
          <w:p>
            <w:pPr>
              <w:spacing w:after="0" w:line="240" w:lineRule="auto"/>
              <w:rPr>
                <w:rFonts w:hint="eastAsia" w:ascii="Tahoma" w:hAnsi="Tahoma" w:eastAsia="微软雅黑" w:cs="Times New Roman"/>
                <w:kern w:val="2"/>
                <w:sz w:val="15"/>
                <w:szCs w:val="15"/>
              </w:rPr>
            </w:pPr>
          </w:p>
        </w:tc>
        <w:tc>
          <w:tcPr>
            <w:tcW w:w="36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9" w:type="pct"/>
            <w:gridSpan w:val="2"/>
            <w:noWrap w:val="0"/>
            <w:vAlign w:val="center"/>
          </w:tcPr>
          <w:p>
            <w:pPr>
              <w:spacing w:after="0" w:line="240" w:lineRule="auto"/>
              <w:rPr>
                <w:rFonts w:hint="eastAsia" w:ascii="Tahoma" w:hAnsi="Tahoma" w:eastAsia="微软雅黑" w:cs="Times New Roman"/>
                <w:kern w:val="2"/>
                <w:sz w:val="15"/>
                <w:szCs w:val="15"/>
              </w:rPr>
            </w:pPr>
          </w:p>
        </w:tc>
        <w:tc>
          <w:tcPr>
            <w:tcW w:w="385" w:type="pct"/>
            <w:noWrap w:val="0"/>
            <w:vAlign w:val="center"/>
          </w:tcPr>
          <w:p>
            <w:pPr>
              <w:spacing w:after="0" w:line="240" w:lineRule="auto"/>
              <w:rPr>
                <w:rFonts w:hint="eastAsia" w:ascii="Tahoma" w:hAnsi="Tahoma" w:eastAsia="微软雅黑" w:cs="Times New Roman"/>
                <w:kern w:val="2"/>
                <w:sz w:val="15"/>
                <w:szCs w:val="15"/>
              </w:rPr>
            </w:pPr>
          </w:p>
        </w:tc>
        <w:tc>
          <w:tcPr>
            <w:tcW w:w="449" w:type="pct"/>
            <w:gridSpan w:val="2"/>
            <w:noWrap w:val="0"/>
            <w:vAlign w:val="center"/>
          </w:tcPr>
          <w:p>
            <w:pPr>
              <w:spacing w:after="0" w:line="240" w:lineRule="auto"/>
              <w:rPr>
                <w:rFonts w:hint="eastAsia" w:ascii="Tahoma" w:hAnsi="Tahoma" w:eastAsia="微软雅黑" w:cs="Times New Roman"/>
                <w:kern w:val="2"/>
                <w:sz w:val="15"/>
                <w:szCs w:val="15"/>
              </w:rPr>
            </w:pPr>
          </w:p>
        </w:tc>
        <w:tc>
          <w:tcPr>
            <w:tcW w:w="365" w:type="pct"/>
            <w:noWrap w:val="0"/>
            <w:vAlign w:val="center"/>
          </w:tcPr>
          <w:p>
            <w:pPr>
              <w:spacing w:after="0" w:line="240" w:lineRule="auto"/>
              <w:rPr>
                <w:rFonts w:hint="eastAsia" w:ascii="Tahoma" w:hAnsi="Tahoma" w:eastAsia="微软雅黑" w:cs="Times New Roman"/>
                <w:kern w:val="2"/>
                <w:sz w:val="15"/>
                <w:szCs w:val="15"/>
              </w:rPr>
            </w:pPr>
          </w:p>
        </w:tc>
        <w:tc>
          <w:tcPr>
            <w:tcW w:w="28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5" w:type="pct"/>
            <w:gridSpan w:val="2"/>
            <w:noWrap w:val="0"/>
            <w:vAlign w:val="center"/>
          </w:tcPr>
          <w:p>
            <w:pPr>
              <w:spacing w:after="0" w:line="240" w:lineRule="auto"/>
              <w:rPr>
                <w:rFonts w:hint="eastAsia" w:ascii="Tahoma" w:hAnsi="Tahoma" w:eastAsia="微软雅黑" w:cs="Times New Roman"/>
                <w:kern w:val="2"/>
                <w:sz w:val="15"/>
                <w:szCs w:val="15"/>
              </w:rPr>
            </w:pPr>
          </w:p>
        </w:tc>
        <w:tc>
          <w:tcPr>
            <w:tcW w:w="292" w:type="pct"/>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31" w:type="pct"/>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369" w:type="pct"/>
            <w:vMerge w:val="restart"/>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与项目有关其他特征污染物</w:t>
            </w:r>
          </w:p>
        </w:tc>
        <w:tc>
          <w:tcPr>
            <w:tcW w:w="212" w:type="pct"/>
            <w:noWrap w:val="0"/>
            <w:vAlign w:val="center"/>
          </w:tcPr>
          <w:p>
            <w:pPr>
              <w:spacing w:after="0" w:line="240" w:lineRule="auto"/>
              <w:rPr>
                <w:rFonts w:hint="eastAsia" w:ascii="Tahoma" w:hAnsi="Tahoma" w:eastAsia="微软雅黑" w:cs="Times New Roman"/>
                <w:b/>
                <w:kern w:val="2"/>
                <w:sz w:val="15"/>
                <w:szCs w:val="15"/>
              </w:rPr>
            </w:pPr>
          </w:p>
        </w:tc>
        <w:tc>
          <w:tcPr>
            <w:tcW w:w="257" w:type="pct"/>
            <w:noWrap w:val="0"/>
            <w:vAlign w:val="center"/>
          </w:tcPr>
          <w:p>
            <w:pPr>
              <w:spacing w:after="0" w:line="240" w:lineRule="auto"/>
              <w:rPr>
                <w:rFonts w:hint="eastAsia" w:ascii="Tahoma" w:hAnsi="Tahoma" w:eastAsia="微软雅黑" w:cs="Times New Roman"/>
                <w:kern w:val="2"/>
                <w:sz w:val="15"/>
                <w:szCs w:val="15"/>
              </w:rPr>
            </w:pPr>
          </w:p>
        </w:tc>
        <w:tc>
          <w:tcPr>
            <w:tcW w:w="371" w:type="pct"/>
            <w:noWrap w:val="0"/>
            <w:vAlign w:val="center"/>
          </w:tcPr>
          <w:p>
            <w:pPr>
              <w:spacing w:after="0" w:line="240" w:lineRule="auto"/>
              <w:rPr>
                <w:rFonts w:hint="eastAsia" w:ascii="Tahoma" w:hAnsi="Tahoma" w:eastAsia="微软雅黑" w:cs="Times New Roman"/>
                <w:kern w:val="2"/>
                <w:sz w:val="15"/>
                <w:szCs w:val="15"/>
              </w:rPr>
            </w:pPr>
          </w:p>
        </w:tc>
        <w:tc>
          <w:tcPr>
            <w:tcW w:w="368" w:type="pct"/>
            <w:gridSpan w:val="3"/>
            <w:noWrap w:val="0"/>
            <w:vAlign w:val="center"/>
          </w:tcPr>
          <w:p>
            <w:pPr>
              <w:spacing w:after="0" w:line="240" w:lineRule="auto"/>
              <w:rPr>
                <w:rFonts w:hint="eastAsia" w:ascii="Tahoma" w:hAnsi="Tahoma" w:eastAsia="微软雅黑" w:cs="Times New Roman"/>
                <w:kern w:val="2"/>
                <w:sz w:val="15"/>
                <w:szCs w:val="15"/>
              </w:rPr>
            </w:pPr>
          </w:p>
        </w:tc>
        <w:tc>
          <w:tcPr>
            <w:tcW w:w="301" w:type="pct"/>
            <w:gridSpan w:val="2"/>
            <w:noWrap w:val="0"/>
            <w:vAlign w:val="center"/>
          </w:tcPr>
          <w:p>
            <w:pPr>
              <w:spacing w:after="0" w:line="240" w:lineRule="auto"/>
              <w:rPr>
                <w:rFonts w:hint="eastAsia" w:ascii="Tahoma" w:hAnsi="Tahoma" w:eastAsia="微软雅黑" w:cs="Times New Roman"/>
                <w:kern w:val="2"/>
                <w:sz w:val="15"/>
                <w:szCs w:val="15"/>
              </w:rPr>
            </w:pPr>
          </w:p>
        </w:tc>
        <w:tc>
          <w:tcPr>
            <w:tcW w:w="36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9" w:type="pct"/>
            <w:gridSpan w:val="2"/>
            <w:noWrap w:val="0"/>
            <w:vAlign w:val="center"/>
          </w:tcPr>
          <w:p>
            <w:pPr>
              <w:spacing w:after="0" w:line="240" w:lineRule="auto"/>
              <w:rPr>
                <w:rFonts w:hint="eastAsia" w:ascii="Tahoma" w:hAnsi="Tahoma" w:eastAsia="微软雅黑" w:cs="Times New Roman"/>
                <w:kern w:val="2"/>
                <w:sz w:val="15"/>
                <w:szCs w:val="15"/>
              </w:rPr>
            </w:pPr>
          </w:p>
        </w:tc>
        <w:tc>
          <w:tcPr>
            <w:tcW w:w="385" w:type="pct"/>
            <w:noWrap w:val="0"/>
            <w:vAlign w:val="center"/>
          </w:tcPr>
          <w:p>
            <w:pPr>
              <w:spacing w:after="0" w:line="240" w:lineRule="auto"/>
              <w:rPr>
                <w:rFonts w:hint="eastAsia" w:ascii="Tahoma" w:hAnsi="Tahoma" w:eastAsia="微软雅黑" w:cs="Times New Roman"/>
                <w:kern w:val="2"/>
                <w:sz w:val="15"/>
                <w:szCs w:val="15"/>
              </w:rPr>
            </w:pPr>
          </w:p>
        </w:tc>
        <w:tc>
          <w:tcPr>
            <w:tcW w:w="449" w:type="pct"/>
            <w:gridSpan w:val="2"/>
            <w:noWrap w:val="0"/>
            <w:vAlign w:val="center"/>
          </w:tcPr>
          <w:p>
            <w:pPr>
              <w:spacing w:after="0" w:line="240" w:lineRule="auto"/>
              <w:rPr>
                <w:rFonts w:hint="eastAsia" w:ascii="Tahoma" w:hAnsi="Tahoma" w:eastAsia="微软雅黑" w:cs="Times New Roman"/>
                <w:kern w:val="2"/>
                <w:sz w:val="15"/>
                <w:szCs w:val="15"/>
              </w:rPr>
            </w:pPr>
          </w:p>
        </w:tc>
        <w:tc>
          <w:tcPr>
            <w:tcW w:w="365" w:type="pct"/>
            <w:noWrap w:val="0"/>
            <w:vAlign w:val="center"/>
          </w:tcPr>
          <w:p>
            <w:pPr>
              <w:spacing w:after="0" w:line="240" w:lineRule="auto"/>
              <w:rPr>
                <w:rFonts w:hint="eastAsia" w:ascii="Tahoma" w:hAnsi="Tahoma" w:eastAsia="微软雅黑" w:cs="Times New Roman"/>
                <w:kern w:val="2"/>
                <w:sz w:val="15"/>
                <w:szCs w:val="15"/>
              </w:rPr>
            </w:pPr>
          </w:p>
        </w:tc>
        <w:tc>
          <w:tcPr>
            <w:tcW w:w="28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5" w:type="pct"/>
            <w:gridSpan w:val="2"/>
            <w:noWrap w:val="0"/>
            <w:vAlign w:val="center"/>
          </w:tcPr>
          <w:p>
            <w:pPr>
              <w:spacing w:after="0" w:line="240" w:lineRule="auto"/>
              <w:rPr>
                <w:rFonts w:hint="eastAsia" w:ascii="Tahoma" w:hAnsi="Tahoma" w:eastAsia="微软雅黑" w:cs="Times New Roman"/>
                <w:kern w:val="2"/>
                <w:sz w:val="15"/>
                <w:szCs w:val="15"/>
              </w:rPr>
            </w:pPr>
          </w:p>
        </w:tc>
        <w:tc>
          <w:tcPr>
            <w:tcW w:w="292" w:type="pct"/>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31" w:type="pct"/>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369" w:type="pct"/>
            <w:vMerge w:val="continue"/>
            <w:noWrap w:val="0"/>
            <w:vAlign w:val="center"/>
          </w:tcPr>
          <w:p>
            <w:pPr>
              <w:spacing w:after="0" w:line="240" w:lineRule="auto"/>
              <w:rPr>
                <w:rFonts w:hint="eastAsia" w:ascii="Tahoma" w:hAnsi="Tahoma" w:eastAsia="微软雅黑" w:cs="Times New Roman"/>
                <w:b/>
                <w:kern w:val="2"/>
                <w:sz w:val="15"/>
                <w:szCs w:val="15"/>
              </w:rPr>
            </w:pPr>
          </w:p>
        </w:tc>
        <w:tc>
          <w:tcPr>
            <w:tcW w:w="212" w:type="pct"/>
            <w:noWrap w:val="0"/>
            <w:vAlign w:val="center"/>
          </w:tcPr>
          <w:p>
            <w:pPr>
              <w:spacing w:after="0" w:line="240" w:lineRule="auto"/>
              <w:rPr>
                <w:rFonts w:hint="eastAsia" w:ascii="Tahoma" w:hAnsi="Tahoma" w:eastAsia="微软雅黑" w:cs="Times New Roman"/>
                <w:b/>
                <w:kern w:val="2"/>
                <w:sz w:val="15"/>
                <w:szCs w:val="15"/>
              </w:rPr>
            </w:pPr>
          </w:p>
        </w:tc>
        <w:tc>
          <w:tcPr>
            <w:tcW w:w="257" w:type="pct"/>
            <w:noWrap w:val="0"/>
            <w:vAlign w:val="center"/>
          </w:tcPr>
          <w:p>
            <w:pPr>
              <w:spacing w:after="0" w:line="240" w:lineRule="auto"/>
              <w:rPr>
                <w:rFonts w:hint="eastAsia" w:ascii="Tahoma" w:hAnsi="Tahoma" w:eastAsia="微软雅黑" w:cs="Times New Roman"/>
                <w:kern w:val="2"/>
                <w:sz w:val="15"/>
                <w:szCs w:val="15"/>
              </w:rPr>
            </w:pPr>
          </w:p>
        </w:tc>
        <w:tc>
          <w:tcPr>
            <w:tcW w:w="371" w:type="pct"/>
            <w:noWrap w:val="0"/>
            <w:vAlign w:val="center"/>
          </w:tcPr>
          <w:p>
            <w:pPr>
              <w:spacing w:after="0" w:line="240" w:lineRule="auto"/>
              <w:rPr>
                <w:rFonts w:hint="eastAsia" w:ascii="Tahoma" w:hAnsi="Tahoma" w:eastAsia="微软雅黑" w:cs="Times New Roman"/>
                <w:kern w:val="2"/>
                <w:sz w:val="15"/>
                <w:szCs w:val="15"/>
              </w:rPr>
            </w:pPr>
          </w:p>
        </w:tc>
        <w:tc>
          <w:tcPr>
            <w:tcW w:w="368" w:type="pct"/>
            <w:gridSpan w:val="3"/>
            <w:noWrap w:val="0"/>
            <w:vAlign w:val="center"/>
          </w:tcPr>
          <w:p>
            <w:pPr>
              <w:spacing w:after="0" w:line="240" w:lineRule="auto"/>
              <w:rPr>
                <w:rFonts w:hint="eastAsia" w:ascii="Tahoma" w:hAnsi="Tahoma" w:eastAsia="微软雅黑" w:cs="Times New Roman"/>
                <w:kern w:val="2"/>
                <w:sz w:val="15"/>
                <w:szCs w:val="15"/>
              </w:rPr>
            </w:pPr>
          </w:p>
        </w:tc>
        <w:tc>
          <w:tcPr>
            <w:tcW w:w="301" w:type="pct"/>
            <w:gridSpan w:val="2"/>
            <w:noWrap w:val="0"/>
            <w:vAlign w:val="center"/>
          </w:tcPr>
          <w:p>
            <w:pPr>
              <w:spacing w:after="0" w:line="240" w:lineRule="auto"/>
              <w:rPr>
                <w:rFonts w:hint="eastAsia" w:ascii="Tahoma" w:hAnsi="Tahoma" w:eastAsia="微软雅黑" w:cs="Times New Roman"/>
                <w:kern w:val="2"/>
                <w:sz w:val="15"/>
                <w:szCs w:val="15"/>
              </w:rPr>
            </w:pPr>
          </w:p>
        </w:tc>
        <w:tc>
          <w:tcPr>
            <w:tcW w:w="36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9" w:type="pct"/>
            <w:gridSpan w:val="2"/>
            <w:noWrap w:val="0"/>
            <w:vAlign w:val="center"/>
          </w:tcPr>
          <w:p>
            <w:pPr>
              <w:spacing w:after="0" w:line="240" w:lineRule="auto"/>
              <w:rPr>
                <w:rFonts w:hint="eastAsia" w:ascii="Tahoma" w:hAnsi="Tahoma" w:eastAsia="微软雅黑" w:cs="Times New Roman"/>
                <w:kern w:val="2"/>
                <w:sz w:val="15"/>
                <w:szCs w:val="15"/>
              </w:rPr>
            </w:pPr>
          </w:p>
        </w:tc>
        <w:tc>
          <w:tcPr>
            <w:tcW w:w="385" w:type="pct"/>
            <w:noWrap w:val="0"/>
            <w:vAlign w:val="center"/>
          </w:tcPr>
          <w:p>
            <w:pPr>
              <w:spacing w:after="0" w:line="240" w:lineRule="auto"/>
              <w:rPr>
                <w:rFonts w:hint="eastAsia" w:ascii="Tahoma" w:hAnsi="Tahoma" w:eastAsia="微软雅黑" w:cs="Times New Roman"/>
                <w:kern w:val="2"/>
                <w:sz w:val="15"/>
                <w:szCs w:val="15"/>
              </w:rPr>
            </w:pPr>
          </w:p>
        </w:tc>
        <w:tc>
          <w:tcPr>
            <w:tcW w:w="449" w:type="pct"/>
            <w:gridSpan w:val="2"/>
            <w:noWrap w:val="0"/>
            <w:vAlign w:val="center"/>
          </w:tcPr>
          <w:p>
            <w:pPr>
              <w:spacing w:after="0" w:line="240" w:lineRule="auto"/>
              <w:rPr>
                <w:rFonts w:hint="eastAsia" w:ascii="Tahoma" w:hAnsi="Tahoma" w:eastAsia="微软雅黑" w:cs="Times New Roman"/>
                <w:kern w:val="2"/>
                <w:sz w:val="15"/>
                <w:szCs w:val="15"/>
              </w:rPr>
            </w:pPr>
          </w:p>
        </w:tc>
        <w:tc>
          <w:tcPr>
            <w:tcW w:w="365" w:type="pct"/>
            <w:noWrap w:val="0"/>
            <w:vAlign w:val="center"/>
          </w:tcPr>
          <w:p>
            <w:pPr>
              <w:spacing w:after="0" w:line="240" w:lineRule="auto"/>
              <w:rPr>
                <w:rFonts w:hint="eastAsia" w:ascii="Tahoma" w:hAnsi="Tahoma" w:eastAsia="微软雅黑" w:cs="Times New Roman"/>
                <w:kern w:val="2"/>
                <w:sz w:val="15"/>
                <w:szCs w:val="15"/>
              </w:rPr>
            </w:pPr>
          </w:p>
        </w:tc>
        <w:tc>
          <w:tcPr>
            <w:tcW w:w="281" w:type="pct"/>
            <w:gridSpan w:val="2"/>
            <w:noWrap w:val="0"/>
            <w:vAlign w:val="center"/>
          </w:tcPr>
          <w:p>
            <w:pPr>
              <w:spacing w:after="0" w:line="240" w:lineRule="auto"/>
              <w:rPr>
                <w:rFonts w:hint="eastAsia" w:ascii="Tahoma" w:hAnsi="Tahoma" w:eastAsia="微软雅黑" w:cs="Times New Roman"/>
                <w:kern w:val="2"/>
                <w:sz w:val="15"/>
                <w:szCs w:val="15"/>
              </w:rPr>
            </w:pPr>
          </w:p>
        </w:tc>
        <w:tc>
          <w:tcPr>
            <w:tcW w:w="375" w:type="pct"/>
            <w:gridSpan w:val="2"/>
            <w:noWrap w:val="0"/>
            <w:vAlign w:val="center"/>
          </w:tcPr>
          <w:p>
            <w:pPr>
              <w:spacing w:after="0" w:line="240" w:lineRule="auto"/>
              <w:rPr>
                <w:rFonts w:hint="eastAsia" w:ascii="Tahoma" w:hAnsi="Tahoma" w:eastAsia="微软雅黑" w:cs="Times New Roman"/>
                <w:kern w:val="2"/>
                <w:sz w:val="15"/>
                <w:szCs w:val="15"/>
              </w:rPr>
            </w:pPr>
          </w:p>
        </w:tc>
        <w:tc>
          <w:tcPr>
            <w:tcW w:w="292" w:type="pct"/>
            <w:gridSpan w:val="2"/>
            <w:noWrap w:val="0"/>
            <w:vAlign w:val="center"/>
          </w:tcPr>
          <w:p>
            <w:pPr>
              <w:spacing w:after="0" w:line="240" w:lineRule="auto"/>
              <w:rPr>
                <w:rFonts w:hint="eastAsia" w:ascii="Tahoma" w:hAnsi="Tahoma" w:eastAsia="微软雅黑" w:cs="Times New Roman"/>
                <w:kern w:val="2"/>
                <w:sz w:val="15"/>
                <w:szCs w:val="15"/>
              </w:rPr>
            </w:pPr>
          </w:p>
        </w:tc>
      </w:tr>
    </w:tbl>
    <w:p>
      <w:pPr>
        <w:spacing w:after="0"/>
      </w:pPr>
      <w:r>
        <w:rPr>
          <w:b/>
          <w:sz w:val="15"/>
          <w:szCs w:val="15"/>
        </w:rPr>
        <w:t>注</w:t>
      </w:r>
      <w:r>
        <w:rPr>
          <w:sz w:val="15"/>
          <w:szCs w:val="15"/>
        </w:rPr>
        <w:t>：1、</w:t>
      </w:r>
      <w:r>
        <w:rPr>
          <w:spacing w:val="-4"/>
          <w:sz w:val="15"/>
          <w:szCs w:val="15"/>
        </w:rPr>
        <w:t>排放增减量：（+）表示增加，（-）表示减少。2、(12)=(6)-(8)-(11)，（9）= (4)-(5)-(8)- (11) +（1）。3、计量单位：废水排放量——万吨/年；废气排放量——万标立方米/年；工业固体废物排放</w:t>
      </w:r>
      <w:r>
        <w:rPr>
          <w:sz w:val="15"/>
          <w:szCs w:val="15"/>
        </w:rPr>
        <w:t>量——万吨/年；水污染物排放浓度——毫克/升</w:t>
      </w:r>
    </w:p>
    <w:p>
      <w:pPr>
        <w:tabs>
          <w:tab w:val="left" w:pos="4282"/>
        </w:tabs>
        <w:bidi w:val="0"/>
        <w:jc w:val="left"/>
        <w:rPr>
          <w:rFonts w:hint="eastAsia" w:eastAsia="宋体"/>
          <w:lang w:eastAsia="zh-CN"/>
        </w:rPr>
      </w:pPr>
    </w:p>
    <w:sectPr>
      <w:footerReference r:id="rId7" w:type="default"/>
      <w:pgSz w:w="16838" w:h="11906" w:orient="landscape"/>
      <w:pgMar w:top="1134" w:right="1440" w:bottom="1797" w:left="56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Noto Sans Mono CJK JP Regular">
    <w:altName w:val="Arial"/>
    <w:panose1 w:val="00000000000000000000"/>
    <w:charset w:val="00"/>
    <w:family w:val="swiss"/>
    <w:pitch w:val="default"/>
    <w:sig w:usb0="00000000" w:usb1="00000000" w:usb2="00000000" w:usb3="00000000" w:csb0="00000001" w:csb1="00000000"/>
  </w:font>
  <w:font w:name="TimesNewRomanPSMT">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 PAGE   \* MERGEFORMAT </w:instrText>
    </w:r>
    <w:r>
      <w:fldChar w:fldCharType="separate"/>
    </w:r>
    <w:r>
      <w:rPr>
        <w:lang w:val="zh-CN"/>
      </w:rPr>
      <w:t>1</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 PAGE   \* MERGEFORMAT </w:instrText>
    </w:r>
    <w:r>
      <w:fldChar w:fldCharType="separate"/>
    </w:r>
    <w:r>
      <w:rPr>
        <w:lang w:val="zh-CN"/>
      </w:rPr>
      <w:t>20</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 PAGE   \* MERGEFORMAT </w:instrText>
    </w:r>
    <w:r>
      <w:fldChar w:fldCharType="separate"/>
    </w:r>
    <w:r>
      <w:rPr>
        <w:lang w:val="zh-CN"/>
      </w:rPr>
      <w:t>26</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9"/>
      <w:rPr>
        <w:rStyle w:val="30"/>
        <w:rFonts w:hint="eastAsia" w:eastAsia="宋体"/>
        <w:szCs w:val="21"/>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jc w:val="right"/>
      <w:rPr>
        <w:i/>
        <w:sz w:val="10"/>
      </w:rPr>
    </w:pPr>
    <w:r>
      <w:rPr>
        <w:rFonts w:hint="eastAsia" w:ascii="宋体" w:hAnsi="宋体"/>
        <w:i/>
        <w:lang w:eastAsia="zh-CN"/>
      </w:rPr>
      <w:t>中国石油天然气股份有限公司万州金龙加油站新建工程</w:t>
    </w:r>
    <w:r>
      <w:rPr>
        <w:rFonts w:hint="eastAsia" w:ascii="宋体" w:hAnsi="宋体"/>
        <w:i/>
      </w:rPr>
      <w:t>竣工环境保护验收监测报</w:t>
    </w:r>
    <w:r>
      <w:rPr>
        <w:rFonts w:hint="eastAsia"/>
        <w:i/>
      </w:rPr>
      <w:t>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3CBE5F"/>
    <w:multiLevelType w:val="singleLevel"/>
    <w:tmpl w:val="E33CBE5F"/>
    <w:lvl w:ilvl="0" w:tentative="0">
      <w:start w:val="1"/>
      <w:numFmt w:val="bullet"/>
      <w:pStyle w:val="15"/>
      <w:lvlText w:val=""/>
      <w:lvlJc w:val="left"/>
      <w:pPr>
        <w:tabs>
          <w:tab w:val="left" w:pos="2040"/>
        </w:tabs>
        <w:ind w:left="2040" w:hanging="360"/>
      </w:pPr>
      <w:rPr>
        <w:rFonts w:hint="default" w:ascii="Wingdings" w:hAnsi="Wingdings"/>
      </w:rPr>
    </w:lvl>
  </w:abstractNum>
  <w:abstractNum w:abstractNumId="1">
    <w:nsid w:val="5AE195FA"/>
    <w:multiLevelType w:val="singleLevel"/>
    <w:tmpl w:val="5AE195FA"/>
    <w:lvl w:ilvl="0" w:tentative="0">
      <w:start w:val="5"/>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TVjZjM5M2FmNTBlYmZkZTU2MTk1ZDlhZWM5OWE2YjgifQ=="/>
  </w:docVars>
  <w:rsids>
    <w:rsidRoot w:val="00EF54D1"/>
    <w:rsid w:val="000007DF"/>
    <w:rsid w:val="00000A8B"/>
    <w:rsid w:val="00001725"/>
    <w:rsid w:val="00001768"/>
    <w:rsid w:val="00001802"/>
    <w:rsid w:val="00001BAD"/>
    <w:rsid w:val="0000219F"/>
    <w:rsid w:val="00002B5B"/>
    <w:rsid w:val="000032A0"/>
    <w:rsid w:val="000041DC"/>
    <w:rsid w:val="00006CF6"/>
    <w:rsid w:val="000102A0"/>
    <w:rsid w:val="00010391"/>
    <w:rsid w:val="00010D78"/>
    <w:rsid w:val="00010FE1"/>
    <w:rsid w:val="0001190F"/>
    <w:rsid w:val="000145BE"/>
    <w:rsid w:val="0001495E"/>
    <w:rsid w:val="00014D48"/>
    <w:rsid w:val="000151DB"/>
    <w:rsid w:val="0002611B"/>
    <w:rsid w:val="00032EC9"/>
    <w:rsid w:val="00033C7E"/>
    <w:rsid w:val="00034F24"/>
    <w:rsid w:val="00035461"/>
    <w:rsid w:val="00040A0A"/>
    <w:rsid w:val="00040AAD"/>
    <w:rsid w:val="00043A32"/>
    <w:rsid w:val="000443F9"/>
    <w:rsid w:val="00045DFA"/>
    <w:rsid w:val="00045E9E"/>
    <w:rsid w:val="00045F3F"/>
    <w:rsid w:val="00047CC9"/>
    <w:rsid w:val="0005129E"/>
    <w:rsid w:val="00053405"/>
    <w:rsid w:val="00053E8A"/>
    <w:rsid w:val="000547F4"/>
    <w:rsid w:val="00055253"/>
    <w:rsid w:val="00056330"/>
    <w:rsid w:val="0006120C"/>
    <w:rsid w:val="00061CDD"/>
    <w:rsid w:val="00062703"/>
    <w:rsid w:val="00063317"/>
    <w:rsid w:val="000648A3"/>
    <w:rsid w:val="000653B2"/>
    <w:rsid w:val="0006552C"/>
    <w:rsid w:val="00067013"/>
    <w:rsid w:val="00067BD1"/>
    <w:rsid w:val="00067F1F"/>
    <w:rsid w:val="000703BC"/>
    <w:rsid w:val="0007076C"/>
    <w:rsid w:val="00072915"/>
    <w:rsid w:val="0007315C"/>
    <w:rsid w:val="00073813"/>
    <w:rsid w:val="0007423A"/>
    <w:rsid w:val="00075F20"/>
    <w:rsid w:val="000765C1"/>
    <w:rsid w:val="000773EB"/>
    <w:rsid w:val="00077F8A"/>
    <w:rsid w:val="00080EE4"/>
    <w:rsid w:val="00081A06"/>
    <w:rsid w:val="0008228C"/>
    <w:rsid w:val="000858E7"/>
    <w:rsid w:val="00085CF5"/>
    <w:rsid w:val="00086165"/>
    <w:rsid w:val="00087C98"/>
    <w:rsid w:val="000902F1"/>
    <w:rsid w:val="0009084F"/>
    <w:rsid w:val="000914BC"/>
    <w:rsid w:val="0009270B"/>
    <w:rsid w:val="00092E33"/>
    <w:rsid w:val="000939CB"/>
    <w:rsid w:val="000939EC"/>
    <w:rsid w:val="000952EE"/>
    <w:rsid w:val="00096165"/>
    <w:rsid w:val="00097218"/>
    <w:rsid w:val="000973BF"/>
    <w:rsid w:val="000A13E8"/>
    <w:rsid w:val="000A18CB"/>
    <w:rsid w:val="000A36E1"/>
    <w:rsid w:val="000A3A38"/>
    <w:rsid w:val="000A5AB0"/>
    <w:rsid w:val="000A603F"/>
    <w:rsid w:val="000A6079"/>
    <w:rsid w:val="000A68F5"/>
    <w:rsid w:val="000A6AE0"/>
    <w:rsid w:val="000B0A63"/>
    <w:rsid w:val="000B171B"/>
    <w:rsid w:val="000B1E57"/>
    <w:rsid w:val="000B2D73"/>
    <w:rsid w:val="000B357E"/>
    <w:rsid w:val="000B3FFA"/>
    <w:rsid w:val="000B4935"/>
    <w:rsid w:val="000B4C82"/>
    <w:rsid w:val="000B69C0"/>
    <w:rsid w:val="000B7084"/>
    <w:rsid w:val="000B722D"/>
    <w:rsid w:val="000B732E"/>
    <w:rsid w:val="000B780B"/>
    <w:rsid w:val="000C04FB"/>
    <w:rsid w:val="000C06E3"/>
    <w:rsid w:val="000C0FCF"/>
    <w:rsid w:val="000C2E9B"/>
    <w:rsid w:val="000C384D"/>
    <w:rsid w:val="000C39EA"/>
    <w:rsid w:val="000C481D"/>
    <w:rsid w:val="000C4EA9"/>
    <w:rsid w:val="000C57BA"/>
    <w:rsid w:val="000D041F"/>
    <w:rsid w:val="000D0AA1"/>
    <w:rsid w:val="000D0CB0"/>
    <w:rsid w:val="000D0DA8"/>
    <w:rsid w:val="000D6618"/>
    <w:rsid w:val="000D69C2"/>
    <w:rsid w:val="000D71F8"/>
    <w:rsid w:val="000E3384"/>
    <w:rsid w:val="000E4139"/>
    <w:rsid w:val="000E500A"/>
    <w:rsid w:val="000E552A"/>
    <w:rsid w:val="000E6049"/>
    <w:rsid w:val="000E7268"/>
    <w:rsid w:val="000F08AD"/>
    <w:rsid w:val="000F0E19"/>
    <w:rsid w:val="000F2139"/>
    <w:rsid w:val="000F5A7E"/>
    <w:rsid w:val="001013A4"/>
    <w:rsid w:val="001019EF"/>
    <w:rsid w:val="00102549"/>
    <w:rsid w:val="00104CCC"/>
    <w:rsid w:val="00105006"/>
    <w:rsid w:val="001054F5"/>
    <w:rsid w:val="0010585A"/>
    <w:rsid w:val="00107825"/>
    <w:rsid w:val="0011085F"/>
    <w:rsid w:val="00111F89"/>
    <w:rsid w:val="0011432C"/>
    <w:rsid w:val="001143CA"/>
    <w:rsid w:val="001150FC"/>
    <w:rsid w:val="00116BB9"/>
    <w:rsid w:val="00117292"/>
    <w:rsid w:val="00117314"/>
    <w:rsid w:val="0012016F"/>
    <w:rsid w:val="001273D8"/>
    <w:rsid w:val="00127D6B"/>
    <w:rsid w:val="0013042A"/>
    <w:rsid w:val="0013109F"/>
    <w:rsid w:val="00131245"/>
    <w:rsid w:val="001315A7"/>
    <w:rsid w:val="00132BD6"/>
    <w:rsid w:val="00133F4E"/>
    <w:rsid w:val="001354B1"/>
    <w:rsid w:val="00137670"/>
    <w:rsid w:val="00141DEB"/>
    <w:rsid w:val="00143543"/>
    <w:rsid w:val="00146F20"/>
    <w:rsid w:val="001517DE"/>
    <w:rsid w:val="0015232E"/>
    <w:rsid w:val="00152C3C"/>
    <w:rsid w:val="00154A37"/>
    <w:rsid w:val="00157205"/>
    <w:rsid w:val="00163095"/>
    <w:rsid w:val="00165289"/>
    <w:rsid w:val="0016533E"/>
    <w:rsid w:val="001662FA"/>
    <w:rsid w:val="00166B19"/>
    <w:rsid w:val="0016707C"/>
    <w:rsid w:val="001676CC"/>
    <w:rsid w:val="0017011B"/>
    <w:rsid w:val="0017135B"/>
    <w:rsid w:val="00172AFE"/>
    <w:rsid w:val="00173DC6"/>
    <w:rsid w:val="00173E0E"/>
    <w:rsid w:val="00174349"/>
    <w:rsid w:val="001758C6"/>
    <w:rsid w:val="00176615"/>
    <w:rsid w:val="001768A5"/>
    <w:rsid w:val="00176D51"/>
    <w:rsid w:val="00177CDE"/>
    <w:rsid w:val="00181CF6"/>
    <w:rsid w:val="00181F17"/>
    <w:rsid w:val="00181FB7"/>
    <w:rsid w:val="00184204"/>
    <w:rsid w:val="00185041"/>
    <w:rsid w:val="0018537C"/>
    <w:rsid w:val="00186393"/>
    <w:rsid w:val="001919F0"/>
    <w:rsid w:val="00192509"/>
    <w:rsid w:val="00192A3A"/>
    <w:rsid w:val="00193ED7"/>
    <w:rsid w:val="00195711"/>
    <w:rsid w:val="001A0D1B"/>
    <w:rsid w:val="001A0D28"/>
    <w:rsid w:val="001A11EE"/>
    <w:rsid w:val="001A3335"/>
    <w:rsid w:val="001A40D6"/>
    <w:rsid w:val="001A5F55"/>
    <w:rsid w:val="001A7BCB"/>
    <w:rsid w:val="001B0735"/>
    <w:rsid w:val="001B0B27"/>
    <w:rsid w:val="001B1849"/>
    <w:rsid w:val="001B57A5"/>
    <w:rsid w:val="001B5AD3"/>
    <w:rsid w:val="001B797C"/>
    <w:rsid w:val="001C305B"/>
    <w:rsid w:val="001C3AD9"/>
    <w:rsid w:val="001C3BBC"/>
    <w:rsid w:val="001C485C"/>
    <w:rsid w:val="001C4A97"/>
    <w:rsid w:val="001C5481"/>
    <w:rsid w:val="001C63E9"/>
    <w:rsid w:val="001C6461"/>
    <w:rsid w:val="001D0192"/>
    <w:rsid w:val="001D02F0"/>
    <w:rsid w:val="001D0ABA"/>
    <w:rsid w:val="001D0FFD"/>
    <w:rsid w:val="001D1CCB"/>
    <w:rsid w:val="001D2728"/>
    <w:rsid w:val="001D2BE2"/>
    <w:rsid w:val="001D44E3"/>
    <w:rsid w:val="001D4C6B"/>
    <w:rsid w:val="001D4CBB"/>
    <w:rsid w:val="001D50DD"/>
    <w:rsid w:val="001D5CEB"/>
    <w:rsid w:val="001D5DA5"/>
    <w:rsid w:val="001D6BD1"/>
    <w:rsid w:val="001D72E0"/>
    <w:rsid w:val="001D75F3"/>
    <w:rsid w:val="001D7658"/>
    <w:rsid w:val="001D7E14"/>
    <w:rsid w:val="001E1760"/>
    <w:rsid w:val="001E24BA"/>
    <w:rsid w:val="001E34C7"/>
    <w:rsid w:val="001E34F1"/>
    <w:rsid w:val="001E3F20"/>
    <w:rsid w:val="001E50AA"/>
    <w:rsid w:val="001E6799"/>
    <w:rsid w:val="001F01C9"/>
    <w:rsid w:val="001F077F"/>
    <w:rsid w:val="001F1586"/>
    <w:rsid w:val="001F1BCA"/>
    <w:rsid w:val="001F2557"/>
    <w:rsid w:val="001F2D04"/>
    <w:rsid w:val="001F2D4A"/>
    <w:rsid w:val="001F30D6"/>
    <w:rsid w:val="001F5D9F"/>
    <w:rsid w:val="001F6F2D"/>
    <w:rsid w:val="001F7AF7"/>
    <w:rsid w:val="001F7CA8"/>
    <w:rsid w:val="0020033B"/>
    <w:rsid w:val="0020136D"/>
    <w:rsid w:val="00202821"/>
    <w:rsid w:val="00202A61"/>
    <w:rsid w:val="00203588"/>
    <w:rsid w:val="0020381B"/>
    <w:rsid w:val="002041DA"/>
    <w:rsid w:val="00204931"/>
    <w:rsid w:val="00206A23"/>
    <w:rsid w:val="002072AD"/>
    <w:rsid w:val="00210526"/>
    <w:rsid w:val="00210877"/>
    <w:rsid w:val="0021152C"/>
    <w:rsid w:val="002119FE"/>
    <w:rsid w:val="002144D3"/>
    <w:rsid w:val="0021456A"/>
    <w:rsid w:val="00214616"/>
    <w:rsid w:val="00215170"/>
    <w:rsid w:val="0021692F"/>
    <w:rsid w:val="00216BA1"/>
    <w:rsid w:val="00216D32"/>
    <w:rsid w:val="002178FF"/>
    <w:rsid w:val="00217E1E"/>
    <w:rsid w:val="00220F3E"/>
    <w:rsid w:val="00222517"/>
    <w:rsid w:val="00223C8C"/>
    <w:rsid w:val="00224684"/>
    <w:rsid w:val="00225180"/>
    <w:rsid w:val="002261D2"/>
    <w:rsid w:val="00227E7B"/>
    <w:rsid w:val="0023354F"/>
    <w:rsid w:val="00233D65"/>
    <w:rsid w:val="002367BD"/>
    <w:rsid w:val="00236C2C"/>
    <w:rsid w:val="0023717D"/>
    <w:rsid w:val="00237725"/>
    <w:rsid w:val="002378DB"/>
    <w:rsid w:val="00240417"/>
    <w:rsid w:val="00240581"/>
    <w:rsid w:val="002405E2"/>
    <w:rsid w:val="00240AAE"/>
    <w:rsid w:val="00242006"/>
    <w:rsid w:val="0024416A"/>
    <w:rsid w:val="002468D4"/>
    <w:rsid w:val="0024754E"/>
    <w:rsid w:val="00250282"/>
    <w:rsid w:val="00251288"/>
    <w:rsid w:val="002513A1"/>
    <w:rsid w:val="00252B5A"/>
    <w:rsid w:val="00253D85"/>
    <w:rsid w:val="00255C2C"/>
    <w:rsid w:val="0025677F"/>
    <w:rsid w:val="00257DED"/>
    <w:rsid w:val="00264550"/>
    <w:rsid w:val="00264A03"/>
    <w:rsid w:val="002668EF"/>
    <w:rsid w:val="00266B6C"/>
    <w:rsid w:val="00266DE7"/>
    <w:rsid w:val="00267E73"/>
    <w:rsid w:val="00267F18"/>
    <w:rsid w:val="002700F7"/>
    <w:rsid w:val="00271ADA"/>
    <w:rsid w:val="0027352F"/>
    <w:rsid w:val="00273A8B"/>
    <w:rsid w:val="002748FD"/>
    <w:rsid w:val="00276732"/>
    <w:rsid w:val="00281136"/>
    <w:rsid w:val="00281A2E"/>
    <w:rsid w:val="00282BA7"/>
    <w:rsid w:val="00282C9D"/>
    <w:rsid w:val="00284A57"/>
    <w:rsid w:val="00284A7B"/>
    <w:rsid w:val="0028585D"/>
    <w:rsid w:val="00286CCC"/>
    <w:rsid w:val="0029036B"/>
    <w:rsid w:val="002922DF"/>
    <w:rsid w:val="002932FB"/>
    <w:rsid w:val="00293311"/>
    <w:rsid w:val="002951C5"/>
    <w:rsid w:val="00297BB0"/>
    <w:rsid w:val="002A132C"/>
    <w:rsid w:val="002A2F9D"/>
    <w:rsid w:val="002A3256"/>
    <w:rsid w:val="002A569F"/>
    <w:rsid w:val="002B05E0"/>
    <w:rsid w:val="002B0B98"/>
    <w:rsid w:val="002B4269"/>
    <w:rsid w:val="002B7700"/>
    <w:rsid w:val="002C01B3"/>
    <w:rsid w:val="002C02F4"/>
    <w:rsid w:val="002C08E0"/>
    <w:rsid w:val="002C1E90"/>
    <w:rsid w:val="002C2498"/>
    <w:rsid w:val="002C2A80"/>
    <w:rsid w:val="002C3C4B"/>
    <w:rsid w:val="002C623D"/>
    <w:rsid w:val="002C64BE"/>
    <w:rsid w:val="002D1EF7"/>
    <w:rsid w:val="002D3546"/>
    <w:rsid w:val="002D35B7"/>
    <w:rsid w:val="002D3B37"/>
    <w:rsid w:val="002D3E07"/>
    <w:rsid w:val="002D5200"/>
    <w:rsid w:val="002D6107"/>
    <w:rsid w:val="002D780F"/>
    <w:rsid w:val="002E00D8"/>
    <w:rsid w:val="002E1A00"/>
    <w:rsid w:val="002E337A"/>
    <w:rsid w:val="002E5AD4"/>
    <w:rsid w:val="002E5D07"/>
    <w:rsid w:val="002E6669"/>
    <w:rsid w:val="002E7AC1"/>
    <w:rsid w:val="002F002F"/>
    <w:rsid w:val="002F02AD"/>
    <w:rsid w:val="002F2A2E"/>
    <w:rsid w:val="002F37CA"/>
    <w:rsid w:val="002F5527"/>
    <w:rsid w:val="002F7397"/>
    <w:rsid w:val="00300217"/>
    <w:rsid w:val="00301CD6"/>
    <w:rsid w:val="00302257"/>
    <w:rsid w:val="003023A7"/>
    <w:rsid w:val="00305A98"/>
    <w:rsid w:val="003072D6"/>
    <w:rsid w:val="003072FD"/>
    <w:rsid w:val="00310ECB"/>
    <w:rsid w:val="003118EF"/>
    <w:rsid w:val="003119C6"/>
    <w:rsid w:val="00312B86"/>
    <w:rsid w:val="00320C16"/>
    <w:rsid w:val="00321195"/>
    <w:rsid w:val="003240AB"/>
    <w:rsid w:val="003276AB"/>
    <w:rsid w:val="00330318"/>
    <w:rsid w:val="003325D3"/>
    <w:rsid w:val="00333A24"/>
    <w:rsid w:val="003343D1"/>
    <w:rsid w:val="00334A54"/>
    <w:rsid w:val="00334DFB"/>
    <w:rsid w:val="00336598"/>
    <w:rsid w:val="00336917"/>
    <w:rsid w:val="003379B6"/>
    <w:rsid w:val="0034021F"/>
    <w:rsid w:val="00340B68"/>
    <w:rsid w:val="00340C76"/>
    <w:rsid w:val="00341B2F"/>
    <w:rsid w:val="00342C6E"/>
    <w:rsid w:val="003431B0"/>
    <w:rsid w:val="003436FD"/>
    <w:rsid w:val="003443DD"/>
    <w:rsid w:val="00345905"/>
    <w:rsid w:val="00346227"/>
    <w:rsid w:val="00346EA3"/>
    <w:rsid w:val="00347043"/>
    <w:rsid w:val="00350959"/>
    <w:rsid w:val="00350CD9"/>
    <w:rsid w:val="00351B9C"/>
    <w:rsid w:val="0035245B"/>
    <w:rsid w:val="00353238"/>
    <w:rsid w:val="003548A0"/>
    <w:rsid w:val="00354A15"/>
    <w:rsid w:val="00357153"/>
    <w:rsid w:val="00357526"/>
    <w:rsid w:val="00360B0F"/>
    <w:rsid w:val="00362192"/>
    <w:rsid w:val="00362694"/>
    <w:rsid w:val="00362AA1"/>
    <w:rsid w:val="003637A7"/>
    <w:rsid w:val="00363ABD"/>
    <w:rsid w:val="00363C55"/>
    <w:rsid w:val="00363F88"/>
    <w:rsid w:val="00364413"/>
    <w:rsid w:val="00370814"/>
    <w:rsid w:val="003753A2"/>
    <w:rsid w:val="0037665B"/>
    <w:rsid w:val="00377CBE"/>
    <w:rsid w:val="00380880"/>
    <w:rsid w:val="00380E56"/>
    <w:rsid w:val="00380FA0"/>
    <w:rsid w:val="0038233A"/>
    <w:rsid w:val="00382752"/>
    <w:rsid w:val="0038498E"/>
    <w:rsid w:val="00384FD1"/>
    <w:rsid w:val="00385733"/>
    <w:rsid w:val="00385BA4"/>
    <w:rsid w:val="00385C15"/>
    <w:rsid w:val="003868B8"/>
    <w:rsid w:val="003872E6"/>
    <w:rsid w:val="00387623"/>
    <w:rsid w:val="003876D3"/>
    <w:rsid w:val="00391BE7"/>
    <w:rsid w:val="00391D6A"/>
    <w:rsid w:val="00393B05"/>
    <w:rsid w:val="00396083"/>
    <w:rsid w:val="003963CD"/>
    <w:rsid w:val="00397961"/>
    <w:rsid w:val="003A32DF"/>
    <w:rsid w:val="003A3ED7"/>
    <w:rsid w:val="003A4502"/>
    <w:rsid w:val="003A4BBE"/>
    <w:rsid w:val="003A4BE4"/>
    <w:rsid w:val="003A5598"/>
    <w:rsid w:val="003A6249"/>
    <w:rsid w:val="003A667A"/>
    <w:rsid w:val="003B0DFE"/>
    <w:rsid w:val="003B0E39"/>
    <w:rsid w:val="003B1737"/>
    <w:rsid w:val="003B2B24"/>
    <w:rsid w:val="003B3EF5"/>
    <w:rsid w:val="003B3F98"/>
    <w:rsid w:val="003B406D"/>
    <w:rsid w:val="003B48A0"/>
    <w:rsid w:val="003B5C80"/>
    <w:rsid w:val="003C0681"/>
    <w:rsid w:val="003C17D0"/>
    <w:rsid w:val="003C3ED3"/>
    <w:rsid w:val="003C44E1"/>
    <w:rsid w:val="003C56E0"/>
    <w:rsid w:val="003C6CF2"/>
    <w:rsid w:val="003C7DDA"/>
    <w:rsid w:val="003D03F6"/>
    <w:rsid w:val="003D1680"/>
    <w:rsid w:val="003D4248"/>
    <w:rsid w:val="003D5127"/>
    <w:rsid w:val="003D67E1"/>
    <w:rsid w:val="003E0467"/>
    <w:rsid w:val="003E0C47"/>
    <w:rsid w:val="003E1A87"/>
    <w:rsid w:val="003E2B2C"/>
    <w:rsid w:val="003E3C07"/>
    <w:rsid w:val="003E46FA"/>
    <w:rsid w:val="003E5D84"/>
    <w:rsid w:val="003E66A8"/>
    <w:rsid w:val="003E6ECE"/>
    <w:rsid w:val="003E7833"/>
    <w:rsid w:val="003E7CC3"/>
    <w:rsid w:val="003F0ED0"/>
    <w:rsid w:val="003F17C4"/>
    <w:rsid w:val="003F1B4F"/>
    <w:rsid w:val="003F24EF"/>
    <w:rsid w:val="003F2814"/>
    <w:rsid w:val="003F2848"/>
    <w:rsid w:val="003F2BB5"/>
    <w:rsid w:val="003F401B"/>
    <w:rsid w:val="003F42EB"/>
    <w:rsid w:val="003F5590"/>
    <w:rsid w:val="003F5834"/>
    <w:rsid w:val="003F6161"/>
    <w:rsid w:val="003F65BE"/>
    <w:rsid w:val="003F6EBD"/>
    <w:rsid w:val="004006C4"/>
    <w:rsid w:val="004009DE"/>
    <w:rsid w:val="00400FCF"/>
    <w:rsid w:val="004015B2"/>
    <w:rsid w:val="00402532"/>
    <w:rsid w:val="00402807"/>
    <w:rsid w:val="00404C6D"/>
    <w:rsid w:val="0040708E"/>
    <w:rsid w:val="0040748C"/>
    <w:rsid w:val="0040770E"/>
    <w:rsid w:val="00407738"/>
    <w:rsid w:val="00407C6A"/>
    <w:rsid w:val="004107EF"/>
    <w:rsid w:val="00411DB4"/>
    <w:rsid w:val="00413A45"/>
    <w:rsid w:val="004157EE"/>
    <w:rsid w:val="004166C9"/>
    <w:rsid w:val="004175A2"/>
    <w:rsid w:val="0042090F"/>
    <w:rsid w:val="0042117E"/>
    <w:rsid w:val="004227FF"/>
    <w:rsid w:val="00422D0D"/>
    <w:rsid w:val="00423498"/>
    <w:rsid w:val="0042485A"/>
    <w:rsid w:val="00424ABA"/>
    <w:rsid w:val="00427884"/>
    <w:rsid w:val="00432A4B"/>
    <w:rsid w:val="00435F55"/>
    <w:rsid w:val="00441402"/>
    <w:rsid w:val="00442B09"/>
    <w:rsid w:val="0044515E"/>
    <w:rsid w:val="00445272"/>
    <w:rsid w:val="0044534B"/>
    <w:rsid w:val="00445E80"/>
    <w:rsid w:val="0044634E"/>
    <w:rsid w:val="004474C9"/>
    <w:rsid w:val="004476EB"/>
    <w:rsid w:val="00450153"/>
    <w:rsid w:val="00450713"/>
    <w:rsid w:val="00456C2D"/>
    <w:rsid w:val="00456FD4"/>
    <w:rsid w:val="00457630"/>
    <w:rsid w:val="00460626"/>
    <w:rsid w:val="0046157C"/>
    <w:rsid w:val="00461769"/>
    <w:rsid w:val="004619A9"/>
    <w:rsid w:val="00462218"/>
    <w:rsid w:val="00462E01"/>
    <w:rsid w:val="00466C75"/>
    <w:rsid w:val="00466FA7"/>
    <w:rsid w:val="004673B9"/>
    <w:rsid w:val="00467786"/>
    <w:rsid w:val="0047092C"/>
    <w:rsid w:val="00471352"/>
    <w:rsid w:val="0047327D"/>
    <w:rsid w:val="004750BC"/>
    <w:rsid w:val="00477FBB"/>
    <w:rsid w:val="00481ABA"/>
    <w:rsid w:val="00481C84"/>
    <w:rsid w:val="00481D8A"/>
    <w:rsid w:val="0048464D"/>
    <w:rsid w:val="00484C8F"/>
    <w:rsid w:val="004866BC"/>
    <w:rsid w:val="00487072"/>
    <w:rsid w:val="00487A4D"/>
    <w:rsid w:val="00493712"/>
    <w:rsid w:val="004952C6"/>
    <w:rsid w:val="0049562D"/>
    <w:rsid w:val="004974EC"/>
    <w:rsid w:val="004A0733"/>
    <w:rsid w:val="004A1524"/>
    <w:rsid w:val="004A1ACC"/>
    <w:rsid w:val="004A260E"/>
    <w:rsid w:val="004A2DFF"/>
    <w:rsid w:val="004A46EE"/>
    <w:rsid w:val="004A5611"/>
    <w:rsid w:val="004A6A0F"/>
    <w:rsid w:val="004A6A52"/>
    <w:rsid w:val="004A7F80"/>
    <w:rsid w:val="004B29F1"/>
    <w:rsid w:val="004B3B81"/>
    <w:rsid w:val="004B53DB"/>
    <w:rsid w:val="004B5A50"/>
    <w:rsid w:val="004B608A"/>
    <w:rsid w:val="004B7F6C"/>
    <w:rsid w:val="004C0E0C"/>
    <w:rsid w:val="004C0F13"/>
    <w:rsid w:val="004C305F"/>
    <w:rsid w:val="004C38D4"/>
    <w:rsid w:val="004C4DD4"/>
    <w:rsid w:val="004C69C2"/>
    <w:rsid w:val="004C7940"/>
    <w:rsid w:val="004D12F7"/>
    <w:rsid w:val="004D3EAD"/>
    <w:rsid w:val="004D4818"/>
    <w:rsid w:val="004D49E8"/>
    <w:rsid w:val="004D4E37"/>
    <w:rsid w:val="004D5440"/>
    <w:rsid w:val="004D56AC"/>
    <w:rsid w:val="004D6B0B"/>
    <w:rsid w:val="004D6F39"/>
    <w:rsid w:val="004D7EB5"/>
    <w:rsid w:val="004E2FC0"/>
    <w:rsid w:val="004E4172"/>
    <w:rsid w:val="004E530C"/>
    <w:rsid w:val="004E588C"/>
    <w:rsid w:val="004E5EEC"/>
    <w:rsid w:val="004E7BD0"/>
    <w:rsid w:val="004F172A"/>
    <w:rsid w:val="004F223C"/>
    <w:rsid w:val="004F36BD"/>
    <w:rsid w:val="004F3BA6"/>
    <w:rsid w:val="004F6842"/>
    <w:rsid w:val="0050004D"/>
    <w:rsid w:val="005024F4"/>
    <w:rsid w:val="005032F6"/>
    <w:rsid w:val="005056D2"/>
    <w:rsid w:val="00505EC9"/>
    <w:rsid w:val="005060CB"/>
    <w:rsid w:val="0050614D"/>
    <w:rsid w:val="00507F4B"/>
    <w:rsid w:val="005105E1"/>
    <w:rsid w:val="00510CE6"/>
    <w:rsid w:val="0051120A"/>
    <w:rsid w:val="005130CD"/>
    <w:rsid w:val="00513AAE"/>
    <w:rsid w:val="00515537"/>
    <w:rsid w:val="005161AC"/>
    <w:rsid w:val="00516674"/>
    <w:rsid w:val="0052084F"/>
    <w:rsid w:val="00521AC1"/>
    <w:rsid w:val="00522575"/>
    <w:rsid w:val="00522C15"/>
    <w:rsid w:val="00523E4A"/>
    <w:rsid w:val="005243F1"/>
    <w:rsid w:val="005245D8"/>
    <w:rsid w:val="00525152"/>
    <w:rsid w:val="00530375"/>
    <w:rsid w:val="00531635"/>
    <w:rsid w:val="00531A13"/>
    <w:rsid w:val="00531F94"/>
    <w:rsid w:val="005328FA"/>
    <w:rsid w:val="00532DCF"/>
    <w:rsid w:val="00533C0A"/>
    <w:rsid w:val="00533C3B"/>
    <w:rsid w:val="00533E8A"/>
    <w:rsid w:val="00534192"/>
    <w:rsid w:val="005341E1"/>
    <w:rsid w:val="00535739"/>
    <w:rsid w:val="0053696B"/>
    <w:rsid w:val="00541459"/>
    <w:rsid w:val="00541AB5"/>
    <w:rsid w:val="00542695"/>
    <w:rsid w:val="00543C55"/>
    <w:rsid w:val="0054631A"/>
    <w:rsid w:val="00546F94"/>
    <w:rsid w:val="00547E3B"/>
    <w:rsid w:val="00547F03"/>
    <w:rsid w:val="005502AD"/>
    <w:rsid w:val="00550571"/>
    <w:rsid w:val="00551231"/>
    <w:rsid w:val="0055285F"/>
    <w:rsid w:val="00552EDA"/>
    <w:rsid w:val="00556597"/>
    <w:rsid w:val="00557C32"/>
    <w:rsid w:val="005621C2"/>
    <w:rsid w:val="00562ACF"/>
    <w:rsid w:val="00564891"/>
    <w:rsid w:val="0056495E"/>
    <w:rsid w:val="00564E60"/>
    <w:rsid w:val="00565573"/>
    <w:rsid w:val="00565F72"/>
    <w:rsid w:val="005660FB"/>
    <w:rsid w:val="00570B94"/>
    <w:rsid w:val="00570E1B"/>
    <w:rsid w:val="00570F26"/>
    <w:rsid w:val="0057158C"/>
    <w:rsid w:val="00572198"/>
    <w:rsid w:val="00572F7E"/>
    <w:rsid w:val="00573587"/>
    <w:rsid w:val="005737A9"/>
    <w:rsid w:val="0057470A"/>
    <w:rsid w:val="00574F48"/>
    <w:rsid w:val="005757C2"/>
    <w:rsid w:val="005758BE"/>
    <w:rsid w:val="00580A9C"/>
    <w:rsid w:val="00580FB1"/>
    <w:rsid w:val="00582288"/>
    <w:rsid w:val="00582661"/>
    <w:rsid w:val="0058274B"/>
    <w:rsid w:val="00582C73"/>
    <w:rsid w:val="00582FA4"/>
    <w:rsid w:val="00583271"/>
    <w:rsid w:val="00584197"/>
    <w:rsid w:val="005844FF"/>
    <w:rsid w:val="00585503"/>
    <w:rsid w:val="00585988"/>
    <w:rsid w:val="00585DCB"/>
    <w:rsid w:val="00585DCC"/>
    <w:rsid w:val="005864DE"/>
    <w:rsid w:val="00586C4C"/>
    <w:rsid w:val="00587CC3"/>
    <w:rsid w:val="00592FE4"/>
    <w:rsid w:val="00593BBB"/>
    <w:rsid w:val="005946F4"/>
    <w:rsid w:val="00595EC6"/>
    <w:rsid w:val="00596443"/>
    <w:rsid w:val="005A318C"/>
    <w:rsid w:val="005A5449"/>
    <w:rsid w:val="005A581D"/>
    <w:rsid w:val="005A67A6"/>
    <w:rsid w:val="005A7DF7"/>
    <w:rsid w:val="005B05CF"/>
    <w:rsid w:val="005B1AC3"/>
    <w:rsid w:val="005B20D9"/>
    <w:rsid w:val="005B217C"/>
    <w:rsid w:val="005B2A5C"/>
    <w:rsid w:val="005B3CB4"/>
    <w:rsid w:val="005B3F05"/>
    <w:rsid w:val="005B4729"/>
    <w:rsid w:val="005B76D4"/>
    <w:rsid w:val="005B7C24"/>
    <w:rsid w:val="005C1B54"/>
    <w:rsid w:val="005C1BC0"/>
    <w:rsid w:val="005C2FB9"/>
    <w:rsid w:val="005C3D22"/>
    <w:rsid w:val="005C3FBD"/>
    <w:rsid w:val="005C5FC9"/>
    <w:rsid w:val="005C61AD"/>
    <w:rsid w:val="005C61D8"/>
    <w:rsid w:val="005C69BF"/>
    <w:rsid w:val="005C75FD"/>
    <w:rsid w:val="005C7F26"/>
    <w:rsid w:val="005D0287"/>
    <w:rsid w:val="005D2666"/>
    <w:rsid w:val="005D2DF5"/>
    <w:rsid w:val="005D6787"/>
    <w:rsid w:val="005D722A"/>
    <w:rsid w:val="005D7302"/>
    <w:rsid w:val="005D73A0"/>
    <w:rsid w:val="005E19B4"/>
    <w:rsid w:val="005E287D"/>
    <w:rsid w:val="005E41B1"/>
    <w:rsid w:val="005E4A02"/>
    <w:rsid w:val="005E50C6"/>
    <w:rsid w:val="005E61C1"/>
    <w:rsid w:val="005E668F"/>
    <w:rsid w:val="005E6742"/>
    <w:rsid w:val="005E6E20"/>
    <w:rsid w:val="005E6F88"/>
    <w:rsid w:val="005E77E9"/>
    <w:rsid w:val="005F0604"/>
    <w:rsid w:val="005F0891"/>
    <w:rsid w:val="005F11E1"/>
    <w:rsid w:val="005F1AA3"/>
    <w:rsid w:val="005F2399"/>
    <w:rsid w:val="005F2B84"/>
    <w:rsid w:val="005F331C"/>
    <w:rsid w:val="005F35B1"/>
    <w:rsid w:val="005F4A7E"/>
    <w:rsid w:val="005F4D2D"/>
    <w:rsid w:val="005F5AB8"/>
    <w:rsid w:val="005F64D9"/>
    <w:rsid w:val="005F6A1D"/>
    <w:rsid w:val="005F72C6"/>
    <w:rsid w:val="005F7BE9"/>
    <w:rsid w:val="00602262"/>
    <w:rsid w:val="00602318"/>
    <w:rsid w:val="00603B21"/>
    <w:rsid w:val="00603CBF"/>
    <w:rsid w:val="00603E8E"/>
    <w:rsid w:val="006041CA"/>
    <w:rsid w:val="00605393"/>
    <w:rsid w:val="00606D3A"/>
    <w:rsid w:val="00606FF7"/>
    <w:rsid w:val="006074BE"/>
    <w:rsid w:val="00607E4A"/>
    <w:rsid w:val="006116D9"/>
    <w:rsid w:val="00611D85"/>
    <w:rsid w:val="0061204D"/>
    <w:rsid w:val="00613108"/>
    <w:rsid w:val="0061327C"/>
    <w:rsid w:val="00613CE7"/>
    <w:rsid w:val="00614DDF"/>
    <w:rsid w:val="00615D07"/>
    <w:rsid w:val="0061635B"/>
    <w:rsid w:val="006167F3"/>
    <w:rsid w:val="00616993"/>
    <w:rsid w:val="00616EA4"/>
    <w:rsid w:val="006174CC"/>
    <w:rsid w:val="00621184"/>
    <w:rsid w:val="00621F2C"/>
    <w:rsid w:val="00626C5B"/>
    <w:rsid w:val="00627DF7"/>
    <w:rsid w:val="00630826"/>
    <w:rsid w:val="00632DB2"/>
    <w:rsid w:val="00632E40"/>
    <w:rsid w:val="0063487F"/>
    <w:rsid w:val="00635629"/>
    <w:rsid w:val="006357A2"/>
    <w:rsid w:val="00637635"/>
    <w:rsid w:val="006379A1"/>
    <w:rsid w:val="00637EF5"/>
    <w:rsid w:val="006416A4"/>
    <w:rsid w:val="00643007"/>
    <w:rsid w:val="00643F91"/>
    <w:rsid w:val="00644727"/>
    <w:rsid w:val="006473EA"/>
    <w:rsid w:val="006475E5"/>
    <w:rsid w:val="006476EF"/>
    <w:rsid w:val="006505D7"/>
    <w:rsid w:val="0065072C"/>
    <w:rsid w:val="00650796"/>
    <w:rsid w:val="00652223"/>
    <w:rsid w:val="00652254"/>
    <w:rsid w:val="0065286B"/>
    <w:rsid w:val="00652CE0"/>
    <w:rsid w:val="00653965"/>
    <w:rsid w:val="00653B3E"/>
    <w:rsid w:val="00655518"/>
    <w:rsid w:val="006555B8"/>
    <w:rsid w:val="00657E2D"/>
    <w:rsid w:val="0066030A"/>
    <w:rsid w:val="006640FC"/>
    <w:rsid w:val="006650A4"/>
    <w:rsid w:val="0066626C"/>
    <w:rsid w:val="0066638D"/>
    <w:rsid w:val="006665CD"/>
    <w:rsid w:val="00666E56"/>
    <w:rsid w:val="00670031"/>
    <w:rsid w:val="006714E0"/>
    <w:rsid w:val="00673754"/>
    <w:rsid w:val="0067483F"/>
    <w:rsid w:val="0067705D"/>
    <w:rsid w:val="00677107"/>
    <w:rsid w:val="00680320"/>
    <w:rsid w:val="006823E9"/>
    <w:rsid w:val="00684E2E"/>
    <w:rsid w:val="00685728"/>
    <w:rsid w:val="00685E0F"/>
    <w:rsid w:val="00686A90"/>
    <w:rsid w:val="0068754F"/>
    <w:rsid w:val="00690D6E"/>
    <w:rsid w:val="00690DD8"/>
    <w:rsid w:val="006925D6"/>
    <w:rsid w:val="00692FBD"/>
    <w:rsid w:val="00696A43"/>
    <w:rsid w:val="006971AA"/>
    <w:rsid w:val="006978BD"/>
    <w:rsid w:val="006A01F7"/>
    <w:rsid w:val="006A06A5"/>
    <w:rsid w:val="006A0E80"/>
    <w:rsid w:val="006A2D8E"/>
    <w:rsid w:val="006A510E"/>
    <w:rsid w:val="006A56D7"/>
    <w:rsid w:val="006A6A8A"/>
    <w:rsid w:val="006A6D34"/>
    <w:rsid w:val="006A72A0"/>
    <w:rsid w:val="006B0650"/>
    <w:rsid w:val="006B0D54"/>
    <w:rsid w:val="006B236D"/>
    <w:rsid w:val="006B3F77"/>
    <w:rsid w:val="006B40DF"/>
    <w:rsid w:val="006B46C0"/>
    <w:rsid w:val="006B72F6"/>
    <w:rsid w:val="006C1047"/>
    <w:rsid w:val="006C178F"/>
    <w:rsid w:val="006C1D88"/>
    <w:rsid w:val="006C1EF3"/>
    <w:rsid w:val="006C22CE"/>
    <w:rsid w:val="006C257D"/>
    <w:rsid w:val="006C28AA"/>
    <w:rsid w:val="006C2D12"/>
    <w:rsid w:val="006C2D1C"/>
    <w:rsid w:val="006C3D86"/>
    <w:rsid w:val="006C5151"/>
    <w:rsid w:val="006C6068"/>
    <w:rsid w:val="006C6590"/>
    <w:rsid w:val="006C660D"/>
    <w:rsid w:val="006C6E94"/>
    <w:rsid w:val="006C7309"/>
    <w:rsid w:val="006C77F2"/>
    <w:rsid w:val="006D00D6"/>
    <w:rsid w:val="006D20F0"/>
    <w:rsid w:val="006D2B7A"/>
    <w:rsid w:val="006D3AEF"/>
    <w:rsid w:val="006D41CC"/>
    <w:rsid w:val="006D5073"/>
    <w:rsid w:val="006D6FEA"/>
    <w:rsid w:val="006E082F"/>
    <w:rsid w:val="006E0B98"/>
    <w:rsid w:val="006E0F86"/>
    <w:rsid w:val="006E163A"/>
    <w:rsid w:val="006E1A77"/>
    <w:rsid w:val="006E45C7"/>
    <w:rsid w:val="006E47E2"/>
    <w:rsid w:val="006E4F6A"/>
    <w:rsid w:val="006E508F"/>
    <w:rsid w:val="006E529B"/>
    <w:rsid w:val="006E5907"/>
    <w:rsid w:val="006E5B7E"/>
    <w:rsid w:val="006E5F28"/>
    <w:rsid w:val="006E74F1"/>
    <w:rsid w:val="006F26E8"/>
    <w:rsid w:val="006F2885"/>
    <w:rsid w:val="006F3E4D"/>
    <w:rsid w:val="006F50AD"/>
    <w:rsid w:val="006F657F"/>
    <w:rsid w:val="0070038C"/>
    <w:rsid w:val="007005A1"/>
    <w:rsid w:val="00700E62"/>
    <w:rsid w:val="00703B6E"/>
    <w:rsid w:val="00705A5F"/>
    <w:rsid w:val="00710A9D"/>
    <w:rsid w:val="00711B30"/>
    <w:rsid w:val="00714128"/>
    <w:rsid w:val="007141BE"/>
    <w:rsid w:val="0071452F"/>
    <w:rsid w:val="00714872"/>
    <w:rsid w:val="00716273"/>
    <w:rsid w:val="00721ABB"/>
    <w:rsid w:val="00722A4E"/>
    <w:rsid w:val="00722AC9"/>
    <w:rsid w:val="00722DC2"/>
    <w:rsid w:val="0072409C"/>
    <w:rsid w:val="007246F8"/>
    <w:rsid w:val="007251AA"/>
    <w:rsid w:val="007257F8"/>
    <w:rsid w:val="00725963"/>
    <w:rsid w:val="00725977"/>
    <w:rsid w:val="00725BE8"/>
    <w:rsid w:val="0072651D"/>
    <w:rsid w:val="007309BE"/>
    <w:rsid w:val="00731A0F"/>
    <w:rsid w:val="007327A6"/>
    <w:rsid w:val="007332DD"/>
    <w:rsid w:val="00734567"/>
    <w:rsid w:val="00735B0A"/>
    <w:rsid w:val="00735DC4"/>
    <w:rsid w:val="00736296"/>
    <w:rsid w:val="007363DE"/>
    <w:rsid w:val="00736634"/>
    <w:rsid w:val="0073677E"/>
    <w:rsid w:val="00737C9B"/>
    <w:rsid w:val="00744E02"/>
    <w:rsid w:val="00745CD1"/>
    <w:rsid w:val="00750529"/>
    <w:rsid w:val="007513B7"/>
    <w:rsid w:val="00751D4E"/>
    <w:rsid w:val="00752B44"/>
    <w:rsid w:val="00753316"/>
    <w:rsid w:val="00753C84"/>
    <w:rsid w:val="007541A2"/>
    <w:rsid w:val="00755726"/>
    <w:rsid w:val="00755857"/>
    <w:rsid w:val="00756713"/>
    <w:rsid w:val="007574BA"/>
    <w:rsid w:val="00760021"/>
    <w:rsid w:val="007602F5"/>
    <w:rsid w:val="007612CB"/>
    <w:rsid w:val="007616B4"/>
    <w:rsid w:val="00761F27"/>
    <w:rsid w:val="00761F51"/>
    <w:rsid w:val="00762041"/>
    <w:rsid w:val="00762375"/>
    <w:rsid w:val="00762D00"/>
    <w:rsid w:val="007638E3"/>
    <w:rsid w:val="0076495E"/>
    <w:rsid w:val="00764C25"/>
    <w:rsid w:val="00765C85"/>
    <w:rsid w:val="00767C6A"/>
    <w:rsid w:val="007713BB"/>
    <w:rsid w:val="00771802"/>
    <w:rsid w:val="007731EF"/>
    <w:rsid w:val="007735F7"/>
    <w:rsid w:val="00773BC7"/>
    <w:rsid w:val="00774894"/>
    <w:rsid w:val="00775145"/>
    <w:rsid w:val="00780A0E"/>
    <w:rsid w:val="007814FF"/>
    <w:rsid w:val="00781A10"/>
    <w:rsid w:val="00782E8E"/>
    <w:rsid w:val="00784B5F"/>
    <w:rsid w:val="00784C9B"/>
    <w:rsid w:val="00785E42"/>
    <w:rsid w:val="00786422"/>
    <w:rsid w:val="007867F8"/>
    <w:rsid w:val="007874C0"/>
    <w:rsid w:val="00787B03"/>
    <w:rsid w:val="007901B0"/>
    <w:rsid w:val="00791265"/>
    <w:rsid w:val="007915EB"/>
    <w:rsid w:val="0079195F"/>
    <w:rsid w:val="00791FAB"/>
    <w:rsid w:val="00792098"/>
    <w:rsid w:val="0079339F"/>
    <w:rsid w:val="0079473B"/>
    <w:rsid w:val="007966DF"/>
    <w:rsid w:val="007969E4"/>
    <w:rsid w:val="007A045D"/>
    <w:rsid w:val="007A04D1"/>
    <w:rsid w:val="007A1A63"/>
    <w:rsid w:val="007A4270"/>
    <w:rsid w:val="007A550B"/>
    <w:rsid w:val="007A58CC"/>
    <w:rsid w:val="007A6946"/>
    <w:rsid w:val="007A6BC9"/>
    <w:rsid w:val="007A6C6D"/>
    <w:rsid w:val="007B0468"/>
    <w:rsid w:val="007B0486"/>
    <w:rsid w:val="007B259C"/>
    <w:rsid w:val="007B269D"/>
    <w:rsid w:val="007B2BE3"/>
    <w:rsid w:val="007B3534"/>
    <w:rsid w:val="007B38DA"/>
    <w:rsid w:val="007B436D"/>
    <w:rsid w:val="007B5283"/>
    <w:rsid w:val="007B54A8"/>
    <w:rsid w:val="007B58FD"/>
    <w:rsid w:val="007B64DE"/>
    <w:rsid w:val="007B7107"/>
    <w:rsid w:val="007B72EE"/>
    <w:rsid w:val="007B7AB2"/>
    <w:rsid w:val="007B7BE1"/>
    <w:rsid w:val="007C3692"/>
    <w:rsid w:val="007C3741"/>
    <w:rsid w:val="007C463B"/>
    <w:rsid w:val="007C5051"/>
    <w:rsid w:val="007C66E6"/>
    <w:rsid w:val="007C6A29"/>
    <w:rsid w:val="007C7927"/>
    <w:rsid w:val="007D01D3"/>
    <w:rsid w:val="007D0544"/>
    <w:rsid w:val="007D0CA5"/>
    <w:rsid w:val="007D1071"/>
    <w:rsid w:val="007D12B3"/>
    <w:rsid w:val="007D1BD1"/>
    <w:rsid w:val="007D23B0"/>
    <w:rsid w:val="007D49DD"/>
    <w:rsid w:val="007D545A"/>
    <w:rsid w:val="007D5FDD"/>
    <w:rsid w:val="007D62D8"/>
    <w:rsid w:val="007D691C"/>
    <w:rsid w:val="007D7666"/>
    <w:rsid w:val="007D7E15"/>
    <w:rsid w:val="007E021B"/>
    <w:rsid w:val="007E25E2"/>
    <w:rsid w:val="007E3232"/>
    <w:rsid w:val="007E3795"/>
    <w:rsid w:val="007E61DA"/>
    <w:rsid w:val="007E6340"/>
    <w:rsid w:val="007E64F3"/>
    <w:rsid w:val="007E6CA7"/>
    <w:rsid w:val="007E7601"/>
    <w:rsid w:val="007F0151"/>
    <w:rsid w:val="007F0282"/>
    <w:rsid w:val="007F177F"/>
    <w:rsid w:val="007F1A0F"/>
    <w:rsid w:val="007F23D9"/>
    <w:rsid w:val="007F2428"/>
    <w:rsid w:val="007F39BB"/>
    <w:rsid w:val="007F6F65"/>
    <w:rsid w:val="00800747"/>
    <w:rsid w:val="00802BA3"/>
    <w:rsid w:val="008042D1"/>
    <w:rsid w:val="00804D11"/>
    <w:rsid w:val="008050FC"/>
    <w:rsid w:val="0080551A"/>
    <w:rsid w:val="00805734"/>
    <w:rsid w:val="008061B5"/>
    <w:rsid w:val="00807C9E"/>
    <w:rsid w:val="00807F63"/>
    <w:rsid w:val="00810C80"/>
    <w:rsid w:val="008112F7"/>
    <w:rsid w:val="008119EC"/>
    <w:rsid w:val="00812183"/>
    <w:rsid w:val="0081245A"/>
    <w:rsid w:val="00812816"/>
    <w:rsid w:val="00812A46"/>
    <w:rsid w:val="00813EB2"/>
    <w:rsid w:val="00814479"/>
    <w:rsid w:val="00814909"/>
    <w:rsid w:val="0081795B"/>
    <w:rsid w:val="0082023C"/>
    <w:rsid w:val="00820D17"/>
    <w:rsid w:val="008214BE"/>
    <w:rsid w:val="00821E0A"/>
    <w:rsid w:val="008221E7"/>
    <w:rsid w:val="00822ADB"/>
    <w:rsid w:val="0082376A"/>
    <w:rsid w:val="00823E64"/>
    <w:rsid w:val="008240AE"/>
    <w:rsid w:val="0082427D"/>
    <w:rsid w:val="00825849"/>
    <w:rsid w:val="00825BA8"/>
    <w:rsid w:val="00825F8A"/>
    <w:rsid w:val="008260C0"/>
    <w:rsid w:val="00831C1D"/>
    <w:rsid w:val="00831FF7"/>
    <w:rsid w:val="00833AF8"/>
    <w:rsid w:val="00834B8B"/>
    <w:rsid w:val="00836323"/>
    <w:rsid w:val="00836527"/>
    <w:rsid w:val="00836BDA"/>
    <w:rsid w:val="00841D77"/>
    <w:rsid w:val="00843F3F"/>
    <w:rsid w:val="00844B6D"/>
    <w:rsid w:val="00844DAF"/>
    <w:rsid w:val="00845B62"/>
    <w:rsid w:val="00845FE5"/>
    <w:rsid w:val="008502AF"/>
    <w:rsid w:val="00851D62"/>
    <w:rsid w:val="008522DB"/>
    <w:rsid w:val="008536AF"/>
    <w:rsid w:val="00853E67"/>
    <w:rsid w:val="00855F3A"/>
    <w:rsid w:val="00857ABB"/>
    <w:rsid w:val="00857C52"/>
    <w:rsid w:val="0086056D"/>
    <w:rsid w:val="00861887"/>
    <w:rsid w:val="00864AA8"/>
    <w:rsid w:val="00865A27"/>
    <w:rsid w:val="008674E2"/>
    <w:rsid w:val="008675AD"/>
    <w:rsid w:val="008710DA"/>
    <w:rsid w:val="00873B52"/>
    <w:rsid w:val="00873BEA"/>
    <w:rsid w:val="00874878"/>
    <w:rsid w:val="008748FC"/>
    <w:rsid w:val="00874DCD"/>
    <w:rsid w:val="00876E3C"/>
    <w:rsid w:val="00880294"/>
    <w:rsid w:val="00880297"/>
    <w:rsid w:val="0088103A"/>
    <w:rsid w:val="00881CBF"/>
    <w:rsid w:val="00881D49"/>
    <w:rsid w:val="00881EA0"/>
    <w:rsid w:val="00883086"/>
    <w:rsid w:val="00883902"/>
    <w:rsid w:val="00883D4F"/>
    <w:rsid w:val="00884375"/>
    <w:rsid w:val="008846A1"/>
    <w:rsid w:val="00884DB6"/>
    <w:rsid w:val="00886B80"/>
    <w:rsid w:val="00887C86"/>
    <w:rsid w:val="008911A5"/>
    <w:rsid w:val="008918D9"/>
    <w:rsid w:val="00891AF9"/>
    <w:rsid w:val="00892248"/>
    <w:rsid w:val="00893935"/>
    <w:rsid w:val="00893990"/>
    <w:rsid w:val="00894375"/>
    <w:rsid w:val="008954B6"/>
    <w:rsid w:val="008959FB"/>
    <w:rsid w:val="00896586"/>
    <w:rsid w:val="008A1216"/>
    <w:rsid w:val="008A1F0E"/>
    <w:rsid w:val="008A4564"/>
    <w:rsid w:val="008A60B9"/>
    <w:rsid w:val="008A6DE7"/>
    <w:rsid w:val="008A7F92"/>
    <w:rsid w:val="008B07AD"/>
    <w:rsid w:val="008B2294"/>
    <w:rsid w:val="008B23D7"/>
    <w:rsid w:val="008B258A"/>
    <w:rsid w:val="008B2688"/>
    <w:rsid w:val="008B33C7"/>
    <w:rsid w:val="008B3C9F"/>
    <w:rsid w:val="008B60E3"/>
    <w:rsid w:val="008B6E81"/>
    <w:rsid w:val="008C01C4"/>
    <w:rsid w:val="008C08A2"/>
    <w:rsid w:val="008C0B4A"/>
    <w:rsid w:val="008C1B59"/>
    <w:rsid w:val="008C2098"/>
    <w:rsid w:val="008C2D4E"/>
    <w:rsid w:val="008C2E71"/>
    <w:rsid w:val="008C3AA9"/>
    <w:rsid w:val="008C5583"/>
    <w:rsid w:val="008C56A3"/>
    <w:rsid w:val="008C6507"/>
    <w:rsid w:val="008C7C50"/>
    <w:rsid w:val="008D2825"/>
    <w:rsid w:val="008D3B2D"/>
    <w:rsid w:val="008D4C20"/>
    <w:rsid w:val="008D4D0C"/>
    <w:rsid w:val="008D61FA"/>
    <w:rsid w:val="008D7A9A"/>
    <w:rsid w:val="008D7CCF"/>
    <w:rsid w:val="008E0481"/>
    <w:rsid w:val="008E25A8"/>
    <w:rsid w:val="008E3F3E"/>
    <w:rsid w:val="008E46A8"/>
    <w:rsid w:val="008E4C4F"/>
    <w:rsid w:val="008E6055"/>
    <w:rsid w:val="008F1B43"/>
    <w:rsid w:val="008F1F5B"/>
    <w:rsid w:val="008F3D76"/>
    <w:rsid w:val="008F3FDD"/>
    <w:rsid w:val="008F5754"/>
    <w:rsid w:val="008F597C"/>
    <w:rsid w:val="008F5EA6"/>
    <w:rsid w:val="008F7535"/>
    <w:rsid w:val="008F7E0B"/>
    <w:rsid w:val="009000FE"/>
    <w:rsid w:val="00900330"/>
    <w:rsid w:val="00900B4D"/>
    <w:rsid w:val="00900C4D"/>
    <w:rsid w:val="00901A6E"/>
    <w:rsid w:val="0090427A"/>
    <w:rsid w:val="00904372"/>
    <w:rsid w:val="00904E3E"/>
    <w:rsid w:val="0090564A"/>
    <w:rsid w:val="00905D85"/>
    <w:rsid w:val="00906535"/>
    <w:rsid w:val="00906D4C"/>
    <w:rsid w:val="00907C4B"/>
    <w:rsid w:val="00911300"/>
    <w:rsid w:val="00912456"/>
    <w:rsid w:val="00912EC6"/>
    <w:rsid w:val="00913B96"/>
    <w:rsid w:val="009153C5"/>
    <w:rsid w:val="00915801"/>
    <w:rsid w:val="0091660B"/>
    <w:rsid w:val="009212D5"/>
    <w:rsid w:val="00921706"/>
    <w:rsid w:val="009230DD"/>
    <w:rsid w:val="0092370D"/>
    <w:rsid w:val="00923833"/>
    <w:rsid w:val="00923C43"/>
    <w:rsid w:val="00923D21"/>
    <w:rsid w:val="00924CF0"/>
    <w:rsid w:val="00925200"/>
    <w:rsid w:val="00925B7A"/>
    <w:rsid w:val="0092656D"/>
    <w:rsid w:val="00927308"/>
    <w:rsid w:val="009274D3"/>
    <w:rsid w:val="00927EAF"/>
    <w:rsid w:val="00930806"/>
    <w:rsid w:val="009309C0"/>
    <w:rsid w:val="00930F9D"/>
    <w:rsid w:val="00930FAF"/>
    <w:rsid w:val="00931BB2"/>
    <w:rsid w:val="00933E92"/>
    <w:rsid w:val="0093437C"/>
    <w:rsid w:val="0093508D"/>
    <w:rsid w:val="00935C19"/>
    <w:rsid w:val="009378C5"/>
    <w:rsid w:val="009405D4"/>
    <w:rsid w:val="009421AC"/>
    <w:rsid w:val="0094414E"/>
    <w:rsid w:val="00944B1E"/>
    <w:rsid w:val="00944E41"/>
    <w:rsid w:val="009452B7"/>
    <w:rsid w:val="00945438"/>
    <w:rsid w:val="009478B1"/>
    <w:rsid w:val="00950006"/>
    <w:rsid w:val="0095011F"/>
    <w:rsid w:val="0095088E"/>
    <w:rsid w:val="009508B3"/>
    <w:rsid w:val="009542EC"/>
    <w:rsid w:val="0095475F"/>
    <w:rsid w:val="0095488C"/>
    <w:rsid w:val="00954C86"/>
    <w:rsid w:val="00956C38"/>
    <w:rsid w:val="00957A69"/>
    <w:rsid w:val="00963131"/>
    <w:rsid w:val="009633F1"/>
    <w:rsid w:val="009643CD"/>
    <w:rsid w:val="00964537"/>
    <w:rsid w:val="0096469C"/>
    <w:rsid w:val="009652C3"/>
    <w:rsid w:val="00965389"/>
    <w:rsid w:val="00965651"/>
    <w:rsid w:val="009664A4"/>
    <w:rsid w:val="00966DD4"/>
    <w:rsid w:val="00967799"/>
    <w:rsid w:val="00967FBB"/>
    <w:rsid w:val="009702C6"/>
    <w:rsid w:val="00970804"/>
    <w:rsid w:val="0097273C"/>
    <w:rsid w:val="00972CAE"/>
    <w:rsid w:val="00976BF4"/>
    <w:rsid w:val="00981C91"/>
    <w:rsid w:val="00982317"/>
    <w:rsid w:val="0098235E"/>
    <w:rsid w:val="00982B5B"/>
    <w:rsid w:val="009832D9"/>
    <w:rsid w:val="00984712"/>
    <w:rsid w:val="00985BAC"/>
    <w:rsid w:val="009915CB"/>
    <w:rsid w:val="00992452"/>
    <w:rsid w:val="0099258B"/>
    <w:rsid w:val="009940FA"/>
    <w:rsid w:val="00995A40"/>
    <w:rsid w:val="00997796"/>
    <w:rsid w:val="00997907"/>
    <w:rsid w:val="00997EC0"/>
    <w:rsid w:val="009A07EE"/>
    <w:rsid w:val="009A1293"/>
    <w:rsid w:val="009A1B31"/>
    <w:rsid w:val="009A1D31"/>
    <w:rsid w:val="009A2A9A"/>
    <w:rsid w:val="009A3C16"/>
    <w:rsid w:val="009A53E5"/>
    <w:rsid w:val="009A5A4C"/>
    <w:rsid w:val="009A6AAA"/>
    <w:rsid w:val="009A6FCD"/>
    <w:rsid w:val="009A6FF1"/>
    <w:rsid w:val="009A7514"/>
    <w:rsid w:val="009A7B0D"/>
    <w:rsid w:val="009A7F0F"/>
    <w:rsid w:val="009B21E1"/>
    <w:rsid w:val="009B299F"/>
    <w:rsid w:val="009B29ED"/>
    <w:rsid w:val="009B2ED2"/>
    <w:rsid w:val="009B4EB7"/>
    <w:rsid w:val="009B5A02"/>
    <w:rsid w:val="009B6664"/>
    <w:rsid w:val="009B6E16"/>
    <w:rsid w:val="009C1B78"/>
    <w:rsid w:val="009C2A90"/>
    <w:rsid w:val="009C40DB"/>
    <w:rsid w:val="009C5E4E"/>
    <w:rsid w:val="009C5F43"/>
    <w:rsid w:val="009C6358"/>
    <w:rsid w:val="009D036B"/>
    <w:rsid w:val="009D1DB7"/>
    <w:rsid w:val="009D20EA"/>
    <w:rsid w:val="009D27B7"/>
    <w:rsid w:val="009D29A2"/>
    <w:rsid w:val="009D398C"/>
    <w:rsid w:val="009D4187"/>
    <w:rsid w:val="009D4380"/>
    <w:rsid w:val="009D4406"/>
    <w:rsid w:val="009D44A9"/>
    <w:rsid w:val="009D4F56"/>
    <w:rsid w:val="009D5944"/>
    <w:rsid w:val="009D6B8D"/>
    <w:rsid w:val="009D6DA6"/>
    <w:rsid w:val="009D7668"/>
    <w:rsid w:val="009D7B3B"/>
    <w:rsid w:val="009E0037"/>
    <w:rsid w:val="009E0834"/>
    <w:rsid w:val="009E0C69"/>
    <w:rsid w:val="009E1478"/>
    <w:rsid w:val="009E385D"/>
    <w:rsid w:val="009E3C8F"/>
    <w:rsid w:val="009E4698"/>
    <w:rsid w:val="009E4C78"/>
    <w:rsid w:val="009E5B71"/>
    <w:rsid w:val="009E6806"/>
    <w:rsid w:val="009F10EF"/>
    <w:rsid w:val="009F2242"/>
    <w:rsid w:val="009F2602"/>
    <w:rsid w:val="009F2D84"/>
    <w:rsid w:val="009F4461"/>
    <w:rsid w:val="009F45F6"/>
    <w:rsid w:val="009F489A"/>
    <w:rsid w:val="009F6831"/>
    <w:rsid w:val="009F77DD"/>
    <w:rsid w:val="009F7E18"/>
    <w:rsid w:val="00A0073B"/>
    <w:rsid w:val="00A00A7F"/>
    <w:rsid w:val="00A00E79"/>
    <w:rsid w:val="00A02E3E"/>
    <w:rsid w:val="00A043A4"/>
    <w:rsid w:val="00A067EC"/>
    <w:rsid w:val="00A075DF"/>
    <w:rsid w:val="00A0767B"/>
    <w:rsid w:val="00A109F8"/>
    <w:rsid w:val="00A109FC"/>
    <w:rsid w:val="00A10E78"/>
    <w:rsid w:val="00A1211F"/>
    <w:rsid w:val="00A1350C"/>
    <w:rsid w:val="00A13616"/>
    <w:rsid w:val="00A137D8"/>
    <w:rsid w:val="00A13EE2"/>
    <w:rsid w:val="00A1496B"/>
    <w:rsid w:val="00A174D7"/>
    <w:rsid w:val="00A2192E"/>
    <w:rsid w:val="00A2197F"/>
    <w:rsid w:val="00A21985"/>
    <w:rsid w:val="00A2251E"/>
    <w:rsid w:val="00A23105"/>
    <w:rsid w:val="00A23471"/>
    <w:rsid w:val="00A23DF1"/>
    <w:rsid w:val="00A25280"/>
    <w:rsid w:val="00A2570B"/>
    <w:rsid w:val="00A26A50"/>
    <w:rsid w:val="00A3064A"/>
    <w:rsid w:val="00A31315"/>
    <w:rsid w:val="00A31891"/>
    <w:rsid w:val="00A32055"/>
    <w:rsid w:val="00A32DEA"/>
    <w:rsid w:val="00A32ED5"/>
    <w:rsid w:val="00A336E6"/>
    <w:rsid w:val="00A347E5"/>
    <w:rsid w:val="00A34A86"/>
    <w:rsid w:val="00A353F3"/>
    <w:rsid w:val="00A356C5"/>
    <w:rsid w:val="00A35BC2"/>
    <w:rsid w:val="00A365AA"/>
    <w:rsid w:val="00A40CFC"/>
    <w:rsid w:val="00A41919"/>
    <w:rsid w:val="00A43C8D"/>
    <w:rsid w:val="00A45DAD"/>
    <w:rsid w:val="00A45DB3"/>
    <w:rsid w:val="00A475B2"/>
    <w:rsid w:val="00A47C59"/>
    <w:rsid w:val="00A50691"/>
    <w:rsid w:val="00A50702"/>
    <w:rsid w:val="00A52BFD"/>
    <w:rsid w:val="00A542C1"/>
    <w:rsid w:val="00A54EFE"/>
    <w:rsid w:val="00A55DEC"/>
    <w:rsid w:val="00A5664E"/>
    <w:rsid w:val="00A607C5"/>
    <w:rsid w:val="00A60DB8"/>
    <w:rsid w:val="00A61B3F"/>
    <w:rsid w:val="00A62509"/>
    <w:rsid w:val="00A6447F"/>
    <w:rsid w:val="00A65D74"/>
    <w:rsid w:val="00A66E4F"/>
    <w:rsid w:val="00A6703F"/>
    <w:rsid w:val="00A675DE"/>
    <w:rsid w:val="00A67C22"/>
    <w:rsid w:val="00A70C6E"/>
    <w:rsid w:val="00A70F7B"/>
    <w:rsid w:val="00A7202E"/>
    <w:rsid w:val="00A7394C"/>
    <w:rsid w:val="00A74C4D"/>
    <w:rsid w:val="00A75D3A"/>
    <w:rsid w:val="00A75E56"/>
    <w:rsid w:val="00A762B3"/>
    <w:rsid w:val="00A76A03"/>
    <w:rsid w:val="00A80B64"/>
    <w:rsid w:val="00A80F3F"/>
    <w:rsid w:val="00A81A1B"/>
    <w:rsid w:val="00A826FB"/>
    <w:rsid w:val="00A83941"/>
    <w:rsid w:val="00A84109"/>
    <w:rsid w:val="00A84FB4"/>
    <w:rsid w:val="00A8514B"/>
    <w:rsid w:val="00A8519C"/>
    <w:rsid w:val="00A857C5"/>
    <w:rsid w:val="00A86171"/>
    <w:rsid w:val="00A863FD"/>
    <w:rsid w:val="00A865BF"/>
    <w:rsid w:val="00A87CCD"/>
    <w:rsid w:val="00A90FCB"/>
    <w:rsid w:val="00A91843"/>
    <w:rsid w:val="00A920F8"/>
    <w:rsid w:val="00A92D34"/>
    <w:rsid w:val="00A93E83"/>
    <w:rsid w:val="00A944DD"/>
    <w:rsid w:val="00A95E91"/>
    <w:rsid w:val="00A95EA2"/>
    <w:rsid w:val="00A95FD4"/>
    <w:rsid w:val="00A961F2"/>
    <w:rsid w:val="00A963D2"/>
    <w:rsid w:val="00A96BCC"/>
    <w:rsid w:val="00AA25BB"/>
    <w:rsid w:val="00AA2CD4"/>
    <w:rsid w:val="00AA3259"/>
    <w:rsid w:val="00AA3C56"/>
    <w:rsid w:val="00AB03CC"/>
    <w:rsid w:val="00AB04D5"/>
    <w:rsid w:val="00AB109A"/>
    <w:rsid w:val="00AB1A80"/>
    <w:rsid w:val="00AB286E"/>
    <w:rsid w:val="00AB3884"/>
    <w:rsid w:val="00AB396A"/>
    <w:rsid w:val="00AB6270"/>
    <w:rsid w:val="00AB645F"/>
    <w:rsid w:val="00AB6A14"/>
    <w:rsid w:val="00AC0544"/>
    <w:rsid w:val="00AC0905"/>
    <w:rsid w:val="00AC1DD0"/>
    <w:rsid w:val="00AC21B0"/>
    <w:rsid w:val="00AC254A"/>
    <w:rsid w:val="00AC528C"/>
    <w:rsid w:val="00AC6383"/>
    <w:rsid w:val="00AC63F6"/>
    <w:rsid w:val="00AC6E44"/>
    <w:rsid w:val="00AD0327"/>
    <w:rsid w:val="00AD0AA8"/>
    <w:rsid w:val="00AD0E1D"/>
    <w:rsid w:val="00AD0F43"/>
    <w:rsid w:val="00AD145D"/>
    <w:rsid w:val="00AD23C4"/>
    <w:rsid w:val="00AD4292"/>
    <w:rsid w:val="00AD4BEC"/>
    <w:rsid w:val="00AD55BB"/>
    <w:rsid w:val="00AD58C1"/>
    <w:rsid w:val="00AD6B64"/>
    <w:rsid w:val="00AD76F4"/>
    <w:rsid w:val="00AE1C27"/>
    <w:rsid w:val="00AE1FFB"/>
    <w:rsid w:val="00AE3D7C"/>
    <w:rsid w:val="00AE4E85"/>
    <w:rsid w:val="00AE4F65"/>
    <w:rsid w:val="00AE57C8"/>
    <w:rsid w:val="00AE5D9C"/>
    <w:rsid w:val="00AE612E"/>
    <w:rsid w:val="00AE7152"/>
    <w:rsid w:val="00AF0997"/>
    <w:rsid w:val="00AF421C"/>
    <w:rsid w:val="00AF4C31"/>
    <w:rsid w:val="00AF5AFB"/>
    <w:rsid w:val="00AF6464"/>
    <w:rsid w:val="00AF737E"/>
    <w:rsid w:val="00AF7D57"/>
    <w:rsid w:val="00B00CBC"/>
    <w:rsid w:val="00B02451"/>
    <w:rsid w:val="00B04ACB"/>
    <w:rsid w:val="00B06611"/>
    <w:rsid w:val="00B07965"/>
    <w:rsid w:val="00B104AB"/>
    <w:rsid w:val="00B1283A"/>
    <w:rsid w:val="00B12E4E"/>
    <w:rsid w:val="00B1330C"/>
    <w:rsid w:val="00B151D8"/>
    <w:rsid w:val="00B15AE1"/>
    <w:rsid w:val="00B1724A"/>
    <w:rsid w:val="00B203F0"/>
    <w:rsid w:val="00B20BB0"/>
    <w:rsid w:val="00B227A8"/>
    <w:rsid w:val="00B22CE1"/>
    <w:rsid w:val="00B2315E"/>
    <w:rsid w:val="00B23420"/>
    <w:rsid w:val="00B23CBF"/>
    <w:rsid w:val="00B2471D"/>
    <w:rsid w:val="00B24B99"/>
    <w:rsid w:val="00B24EBE"/>
    <w:rsid w:val="00B25BDB"/>
    <w:rsid w:val="00B264D0"/>
    <w:rsid w:val="00B26F32"/>
    <w:rsid w:val="00B276E3"/>
    <w:rsid w:val="00B30360"/>
    <w:rsid w:val="00B31313"/>
    <w:rsid w:val="00B31D86"/>
    <w:rsid w:val="00B33864"/>
    <w:rsid w:val="00B349CD"/>
    <w:rsid w:val="00B34EC6"/>
    <w:rsid w:val="00B34ED0"/>
    <w:rsid w:val="00B35271"/>
    <w:rsid w:val="00B37404"/>
    <w:rsid w:val="00B3773A"/>
    <w:rsid w:val="00B43500"/>
    <w:rsid w:val="00B443B2"/>
    <w:rsid w:val="00B451B5"/>
    <w:rsid w:val="00B45B04"/>
    <w:rsid w:val="00B45FBC"/>
    <w:rsid w:val="00B50DCA"/>
    <w:rsid w:val="00B5140B"/>
    <w:rsid w:val="00B520D2"/>
    <w:rsid w:val="00B52BE6"/>
    <w:rsid w:val="00B538DF"/>
    <w:rsid w:val="00B53B5C"/>
    <w:rsid w:val="00B53E09"/>
    <w:rsid w:val="00B55586"/>
    <w:rsid w:val="00B57F5B"/>
    <w:rsid w:val="00B61252"/>
    <w:rsid w:val="00B61A61"/>
    <w:rsid w:val="00B62599"/>
    <w:rsid w:val="00B62875"/>
    <w:rsid w:val="00B63011"/>
    <w:rsid w:val="00B63D3E"/>
    <w:rsid w:val="00B63FB0"/>
    <w:rsid w:val="00B642D4"/>
    <w:rsid w:val="00B64FAD"/>
    <w:rsid w:val="00B65DB4"/>
    <w:rsid w:val="00B66A32"/>
    <w:rsid w:val="00B66F5E"/>
    <w:rsid w:val="00B67431"/>
    <w:rsid w:val="00B67A40"/>
    <w:rsid w:val="00B70E1B"/>
    <w:rsid w:val="00B715E5"/>
    <w:rsid w:val="00B71B56"/>
    <w:rsid w:val="00B71D29"/>
    <w:rsid w:val="00B722EF"/>
    <w:rsid w:val="00B72D38"/>
    <w:rsid w:val="00B73441"/>
    <w:rsid w:val="00B76B7E"/>
    <w:rsid w:val="00B7731D"/>
    <w:rsid w:val="00B80345"/>
    <w:rsid w:val="00B81479"/>
    <w:rsid w:val="00B81988"/>
    <w:rsid w:val="00B82631"/>
    <w:rsid w:val="00B8429D"/>
    <w:rsid w:val="00B8644F"/>
    <w:rsid w:val="00B86C62"/>
    <w:rsid w:val="00B90F28"/>
    <w:rsid w:val="00B91903"/>
    <w:rsid w:val="00B91DF0"/>
    <w:rsid w:val="00B91FED"/>
    <w:rsid w:val="00B92688"/>
    <w:rsid w:val="00B93738"/>
    <w:rsid w:val="00B94803"/>
    <w:rsid w:val="00B95748"/>
    <w:rsid w:val="00B971AC"/>
    <w:rsid w:val="00BA09BD"/>
    <w:rsid w:val="00BA10AE"/>
    <w:rsid w:val="00BA2BDA"/>
    <w:rsid w:val="00BA3D2C"/>
    <w:rsid w:val="00BA40A9"/>
    <w:rsid w:val="00BA5B35"/>
    <w:rsid w:val="00BA5EEB"/>
    <w:rsid w:val="00BA6450"/>
    <w:rsid w:val="00BA6DA1"/>
    <w:rsid w:val="00BA6F0B"/>
    <w:rsid w:val="00BA7A9F"/>
    <w:rsid w:val="00BB0136"/>
    <w:rsid w:val="00BB1146"/>
    <w:rsid w:val="00BB13F5"/>
    <w:rsid w:val="00BB1B63"/>
    <w:rsid w:val="00BB2B22"/>
    <w:rsid w:val="00BB312A"/>
    <w:rsid w:val="00BB3C12"/>
    <w:rsid w:val="00BB497E"/>
    <w:rsid w:val="00BB7C3F"/>
    <w:rsid w:val="00BC0AB5"/>
    <w:rsid w:val="00BC17B4"/>
    <w:rsid w:val="00BC2006"/>
    <w:rsid w:val="00BC206C"/>
    <w:rsid w:val="00BC2C5B"/>
    <w:rsid w:val="00BC2F7C"/>
    <w:rsid w:val="00BC3555"/>
    <w:rsid w:val="00BC47BB"/>
    <w:rsid w:val="00BC664C"/>
    <w:rsid w:val="00BD028D"/>
    <w:rsid w:val="00BD0718"/>
    <w:rsid w:val="00BD0C0E"/>
    <w:rsid w:val="00BD1BD6"/>
    <w:rsid w:val="00BD2E5C"/>
    <w:rsid w:val="00BD3400"/>
    <w:rsid w:val="00BD394F"/>
    <w:rsid w:val="00BD54CF"/>
    <w:rsid w:val="00BD56AF"/>
    <w:rsid w:val="00BD64D3"/>
    <w:rsid w:val="00BD6766"/>
    <w:rsid w:val="00BD7A03"/>
    <w:rsid w:val="00BE04E7"/>
    <w:rsid w:val="00BE06D6"/>
    <w:rsid w:val="00BE1C07"/>
    <w:rsid w:val="00BE4978"/>
    <w:rsid w:val="00BE57E4"/>
    <w:rsid w:val="00BE6859"/>
    <w:rsid w:val="00BE7087"/>
    <w:rsid w:val="00BE7915"/>
    <w:rsid w:val="00BF0529"/>
    <w:rsid w:val="00BF11C7"/>
    <w:rsid w:val="00BF16CD"/>
    <w:rsid w:val="00BF1B14"/>
    <w:rsid w:val="00BF4923"/>
    <w:rsid w:val="00BF513E"/>
    <w:rsid w:val="00BF54C1"/>
    <w:rsid w:val="00C00B12"/>
    <w:rsid w:val="00C01747"/>
    <w:rsid w:val="00C02EA6"/>
    <w:rsid w:val="00C02FBB"/>
    <w:rsid w:val="00C04ED4"/>
    <w:rsid w:val="00C057D7"/>
    <w:rsid w:val="00C077B3"/>
    <w:rsid w:val="00C10252"/>
    <w:rsid w:val="00C10FC7"/>
    <w:rsid w:val="00C126F6"/>
    <w:rsid w:val="00C135E0"/>
    <w:rsid w:val="00C13E61"/>
    <w:rsid w:val="00C15D10"/>
    <w:rsid w:val="00C16822"/>
    <w:rsid w:val="00C1685F"/>
    <w:rsid w:val="00C16E5E"/>
    <w:rsid w:val="00C17113"/>
    <w:rsid w:val="00C1718C"/>
    <w:rsid w:val="00C17D34"/>
    <w:rsid w:val="00C205A8"/>
    <w:rsid w:val="00C20DEF"/>
    <w:rsid w:val="00C211E8"/>
    <w:rsid w:val="00C22445"/>
    <w:rsid w:val="00C23722"/>
    <w:rsid w:val="00C250F5"/>
    <w:rsid w:val="00C27E50"/>
    <w:rsid w:val="00C303FA"/>
    <w:rsid w:val="00C31136"/>
    <w:rsid w:val="00C31296"/>
    <w:rsid w:val="00C31433"/>
    <w:rsid w:val="00C317AC"/>
    <w:rsid w:val="00C31C45"/>
    <w:rsid w:val="00C321D8"/>
    <w:rsid w:val="00C3310C"/>
    <w:rsid w:val="00C41052"/>
    <w:rsid w:val="00C418C8"/>
    <w:rsid w:val="00C43922"/>
    <w:rsid w:val="00C43B30"/>
    <w:rsid w:val="00C44E72"/>
    <w:rsid w:val="00C47512"/>
    <w:rsid w:val="00C51DD8"/>
    <w:rsid w:val="00C530FC"/>
    <w:rsid w:val="00C53CBD"/>
    <w:rsid w:val="00C54F2C"/>
    <w:rsid w:val="00C558C1"/>
    <w:rsid w:val="00C565AB"/>
    <w:rsid w:val="00C5697A"/>
    <w:rsid w:val="00C57EB7"/>
    <w:rsid w:val="00C60933"/>
    <w:rsid w:val="00C61676"/>
    <w:rsid w:val="00C61CD1"/>
    <w:rsid w:val="00C62316"/>
    <w:rsid w:val="00C62D63"/>
    <w:rsid w:val="00C6313E"/>
    <w:rsid w:val="00C634A4"/>
    <w:rsid w:val="00C63A84"/>
    <w:rsid w:val="00C6489A"/>
    <w:rsid w:val="00C650EF"/>
    <w:rsid w:val="00C651CD"/>
    <w:rsid w:val="00C653B4"/>
    <w:rsid w:val="00C6648A"/>
    <w:rsid w:val="00C668EB"/>
    <w:rsid w:val="00C66CA0"/>
    <w:rsid w:val="00C67E75"/>
    <w:rsid w:val="00C67FB0"/>
    <w:rsid w:val="00C70607"/>
    <w:rsid w:val="00C721DE"/>
    <w:rsid w:val="00C74247"/>
    <w:rsid w:val="00C74B0D"/>
    <w:rsid w:val="00C76223"/>
    <w:rsid w:val="00C76366"/>
    <w:rsid w:val="00C76C38"/>
    <w:rsid w:val="00C77493"/>
    <w:rsid w:val="00C83D8E"/>
    <w:rsid w:val="00C85150"/>
    <w:rsid w:val="00C85E73"/>
    <w:rsid w:val="00C87D9A"/>
    <w:rsid w:val="00C90CDD"/>
    <w:rsid w:val="00C9284D"/>
    <w:rsid w:val="00C94BDF"/>
    <w:rsid w:val="00C96400"/>
    <w:rsid w:val="00C96AC6"/>
    <w:rsid w:val="00CA1C3A"/>
    <w:rsid w:val="00CA3B10"/>
    <w:rsid w:val="00CA4E72"/>
    <w:rsid w:val="00CA5D5C"/>
    <w:rsid w:val="00CB1D4C"/>
    <w:rsid w:val="00CB3B7D"/>
    <w:rsid w:val="00CB3DD7"/>
    <w:rsid w:val="00CB57D4"/>
    <w:rsid w:val="00CB617A"/>
    <w:rsid w:val="00CB70A2"/>
    <w:rsid w:val="00CB7900"/>
    <w:rsid w:val="00CB7FD6"/>
    <w:rsid w:val="00CC026C"/>
    <w:rsid w:val="00CC0347"/>
    <w:rsid w:val="00CC0727"/>
    <w:rsid w:val="00CC1AC1"/>
    <w:rsid w:val="00CC2BF5"/>
    <w:rsid w:val="00CC2E85"/>
    <w:rsid w:val="00CC2F3A"/>
    <w:rsid w:val="00CC2FDF"/>
    <w:rsid w:val="00CC5C11"/>
    <w:rsid w:val="00CC7702"/>
    <w:rsid w:val="00CC7973"/>
    <w:rsid w:val="00CC7CF7"/>
    <w:rsid w:val="00CC7D14"/>
    <w:rsid w:val="00CD034E"/>
    <w:rsid w:val="00CD2793"/>
    <w:rsid w:val="00CD2A41"/>
    <w:rsid w:val="00CD38BE"/>
    <w:rsid w:val="00CD3C9B"/>
    <w:rsid w:val="00CD533C"/>
    <w:rsid w:val="00CD5AFA"/>
    <w:rsid w:val="00CD6A86"/>
    <w:rsid w:val="00CD6F14"/>
    <w:rsid w:val="00CD7E77"/>
    <w:rsid w:val="00CE1545"/>
    <w:rsid w:val="00CE1B75"/>
    <w:rsid w:val="00CE4246"/>
    <w:rsid w:val="00CE4D15"/>
    <w:rsid w:val="00CE6985"/>
    <w:rsid w:val="00CE69F2"/>
    <w:rsid w:val="00CE77AF"/>
    <w:rsid w:val="00CF02D0"/>
    <w:rsid w:val="00CF1994"/>
    <w:rsid w:val="00CF3E2F"/>
    <w:rsid w:val="00CF4B9A"/>
    <w:rsid w:val="00CF69B0"/>
    <w:rsid w:val="00CF6A48"/>
    <w:rsid w:val="00D00FCF"/>
    <w:rsid w:val="00D0172C"/>
    <w:rsid w:val="00D01AC1"/>
    <w:rsid w:val="00D02589"/>
    <w:rsid w:val="00D05956"/>
    <w:rsid w:val="00D07999"/>
    <w:rsid w:val="00D07A9E"/>
    <w:rsid w:val="00D112ED"/>
    <w:rsid w:val="00D11A8D"/>
    <w:rsid w:val="00D15522"/>
    <w:rsid w:val="00D15619"/>
    <w:rsid w:val="00D160AB"/>
    <w:rsid w:val="00D251E5"/>
    <w:rsid w:val="00D266B6"/>
    <w:rsid w:val="00D325CD"/>
    <w:rsid w:val="00D34F02"/>
    <w:rsid w:val="00D3695A"/>
    <w:rsid w:val="00D42595"/>
    <w:rsid w:val="00D42896"/>
    <w:rsid w:val="00D44013"/>
    <w:rsid w:val="00D44D43"/>
    <w:rsid w:val="00D4519B"/>
    <w:rsid w:val="00D457BA"/>
    <w:rsid w:val="00D463DC"/>
    <w:rsid w:val="00D471E7"/>
    <w:rsid w:val="00D47258"/>
    <w:rsid w:val="00D47BA8"/>
    <w:rsid w:val="00D47D7E"/>
    <w:rsid w:val="00D550F3"/>
    <w:rsid w:val="00D5637C"/>
    <w:rsid w:val="00D6024C"/>
    <w:rsid w:val="00D602A0"/>
    <w:rsid w:val="00D61EE4"/>
    <w:rsid w:val="00D63B3A"/>
    <w:rsid w:val="00D6422B"/>
    <w:rsid w:val="00D667A7"/>
    <w:rsid w:val="00D70A34"/>
    <w:rsid w:val="00D71236"/>
    <w:rsid w:val="00D72480"/>
    <w:rsid w:val="00D73F13"/>
    <w:rsid w:val="00D7578E"/>
    <w:rsid w:val="00D75C3C"/>
    <w:rsid w:val="00D75EB4"/>
    <w:rsid w:val="00D75F21"/>
    <w:rsid w:val="00D767F8"/>
    <w:rsid w:val="00D82223"/>
    <w:rsid w:val="00D833BE"/>
    <w:rsid w:val="00D86D29"/>
    <w:rsid w:val="00D86FCC"/>
    <w:rsid w:val="00D87D8F"/>
    <w:rsid w:val="00D90F0D"/>
    <w:rsid w:val="00D91639"/>
    <w:rsid w:val="00D931FC"/>
    <w:rsid w:val="00D939FF"/>
    <w:rsid w:val="00D93AFB"/>
    <w:rsid w:val="00D93B6F"/>
    <w:rsid w:val="00D94579"/>
    <w:rsid w:val="00D95627"/>
    <w:rsid w:val="00D96A9C"/>
    <w:rsid w:val="00D971DD"/>
    <w:rsid w:val="00D97E73"/>
    <w:rsid w:val="00DA021C"/>
    <w:rsid w:val="00DA2D1F"/>
    <w:rsid w:val="00DA3DB0"/>
    <w:rsid w:val="00DA50F7"/>
    <w:rsid w:val="00DA5A72"/>
    <w:rsid w:val="00DA5B24"/>
    <w:rsid w:val="00DA6B43"/>
    <w:rsid w:val="00DB0C0D"/>
    <w:rsid w:val="00DB131E"/>
    <w:rsid w:val="00DB370D"/>
    <w:rsid w:val="00DB4FCE"/>
    <w:rsid w:val="00DB51AC"/>
    <w:rsid w:val="00DB5675"/>
    <w:rsid w:val="00DB5DD0"/>
    <w:rsid w:val="00DB6352"/>
    <w:rsid w:val="00DB6BB3"/>
    <w:rsid w:val="00DB77B4"/>
    <w:rsid w:val="00DC0B29"/>
    <w:rsid w:val="00DC2919"/>
    <w:rsid w:val="00DC37CD"/>
    <w:rsid w:val="00DC380B"/>
    <w:rsid w:val="00DC4FB0"/>
    <w:rsid w:val="00DC5ECF"/>
    <w:rsid w:val="00DC6887"/>
    <w:rsid w:val="00DC6ED9"/>
    <w:rsid w:val="00DC7567"/>
    <w:rsid w:val="00DC7A75"/>
    <w:rsid w:val="00DD0E9A"/>
    <w:rsid w:val="00DD2600"/>
    <w:rsid w:val="00DD3208"/>
    <w:rsid w:val="00DD4569"/>
    <w:rsid w:val="00DD47E4"/>
    <w:rsid w:val="00DD4A2B"/>
    <w:rsid w:val="00DD5771"/>
    <w:rsid w:val="00DD591E"/>
    <w:rsid w:val="00DD7F7A"/>
    <w:rsid w:val="00DE386B"/>
    <w:rsid w:val="00DE6205"/>
    <w:rsid w:val="00DE6CB5"/>
    <w:rsid w:val="00DE7AD1"/>
    <w:rsid w:val="00DF2562"/>
    <w:rsid w:val="00DF566E"/>
    <w:rsid w:val="00DF66BE"/>
    <w:rsid w:val="00DF6E7D"/>
    <w:rsid w:val="00DF7426"/>
    <w:rsid w:val="00DF7FB7"/>
    <w:rsid w:val="00E00ACF"/>
    <w:rsid w:val="00E016CA"/>
    <w:rsid w:val="00E03F67"/>
    <w:rsid w:val="00E048AD"/>
    <w:rsid w:val="00E06AE3"/>
    <w:rsid w:val="00E06BE4"/>
    <w:rsid w:val="00E10611"/>
    <w:rsid w:val="00E11B1B"/>
    <w:rsid w:val="00E125E7"/>
    <w:rsid w:val="00E12FE5"/>
    <w:rsid w:val="00E137EB"/>
    <w:rsid w:val="00E14FCE"/>
    <w:rsid w:val="00E15C04"/>
    <w:rsid w:val="00E15CB0"/>
    <w:rsid w:val="00E17A3C"/>
    <w:rsid w:val="00E17A3F"/>
    <w:rsid w:val="00E17D23"/>
    <w:rsid w:val="00E20C89"/>
    <w:rsid w:val="00E223C3"/>
    <w:rsid w:val="00E2388A"/>
    <w:rsid w:val="00E239B5"/>
    <w:rsid w:val="00E239CF"/>
    <w:rsid w:val="00E23B0F"/>
    <w:rsid w:val="00E258CD"/>
    <w:rsid w:val="00E303BB"/>
    <w:rsid w:val="00E321D5"/>
    <w:rsid w:val="00E33CB3"/>
    <w:rsid w:val="00E422B8"/>
    <w:rsid w:val="00E4347C"/>
    <w:rsid w:val="00E44322"/>
    <w:rsid w:val="00E44FB4"/>
    <w:rsid w:val="00E45626"/>
    <w:rsid w:val="00E4573B"/>
    <w:rsid w:val="00E461F3"/>
    <w:rsid w:val="00E467E5"/>
    <w:rsid w:val="00E4689E"/>
    <w:rsid w:val="00E518BA"/>
    <w:rsid w:val="00E52933"/>
    <w:rsid w:val="00E54518"/>
    <w:rsid w:val="00E55B04"/>
    <w:rsid w:val="00E60B2C"/>
    <w:rsid w:val="00E60B32"/>
    <w:rsid w:val="00E60E80"/>
    <w:rsid w:val="00E61D98"/>
    <w:rsid w:val="00E61E6B"/>
    <w:rsid w:val="00E6271E"/>
    <w:rsid w:val="00E62B64"/>
    <w:rsid w:val="00E63032"/>
    <w:rsid w:val="00E63383"/>
    <w:rsid w:val="00E6469B"/>
    <w:rsid w:val="00E6469E"/>
    <w:rsid w:val="00E653DF"/>
    <w:rsid w:val="00E66448"/>
    <w:rsid w:val="00E66B18"/>
    <w:rsid w:val="00E674F6"/>
    <w:rsid w:val="00E67518"/>
    <w:rsid w:val="00E707B3"/>
    <w:rsid w:val="00E711ED"/>
    <w:rsid w:val="00E72E89"/>
    <w:rsid w:val="00E72F18"/>
    <w:rsid w:val="00E739C4"/>
    <w:rsid w:val="00E7468D"/>
    <w:rsid w:val="00E74719"/>
    <w:rsid w:val="00E74921"/>
    <w:rsid w:val="00E764CB"/>
    <w:rsid w:val="00E77203"/>
    <w:rsid w:val="00E77E80"/>
    <w:rsid w:val="00E815D5"/>
    <w:rsid w:val="00E8160C"/>
    <w:rsid w:val="00E81FBC"/>
    <w:rsid w:val="00E83045"/>
    <w:rsid w:val="00E841FB"/>
    <w:rsid w:val="00E8452E"/>
    <w:rsid w:val="00E8496E"/>
    <w:rsid w:val="00E86CC1"/>
    <w:rsid w:val="00E90CDB"/>
    <w:rsid w:val="00E91086"/>
    <w:rsid w:val="00E919B7"/>
    <w:rsid w:val="00E93DB5"/>
    <w:rsid w:val="00E941C6"/>
    <w:rsid w:val="00E95BA7"/>
    <w:rsid w:val="00E964DD"/>
    <w:rsid w:val="00EA01FC"/>
    <w:rsid w:val="00EA143E"/>
    <w:rsid w:val="00EA2FB7"/>
    <w:rsid w:val="00EA3319"/>
    <w:rsid w:val="00EA4745"/>
    <w:rsid w:val="00EA6FCD"/>
    <w:rsid w:val="00EB0EEA"/>
    <w:rsid w:val="00EB2447"/>
    <w:rsid w:val="00EB2B77"/>
    <w:rsid w:val="00EB516F"/>
    <w:rsid w:val="00EB57C5"/>
    <w:rsid w:val="00EB63C5"/>
    <w:rsid w:val="00EB6E5F"/>
    <w:rsid w:val="00EB7698"/>
    <w:rsid w:val="00EB7717"/>
    <w:rsid w:val="00EB78A7"/>
    <w:rsid w:val="00EB7C9C"/>
    <w:rsid w:val="00EC43CC"/>
    <w:rsid w:val="00EC43D9"/>
    <w:rsid w:val="00EC464F"/>
    <w:rsid w:val="00EC64F8"/>
    <w:rsid w:val="00EC657E"/>
    <w:rsid w:val="00EC6BAB"/>
    <w:rsid w:val="00EC6CB6"/>
    <w:rsid w:val="00EC70BC"/>
    <w:rsid w:val="00ED0C17"/>
    <w:rsid w:val="00ED1152"/>
    <w:rsid w:val="00ED1F7D"/>
    <w:rsid w:val="00ED3B34"/>
    <w:rsid w:val="00ED47AD"/>
    <w:rsid w:val="00ED6BE7"/>
    <w:rsid w:val="00ED7680"/>
    <w:rsid w:val="00EE1679"/>
    <w:rsid w:val="00EE2A8A"/>
    <w:rsid w:val="00EE2BEE"/>
    <w:rsid w:val="00EE3F02"/>
    <w:rsid w:val="00EE45D4"/>
    <w:rsid w:val="00EE64FE"/>
    <w:rsid w:val="00EE7D49"/>
    <w:rsid w:val="00EF0026"/>
    <w:rsid w:val="00EF086C"/>
    <w:rsid w:val="00EF198F"/>
    <w:rsid w:val="00EF1BD2"/>
    <w:rsid w:val="00EF257F"/>
    <w:rsid w:val="00EF2B49"/>
    <w:rsid w:val="00EF2BC4"/>
    <w:rsid w:val="00EF3BBC"/>
    <w:rsid w:val="00EF49DB"/>
    <w:rsid w:val="00EF54D1"/>
    <w:rsid w:val="00EF6315"/>
    <w:rsid w:val="00EF67FE"/>
    <w:rsid w:val="00EF78F8"/>
    <w:rsid w:val="00F0112B"/>
    <w:rsid w:val="00F0270D"/>
    <w:rsid w:val="00F04126"/>
    <w:rsid w:val="00F041E3"/>
    <w:rsid w:val="00F049A7"/>
    <w:rsid w:val="00F04FDC"/>
    <w:rsid w:val="00F05BA3"/>
    <w:rsid w:val="00F07985"/>
    <w:rsid w:val="00F07DA1"/>
    <w:rsid w:val="00F07DC4"/>
    <w:rsid w:val="00F112F1"/>
    <w:rsid w:val="00F11926"/>
    <w:rsid w:val="00F11C27"/>
    <w:rsid w:val="00F11F46"/>
    <w:rsid w:val="00F13D79"/>
    <w:rsid w:val="00F13E36"/>
    <w:rsid w:val="00F23143"/>
    <w:rsid w:val="00F23911"/>
    <w:rsid w:val="00F2450F"/>
    <w:rsid w:val="00F250F0"/>
    <w:rsid w:val="00F25320"/>
    <w:rsid w:val="00F26798"/>
    <w:rsid w:val="00F27654"/>
    <w:rsid w:val="00F303EC"/>
    <w:rsid w:val="00F3063B"/>
    <w:rsid w:val="00F31C47"/>
    <w:rsid w:val="00F321AA"/>
    <w:rsid w:val="00F330F7"/>
    <w:rsid w:val="00F3452B"/>
    <w:rsid w:val="00F35B2B"/>
    <w:rsid w:val="00F36236"/>
    <w:rsid w:val="00F372FB"/>
    <w:rsid w:val="00F407E1"/>
    <w:rsid w:val="00F40B24"/>
    <w:rsid w:val="00F4301B"/>
    <w:rsid w:val="00F437C6"/>
    <w:rsid w:val="00F45938"/>
    <w:rsid w:val="00F45A25"/>
    <w:rsid w:val="00F45BDD"/>
    <w:rsid w:val="00F46AF8"/>
    <w:rsid w:val="00F46B7E"/>
    <w:rsid w:val="00F46E49"/>
    <w:rsid w:val="00F47683"/>
    <w:rsid w:val="00F50171"/>
    <w:rsid w:val="00F50495"/>
    <w:rsid w:val="00F51230"/>
    <w:rsid w:val="00F521CF"/>
    <w:rsid w:val="00F52346"/>
    <w:rsid w:val="00F53322"/>
    <w:rsid w:val="00F56131"/>
    <w:rsid w:val="00F5621B"/>
    <w:rsid w:val="00F57700"/>
    <w:rsid w:val="00F60B74"/>
    <w:rsid w:val="00F62505"/>
    <w:rsid w:val="00F62F98"/>
    <w:rsid w:val="00F642CA"/>
    <w:rsid w:val="00F6644B"/>
    <w:rsid w:val="00F66760"/>
    <w:rsid w:val="00F66D59"/>
    <w:rsid w:val="00F67C8B"/>
    <w:rsid w:val="00F67CD1"/>
    <w:rsid w:val="00F67EB1"/>
    <w:rsid w:val="00F704E4"/>
    <w:rsid w:val="00F70D97"/>
    <w:rsid w:val="00F71B24"/>
    <w:rsid w:val="00F71DEC"/>
    <w:rsid w:val="00F727B0"/>
    <w:rsid w:val="00F72B42"/>
    <w:rsid w:val="00F74AD1"/>
    <w:rsid w:val="00F75617"/>
    <w:rsid w:val="00F75B31"/>
    <w:rsid w:val="00F76CC2"/>
    <w:rsid w:val="00F76ECA"/>
    <w:rsid w:val="00F779E8"/>
    <w:rsid w:val="00F8052F"/>
    <w:rsid w:val="00F80D0A"/>
    <w:rsid w:val="00F8189A"/>
    <w:rsid w:val="00F81AF7"/>
    <w:rsid w:val="00F84382"/>
    <w:rsid w:val="00F84884"/>
    <w:rsid w:val="00F85409"/>
    <w:rsid w:val="00F85F8E"/>
    <w:rsid w:val="00F87AC1"/>
    <w:rsid w:val="00F90770"/>
    <w:rsid w:val="00F92125"/>
    <w:rsid w:val="00F9326F"/>
    <w:rsid w:val="00F94FB1"/>
    <w:rsid w:val="00F95613"/>
    <w:rsid w:val="00F96BAF"/>
    <w:rsid w:val="00FA11A1"/>
    <w:rsid w:val="00FA193D"/>
    <w:rsid w:val="00FA2ECD"/>
    <w:rsid w:val="00FA5BA8"/>
    <w:rsid w:val="00FB1AA0"/>
    <w:rsid w:val="00FB3CDD"/>
    <w:rsid w:val="00FB4409"/>
    <w:rsid w:val="00FB635D"/>
    <w:rsid w:val="00FB6B6A"/>
    <w:rsid w:val="00FB6BA0"/>
    <w:rsid w:val="00FB7354"/>
    <w:rsid w:val="00FB76D3"/>
    <w:rsid w:val="00FC015F"/>
    <w:rsid w:val="00FC024C"/>
    <w:rsid w:val="00FC037D"/>
    <w:rsid w:val="00FC198C"/>
    <w:rsid w:val="00FC3069"/>
    <w:rsid w:val="00FC3A85"/>
    <w:rsid w:val="00FC4306"/>
    <w:rsid w:val="00FC6A73"/>
    <w:rsid w:val="00FD0B55"/>
    <w:rsid w:val="00FD16F4"/>
    <w:rsid w:val="00FD2283"/>
    <w:rsid w:val="00FD4985"/>
    <w:rsid w:val="00FD67FC"/>
    <w:rsid w:val="00FD68ED"/>
    <w:rsid w:val="00FD7961"/>
    <w:rsid w:val="00FD7AAC"/>
    <w:rsid w:val="00FD7D1A"/>
    <w:rsid w:val="00FE157F"/>
    <w:rsid w:val="00FE1A32"/>
    <w:rsid w:val="00FE31EF"/>
    <w:rsid w:val="00FE4C02"/>
    <w:rsid w:val="00FE4E8E"/>
    <w:rsid w:val="00FE50DF"/>
    <w:rsid w:val="00FE78CE"/>
    <w:rsid w:val="00FE7F58"/>
    <w:rsid w:val="00FE7F7B"/>
    <w:rsid w:val="00FF0870"/>
    <w:rsid w:val="00FF1A8E"/>
    <w:rsid w:val="00FF2594"/>
    <w:rsid w:val="00FF2694"/>
    <w:rsid w:val="00FF44D3"/>
    <w:rsid w:val="00FF57AA"/>
    <w:rsid w:val="00FF70BD"/>
    <w:rsid w:val="00FF743E"/>
    <w:rsid w:val="03042309"/>
    <w:rsid w:val="0D1D1DBE"/>
    <w:rsid w:val="1016504E"/>
    <w:rsid w:val="1777635C"/>
    <w:rsid w:val="18227E27"/>
    <w:rsid w:val="185D3DBD"/>
    <w:rsid w:val="18701001"/>
    <w:rsid w:val="1DD7023D"/>
    <w:rsid w:val="1E21231E"/>
    <w:rsid w:val="1EF0166F"/>
    <w:rsid w:val="25D75173"/>
    <w:rsid w:val="27EB378F"/>
    <w:rsid w:val="2B7859DE"/>
    <w:rsid w:val="2B9E1A82"/>
    <w:rsid w:val="2D2F1520"/>
    <w:rsid w:val="2E201E0C"/>
    <w:rsid w:val="358502D7"/>
    <w:rsid w:val="3FC8617E"/>
    <w:rsid w:val="41B01660"/>
    <w:rsid w:val="41F16587"/>
    <w:rsid w:val="436D7AA7"/>
    <w:rsid w:val="49641224"/>
    <w:rsid w:val="4A8A3D77"/>
    <w:rsid w:val="4DC567B8"/>
    <w:rsid w:val="52C469E2"/>
    <w:rsid w:val="52C5215A"/>
    <w:rsid w:val="5CE2343E"/>
    <w:rsid w:val="5FB65180"/>
    <w:rsid w:val="64043ED2"/>
    <w:rsid w:val="66312469"/>
    <w:rsid w:val="677D5B76"/>
    <w:rsid w:val="699F7EAD"/>
    <w:rsid w:val="69C46596"/>
    <w:rsid w:val="6B966786"/>
    <w:rsid w:val="6BDD2BE6"/>
    <w:rsid w:val="756768A5"/>
    <w:rsid w:val="75D94C50"/>
    <w:rsid w:val="7AE0561F"/>
    <w:rsid w:val="7C6D1A1B"/>
    <w:rsid w:val="7ECF6F7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110"/>
        <o:r id="V:Rule2" type="connector" idref="#_x0000_s211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9"/>
    <w:qFormat/>
    <w:uiPriority w:val="0"/>
    <w:pPr>
      <w:keepNext/>
      <w:keepLines/>
      <w:spacing w:line="578" w:lineRule="auto"/>
      <w:outlineLvl w:val="0"/>
    </w:pPr>
    <w:rPr>
      <w:b/>
      <w:bCs/>
      <w:kern w:val="44"/>
      <w:sz w:val="32"/>
      <w:szCs w:val="44"/>
    </w:rPr>
  </w:style>
  <w:style w:type="paragraph" w:styleId="3">
    <w:name w:val="heading 2"/>
    <w:basedOn w:val="1"/>
    <w:next w:val="1"/>
    <w:link w:val="52"/>
    <w:qFormat/>
    <w:uiPriority w:val="0"/>
    <w:pPr>
      <w:keepNext/>
      <w:keepLines/>
      <w:outlineLvl w:val="1"/>
    </w:pPr>
    <w:rPr>
      <w:b/>
      <w:bCs/>
      <w:sz w:val="28"/>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character" w:default="1" w:styleId="29">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5">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6">
    <w:name w:val="Note Heading"/>
    <w:basedOn w:val="1"/>
    <w:next w:val="1"/>
    <w:qFormat/>
    <w:uiPriority w:val="0"/>
    <w:pPr>
      <w:jc w:val="center"/>
    </w:pPr>
    <w:rPr>
      <w:rFonts w:ascii="Times New Roman" w:hAnsi="Times New Roman"/>
      <w:kern w:val="0"/>
      <w:sz w:val="20"/>
      <w:szCs w:val="24"/>
    </w:rPr>
  </w:style>
  <w:style w:type="paragraph" w:styleId="7">
    <w:name w:val="Normal Indent"/>
    <w:basedOn w:val="1"/>
    <w:next w:val="1"/>
    <w:qFormat/>
    <w:uiPriority w:val="0"/>
    <w:pPr>
      <w:ind w:firstLine="420" w:firstLineChars="200"/>
    </w:pPr>
  </w:style>
  <w:style w:type="paragraph" w:styleId="8">
    <w:name w:val="Document Map"/>
    <w:basedOn w:val="1"/>
    <w:link w:val="63"/>
    <w:qFormat/>
    <w:uiPriority w:val="0"/>
    <w:rPr>
      <w:rFonts w:ascii="宋体"/>
      <w:sz w:val="18"/>
      <w:szCs w:val="18"/>
    </w:rPr>
  </w:style>
  <w:style w:type="paragraph" w:styleId="9">
    <w:name w:val="toa heading"/>
    <w:basedOn w:val="1"/>
    <w:next w:val="1"/>
    <w:qFormat/>
    <w:uiPriority w:val="0"/>
    <w:pPr>
      <w:spacing w:before="120"/>
    </w:pPr>
    <w:rPr>
      <w:rFonts w:ascii="Arial" w:hAnsi="Arial"/>
      <w:sz w:val="24"/>
      <w:szCs w:val="20"/>
    </w:rPr>
  </w:style>
  <w:style w:type="paragraph" w:styleId="10">
    <w:name w:val="annotation text"/>
    <w:basedOn w:val="1"/>
    <w:link w:val="80"/>
    <w:qFormat/>
    <w:uiPriority w:val="0"/>
    <w:pPr>
      <w:jc w:val="left"/>
    </w:pPr>
  </w:style>
  <w:style w:type="paragraph" w:styleId="11">
    <w:name w:val="Body Text"/>
    <w:basedOn w:val="1"/>
    <w:link w:val="46"/>
    <w:qFormat/>
    <w:uiPriority w:val="0"/>
    <w:pPr>
      <w:spacing w:after="120"/>
    </w:pPr>
  </w:style>
  <w:style w:type="paragraph" w:styleId="12">
    <w:name w:val="Body Text Indent"/>
    <w:basedOn w:val="1"/>
    <w:link w:val="73"/>
    <w:qFormat/>
    <w:uiPriority w:val="0"/>
    <w:pPr>
      <w:spacing w:after="120"/>
      <w:ind w:left="420" w:leftChars="200"/>
    </w:pPr>
  </w:style>
  <w:style w:type="paragraph" w:styleId="13">
    <w:name w:val="toc 3"/>
    <w:basedOn w:val="1"/>
    <w:next w:val="1"/>
    <w:qFormat/>
    <w:uiPriority w:val="39"/>
    <w:pPr>
      <w:ind w:left="840" w:leftChars="400"/>
    </w:pPr>
  </w:style>
  <w:style w:type="paragraph" w:styleId="14">
    <w:name w:val="Plain Text"/>
    <w:basedOn w:val="1"/>
    <w:link w:val="67"/>
    <w:qFormat/>
    <w:uiPriority w:val="0"/>
    <w:rPr>
      <w:rFonts w:ascii="宋体" w:hAnsi="Courier New" w:cs="Courier New"/>
      <w:szCs w:val="21"/>
    </w:rPr>
  </w:style>
  <w:style w:type="paragraph" w:styleId="15">
    <w:name w:val="List Bullet 5"/>
    <w:basedOn w:val="1"/>
    <w:qFormat/>
    <w:uiPriority w:val="0"/>
    <w:pPr>
      <w:numPr>
        <w:ilvl w:val="0"/>
        <w:numId w:val="1"/>
      </w:numPr>
    </w:pPr>
  </w:style>
  <w:style w:type="paragraph" w:styleId="16">
    <w:name w:val="Date"/>
    <w:basedOn w:val="1"/>
    <w:next w:val="1"/>
    <w:link w:val="74"/>
    <w:qFormat/>
    <w:uiPriority w:val="0"/>
    <w:pPr>
      <w:ind w:left="100" w:leftChars="2500"/>
    </w:pPr>
  </w:style>
  <w:style w:type="paragraph" w:styleId="17">
    <w:name w:val="Body Text Indent 2"/>
    <w:basedOn w:val="1"/>
    <w:link w:val="40"/>
    <w:qFormat/>
    <w:uiPriority w:val="0"/>
    <w:pPr>
      <w:ind w:firstLine="560" w:firstLineChars="200"/>
    </w:pPr>
    <w:rPr>
      <w:sz w:val="28"/>
    </w:rPr>
  </w:style>
  <w:style w:type="paragraph" w:styleId="18">
    <w:name w:val="Balloon Text"/>
    <w:basedOn w:val="1"/>
    <w:link w:val="43"/>
    <w:qFormat/>
    <w:uiPriority w:val="0"/>
    <w:rPr>
      <w:sz w:val="18"/>
      <w:szCs w:val="18"/>
    </w:rPr>
  </w:style>
  <w:style w:type="paragraph" w:styleId="19">
    <w:name w:val="footer"/>
    <w:basedOn w:val="1"/>
    <w:link w:val="38"/>
    <w:qFormat/>
    <w:uiPriority w:val="99"/>
    <w:pPr>
      <w:tabs>
        <w:tab w:val="center" w:pos="4153"/>
        <w:tab w:val="right" w:pos="8306"/>
      </w:tabs>
      <w:snapToGrid w:val="0"/>
      <w:jc w:val="left"/>
    </w:pPr>
    <w:rPr>
      <w:sz w:val="18"/>
      <w:szCs w:val="18"/>
    </w:rPr>
  </w:style>
  <w:style w:type="paragraph" w:styleId="20">
    <w:name w:val="header"/>
    <w:basedOn w:val="1"/>
    <w:link w:val="37"/>
    <w:qFormat/>
    <w:uiPriority w:val="99"/>
    <w:pPr>
      <w:pBdr>
        <w:bottom w:val="single" w:color="auto" w:sz="6" w:space="0"/>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9402"/>
      </w:tabs>
      <w:spacing w:before="120" w:after="120" w:line="440" w:lineRule="exact"/>
      <w:jc w:val="left"/>
    </w:pPr>
    <w:rPr>
      <w:b/>
      <w:caps/>
      <w:sz w:val="24"/>
      <w:szCs w:val="20"/>
    </w:rPr>
  </w:style>
  <w:style w:type="paragraph" w:styleId="22">
    <w:name w:val="Subtitle"/>
    <w:basedOn w:val="1"/>
    <w:next w:val="1"/>
    <w:link w:val="57"/>
    <w:qFormat/>
    <w:uiPriority w:val="0"/>
    <w:pPr>
      <w:spacing w:before="240" w:after="60" w:line="312" w:lineRule="auto"/>
      <w:jc w:val="center"/>
      <w:outlineLvl w:val="1"/>
    </w:pPr>
    <w:rPr>
      <w:rFonts w:ascii="Cambria" w:hAnsi="Cambria"/>
      <w:b/>
      <w:bCs/>
      <w:kern w:val="28"/>
      <w:sz w:val="32"/>
      <w:szCs w:val="32"/>
    </w:rPr>
  </w:style>
  <w:style w:type="paragraph" w:styleId="23">
    <w:name w:val="toc 2"/>
    <w:basedOn w:val="1"/>
    <w:next w:val="1"/>
    <w:qFormat/>
    <w:uiPriority w:val="39"/>
    <w:pPr>
      <w:tabs>
        <w:tab w:val="right" w:leader="dot" w:pos="9402"/>
      </w:tabs>
      <w:spacing w:line="360" w:lineRule="auto"/>
      <w:ind w:left="420" w:leftChars="200"/>
    </w:pPr>
  </w:style>
  <w:style w:type="paragraph" w:styleId="24">
    <w:name w:val="annotation subject"/>
    <w:basedOn w:val="10"/>
    <w:next w:val="10"/>
    <w:link w:val="81"/>
    <w:qFormat/>
    <w:uiPriority w:val="0"/>
    <w:rPr>
      <w:b/>
      <w:bCs/>
    </w:rPr>
  </w:style>
  <w:style w:type="paragraph" w:styleId="25">
    <w:name w:val="Body Text First Indent"/>
    <w:basedOn w:val="11"/>
    <w:link w:val="47"/>
    <w:qFormat/>
    <w:uiPriority w:val="0"/>
    <w:pPr>
      <w:ind w:firstLine="420" w:firstLineChars="100"/>
    </w:pPr>
  </w:style>
  <w:style w:type="table" w:styleId="27">
    <w:name w:val="Table Grid"/>
    <w:basedOn w:val="2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28">
    <w:name w:val="Table Theme"/>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page number"/>
    <w:basedOn w:val="29"/>
    <w:qFormat/>
    <w:uiPriority w:val="0"/>
  </w:style>
  <w:style w:type="character" w:styleId="31">
    <w:name w:val="FollowedHyperlink"/>
    <w:basedOn w:val="29"/>
    <w:qFormat/>
    <w:uiPriority w:val="0"/>
    <w:rPr>
      <w:color w:val="185ECF"/>
      <w:u w:val="none"/>
    </w:rPr>
  </w:style>
  <w:style w:type="character" w:styleId="32">
    <w:name w:val="Hyperlink"/>
    <w:basedOn w:val="29"/>
    <w:unhideWhenUsed/>
    <w:qFormat/>
    <w:uiPriority w:val="99"/>
    <w:rPr>
      <w:color w:val="185ECF"/>
      <w:u w:val="none"/>
    </w:rPr>
  </w:style>
  <w:style w:type="character" w:styleId="33">
    <w:name w:val="annotation reference"/>
    <w:basedOn w:val="29"/>
    <w:qFormat/>
    <w:uiPriority w:val="0"/>
    <w:rPr>
      <w:sz w:val="21"/>
      <w:szCs w:val="21"/>
    </w:rPr>
  </w:style>
  <w:style w:type="paragraph" w:customStyle="1" w:styleId="34">
    <w:name w:val="Default"/>
    <w:basedOn w:val="35"/>
    <w:next w:val="5"/>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5">
    <w:name w:val="纯文本1"/>
    <w:basedOn w:val="1"/>
    <w:qFormat/>
    <w:uiPriority w:val="99"/>
    <w:pPr>
      <w:autoSpaceDE w:val="0"/>
      <w:autoSpaceDN w:val="0"/>
      <w:textAlignment w:val="baseline"/>
    </w:pPr>
    <w:rPr>
      <w:rFonts w:ascii="宋体"/>
      <w:szCs w:val="20"/>
    </w:rPr>
  </w:style>
  <w:style w:type="paragraph" w:customStyle="1" w:styleId="36">
    <w:name w:val="样式 正文缩进正文缩进2正文缩进 Char Char正文缩进 Char Char Char Char正文缩进 Char ..."/>
    <w:basedOn w:val="7"/>
    <w:qFormat/>
    <w:uiPriority w:val="0"/>
    <w:pPr>
      <w:spacing w:line="360" w:lineRule="auto"/>
      <w:ind w:firstLine="200"/>
    </w:pPr>
    <w:rPr>
      <w:rFonts w:cs="宋体"/>
      <w:sz w:val="24"/>
    </w:rPr>
  </w:style>
  <w:style w:type="character" w:customStyle="1" w:styleId="37">
    <w:name w:val="页眉 Char"/>
    <w:basedOn w:val="29"/>
    <w:link w:val="20"/>
    <w:qFormat/>
    <w:uiPriority w:val="99"/>
    <w:rPr>
      <w:kern w:val="2"/>
      <w:sz w:val="18"/>
      <w:szCs w:val="18"/>
    </w:rPr>
  </w:style>
  <w:style w:type="character" w:customStyle="1" w:styleId="38">
    <w:name w:val="页脚 Char"/>
    <w:basedOn w:val="29"/>
    <w:link w:val="19"/>
    <w:qFormat/>
    <w:uiPriority w:val="99"/>
    <w:rPr>
      <w:kern w:val="2"/>
      <w:sz w:val="18"/>
      <w:szCs w:val="18"/>
    </w:rPr>
  </w:style>
  <w:style w:type="paragraph" w:styleId="39">
    <w:name w:val="List Paragraph"/>
    <w:basedOn w:val="1"/>
    <w:qFormat/>
    <w:uiPriority w:val="34"/>
    <w:pPr>
      <w:ind w:firstLine="420" w:firstLineChars="200"/>
    </w:pPr>
  </w:style>
  <w:style w:type="character" w:customStyle="1" w:styleId="40">
    <w:name w:val="正文文本缩进 2 Char"/>
    <w:basedOn w:val="29"/>
    <w:link w:val="17"/>
    <w:qFormat/>
    <w:uiPriority w:val="0"/>
    <w:rPr>
      <w:kern w:val="2"/>
      <w:sz w:val="28"/>
      <w:szCs w:val="24"/>
    </w:rPr>
  </w:style>
  <w:style w:type="paragraph" w:customStyle="1" w:styleId="41">
    <w:name w:val="封面单位"/>
    <w:basedOn w:val="1"/>
    <w:qFormat/>
    <w:uiPriority w:val="0"/>
    <w:pPr>
      <w:tabs>
        <w:tab w:val="right" w:leader="middleDot" w:pos="8222"/>
      </w:tabs>
      <w:spacing w:line="360" w:lineRule="auto"/>
      <w:jc w:val="center"/>
    </w:pPr>
    <w:rPr>
      <w:rFonts w:ascii="楷体_GB2312" w:hAnsi="Arial Black" w:eastAsia="楷体_GB2312"/>
      <w:b/>
      <w:kern w:val="44"/>
      <w:sz w:val="36"/>
      <w:szCs w:val="20"/>
    </w:rPr>
  </w:style>
  <w:style w:type="paragraph" w:customStyle="1" w:styleId="42">
    <w:name w:val="表格文字"/>
    <w:basedOn w:val="1"/>
    <w:next w:val="1"/>
    <w:qFormat/>
    <w:uiPriority w:val="0"/>
    <w:pPr>
      <w:spacing w:line="300" w:lineRule="exact"/>
      <w:jc w:val="center"/>
    </w:pPr>
    <w:rPr>
      <w:snapToGrid w:val="0"/>
      <w:color w:val="000000"/>
      <w:kern w:val="24"/>
      <w:szCs w:val="20"/>
    </w:rPr>
  </w:style>
  <w:style w:type="character" w:customStyle="1" w:styleId="43">
    <w:name w:val="批注框文本 Char"/>
    <w:basedOn w:val="29"/>
    <w:link w:val="18"/>
    <w:qFormat/>
    <w:uiPriority w:val="0"/>
    <w:rPr>
      <w:kern w:val="2"/>
      <w:sz w:val="18"/>
      <w:szCs w:val="18"/>
    </w:rPr>
  </w:style>
  <w:style w:type="paragraph" w:customStyle="1" w:styleId="44">
    <w:name w:val="样式1"/>
    <w:basedOn w:val="20"/>
    <w:link w:val="45"/>
    <w:qFormat/>
    <w:uiPriority w:val="0"/>
    <w:pPr>
      <w:pBdr>
        <w:bottom w:val="none" w:color="auto" w:sz="0" w:space="0"/>
      </w:pBdr>
    </w:pPr>
  </w:style>
  <w:style w:type="character" w:customStyle="1" w:styleId="45">
    <w:name w:val="样式1 Char"/>
    <w:basedOn w:val="37"/>
    <w:link w:val="44"/>
    <w:qFormat/>
    <w:uiPriority w:val="0"/>
  </w:style>
  <w:style w:type="character" w:customStyle="1" w:styleId="46">
    <w:name w:val="正文文本 Char"/>
    <w:basedOn w:val="29"/>
    <w:link w:val="11"/>
    <w:qFormat/>
    <w:uiPriority w:val="0"/>
    <w:rPr>
      <w:kern w:val="2"/>
      <w:sz w:val="21"/>
      <w:szCs w:val="24"/>
    </w:rPr>
  </w:style>
  <w:style w:type="character" w:customStyle="1" w:styleId="47">
    <w:name w:val="正文首行缩进 Char"/>
    <w:basedOn w:val="46"/>
    <w:link w:val="25"/>
    <w:qFormat/>
    <w:uiPriority w:val="0"/>
  </w:style>
  <w:style w:type="paragraph" w:customStyle="1" w:styleId="48">
    <w:name w:val="表格"/>
    <w:basedOn w:val="1"/>
    <w:link w:val="49"/>
    <w:qFormat/>
    <w:uiPriority w:val="0"/>
    <w:pPr>
      <w:spacing w:line="360" w:lineRule="exact"/>
    </w:pPr>
    <w:rPr>
      <w:kern w:val="0"/>
      <w:sz w:val="24"/>
      <w:szCs w:val="20"/>
    </w:rPr>
  </w:style>
  <w:style w:type="character" w:customStyle="1" w:styleId="49">
    <w:name w:val="表格 Char"/>
    <w:basedOn w:val="29"/>
    <w:link w:val="48"/>
    <w:qFormat/>
    <w:uiPriority w:val="0"/>
    <w:rPr>
      <w:sz w:val="24"/>
    </w:rPr>
  </w:style>
  <w:style w:type="paragraph" w:customStyle="1" w:styleId="50">
    <w:name w:val="表体"/>
    <w:basedOn w:val="1"/>
    <w:qFormat/>
    <w:uiPriority w:val="0"/>
    <w:pPr>
      <w:spacing w:line="320" w:lineRule="atLeast"/>
      <w:jc w:val="center"/>
    </w:pPr>
    <w:rPr>
      <w:color w:val="000000"/>
      <w:szCs w:val="20"/>
    </w:rPr>
  </w:style>
  <w:style w:type="paragraph" w:customStyle="1" w:styleId="51">
    <w:name w:val="表格1"/>
    <w:basedOn w:val="1"/>
    <w:qFormat/>
    <w:uiPriority w:val="0"/>
    <w:pPr>
      <w:spacing w:line="300" w:lineRule="exact"/>
      <w:jc w:val="center"/>
    </w:pPr>
    <w:rPr>
      <w:bCs/>
      <w:color w:val="000000"/>
      <w:kern w:val="0"/>
      <w:szCs w:val="19"/>
    </w:rPr>
  </w:style>
  <w:style w:type="character" w:customStyle="1" w:styleId="52">
    <w:name w:val="标题 2 Char"/>
    <w:basedOn w:val="29"/>
    <w:link w:val="3"/>
    <w:qFormat/>
    <w:uiPriority w:val="0"/>
    <w:rPr>
      <w:b/>
      <w:bCs/>
      <w:kern w:val="2"/>
      <w:sz w:val="28"/>
      <w:szCs w:val="32"/>
    </w:rPr>
  </w:style>
  <w:style w:type="character" w:customStyle="1" w:styleId="53">
    <w:name w:val="标题 3 Char"/>
    <w:basedOn w:val="29"/>
    <w:link w:val="4"/>
    <w:qFormat/>
    <w:uiPriority w:val="0"/>
    <w:rPr>
      <w:b/>
      <w:bCs/>
      <w:kern w:val="2"/>
      <w:sz w:val="32"/>
      <w:szCs w:val="32"/>
    </w:rPr>
  </w:style>
  <w:style w:type="paragraph" w:customStyle="1" w:styleId="54">
    <w:name w:val="样式 标题 3 + (中文) 仿宋_GB2312 四号 非加粗 行距: 1.5 倍行距"/>
    <w:basedOn w:val="4"/>
    <w:qFormat/>
    <w:uiPriority w:val="0"/>
    <w:pPr>
      <w:spacing w:line="360" w:lineRule="auto"/>
    </w:pPr>
    <w:rPr>
      <w:bCs w:val="0"/>
      <w:color w:val="000000"/>
      <w:kern w:val="0"/>
      <w:sz w:val="28"/>
      <w:szCs w:val="20"/>
    </w:rPr>
  </w:style>
  <w:style w:type="paragraph" w:customStyle="1" w:styleId="55">
    <w:name w:val="4标题(治)"/>
    <w:basedOn w:val="1"/>
    <w:next w:val="1"/>
    <w:qFormat/>
    <w:uiPriority w:val="0"/>
    <w:pPr>
      <w:spacing w:line="460" w:lineRule="exact"/>
      <w:ind w:firstLine="520" w:firstLineChars="200"/>
    </w:pPr>
    <w:rPr>
      <w:bCs/>
      <w:sz w:val="26"/>
      <w:szCs w:val="26"/>
    </w:rPr>
  </w:style>
  <w:style w:type="paragraph" w:customStyle="1" w:styleId="56">
    <w:name w:val="报告正文"/>
    <w:basedOn w:val="1"/>
    <w:qFormat/>
    <w:uiPriority w:val="0"/>
    <w:pPr>
      <w:adjustRightInd w:val="0"/>
      <w:snapToGrid w:val="0"/>
      <w:spacing w:line="300" w:lineRule="auto"/>
    </w:pPr>
    <w:rPr>
      <w:rFonts w:ascii="宋体"/>
      <w:sz w:val="28"/>
      <w:szCs w:val="20"/>
    </w:rPr>
  </w:style>
  <w:style w:type="character" w:customStyle="1" w:styleId="57">
    <w:name w:val="副标题 Char"/>
    <w:basedOn w:val="29"/>
    <w:link w:val="22"/>
    <w:qFormat/>
    <w:uiPriority w:val="0"/>
    <w:rPr>
      <w:rFonts w:ascii="Cambria" w:hAnsi="Cambria" w:cs="Times New Roman"/>
      <w:b/>
      <w:bCs/>
      <w:kern w:val="28"/>
      <w:sz w:val="32"/>
      <w:szCs w:val="32"/>
    </w:rPr>
  </w:style>
  <w:style w:type="paragraph" w:customStyle="1" w:styleId="58">
    <w:name w:val="样式 标题 3 +"/>
    <w:basedOn w:val="4"/>
    <w:qFormat/>
    <w:uiPriority w:val="0"/>
    <w:pPr>
      <w:spacing w:before="20" w:after="20"/>
    </w:pPr>
    <w:rPr>
      <w:kern w:val="0"/>
    </w:rPr>
  </w:style>
  <w:style w:type="character" w:customStyle="1" w:styleId="59">
    <w:name w:val="标题 1 Char"/>
    <w:basedOn w:val="29"/>
    <w:link w:val="2"/>
    <w:qFormat/>
    <w:uiPriority w:val="0"/>
    <w:rPr>
      <w:b/>
      <w:bCs/>
      <w:kern w:val="44"/>
      <w:sz w:val="32"/>
      <w:szCs w:val="44"/>
    </w:rPr>
  </w:style>
  <w:style w:type="paragraph" w:customStyle="1" w:styleId="60">
    <w:name w:val="样式 标题 1 +"/>
    <w:basedOn w:val="2"/>
    <w:qFormat/>
    <w:uiPriority w:val="0"/>
    <w:rPr>
      <w:kern w:val="0"/>
    </w:rPr>
  </w:style>
  <w:style w:type="paragraph" w:customStyle="1" w:styleId="61">
    <w:name w:val="250/1"/>
    <w:basedOn w:val="60"/>
    <w:qFormat/>
    <w:uiPriority w:val="0"/>
    <w:pPr>
      <w:spacing w:line="480" w:lineRule="auto"/>
    </w:pPr>
    <w:rPr>
      <w:rFonts w:cs="宋体"/>
      <w:szCs w:val="20"/>
    </w:rPr>
  </w:style>
  <w:style w:type="paragraph" w:customStyle="1" w:styleId="62">
    <w:name w:val="样式 250/ 2节 + (中文) +中文正文 黑色 段前: 6 磅 段后: 6 磅 行距: 1.5 倍行距"/>
    <w:basedOn w:val="3"/>
    <w:qFormat/>
    <w:uiPriority w:val="0"/>
    <w:pPr>
      <w:spacing w:before="120" w:after="120" w:line="360" w:lineRule="auto"/>
    </w:pPr>
    <w:rPr>
      <w:rFonts w:cs="宋体"/>
      <w:color w:val="000000"/>
      <w:szCs w:val="20"/>
    </w:rPr>
  </w:style>
  <w:style w:type="character" w:customStyle="1" w:styleId="63">
    <w:name w:val="文档结构图 Char"/>
    <w:basedOn w:val="29"/>
    <w:link w:val="8"/>
    <w:qFormat/>
    <w:uiPriority w:val="0"/>
    <w:rPr>
      <w:rFonts w:ascii="宋体"/>
      <w:kern w:val="2"/>
      <w:sz w:val="18"/>
      <w:szCs w:val="18"/>
    </w:rPr>
  </w:style>
  <w:style w:type="paragraph" w:customStyle="1" w:styleId="64">
    <w:name w:val="样式 样式 标题 2 + (西文) Times New Roman (中文) 仿宋_GB2312 四号 行距: 1.5 倍行距 ..."/>
    <w:basedOn w:val="1"/>
    <w:link w:val="65"/>
    <w:qFormat/>
    <w:uiPriority w:val="0"/>
    <w:pPr>
      <w:keepNext/>
      <w:keepLines/>
      <w:spacing w:before="260" w:after="260" w:line="360" w:lineRule="auto"/>
      <w:outlineLvl w:val="1"/>
    </w:pPr>
    <w:rPr>
      <w:rFonts w:eastAsia="仿宋_GB2312" w:cs="宋体"/>
      <w:b/>
      <w:kern w:val="0"/>
      <w:sz w:val="30"/>
      <w:szCs w:val="20"/>
    </w:rPr>
  </w:style>
  <w:style w:type="character" w:customStyle="1" w:styleId="65">
    <w:name w:val="样式 样式 标题 2 + (西文) Times New Roman (中文) 仿宋_GB2312 四号 行距: 1.5 倍行距 ... Char"/>
    <w:basedOn w:val="29"/>
    <w:link w:val="64"/>
    <w:qFormat/>
    <w:uiPriority w:val="0"/>
    <w:rPr>
      <w:rFonts w:eastAsia="仿宋_GB2312" w:cs="宋体"/>
      <w:b/>
      <w:sz w:val="30"/>
    </w:rPr>
  </w:style>
  <w:style w:type="character" w:customStyle="1" w:styleId="66">
    <w:name w:val="纯文本 Char"/>
    <w:basedOn w:val="29"/>
    <w:link w:val="14"/>
    <w:qFormat/>
    <w:uiPriority w:val="0"/>
    <w:rPr>
      <w:rFonts w:ascii="宋体" w:hAnsi="Courier New" w:cs="Courier New"/>
      <w:kern w:val="2"/>
      <w:sz w:val="21"/>
      <w:szCs w:val="21"/>
    </w:rPr>
  </w:style>
  <w:style w:type="character" w:customStyle="1" w:styleId="67">
    <w:name w:val="纯文本 Char1"/>
    <w:basedOn w:val="29"/>
    <w:link w:val="14"/>
    <w:qFormat/>
    <w:uiPriority w:val="0"/>
    <w:rPr>
      <w:rFonts w:ascii="宋体" w:hAnsi="Courier New" w:cs="Courier New"/>
      <w:kern w:val="2"/>
      <w:sz w:val="21"/>
      <w:szCs w:val="21"/>
    </w:rPr>
  </w:style>
  <w:style w:type="paragraph" w:customStyle="1" w:styleId="68">
    <w:name w:val="Char"/>
    <w:basedOn w:val="1"/>
    <w:qFormat/>
    <w:uiPriority w:val="0"/>
  </w:style>
  <w:style w:type="paragraph" w:customStyle="1" w:styleId="69">
    <w:name w:val="Char2"/>
    <w:basedOn w:val="1"/>
    <w:qFormat/>
    <w:uiPriority w:val="0"/>
  </w:style>
  <w:style w:type="paragraph" w:customStyle="1" w:styleId="70">
    <w:name w:val="Char1"/>
    <w:basedOn w:val="1"/>
    <w:qFormat/>
    <w:uiPriority w:val="0"/>
  </w:style>
  <w:style w:type="paragraph" w:customStyle="1" w:styleId="71">
    <w:name w:val="TOC 标题1"/>
    <w:basedOn w:val="2"/>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72">
    <w:name w:val="报告表格"/>
    <w:basedOn w:val="1"/>
    <w:next w:val="1"/>
    <w:qFormat/>
    <w:uiPriority w:val="0"/>
    <w:pPr>
      <w:autoSpaceDE w:val="0"/>
      <w:autoSpaceDN w:val="0"/>
      <w:adjustRightInd w:val="0"/>
      <w:spacing w:line="318" w:lineRule="atLeast"/>
      <w:jc w:val="center"/>
      <w:textAlignment w:val="bottom"/>
    </w:pPr>
    <w:rPr>
      <w:kern w:val="0"/>
      <w:sz w:val="24"/>
      <w:szCs w:val="20"/>
    </w:rPr>
  </w:style>
  <w:style w:type="character" w:customStyle="1" w:styleId="73">
    <w:name w:val="正文文本缩进 Char"/>
    <w:basedOn w:val="29"/>
    <w:link w:val="12"/>
    <w:qFormat/>
    <w:uiPriority w:val="0"/>
    <w:rPr>
      <w:kern w:val="2"/>
      <w:sz w:val="21"/>
      <w:szCs w:val="24"/>
    </w:rPr>
  </w:style>
  <w:style w:type="character" w:customStyle="1" w:styleId="74">
    <w:name w:val="日期 Char"/>
    <w:basedOn w:val="29"/>
    <w:link w:val="16"/>
    <w:qFormat/>
    <w:uiPriority w:val="0"/>
    <w:rPr>
      <w:kern w:val="2"/>
      <w:sz w:val="21"/>
      <w:szCs w:val="24"/>
    </w:rPr>
  </w:style>
  <w:style w:type="paragraph" w:customStyle="1" w:styleId="75">
    <w:name w:val="Char3"/>
    <w:basedOn w:val="1"/>
    <w:qFormat/>
    <w:uiPriority w:val="0"/>
  </w:style>
  <w:style w:type="character" w:styleId="76">
    <w:name w:val="Placeholder Text"/>
    <w:basedOn w:val="29"/>
    <w:semiHidden/>
    <w:qFormat/>
    <w:uiPriority w:val="99"/>
    <w:rPr>
      <w:color w:val="808080"/>
    </w:rPr>
  </w:style>
  <w:style w:type="paragraph" w:customStyle="1" w:styleId="77">
    <w:name w:val="默认段落字体 Para Char"/>
    <w:basedOn w:val="1"/>
    <w:qFormat/>
    <w:uiPriority w:val="0"/>
    <w:rPr>
      <w:rFonts w:ascii="Tahoma" w:hAnsi="Tahoma"/>
      <w:sz w:val="24"/>
      <w:szCs w:val="20"/>
    </w:rPr>
  </w:style>
  <w:style w:type="table" w:customStyle="1" w:styleId="78">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79">
    <w:name w:val="Table Paragraph"/>
    <w:basedOn w:val="1"/>
    <w:qFormat/>
    <w:uiPriority w:val="1"/>
    <w:pPr>
      <w:autoSpaceDE w:val="0"/>
      <w:autoSpaceDN w:val="0"/>
      <w:jc w:val="left"/>
    </w:pPr>
    <w:rPr>
      <w:rFonts w:ascii="Noto Sans Mono CJK JP Regular" w:hAnsi="Noto Sans Mono CJK JP Regular" w:eastAsia="Noto Sans Mono CJK JP Regular" w:cs="Noto Sans Mono CJK JP Regular"/>
      <w:kern w:val="0"/>
      <w:sz w:val="22"/>
      <w:szCs w:val="22"/>
      <w:lang w:val="zh-CN" w:bidi="zh-CN"/>
    </w:rPr>
  </w:style>
  <w:style w:type="character" w:customStyle="1" w:styleId="80">
    <w:name w:val="批注文字 Char"/>
    <w:basedOn w:val="29"/>
    <w:link w:val="10"/>
    <w:qFormat/>
    <w:uiPriority w:val="0"/>
    <w:rPr>
      <w:kern w:val="2"/>
      <w:sz w:val="21"/>
      <w:szCs w:val="24"/>
    </w:rPr>
  </w:style>
  <w:style w:type="character" w:customStyle="1" w:styleId="81">
    <w:name w:val="批注主题 Char"/>
    <w:basedOn w:val="80"/>
    <w:link w:val="24"/>
    <w:qFormat/>
    <w:uiPriority w:val="0"/>
    <w:rPr>
      <w:b/>
      <w:bCs/>
    </w:rPr>
  </w:style>
  <w:style w:type="paragraph" w:customStyle="1" w:styleId="82">
    <w:name w:val="表中文字"/>
    <w:basedOn w:val="1"/>
    <w:qFormat/>
    <w:uiPriority w:val="0"/>
    <w:pPr>
      <w:adjustRightInd w:val="0"/>
      <w:snapToGrid w:val="0"/>
      <w:spacing w:line="240" w:lineRule="auto"/>
      <w:ind w:firstLine="0" w:firstLineChars="0"/>
      <w:jc w:val="center"/>
    </w:pPr>
    <w:rPr>
      <w:rFonts w:cs="TimesNewRomanPSMT"/>
      <w:bCs/>
      <w:snapToGrid w:val="0"/>
      <w:kern w:val="0"/>
      <w:sz w:val="21"/>
      <w:szCs w:val="21"/>
    </w:rPr>
  </w:style>
  <w:style w:type="paragraph" w:customStyle="1" w:styleId="83">
    <w:name w:val="表格格式"/>
    <w:basedOn w:val="1"/>
    <w:qFormat/>
    <w:uiPriority w:val="0"/>
    <w:pPr>
      <w:spacing w:line="240" w:lineRule="auto"/>
      <w:ind w:firstLine="0" w:firstLineChars="0"/>
      <w:jc w:val="center"/>
    </w:pPr>
    <w:rPr>
      <w:sz w:val="21"/>
    </w:rPr>
  </w:style>
  <w:style w:type="paragraph" w:customStyle="1" w:styleId="84">
    <w:name w:val="样式 表中文字 +"/>
    <w:basedOn w:val="1"/>
    <w:qFormat/>
    <w:uiPriority w:val="0"/>
    <w:pPr>
      <w:adjustRightInd w:val="0"/>
      <w:snapToGrid w:val="0"/>
      <w:spacing w:line="0" w:lineRule="atLeast"/>
      <w:jc w:val="center"/>
    </w:pPr>
    <w:rPr>
      <w:rFonts w:ascii="Times New Roman" w:hAnsi="Times New Roman"/>
      <w:kern w:val="0"/>
      <w:szCs w:val="21"/>
    </w:rPr>
  </w:style>
  <w:style w:type="paragraph" w:customStyle="1" w:styleId="85">
    <w:name w:val="新格式表"/>
    <w:basedOn w:val="1"/>
    <w:qFormat/>
    <w:uiPriority w:val="0"/>
    <w:pPr>
      <w:snapToGrid w:val="0"/>
      <w:spacing w:line="360" w:lineRule="exact"/>
      <w:jc w:val="center"/>
    </w:pPr>
    <w:rPr>
      <w:rFonts w:ascii="Times New Roman" w:hAnsi="Times New Roman"/>
      <w:b/>
      <w:bCs/>
      <w:szCs w:val="21"/>
    </w:rPr>
  </w:style>
  <w:style w:type="paragraph" w:customStyle="1" w:styleId="86">
    <w:name w:val="xl31"/>
    <w:basedOn w:val="1"/>
    <w:qFormat/>
    <w:uiPriority w:val="0"/>
    <w:pPr>
      <w:widowControl/>
      <w:spacing w:before="100" w:beforeAutospacing="1" w:after="100" w:afterAutospacing="1"/>
      <w:jc w:val="center"/>
    </w:pPr>
    <w:rPr>
      <w:rFonts w:ascii="Times New Roman" w:hAnsi="Times New Roman"/>
      <w:kern w:val="0"/>
      <w:sz w:val="24"/>
    </w:rPr>
  </w:style>
  <w:style w:type="paragraph" w:customStyle="1" w:styleId="87">
    <w:name w:val="无间隔1"/>
    <w:basedOn w:val="1"/>
    <w:next w:val="1"/>
    <w:qFormat/>
    <w:uiPriority w:val="1"/>
    <w:pPr>
      <w:spacing w:line="320" w:lineRule="atLeast"/>
      <w:ind w:firstLine="0" w:firstLineChars="0"/>
      <w:jc w:val="center"/>
    </w:pPr>
    <w:rPr>
      <w:kern w:val="0"/>
      <w:sz w:val="21"/>
      <w:szCs w:val="20"/>
    </w:rPr>
  </w:style>
  <w:style w:type="paragraph" w:customStyle="1" w:styleId="88">
    <w:name w:val="Table Text"/>
    <w:basedOn w:val="1"/>
    <w:semiHidden/>
    <w:qFormat/>
    <w:uiPriority w:val="0"/>
    <w:rPr>
      <w:rFonts w:ascii="宋体" w:hAnsi="宋体" w:eastAsia="宋体" w:cs="宋体"/>
      <w:sz w:val="20"/>
      <w:szCs w:val="20"/>
      <w:lang w:val="en-US" w:eastAsia="en-US" w:bidi="ar-SA"/>
    </w:rPr>
  </w:style>
  <w:style w:type="paragraph" w:customStyle="1" w:styleId="89">
    <w:name w:val="样式3"/>
    <w:basedOn w:val="1"/>
    <w:qFormat/>
    <w:uiPriority w:val="0"/>
    <w:pPr>
      <w:pBdr>
        <w:top w:val="single" w:color="auto" w:sz="4" w:space="1"/>
      </w:pBdr>
      <w:tabs>
        <w:tab w:val="center" w:pos="4153"/>
        <w:tab w:val="right" w:pos="8306"/>
      </w:tabs>
    </w:pPr>
    <w:rPr>
      <w:sz w:val="21"/>
    </w:rPr>
  </w:style>
  <w:style w:type="character" w:customStyle="1" w:styleId="90">
    <w:name w:val="shenbao"/>
    <w:basedOn w:val="29"/>
    <w:qFormat/>
    <w:uiPriority w:val="0"/>
    <w:rPr>
      <w:color w:val="EF6334"/>
    </w:rPr>
  </w:style>
  <w:style w:type="character" w:customStyle="1" w:styleId="91">
    <w:name w:val="chakan"/>
    <w:basedOn w:val="29"/>
    <w:qFormat/>
    <w:uiPriority w:val="0"/>
    <w:rPr>
      <w:color w:val="0064EA"/>
    </w:rPr>
  </w:style>
  <w:style w:type="character" w:customStyle="1" w:styleId="92">
    <w:name w:val="checkbox"/>
    <w:basedOn w:val="2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104"/>
    <customShpInfo spid="_x0000_s2108"/>
    <customShpInfo spid="_x0000_s2109"/>
    <customShpInfo spid="_x0000_s2110"/>
    <customShpInfo spid="_x0000_s2111"/>
    <customShpInfo spid="_x0000_s2112"/>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41C930-974F-445E-B4B9-EC82EA4D268B}">
  <ds:schemaRefs/>
</ds:datastoreItem>
</file>

<file path=docProps/app.xml><?xml version="1.0" encoding="utf-8"?>
<Properties xmlns="http://schemas.openxmlformats.org/officeDocument/2006/extended-properties" xmlns:vt="http://schemas.openxmlformats.org/officeDocument/2006/docPropsVTypes">
  <Template>Normal</Template>
  <Company>番茄花园</Company>
  <Pages>36</Pages>
  <Words>2797</Words>
  <Characters>15944</Characters>
  <Lines>132</Lines>
  <Paragraphs>37</Paragraphs>
  <TotalTime>11</TotalTime>
  <ScaleCrop>false</ScaleCrop>
  <LinksUpToDate>false</LinksUpToDate>
  <CharactersWithSpaces>18704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2018-06-12T17:06:00Z</dcterms:created>
  <dc:creator>Administrator</dc:creator>
  <cp:lastModifiedBy>柳慧敏</cp:lastModifiedBy>
  <cp:lastPrinted>2018-02-02T07:18:00Z</cp:lastPrinted>
  <dcterms:modified xsi:type="dcterms:W3CDTF">2024-01-22T06:26:34Z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0A7F54EFDC7A44108E2E44E9D596C5C5_12</vt:lpwstr>
  </property>
</Properties>
</file>