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Pr>
        <w:keepNext w:val="0"/>
        <w:keepLines w:val="0"/>
        <w:widowControl/>
        <w:suppressLineNumbers w:val="0"/>
        <w:jc w:val="center"/>
        <w:rPr>
          <w:rFonts w:hint="eastAsia" w:ascii="宋体" w:hAnsi="宋体" w:eastAsia="宋体" w:cs="宋体"/>
          <w:b/>
          <w:color w:val="000000"/>
          <w:kern w:val="0"/>
          <w:sz w:val="72"/>
          <w:szCs w:val="72"/>
          <w:lang w:val="en-US" w:eastAsia="zh-CN" w:bidi="ar"/>
        </w:rPr>
      </w:pPr>
    </w:p>
    <w:p>
      <w:pPr>
        <w:keepNext w:val="0"/>
        <w:keepLines w:val="0"/>
        <w:widowControl/>
        <w:suppressLineNumbers w:val="0"/>
        <w:jc w:val="center"/>
        <w:rPr>
          <w:rFonts w:hint="eastAsia" w:ascii="宋体" w:hAnsi="宋体" w:eastAsia="宋体" w:cs="宋体"/>
          <w:b/>
          <w:color w:val="000000"/>
          <w:kern w:val="0"/>
          <w:sz w:val="72"/>
          <w:szCs w:val="72"/>
          <w:lang w:val="en-US" w:eastAsia="zh-CN" w:bidi="ar"/>
        </w:rPr>
      </w:pPr>
    </w:p>
    <w:p>
      <w:pPr>
        <w:keepNext w:val="0"/>
        <w:keepLines w:val="0"/>
        <w:widowControl/>
        <w:suppressLineNumbers w:val="0"/>
        <w:jc w:val="center"/>
      </w:pPr>
      <w:r>
        <w:rPr>
          <w:rFonts w:hint="eastAsia" w:ascii="宋体" w:hAnsi="宋体" w:eastAsia="宋体" w:cs="宋体"/>
          <w:b/>
          <w:color w:val="000000"/>
          <w:kern w:val="0"/>
          <w:sz w:val="72"/>
          <w:szCs w:val="72"/>
          <w:lang w:val="en-US" w:eastAsia="zh-CN" w:bidi="ar"/>
        </w:rPr>
        <w:t>建设项目竣工环境保护</w:t>
      </w:r>
    </w:p>
    <w:p>
      <w:pPr>
        <w:keepNext w:val="0"/>
        <w:keepLines w:val="0"/>
        <w:widowControl/>
        <w:suppressLineNumbers w:val="0"/>
        <w:jc w:val="center"/>
        <w:rPr>
          <w:rFonts w:hint="eastAsia" w:ascii="宋体" w:hAnsi="宋体" w:eastAsia="宋体" w:cs="宋体"/>
          <w:b/>
          <w:color w:val="000000"/>
          <w:kern w:val="0"/>
          <w:sz w:val="72"/>
          <w:szCs w:val="72"/>
          <w:lang w:val="en-US" w:eastAsia="zh-CN" w:bidi="ar"/>
        </w:rPr>
      </w:pPr>
      <w:r>
        <w:rPr>
          <w:rFonts w:hint="eastAsia" w:ascii="宋体" w:hAnsi="宋体" w:eastAsia="宋体" w:cs="宋体"/>
          <w:b/>
          <w:color w:val="000000"/>
          <w:kern w:val="0"/>
          <w:sz w:val="72"/>
          <w:szCs w:val="72"/>
          <w:lang w:val="en-US" w:eastAsia="zh-CN" w:bidi="ar"/>
        </w:rPr>
        <w:t>验收监测报告表</w:t>
      </w:r>
    </w:p>
    <w:p>
      <w:pPr>
        <w:keepNext w:val="0"/>
        <w:keepLines w:val="0"/>
        <w:widowControl/>
        <w:suppressLineNumbers w:val="0"/>
        <w:jc w:val="center"/>
        <w:rPr>
          <w:rFonts w:hint="eastAsia" w:ascii="宋体" w:hAnsi="宋体" w:eastAsia="宋体" w:cs="宋体"/>
          <w:b/>
          <w:color w:val="000000"/>
          <w:kern w:val="0"/>
          <w:sz w:val="72"/>
          <w:szCs w:val="72"/>
          <w:lang w:val="en-US" w:eastAsia="zh-CN" w:bidi="ar"/>
        </w:rPr>
      </w:pPr>
    </w:p>
    <w:p>
      <w:pPr>
        <w:keepNext w:val="0"/>
        <w:keepLines w:val="0"/>
        <w:widowControl/>
        <w:suppressLineNumbers w:val="0"/>
        <w:jc w:val="left"/>
        <w:rPr>
          <w:rFonts w:hint="eastAsia" w:ascii="宋体" w:hAnsi="宋体" w:eastAsia="宋体" w:cs="宋体"/>
          <w:b/>
          <w:color w:val="000000"/>
          <w:kern w:val="0"/>
          <w:sz w:val="72"/>
          <w:szCs w:val="72"/>
          <w:lang w:val="en-US" w:eastAsia="zh-CN" w:bidi="ar"/>
        </w:rPr>
      </w:pPr>
    </w:p>
    <w:p>
      <w:pPr>
        <w:keepNext w:val="0"/>
        <w:keepLines w:val="0"/>
        <w:widowControl/>
        <w:suppressLineNumbers w:val="0"/>
        <w:jc w:val="left"/>
        <w:rPr>
          <w:rFonts w:hint="eastAsia" w:ascii="宋体" w:hAnsi="宋体" w:eastAsia="宋体" w:cs="宋体"/>
          <w:b/>
          <w:color w:val="000000"/>
          <w:kern w:val="0"/>
          <w:sz w:val="72"/>
          <w:szCs w:val="72"/>
          <w:lang w:val="en-US" w:eastAsia="zh-CN" w:bidi="ar"/>
        </w:rPr>
      </w:pPr>
    </w:p>
    <w:p>
      <w:pPr>
        <w:keepNext w:val="0"/>
        <w:keepLines w:val="0"/>
        <w:widowControl/>
        <w:suppressLineNumbers w:val="0"/>
        <w:jc w:val="left"/>
        <w:rPr>
          <w:rFonts w:hint="eastAsia" w:ascii="宋体" w:hAnsi="宋体" w:eastAsia="宋体" w:cs="宋体"/>
          <w:b/>
          <w:color w:val="000000"/>
          <w:kern w:val="0"/>
          <w:sz w:val="72"/>
          <w:szCs w:val="72"/>
          <w:lang w:val="en-US" w:eastAsia="zh-CN" w:bidi="ar"/>
        </w:rPr>
      </w:pPr>
    </w:p>
    <w:p>
      <w:pPr>
        <w:ind w:left="2111" w:leftChars="145" w:hanging="1807" w:hangingChars="600"/>
        <w:jc w:val="both"/>
        <w:rPr>
          <w:rFonts w:hint="eastAsia" w:ascii="宋体" w:hAnsi="宋体" w:eastAsia="宋体" w:cs="宋体"/>
          <w:b/>
          <w:color w:val="000000"/>
          <w:kern w:val="0"/>
          <w:sz w:val="30"/>
          <w:szCs w:val="30"/>
          <w:u w:val="single"/>
          <w:lang w:val="en-US" w:eastAsia="zh-CN" w:bidi="ar"/>
        </w:rPr>
      </w:pPr>
      <w:r>
        <w:rPr>
          <w:rFonts w:hint="eastAsia" w:ascii="宋体" w:hAnsi="宋体" w:eastAsia="宋体" w:cs="宋体"/>
          <w:b/>
          <w:color w:val="000000"/>
          <w:kern w:val="0"/>
          <w:sz w:val="30"/>
          <w:szCs w:val="30"/>
          <w:lang w:val="en-US" w:eastAsia="zh-CN" w:bidi="ar"/>
        </w:rPr>
        <w:t>建设项目名称：</w:t>
      </w:r>
      <w:r>
        <w:rPr>
          <w:rFonts w:hint="eastAsia" w:ascii="宋体" w:hAnsi="宋体" w:cs="宋体"/>
          <w:b/>
          <w:color w:val="000000"/>
          <w:kern w:val="0"/>
          <w:sz w:val="30"/>
          <w:szCs w:val="30"/>
          <w:u w:val="single"/>
          <w:lang w:val="en-US" w:eastAsia="zh-CN" w:bidi="ar"/>
        </w:rPr>
        <w:t xml:space="preserve"> 重庆渝顺投资有限公司顺洁加油站</w:t>
      </w:r>
      <w:r>
        <w:rPr>
          <w:rFonts w:hint="eastAsia" w:ascii="宋体" w:hAnsi="宋体" w:eastAsia="宋体" w:cs="宋体"/>
          <w:b/>
          <w:color w:val="000000"/>
          <w:kern w:val="0"/>
          <w:sz w:val="30"/>
          <w:szCs w:val="30"/>
          <w:u w:val="single"/>
          <w:lang w:val="en-US" w:eastAsia="zh-CN" w:bidi="ar"/>
        </w:rPr>
        <w:t xml:space="preserve"> </w:t>
      </w:r>
    </w:p>
    <w:p>
      <w:pPr>
        <w:ind w:firstLine="301" w:firstLineChars="100"/>
        <w:jc w:val="both"/>
        <w:rPr>
          <w:rFonts w:hint="default" w:ascii="宋体" w:hAnsi="宋体" w:eastAsia="宋体" w:cs="宋体"/>
          <w:b/>
          <w:color w:val="000000"/>
          <w:kern w:val="0"/>
          <w:sz w:val="30"/>
          <w:szCs w:val="30"/>
          <w:u w:val="single"/>
          <w:lang w:val="en-US" w:eastAsia="zh-CN" w:bidi="ar"/>
        </w:rPr>
      </w:pPr>
      <w:r>
        <w:rPr>
          <w:rFonts w:hint="eastAsia" w:ascii="宋体" w:hAnsi="宋体" w:eastAsia="宋体" w:cs="宋体"/>
          <w:b/>
          <w:color w:val="000000"/>
          <w:kern w:val="0"/>
          <w:sz w:val="30"/>
          <w:szCs w:val="30"/>
          <w:lang w:val="en-US" w:eastAsia="zh-CN" w:bidi="ar"/>
        </w:rPr>
        <w:t>建</w:t>
      </w:r>
      <w:r>
        <w:rPr>
          <w:rFonts w:hint="eastAsia" w:ascii="宋体" w:hAnsi="宋体" w:cs="宋体"/>
          <w:b/>
          <w:color w:val="000000"/>
          <w:kern w:val="0"/>
          <w:sz w:val="30"/>
          <w:szCs w:val="30"/>
          <w:lang w:val="en-US" w:eastAsia="zh-CN" w:bidi="ar"/>
        </w:rPr>
        <w:t xml:space="preserve"> </w:t>
      </w:r>
      <w:r>
        <w:rPr>
          <w:rFonts w:hint="eastAsia" w:ascii="宋体" w:hAnsi="宋体" w:eastAsia="宋体" w:cs="宋体"/>
          <w:b/>
          <w:color w:val="000000"/>
          <w:kern w:val="0"/>
          <w:sz w:val="30"/>
          <w:szCs w:val="30"/>
          <w:lang w:val="en-US" w:eastAsia="zh-CN" w:bidi="ar"/>
        </w:rPr>
        <w:t>设</w:t>
      </w:r>
      <w:r>
        <w:rPr>
          <w:rFonts w:hint="eastAsia" w:ascii="宋体" w:hAnsi="宋体" w:cs="宋体"/>
          <w:b/>
          <w:color w:val="000000"/>
          <w:kern w:val="0"/>
          <w:sz w:val="30"/>
          <w:szCs w:val="30"/>
          <w:lang w:val="en-US" w:eastAsia="zh-CN" w:bidi="ar"/>
        </w:rPr>
        <w:t xml:space="preserve"> </w:t>
      </w:r>
      <w:r>
        <w:rPr>
          <w:rFonts w:hint="eastAsia" w:ascii="宋体" w:hAnsi="宋体" w:eastAsia="宋体" w:cs="宋体"/>
          <w:b/>
          <w:color w:val="000000"/>
          <w:kern w:val="0"/>
          <w:sz w:val="30"/>
          <w:szCs w:val="30"/>
          <w:lang w:val="en-US" w:eastAsia="zh-CN" w:bidi="ar"/>
        </w:rPr>
        <w:t>单</w:t>
      </w:r>
      <w:r>
        <w:rPr>
          <w:rFonts w:hint="eastAsia" w:ascii="宋体" w:hAnsi="宋体" w:cs="宋体"/>
          <w:b/>
          <w:color w:val="000000"/>
          <w:kern w:val="0"/>
          <w:sz w:val="30"/>
          <w:szCs w:val="30"/>
          <w:lang w:val="en-US" w:eastAsia="zh-CN" w:bidi="ar"/>
        </w:rPr>
        <w:t xml:space="preserve"> </w:t>
      </w:r>
      <w:r>
        <w:rPr>
          <w:rFonts w:hint="eastAsia" w:ascii="宋体" w:hAnsi="宋体" w:eastAsia="宋体" w:cs="宋体"/>
          <w:b/>
          <w:color w:val="000000"/>
          <w:kern w:val="0"/>
          <w:sz w:val="30"/>
          <w:szCs w:val="30"/>
          <w:lang w:val="en-US" w:eastAsia="zh-CN" w:bidi="ar"/>
        </w:rPr>
        <w:t>位</w:t>
      </w:r>
      <w:r>
        <w:rPr>
          <w:rFonts w:hint="eastAsia" w:ascii="宋体" w:hAnsi="宋体" w:cs="宋体"/>
          <w:b/>
          <w:color w:val="000000"/>
          <w:kern w:val="0"/>
          <w:sz w:val="30"/>
          <w:szCs w:val="30"/>
          <w:lang w:val="en-US" w:eastAsia="zh-CN" w:bidi="ar"/>
        </w:rPr>
        <w:t xml:space="preserve"> </w:t>
      </w:r>
      <w:r>
        <w:rPr>
          <w:rFonts w:hint="eastAsia" w:ascii="宋体" w:hAnsi="宋体" w:eastAsia="宋体" w:cs="宋体"/>
          <w:b/>
          <w:color w:val="000000"/>
          <w:kern w:val="0"/>
          <w:sz w:val="30"/>
          <w:szCs w:val="30"/>
          <w:lang w:val="en-US" w:eastAsia="zh-CN" w:bidi="ar"/>
        </w:rPr>
        <w:t>：</w:t>
      </w:r>
      <w:r>
        <w:rPr>
          <w:rFonts w:hint="eastAsia" w:ascii="宋体" w:hAnsi="宋体" w:cs="宋体"/>
          <w:b/>
          <w:color w:val="000000"/>
          <w:kern w:val="0"/>
          <w:sz w:val="30"/>
          <w:szCs w:val="30"/>
          <w:u w:val="single"/>
          <w:lang w:val="en-US" w:eastAsia="zh-CN" w:bidi="ar"/>
        </w:rPr>
        <w:t xml:space="preserve">    重庆渝顺投资有限公司        </w:t>
      </w:r>
    </w:p>
    <w:p>
      <w:pPr>
        <w:keepNext w:val="0"/>
        <w:keepLines w:val="0"/>
        <w:widowControl/>
        <w:suppressLineNumbers w:val="0"/>
        <w:jc w:val="both"/>
        <w:rPr>
          <w:sz w:val="30"/>
          <w:szCs w:val="30"/>
        </w:rPr>
      </w:pPr>
    </w:p>
    <w:p>
      <w:pPr>
        <w:keepNext w:val="0"/>
        <w:keepLines w:val="0"/>
        <w:widowControl/>
        <w:suppressLineNumbers w:val="0"/>
        <w:jc w:val="both"/>
        <w:rPr>
          <w:sz w:val="30"/>
          <w:szCs w:val="30"/>
        </w:rPr>
      </w:pPr>
    </w:p>
    <w:p>
      <w:pPr>
        <w:jc w:val="center"/>
        <w:rPr>
          <w:rFonts w:hint="eastAsia" w:ascii="宋体" w:hAnsi="宋体" w:eastAsia="宋体" w:cs="宋体"/>
          <w:b/>
          <w:color w:val="000000"/>
          <w:kern w:val="0"/>
          <w:sz w:val="30"/>
          <w:szCs w:val="30"/>
          <w:lang w:val="en-US" w:eastAsia="zh-CN" w:bidi="ar"/>
        </w:rPr>
      </w:pPr>
    </w:p>
    <w:p>
      <w:pPr>
        <w:jc w:val="center"/>
        <w:rPr>
          <w:rFonts w:hint="default" w:ascii="宋体" w:hAnsi="宋体" w:eastAsia="宋体" w:cs="宋体"/>
          <w:b/>
          <w:color w:val="000000"/>
          <w:kern w:val="0"/>
          <w:sz w:val="30"/>
          <w:szCs w:val="30"/>
          <w:lang w:val="en-US" w:eastAsia="zh-CN" w:bidi="ar"/>
        </w:rPr>
      </w:pPr>
      <w:r>
        <w:rPr>
          <w:rFonts w:hint="eastAsia" w:ascii="宋体" w:hAnsi="宋体" w:eastAsia="宋体" w:cs="宋体"/>
          <w:b/>
          <w:color w:val="000000"/>
          <w:kern w:val="0"/>
          <w:sz w:val="30"/>
          <w:szCs w:val="30"/>
          <w:lang w:val="en-US" w:eastAsia="zh-CN" w:bidi="ar"/>
        </w:rPr>
        <w:t>202</w:t>
      </w:r>
      <w:r>
        <w:rPr>
          <w:rFonts w:hint="eastAsia" w:ascii="宋体" w:hAnsi="宋体" w:cs="宋体"/>
          <w:b/>
          <w:color w:val="000000"/>
          <w:kern w:val="0"/>
          <w:sz w:val="30"/>
          <w:szCs w:val="30"/>
          <w:lang w:val="en-US" w:eastAsia="zh-CN" w:bidi="ar"/>
        </w:rPr>
        <w:t>4</w:t>
      </w:r>
      <w:r>
        <w:rPr>
          <w:rFonts w:hint="eastAsia" w:ascii="宋体" w:hAnsi="宋体" w:eastAsia="宋体" w:cs="宋体"/>
          <w:b/>
          <w:color w:val="000000"/>
          <w:kern w:val="0"/>
          <w:sz w:val="30"/>
          <w:szCs w:val="30"/>
          <w:lang w:val="en-US" w:eastAsia="zh-CN" w:bidi="ar"/>
        </w:rPr>
        <w:t>年</w:t>
      </w:r>
      <w:r>
        <w:rPr>
          <w:rFonts w:hint="eastAsia" w:ascii="宋体" w:hAnsi="宋体" w:cs="宋体"/>
          <w:b/>
          <w:color w:val="000000"/>
          <w:kern w:val="0"/>
          <w:sz w:val="30"/>
          <w:szCs w:val="30"/>
          <w:lang w:val="en-US" w:eastAsia="zh-CN" w:bidi="ar"/>
        </w:rPr>
        <w:t>2</w:t>
      </w:r>
      <w:r>
        <w:rPr>
          <w:rFonts w:hint="eastAsia" w:ascii="宋体" w:hAnsi="宋体" w:eastAsia="宋体" w:cs="宋体"/>
          <w:b/>
          <w:color w:val="000000"/>
          <w:kern w:val="0"/>
          <w:sz w:val="30"/>
          <w:szCs w:val="30"/>
          <w:lang w:val="en-US" w:eastAsia="zh-CN" w:bidi="ar"/>
        </w:rPr>
        <w:t>月</w:t>
      </w:r>
    </w:p>
    <w:p>
      <w:pPr>
        <w:keepNext w:val="0"/>
        <w:keepLines w:val="0"/>
        <w:widowControl/>
        <w:suppressLineNumbers w:val="0"/>
        <w:jc w:val="center"/>
        <w:rPr>
          <w:rFonts w:hint="eastAsia" w:ascii="宋体" w:hAnsi="宋体" w:eastAsia="宋体" w:cs="宋体"/>
          <w:b/>
          <w:color w:val="000000"/>
          <w:kern w:val="0"/>
          <w:sz w:val="28"/>
          <w:szCs w:val="28"/>
          <w:lang w:val="en-US" w:eastAsia="zh-CN" w:bidi="ar"/>
        </w:rPr>
        <w:sectPr>
          <w:pgSz w:w="11906" w:h="16838"/>
          <w:pgMar w:top="1440" w:right="1800" w:bottom="1440" w:left="1800" w:header="851" w:footer="992" w:gutter="0"/>
          <w:cols w:space="425" w:num="1"/>
          <w:docGrid w:type="lines" w:linePitch="312" w:charSpace="0"/>
        </w:sectPr>
      </w:pPr>
    </w:p>
    <w:p>
      <w:pPr>
        <w:spacing w:line="600" w:lineRule="auto"/>
        <w:ind w:firstLine="562" w:firstLineChars="200"/>
        <w:rPr>
          <w:b/>
          <w:sz w:val="28"/>
          <w:szCs w:val="28"/>
        </w:rPr>
      </w:pPr>
      <w:bookmarkStart w:id="0" w:name="_Toc130912622"/>
    </w:p>
    <w:p>
      <w:pPr>
        <w:spacing w:line="600" w:lineRule="auto"/>
        <w:ind w:left="559" w:leftChars="266" w:firstLine="0" w:firstLineChars="0"/>
        <w:rPr>
          <w:rFonts w:hint="eastAsia"/>
          <w:b/>
          <w:sz w:val="28"/>
          <w:szCs w:val="28"/>
          <w:lang w:eastAsia="zh-CN"/>
        </w:rPr>
      </w:pPr>
      <w:r>
        <w:rPr>
          <w:rFonts w:hint="eastAsia"/>
          <w:b/>
          <w:sz w:val="28"/>
          <w:szCs w:val="28"/>
        </w:rPr>
        <w:t>建设单位:</w:t>
      </w:r>
      <w:r>
        <w:rPr>
          <w:rFonts w:hint="eastAsia"/>
          <w:b/>
          <w:sz w:val="28"/>
          <w:szCs w:val="28"/>
          <w:lang w:eastAsia="zh-CN"/>
        </w:rPr>
        <w:t>重庆渝顺投资有限公司</w:t>
      </w:r>
    </w:p>
    <w:p>
      <w:pPr>
        <w:spacing w:line="600" w:lineRule="auto"/>
        <w:ind w:left="559" w:leftChars="266" w:firstLine="0" w:firstLineChars="0"/>
        <w:rPr>
          <w:rFonts w:hint="eastAsia" w:eastAsia="宋体"/>
          <w:b/>
          <w:sz w:val="28"/>
          <w:szCs w:val="28"/>
          <w:lang w:eastAsia="zh-CN"/>
        </w:rPr>
      </w:pPr>
      <w:r>
        <w:rPr>
          <w:rFonts w:hint="eastAsia"/>
          <w:b/>
          <w:sz w:val="28"/>
          <w:szCs w:val="28"/>
        </w:rPr>
        <w:t xml:space="preserve">法人代表: </w:t>
      </w:r>
      <w:r>
        <w:rPr>
          <w:rFonts w:hint="eastAsia"/>
          <w:b/>
          <w:sz w:val="28"/>
          <w:szCs w:val="28"/>
          <w:lang w:eastAsia="zh-CN"/>
        </w:rPr>
        <w:t>杨东亮</w:t>
      </w:r>
    </w:p>
    <w:p>
      <w:pPr>
        <w:spacing w:line="600" w:lineRule="auto"/>
        <w:ind w:firstLine="562" w:firstLineChars="200"/>
        <w:rPr>
          <w:b/>
          <w:sz w:val="28"/>
          <w:szCs w:val="28"/>
        </w:rPr>
      </w:pPr>
    </w:p>
    <w:p>
      <w:pPr>
        <w:spacing w:before="100" w:beforeAutospacing="1" w:after="100" w:afterAutospacing="1"/>
        <w:ind w:firstLine="562" w:firstLineChars="200"/>
        <w:jc w:val="left"/>
        <w:rPr>
          <w:rFonts w:hint="eastAsia" w:eastAsia="宋体"/>
          <w:b/>
          <w:sz w:val="28"/>
          <w:szCs w:val="28"/>
          <w:lang w:eastAsia="zh-CN"/>
        </w:rPr>
      </w:pPr>
      <w:r>
        <w:rPr>
          <w:rFonts w:hint="eastAsia"/>
          <w:b/>
          <w:sz w:val="28"/>
          <w:szCs w:val="28"/>
        </w:rPr>
        <w:t>编制单位：</w:t>
      </w:r>
      <w:r>
        <w:rPr>
          <w:rFonts w:hint="eastAsia"/>
          <w:b/>
          <w:spacing w:val="10"/>
          <w:sz w:val="28"/>
          <w:szCs w:val="28"/>
          <w:lang w:eastAsia="zh-CN"/>
        </w:rPr>
        <w:t>重庆万世缘环保科技有限公司</w:t>
      </w:r>
    </w:p>
    <w:p>
      <w:pPr>
        <w:spacing w:line="360" w:lineRule="auto"/>
        <w:ind w:firstLine="562" w:firstLineChars="200"/>
        <w:rPr>
          <w:rFonts w:hint="eastAsia"/>
          <w:b/>
          <w:sz w:val="28"/>
          <w:szCs w:val="28"/>
        </w:rPr>
      </w:pPr>
      <w:r>
        <w:rPr>
          <w:rFonts w:hint="eastAsia"/>
          <w:b/>
          <w:sz w:val="28"/>
          <w:szCs w:val="28"/>
        </w:rPr>
        <w:t>法人代表：徐</w:t>
      </w:r>
      <w:r>
        <w:rPr>
          <w:rFonts w:hint="eastAsia"/>
          <w:b/>
          <w:sz w:val="28"/>
          <w:szCs w:val="28"/>
          <w:lang w:eastAsia="zh-CN"/>
        </w:rPr>
        <w:t>国庆</w:t>
      </w:r>
      <w:r>
        <w:rPr>
          <w:rFonts w:hint="eastAsia"/>
          <w:b/>
          <w:sz w:val="28"/>
          <w:szCs w:val="28"/>
        </w:rPr>
        <w:t xml:space="preserve"> </w:t>
      </w:r>
    </w:p>
    <w:p>
      <w:pPr>
        <w:spacing w:line="360" w:lineRule="auto"/>
        <w:rPr>
          <w:sz w:val="28"/>
        </w:rPr>
      </w:pPr>
    </w:p>
    <w:p>
      <w:pPr>
        <w:spacing w:line="360" w:lineRule="auto"/>
        <w:rPr>
          <w:sz w:val="28"/>
        </w:rPr>
      </w:pPr>
    </w:p>
    <w:p>
      <w:pPr>
        <w:spacing w:line="360" w:lineRule="auto"/>
        <w:rPr>
          <w:sz w:val="28"/>
        </w:rPr>
      </w:pPr>
    </w:p>
    <w:p>
      <w:pPr>
        <w:spacing w:line="360" w:lineRule="auto"/>
        <w:rPr>
          <w:sz w:val="28"/>
        </w:rPr>
      </w:pPr>
    </w:p>
    <w:p>
      <w:pPr>
        <w:spacing w:line="360" w:lineRule="auto"/>
        <w:rPr>
          <w:sz w:val="28"/>
        </w:rPr>
      </w:pPr>
    </w:p>
    <w:p>
      <w:pPr>
        <w:widowControl/>
        <w:jc w:val="left"/>
        <w:rPr>
          <w:sz w:val="36"/>
        </w:rPr>
      </w:pPr>
    </w:p>
    <w:p>
      <w:pPr>
        <w:widowControl/>
        <w:jc w:val="left"/>
        <w:rPr>
          <w:sz w:val="36"/>
        </w:rPr>
      </w:pPr>
    </w:p>
    <w:p>
      <w:pPr>
        <w:pStyle w:val="36"/>
        <w:rPr>
          <w:sz w:val="36"/>
        </w:rPr>
      </w:pPr>
    </w:p>
    <w:p>
      <w:pPr>
        <w:pStyle w:val="36"/>
        <w:rPr>
          <w:sz w:val="36"/>
        </w:rPr>
      </w:pPr>
    </w:p>
    <w:p>
      <w:pPr>
        <w:pStyle w:val="36"/>
        <w:rPr>
          <w:sz w:val="36"/>
        </w:rPr>
      </w:pPr>
    </w:p>
    <w:p>
      <w:pPr>
        <w:widowControl/>
        <w:jc w:val="left"/>
        <w:rPr>
          <w:sz w:val="36"/>
        </w:rPr>
      </w:pPr>
    </w:p>
    <w:tbl>
      <w:tblPr>
        <w:tblStyle w:val="27"/>
        <w:tblW w:w="974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70"/>
        <w:gridCol w:w="46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5070" w:type="dxa"/>
          </w:tcPr>
          <w:p>
            <w:pPr>
              <w:spacing w:line="500" w:lineRule="exact"/>
              <w:ind w:left="280" w:right="105" w:rightChars="50" w:hanging="280" w:hangingChars="100"/>
              <w:jc w:val="left"/>
              <w:rPr>
                <w:rFonts w:hint="eastAsia" w:eastAsia="宋体"/>
                <w:sz w:val="28"/>
                <w:lang w:eastAsia="zh-CN"/>
              </w:rPr>
            </w:pPr>
            <w:r>
              <w:rPr>
                <w:rFonts w:hint="eastAsia"/>
                <w:sz w:val="28"/>
              </w:rPr>
              <w:t>建设单位</w:t>
            </w:r>
            <w:r>
              <w:rPr>
                <w:rFonts w:hint="eastAsia"/>
                <w:sz w:val="28"/>
                <w:lang w:eastAsia="zh-CN"/>
              </w:rPr>
              <w:t>：重庆渝顺投资有限公司（盖章）</w:t>
            </w:r>
          </w:p>
        </w:tc>
        <w:tc>
          <w:tcPr>
            <w:tcW w:w="4677" w:type="dxa"/>
          </w:tcPr>
          <w:p>
            <w:pPr>
              <w:spacing w:line="500" w:lineRule="exact"/>
              <w:ind w:left="1288" w:hanging="1288" w:hangingChars="460"/>
              <w:rPr>
                <w:rFonts w:hint="eastAsia" w:eastAsia="宋体"/>
                <w:sz w:val="28"/>
                <w:lang w:eastAsia="zh-CN"/>
              </w:rPr>
            </w:pPr>
            <w:r>
              <w:rPr>
                <w:rFonts w:hint="eastAsia"/>
                <w:sz w:val="28"/>
              </w:rPr>
              <w:t>编制单位</w:t>
            </w:r>
            <w:r>
              <w:rPr>
                <w:rFonts w:hint="eastAsia"/>
                <w:sz w:val="28"/>
                <w:lang w:eastAsia="zh-CN"/>
              </w:rPr>
              <w:t>：重庆万世缘环保科技有限公司（盖章）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5070" w:type="dxa"/>
          </w:tcPr>
          <w:p>
            <w:pPr>
              <w:spacing w:line="500" w:lineRule="exact"/>
              <w:ind w:right="105" w:rightChars="50"/>
              <w:rPr>
                <w:rFonts w:hint="eastAsia" w:ascii="Times New Roman" w:hAnsi="Times New Roman" w:eastAsia="宋体" w:cs="Times New Roman"/>
                <w:sz w:val="28"/>
              </w:rPr>
            </w:pPr>
            <w:r>
              <w:rPr>
                <w:rFonts w:hint="eastAsia" w:ascii="Times New Roman" w:hAnsi="Times New Roman" w:eastAsia="宋体" w:cs="Times New Roman"/>
                <w:sz w:val="28"/>
              </w:rPr>
              <w:t>电话</w:t>
            </w:r>
            <w:r>
              <w:rPr>
                <w:rFonts w:hint="eastAsia" w:ascii="Times New Roman" w:hAnsi="Times New Roman" w:eastAsia="宋体" w:cs="Times New Roman"/>
                <w:sz w:val="28"/>
                <w:lang w:eastAsia="zh-CN"/>
              </w:rPr>
              <w:t>：</w:t>
            </w:r>
            <w:r>
              <w:rPr>
                <w:rFonts w:hint="default" w:ascii="Times New Roman" w:hAnsi="Times New Roman" w:eastAsia="宋体" w:cs="Times New Roman"/>
                <w:sz w:val="28"/>
                <w:lang w:val="en-US" w:eastAsia="zh-CN"/>
              </w:rPr>
              <w:t>13594101682</w:t>
            </w:r>
          </w:p>
        </w:tc>
        <w:tc>
          <w:tcPr>
            <w:tcW w:w="4677" w:type="dxa"/>
          </w:tcPr>
          <w:p>
            <w:pPr>
              <w:spacing w:line="500" w:lineRule="exact"/>
              <w:ind w:right="105" w:rightChars="50"/>
              <w:rPr>
                <w:sz w:val="28"/>
              </w:rPr>
            </w:pPr>
            <w:r>
              <w:rPr>
                <w:rFonts w:hint="eastAsia"/>
                <w:sz w:val="28"/>
              </w:rPr>
              <w:t>电话</w:t>
            </w:r>
            <w:r>
              <w:rPr>
                <w:rFonts w:hint="eastAsia"/>
                <w:sz w:val="28"/>
                <w:lang w:eastAsia="zh-CN"/>
              </w:rPr>
              <w:t>：</w:t>
            </w:r>
            <w:r>
              <w:rPr>
                <w:rFonts w:hint="eastAsia"/>
                <w:sz w:val="28"/>
              </w:rPr>
              <w:t>58600211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5070" w:type="dxa"/>
          </w:tcPr>
          <w:p>
            <w:pPr>
              <w:spacing w:line="500" w:lineRule="exact"/>
              <w:ind w:right="105" w:rightChars="50"/>
              <w:rPr>
                <w:rFonts w:hint="eastAsia" w:ascii="Times New Roman" w:hAnsi="Times New Roman" w:eastAsia="宋体" w:cs="Times New Roman"/>
                <w:sz w:val="28"/>
              </w:rPr>
            </w:pPr>
            <w:r>
              <w:rPr>
                <w:rFonts w:hint="eastAsia" w:ascii="Times New Roman" w:hAnsi="Times New Roman" w:eastAsia="宋体" w:cs="Times New Roman"/>
                <w:sz w:val="28"/>
              </w:rPr>
              <w:t>邮编</w:t>
            </w:r>
            <w:r>
              <w:rPr>
                <w:rFonts w:hint="eastAsia" w:ascii="Times New Roman" w:hAnsi="Times New Roman" w:eastAsia="宋体" w:cs="Times New Roman"/>
                <w:sz w:val="28"/>
                <w:lang w:eastAsia="zh-CN"/>
              </w:rPr>
              <w:t>：</w:t>
            </w:r>
            <w:r>
              <w:rPr>
                <w:rFonts w:hint="eastAsia" w:ascii="Times New Roman" w:hAnsi="Times New Roman" w:eastAsia="宋体" w:cs="Times New Roman"/>
                <w:sz w:val="28"/>
              </w:rPr>
              <w:t xml:space="preserve"> 404</w:t>
            </w:r>
            <w:r>
              <w:rPr>
                <w:rFonts w:hint="eastAsia" w:ascii="Times New Roman" w:hAnsi="Times New Roman" w:eastAsia="宋体" w:cs="Times New Roman"/>
                <w:sz w:val="28"/>
                <w:lang w:val="en-US" w:eastAsia="zh-CN"/>
              </w:rPr>
              <w:t>0</w:t>
            </w:r>
            <w:r>
              <w:rPr>
                <w:rFonts w:hint="eastAsia" w:ascii="Times New Roman" w:hAnsi="Times New Roman" w:eastAsia="宋体" w:cs="Times New Roman"/>
                <w:sz w:val="28"/>
              </w:rPr>
              <w:t>00</w:t>
            </w:r>
          </w:p>
        </w:tc>
        <w:tc>
          <w:tcPr>
            <w:tcW w:w="4677" w:type="dxa"/>
          </w:tcPr>
          <w:p>
            <w:pPr>
              <w:spacing w:line="500" w:lineRule="exact"/>
              <w:rPr>
                <w:sz w:val="28"/>
              </w:rPr>
            </w:pPr>
            <w:r>
              <w:rPr>
                <w:rFonts w:hint="eastAsia"/>
                <w:sz w:val="28"/>
              </w:rPr>
              <w:t>邮编</w:t>
            </w:r>
            <w:r>
              <w:rPr>
                <w:rFonts w:hint="eastAsia"/>
                <w:sz w:val="28"/>
                <w:lang w:eastAsia="zh-CN"/>
              </w:rPr>
              <w:t>：</w:t>
            </w:r>
            <w:r>
              <w:rPr>
                <w:rFonts w:hint="eastAsia"/>
                <w:sz w:val="28"/>
              </w:rPr>
              <w:t xml:space="preserve"> 404000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5070" w:type="dxa"/>
          </w:tcPr>
          <w:p>
            <w:pPr>
              <w:spacing w:line="500" w:lineRule="exact"/>
              <w:ind w:right="51"/>
              <w:rPr>
                <w:spacing w:val="-12"/>
                <w:sz w:val="28"/>
              </w:rPr>
            </w:pPr>
            <w:r>
              <w:rPr>
                <w:rFonts w:hint="eastAsia"/>
                <w:spacing w:val="-12"/>
                <w:sz w:val="28"/>
              </w:rPr>
              <w:t>地址</w:t>
            </w:r>
            <w:r>
              <w:rPr>
                <w:rFonts w:hint="eastAsia"/>
                <w:spacing w:val="-12"/>
                <w:sz w:val="28"/>
                <w:lang w:eastAsia="zh-CN"/>
              </w:rPr>
              <w:t>：</w:t>
            </w:r>
            <w:r>
              <w:rPr>
                <w:rFonts w:hint="eastAsia"/>
                <w:spacing w:val="-12"/>
                <w:sz w:val="28"/>
              </w:rPr>
              <w:t>重庆市北部新区高新园星光大道60号</w:t>
            </w:r>
          </w:p>
        </w:tc>
        <w:tc>
          <w:tcPr>
            <w:tcW w:w="4677" w:type="dxa"/>
          </w:tcPr>
          <w:p>
            <w:pPr>
              <w:spacing w:line="500" w:lineRule="exact"/>
              <w:rPr>
                <w:spacing w:val="-12"/>
                <w:sz w:val="28"/>
              </w:rPr>
            </w:pPr>
            <w:r>
              <w:rPr>
                <w:rFonts w:hint="eastAsia"/>
                <w:spacing w:val="-12"/>
                <w:sz w:val="28"/>
              </w:rPr>
              <w:t>地址</w:t>
            </w:r>
            <w:r>
              <w:rPr>
                <w:rFonts w:hint="eastAsia"/>
                <w:spacing w:val="-12"/>
                <w:sz w:val="28"/>
                <w:lang w:eastAsia="zh-CN"/>
              </w:rPr>
              <w:t>：</w:t>
            </w:r>
            <w:r>
              <w:rPr>
                <w:rFonts w:hint="eastAsia"/>
                <w:spacing w:val="-12"/>
                <w:sz w:val="28"/>
              </w:rPr>
              <w:t>重庆市万州区沙龙路三段观音岩富乐花园256号1单元201</w:t>
            </w:r>
          </w:p>
        </w:tc>
      </w:tr>
    </w:tbl>
    <w:p>
      <w:pPr>
        <w:widowControl/>
        <w:jc w:val="left"/>
        <w:rPr>
          <w:sz w:val="36"/>
        </w:rPr>
      </w:pPr>
      <w:r>
        <w:rPr>
          <w:sz w:val="36"/>
        </w:rPr>
        <w:br w:type="page"/>
      </w:r>
    </w:p>
    <w:bookmarkEnd w:id="0"/>
    <w:p>
      <w:pPr>
        <w:spacing w:line="360" w:lineRule="auto"/>
        <w:jc w:val="center"/>
        <w:rPr>
          <w:b/>
          <w:sz w:val="36"/>
        </w:rPr>
      </w:pPr>
      <w:r>
        <w:rPr>
          <w:b/>
          <w:sz w:val="36"/>
        </w:rPr>
        <w:t>目   录</w:t>
      </w:r>
    </w:p>
    <w:p>
      <w:pPr>
        <w:pStyle w:val="21"/>
        <w:tabs>
          <w:tab w:val="right" w:leader="dot" w:pos="9412"/>
          <w:tab w:val="clear" w:pos="9402"/>
        </w:tabs>
      </w:pPr>
      <w:r>
        <w:rPr>
          <w:sz w:val="36"/>
        </w:rPr>
        <w:fldChar w:fldCharType="begin"/>
      </w:r>
      <w:r>
        <w:rPr>
          <w:sz w:val="36"/>
        </w:rPr>
        <w:instrText xml:space="preserve"> TOC \o "1-3" \h \z \u </w:instrText>
      </w:r>
      <w:r>
        <w:rPr>
          <w:sz w:val="36"/>
        </w:rPr>
        <w:fldChar w:fldCharType="separate"/>
      </w:r>
      <w:r>
        <w:fldChar w:fldCharType="begin"/>
      </w:r>
      <w:r>
        <w:instrText xml:space="preserve"> HYPERLINK \l _Toc5898 </w:instrText>
      </w:r>
      <w:r>
        <w:fldChar w:fldCharType="separate"/>
      </w:r>
      <w:r>
        <w:rPr>
          <w:rFonts w:cs="Times New Roman"/>
        </w:rPr>
        <w:t xml:space="preserve">1 </w:t>
      </w:r>
      <w:r>
        <w:rPr>
          <w:rFonts w:hint="eastAsia" w:cs="Times New Roman"/>
        </w:rPr>
        <w:t>验收项目概况</w:t>
      </w:r>
      <w:r>
        <w:tab/>
      </w:r>
      <w:r>
        <w:fldChar w:fldCharType="begin"/>
      </w:r>
      <w:r>
        <w:instrText xml:space="preserve"> PAGEREF _Toc5898 \h </w:instrText>
      </w:r>
      <w:r>
        <w:fldChar w:fldCharType="separate"/>
      </w:r>
      <w:r>
        <w:t>1</w:t>
      </w:r>
      <w:r>
        <w:fldChar w:fldCharType="end"/>
      </w:r>
      <w:r>
        <w:fldChar w:fldCharType="end"/>
      </w:r>
    </w:p>
    <w:p>
      <w:pPr>
        <w:pStyle w:val="21"/>
        <w:tabs>
          <w:tab w:val="right" w:leader="dot" w:pos="9412"/>
          <w:tab w:val="clear" w:pos="9402"/>
        </w:tabs>
      </w:pPr>
      <w:r>
        <w:fldChar w:fldCharType="begin"/>
      </w:r>
      <w:r>
        <w:instrText xml:space="preserve"> HYPERLINK \l _Toc18402 </w:instrText>
      </w:r>
      <w:r>
        <w:fldChar w:fldCharType="separate"/>
      </w:r>
      <w:r>
        <w:rPr>
          <w:rFonts w:hint="eastAsia" w:cs="Times New Roman"/>
        </w:rPr>
        <w:t>2验收依据</w:t>
      </w:r>
      <w:r>
        <w:tab/>
      </w:r>
      <w:r>
        <w:fldChar w:fldCharType="begin"/>
      </w:r>
      <w:r>
        <w:instrText xml:space="preserve"> PAGEREF _Toc18402 \h </w:instrText>
      </w:r>
      <w:r>
        <w:fldChar w:fldCharType="separate"/>
      </w:r>
      <w:r>
        <w:t>2</w:t>
      </w:r>
      <w:r>
        <w:fldChar w:fldCharType="end"/>
      </w:r>
      <w:r>
        <w:fldChar w:fldCharType="end"/>
      </w:r>
    </w:p>
    <w:p>
      <w:pPr>
        <w:pStyle w:val="23"/>
        <w:tabs>
          <w:tab w:val="right" w:leader="dot" w:pos="9412"/>
          <w:tab w:val="clear" w:pos="9402"/>
        </w:tabs>
      </w:pPr>
      <w:r>
        <w:fldChar w:fldCharType="begin"/>
      </w:r>
      <w:r>
        <w:instrText xml:space="preserve"> HYPERLINK \l _Toc14907 </w:instrText>
      </w:r>
      <w:r>
        <w:fldChar w:fldCharType="separate"/>
      </w:r>
      <w:r>
        <w:rPr>
          <w:rFonts w:hint="eastAsia" w:cs="Times New Roman"/>
        </w:rPr>
        <w:t>2</w:t>
      </w:r>
      <w:r>
        <w:rPr>
          <w:rFonts w:cs="Times New Roman"/>
        </w:rPr>
        <w:t>.1 环境保护有关法规、政策</w:t>
      </w:r>
      <w:r>
        <w:tab/>
      </w:r>
      <w:r>
        <w:fldChar w:fldCharType="begin"/>
      </w:r>
      <w:r>
        <w:instrText xml:space="preserve"> PAGEREF _Toc14907 \h </w:instrText>
      </w:r>
      <w:r>
        <w:fldChar w:fldCharType="separate"/>
      </w:r>
      <w:r>
        <w:t>2</w:t>
      </w:r>
      <w:r>
        <w:fldChar w:fldCharType="end"/>
      </w:r>
      <w:r>
        <w:fldChar w:fldCharType="end"/>
      </w:r>
    </w:p>
    <w:p>
      <w:pPr>
        <w:pStyle w:val="23"/>
        <w:tabs>
          <w:tab w:val="right" w:leader="dot" w:pos="9412"/>
          <w:tab w:val="clear" w:pos="9402"/>
        </w:tabs>
      </w:pPr>
      <w:r>
        <w:fldChar w:fldCharType="begin"/>
      </w:r>
      <w:r>
        <w:instrText xml:space="preserve"> HYPERLINK \l _Toc22334 </w:instrText>
      </w:r>
      <w:r>
        <w:fldChar w:fldCharType="separate"/>
      </w:r>
      <w:r>
        <w:rPr>
          <w:rFonts w:hint="eastAsia" w:cs="Times New Roman"/>
        </w:rPr>
        <w:t>2</w:t>
      </w:r>
      <w:r>
        <w:rPr>
          <w:rFonts w:cs="Times New Roman"/>
        </w:rPr>
        <w:t xml:space="preserve">.2 </w:t>
      </w:r>
      <w:r>
        <w:rPr>
          <w:rFonts w:hint="eastAsia" w:cs="Times New Roman"/>
        </w:rPr>
        <w:t>建设项目竣工环境保护验收技术规范</w:t>
      </w:r>
      <w:r>
        <w:tab/>
      </w:r>
      <w:r>
        <w:fldChar w:fldCharType="begin"/>
      </w:r>
      <w:r>
        <w:instrText xml:space="preserve"> PAGEREF _Toc22334 \h </w:instrText>
      </w:r>
      <w:r>
        <w:fldChar w:fldCharType="separate"/>
      </w:r>
      <w:r>
        <w:t>2</w:t>
      </w:r>
      <w:r>
        <w:fldChar w:fldCharType="end"/>
      </w:r>
      <w:r>
        <w:fldChar w:fldCharType="end"/>
      </w:r>
    </w:p>
    <w:p>
      <w:pPr>
        <w:pStyle w:val="23"/>
        <w:tabs>
          <w:tab w:val="right" w:leader="dot" w:pos="9412"/>
          <w:tab w:val="clear" w:pos="9402"/>
        </w:tabs>
      </w:pPr>
      <w:r>
        <w:fldChar w:fldCharType="begin"/>
      </w:r>
      <w:r>
        <w:instrText xml:space="preserve"> HYPERLINK \l _Toc23550 </w:instrText>
      </w:r>
      <w:r>
        <w:fldChar w:fldCharType="separate"/>
      </w:r>
      <w:r>
        <w:rPr>
          <w:rFonts w:hint="eastAsia" w:cs="Times New Roman"/>
        </w:rPr>
        <w:t>2</w:t>
      </w:r>
      <w:r>
        <w:rPr>
          <w:rFonts w:cs="Times New Roman"/>
        </w:rPr>
        <w:t>.3建设项目</w:t>
      </w:r>
      <w:r>
        <w:rPr>
          <w:rFonts w:hint="eastAsia" w:cs="Times New Roman"/>
        </w:rPr>
        <w:t>环境影响报告书（表）及审批部门审批决定</w:t>
      </w:r>
      <w:r>
        <w:tab/>
      </w:r>
      <w:r>
        <w:fldChar w:fldCharType="begin"/>
      </w:r>
      <w:r>
        <w:instrText xml:space="preserve"> PAGEREF _Toc23550 \h </w:instrText>
      </w:r>
      <w:r>
        <w:fldChar w:fldCharType="separate"/>
      </w:r>
      <w:r>
        <w:t>2</w:t>
      </w:r>
      <w:r>
        <w:fldChar w:fldCharType="end"/>
      </w:r>
      <w:r>
        <w:fldChar w:fldCharType="end"/>
      </w:r>
    </w:p>
    <w:p>
      <w:pPr>
        <w:pStyle w:val="21"/>
        <w:tabs>
          <w:tab w:val="right" w:leader="dot" w:pos="9412"/>
          <w:tab w:val="clear" w:pos="9402"/>
        </w:tabs>
      </w:pPr>
      <w:r>
        <w:fldChar w:fldCharType="begin"/>
      </w:r>
      <w:r>
        <w:instrText xml:space="preserve"> HYPERLINK \l _Toc21142 </w:instrText>
      </w:r>
      <w:r>
        <w:fldChar w:fldCharType="separate"/>
      </w:r>
      <w:r>
        <w:rPr>
          <w:rFonts w:hint="eastAsia" w:cs="Times New Roman"/>
        </w:rPr>
        <w:t>3工程建设情况</w:t>
      </w:r>
      <w:r>
        <w:tab/>
      </w:r>
      <w:r>
        <w:fldChar w:fldCharType="begin"/>
      </w:r>
      <w:r>
        <w:instrText xml:space="preserve"> PAGEREF _Toc21142 \h </w:instrText>
      </w:r>
      <w:r>
        <w:fldChar w:fldCharType="separate"/>
      </w:r>
      <w:r>
        <w:t>4</w:t>
      </w:r>
      <w:r>
        <w:fldChar w:fldCharType="end"/>
      </w:r>
      <w:r>
        <w:fldChar w:fldCharType="end"/>
      </w:r>
    </w:p>
    <w:p>
      <w:pPr>
        <w:pStyle w:val="23"/>
        <w:tabs>
          <w:tab w:val="right" w:leader="dot" w:pos="9412"/>
          <w:tab w:val="clear" w:pos="9402"/>
        </w:tabs>
      </w:pPr>
      <w:r>
        <w:fldChar w:fldCharType="begin"/>
      </w:r>
      <w:r>
        <w:instrText xml:space="preserve"> HYPERLINK \l _Toc22456 </w:instrText>
      </w:r>
      <w:r>
        <w:fldChar w:fldCharType="separate"/>
      </w:r>
      <w:r>
        <w:rPr>
          <w:rFonts w:hint="eastAsia" w:cs="Times New Roman"/>
        </w:rPr>
        <w:t>3</w:t>
      </w:r>
      <w:r>
        <w:rPr>
          <w:rFonts w:cs="Times New Roman"/>
        </w:rPr>
        <w:t>.1</w:t>
      </w:r>
      <w:r>
        <w:rPr>
          <w:rFonts w:hint="eastAsia" w:cs="Times New Roman"/>
        </w:rPr>
        <w:t>地理位置及平面布置</w:t>
      </w:r>
      <w:r>
        <w:tab/>
      </w:r>
      <w:r>
        <w:fldChar w:fldCharType="begin"/>
      </w:r>
      <w:r>
        <w:instrText xml:space="preserve"> PAGEREF _Toc22456 \h </w:instrText>
      </w:r>
      <w:r>
        <w:fldChar w:fldCharType="separate"/>
      </w:r>
      <w:r>
        <w:t>4</w:t>
      </w:r>
      <w:r>
        <w:fldChar w:fldCharType="end"/>
      </w:r>
      <w:r>
        <w:fldChar w:fldCharType="end"/>
      </w:r>
    </w:p>
    <w:p>
      <w:pPr>
        <w:pStyle w:val="23"/>
        <w:tabs>
          <w:tab w:val="right" w:leader="dot" w:pos="9412"/>
          <w:tab w:val="clear" w:pos="9402"/>
        </w:tabs>
      </w:pPr>
      <w:r>
        <w:fldChar w:fldCharType="begin"/>
      </w:r>
      <w:r>
        <w:instrText xml:space="preserve"> HYPERLINK \l _Toc26433 </w:instrText>
      </w:r>
      <w:r>
        <w:fldChar w:fldCharType="separate"/>
      </w:r>
      <w:r>
        <w:rPr>
          <w:rFonts w:hint="eastAsia" w:cs="Times New Roman"/>
        </w:rPr>
        <w:t>3</w:t>
      </w:r>
      <w:r>
        <w:rPr>
          <w:rFonts w:cs="Times New Roman"/>
        </w:rPr>
        <w:t>.</w:t>
      </w:r>
      <w:r>
        <w:rPr>
          <w:rFonts w:hint="eastAsia" w:cs="Times New Roman"/>
        </w:rPr>
        <w:t>2建设内容</w:t>
      </w:r>
      <w:r>
        <w:tab/>
      </w:r>
      <w:r>
        <w:fldChar w:fldCharType="begin"/>
      </w:r>
      <w:r>
        <w:instrText xml:space="preserve"> PAGEREF _Toc26433 \h </w:instrText>
      </w:r>
      <w:r>
        <w:fldChar w:fldCharType="separate"/>
      </w:r>
      <w:r>
        <w:t>5</w:t>
      </w:r>
      <w:r>
        <w:fldChar w:fldCharType="end"/>
      </w:r>
      <w:r>
        <w:fldChar w:fldCharType="end"/>
      </w:r>
    </w:p>
    <w:p>
      <w:pPr>
        <w:pStyle w:val="23"/>
        <w:tabs>
          <w:tab w:val="right" w:leader="dot" w:pos="9412"/>
          <w:tab w:val="clear" w:pos="9402"/>
        </w:tabs>
      </w:pPr>
      <w:r>
        <w:fldChar w:fldCharType="begin"/>
      </w:r>
      <w:r>
        <w:instrText xml:space="preserve"> HYPERLINK \l _Toc3784 </w:instrText>
      </w:r>
      <w:r>
        <w:fldChar w:fldCharType="separate"/>
      </w:r>
      <w:r>
        <w:rPr>
          <w:rFonts w:hint="eastAsia" w:cs="Times New Roman"/>
        </w:rPr>
        <w:t>3</w:t>
      </w:r>
      <w:r>
        <w:rPr>
          <w:rFonts w:cs="Times New Roman"/>
        </w:rPr>
        <w:t>.</w:t>
      </w:r>
      <w:r>
        <w:rPr>
          <w:rFonts w:hint="eastAsia" w:cs="Times New Roman"/>
        </w:rPr>
        <w:t>3主要原辅材料及燃料</w:t>
      </w:r>
      <w:r>
        <w:tab/>
      </w:r>
      <w:r>
        <w:fldChar w:fldCharType="begin"/>
      </w:r>
      <w:r>
        <w:instrText xml:space="preserve"> PAGEREF _Toc3784 \h </w:instrText>
      </w:r>
      <w:r>
        <w:fldChar w:fldCharType="separate"/>
      </w:r>
      <w:r>
        <w:t>8</w:t>
      </w:r>
      <w:r>
        <w:fldChar w:fldCharType="end"/>
      </w:r>
      <w:r>
        <w:fldChar w:fldCharType="end"/>
      </w:r>
    </w:p>
    <w:p>
      <w:pPr>
        <w:pStyle w:val="23"/>
        <w:tabs>
          <w:tab w:val="right" w:leader="dot" w:pos="9412"/>
          <w:tab w:val="clear" w:pos="9402"/>
        </w:tabs>
      </w:pPr>
      <w:r>
        <w:fldChar w:fldCharType="begin"/>
      </w:r>
      <w:r>
        <w:instrText xml:space="preserve"> HYPERLINK \l _Toc15617 </w:instrText>
      </w:r>
      <w:r>
        <w:fldChar w:fldCharType="separate"/>
      </w:r>
      <w:r>
        <w:rPr>
          <w:rFonts w:hint="eastAsia" w:cs="Times New Roman"/>
        </w:rPr>
        <w:t>3</w:t>
      </w:r>
      <w:r>
        <w:rPr>
          <w:rFonts w:cs="Times New Roman"/>
        </w:rPr>
        <w:t>.</w:t>
      </w:r>
      <w:r>
        <w:rPr>
          <w:rFonts w:hint="eastAsia" w:cs="Times New Roman"/>
        </w:rPr>
        <w:t>4水源</w:t>
      </w:r>
      <w:r>
        <w:tab/>
      </w:r>
      <w:r>
        <w:fldChar w:fldCharType="begin"/>
      </w:r>
      <w:r>
        <w:instrText xml:space="preserve"> PAGEREF _Toc15617 \h </w:instrText>
      </w:r>
      <w:r>
        <w:fldChar w:fldCharType="separate"/>
      </w:r>
      <w:r>
        <w:t>8</w:t>
      </w:r>
      <w:r>
        <w:fldChar w:fldCharType="end"/>
      </w:r>
      <w:r>
        <w:fldChar w:fldCharType="end"/>
      </w:r>
    </w:p>
    <w:p>
      <w:pPr>
        <w:pStyle w:val="23"/>
        <w:tabs>
          <w:tab w:val="right" w:leader="dot" w:pos="9412"/>
          <w:tab w:val="clear" w:pos="9402"/>
        </w:tabs>
      </w:pPr>
      <w:r>
        <w:fldChar w:fldCharType="begin"/>
      </w:r>
      <w:r>
        <w:instrText xml:space="preserve"> HYPERLINK \l _Toc3672 </w:instrText>
      </w:r>
      <w:r>
        <w:fldChar w:fldCharType="separate"/>
      </w:r>
      <w:r>
        <w:rPr>
          <w:rFonts w:hint="eastAsia" w:cs="Times New Roman"/>
        </w:rPr>
        <w:t>3.5生产工艺</w:t>
      </w:r>
      <w:r>
        <w:tab/>
      </w:r>
      <w:r>
        <w:fldChar w:fldCharType="begin"/>
      </w:r>
      <w:r>
        <w:instrText xml:space="preserve"> PAGEREF _Toc3672 \h </w:instrText>
      </w:r>
      <w:r>
        <w:fldChar w:fldCharType="separate"/>
      </w:r>
      <w:r>
        <w:t>8</w:t>
      </w:r>
      <w:r>
        <w:fldChar w:fldCharType="end"/>
      </w:r>
      <w:r>
        <w:fldChar w:fldCharType="end"/>
      </w:r>
    </w:p>
    <w:p>
      <w:pPr>
        <w:pStyle w:val="23"/>
        <w:tabs>
          <w:tab w:val="right" w:leader="dot" w:pos="9412"/>
          <w:tab w:val="clear" w:pos="9402"/>
        </w:tabs>
      </w:pPr>
      <w:r>
        <w:fldChar w:fldCharType="begin"/>
      </w:r>
      <w:r>
        <w:instrText xml:space="preserve"> HYPERLINK \l _Toc26368 </w:instrText>
      </w:r>
      <w:r>
        <w:fldChar w:fldCharType="separate"/>
      </w:r>
      <w:r>
        <w:rPr>
          <w:rFonts w:hint="eastAsia" w:cs="Times New Roman"/>
        </w:rPr>
        <w:t>3.6项目变动情况</w:t>
      </w:r>
      <w:r>
        <w:tab/>
      </w:r>
      <w:r>
        <w:fldChar w:fldCharType="begin"/>
      </w:r>
      <w:r>
        <w:instrText xml:space="preserve"> PAGEREF _Toc26368 \h </w:instrText>
      </w:r>
      <w:r>
        <w:fldChar w:fldCharType="separate"/>
      </w:r>
      <w:r>
        <w:t>11</w:t>
      </w:r>
      <w:r>
        <w:fldChar w:fldCharType="end"/>
      </w:r>
      <w:r>
        <w:fldChar w:fldCharType="end"/>
      </w:r>
    </w:p>
    <w:p>
      <w:pPr>
        <w:pStyle w:val="21"/>
        <w:tabs>
          <w:tab w:val="right" w:leader="dot" w:pos="9412"/>
          <w:tab w:val="clear" w:pos="9402"/>
        </w:tabs>
      </w:pPr>
      <w:r>
        <w:fldChar w:fldCharType="begin"/>
      </w:r>
      <w:r>
        <w:instrText xml:space="preserve"> HYPERLINK \l _Toc5356 </w:instrText>
      </w:r>
      <w:r>
        <w:fldChar w:fldCharType="separate"/>
      </w:r>
      <w:r>
        <w:rPr>
          <w:rFonts w:hint="eastAsia" w:cs="Times New Roman"/>
        </w:rPr>
        <w:t>4环境保护设施</w:t>
      </w:r>
      <w:r>
        <w:tab/>
      </w:r>
      <w:r>
        <w:fldChar w:fldCharType="begin"/>
      </w:r>
      <w:r>
        <w:instrText xml:space="preserve"> PAGEREF _Toc5356 \h </w:instrText>
      </w:r>
      <w:r>
        <w:fldChar w:fldCharType="separate"/>
      </w:r>
      <w:r>
        <w:t>13</w:t>
      </w:r>
      <w:r>
        <w:fldChar w:fldCharType="end"/>
      </w:r>
      <w:r>
        <w:fldChar w:fldCharType="end"/>
      </w:r>
    </w:p>
    <w:p>
      <w:pPr>
        <w:pStyle w:val="23"/>
        <w:tabs>
          <w:tab w:val="right" w:leader="dot" w:pos="9412"/>
          <w:tab w:val="clear" w:pos="9402"/>
        </w:tabs>
      </w:pPr>
      <w:r>
        <w:fldChar w:fldCharType="begin"/>
      </w:r>
      <w:r>
        <w:instrText xml:space="preserve"> HYPERLINK \l _Toc18862 </w:instrText>
      </w:r>
      <w:r>
        <w:fldChar w:fldCharType="separate"/>
      </w:r>
      <w:r>
        <w:rPr>
          <w:rFonts w:hint="eastAsia" w:cs="Times New Roman"/>
        </w:rPr>
        <w:t>4.1污染物治理及处置设施</w:t>
      </w:r>
      <w:r>
        <w:tab/>
      </w:r>
      <w:r>
        <w:fldChar w:fldCharType="begin"/>
      </w:r>
      <w:r>
        <w:instrText xml:space="preserve"> PAGEREF _Toc18862 \h </w:instrText>
      </w:r>
      <w:r>
        <w:fldChar w:fldCharType="separate"/>
      </w:r>
      <w:r>
        <w:t>13</w:t>
      </w:r>
      <w:r>
        <w:fldChar w:fldCharType="end"/>
      </w:r>
      <w:r>
        <w:fldChar w:fldCharType="end"/>
      </w:r>
    </w:p>
    <w:p>
      <w:pPr>
        <w:pStyle w:val="23"/>
        <w:tabs>
          <w:tab w:val="right" w:leader="dot" w:pos="9412"/>
          <w:tab w:val="clear" w:pos="9402"/>
        </w:tabs>
      </w:pPr>
      <w:r>
        <w:fldChar w:fldCharType="begin"/>
      </w:r>
      <w:r>
        <w:instrText xml:space="preserve"> HYPERLINK \l _Toc32072 </w:instrText>
      </w:r>
      <w:r>
        <w:fldChar w:fldCharType="separate"/>
      </w:r>
      <w:r>
        <w:rPr>
          <w:rFonts w:hint="eastAsia" w:cs="Times New Roman"/>
        </w:rPr>
        <w:t>4.2其他环保设施</w:t>
      </w:r>
      <w:r>
        <w:tab/>
      </w:r>
      <w:r>
        <w:fldChar w:fldCharType="begin"/>
      </w:r>
      <w:r>
        <w:instrText xml:space="preserve"> PAGEREF _Toc32072 \h </w:instrText>
      </w:r>
      <w:r>
        <w:fldChar w:fldCharType="separate"/>
      </w:r>
      <w:r>
        <w:t>14</w:t>
      </w:r>
      <w:r>
        <w:fldChar w:fldCharType="end"/>
      </w:r>
      <w:r>
        <w:fldChar w:fldCharType="end"/>
      </w:r>
    </w:p>
    <w:p>
      <w:pPr>
        <w:pStyle w:val="23"/>
        <w:tabs>
          <w:tab w:val="right" w:leader="dot" w:pos="9412"/>
          <w:tab w:val="clear" w:pos="9402"/>
        </w:tabs>
      </w:pPr>
      <w:r>
        <w:fldChar w:fldCharType="begin"/>
      </w:r>
      <w:r>
        <w:instrText xml:space="preserve"> HYPERLINK \l _Toc1157 </w:instrText>
      </w:r>
      <w:r>
        <w:fldChar w:fldCharType="separate"/>
      </w:r>
      <w:r>
        <w:rPr>
          <w:rFonts w:hint="eastAsia" w:cs="Times New Roman"/>
        </w:rPr>
        <w:t>4.3环保设施投资及“三同时”落实情况</w:t>
      </w:r>
      <w:r>
        <w:tab/>
      </w:r>
      <w:r>
        <w:fldChar w:fldCharType="begin"/>
      </w:r>
      <w:r>
        <w:instrText xml:space="preserve"> PAGEREF _Toc1157 \h </w:instrText>
      </w:r>
      <w:r>
        <w:fldChar w:fldCharType="separate"/>
      </w:r>
      <w:r>
        <w:t>16</w:t>
      </w:r>
      <w:r>
        <w:fldChar w:fldCharType="end"/>
      </w:r>
      <w:r>
        <w:fldChar w:fldCharType="end"/>
      </w:r>
    </w:p>
    <w:p>
      <w:pPr>
        <w:pStyle w:val="21"/>
        <w:tabs>
          <w:tab w:val="right" w:leader="dot" w:pos="9412"/>
          <w:tab w:val="clear" w:pos="9402"/>
        </w:tabs>
      </w:pPr>
      <w:r>
        <w:fldChar w:fldCharType="begin"/>
      </w:r>
      <w:r>
        <w:instrText xml:space="preserve"> HYPERLINK \l _Toc418 </w:instrText>
      </w:r>
      <w:r>
        <w:fldChar w:fldCharType="separate"/>
      </w:r>
      <w:r>
        <w:rPr>
          <w:rFonts w:hint="eastAsia" w:cs="Times New Roman"/>
        </w:rPr>
        <w:t>5建设项目环评报告表的主要结论及审批部门审批决定</w:t>
      </w:r>
      <w:r>
        <w:tab/>
      </w:r>
      <w:r>
        <w:fldChar w:fldCharType="begin"/>
      </w:r>
      <w:r>
        <w:instrText xml:space="preserve"> PAGEREF _Toc418 \h </w:instrText>
      </w:r>
      <w:r>
        <w:fldChar w:fldCharType="separate"/>
      </w:r>
      <w:r>
        <w:t>17</w:t>
      </w:r>
      <w:r>
        <w:fldChar w:fldCharType="end"/>
      </w:r>
      <w:r>
        <w:fldChar w:fldCharType="end"/>
      </w:r>
    </w:p>
    <w:p>
      <w:pPr>
        <w:pStyle w:val="23"/>
        <w:tabs>
          <w:tab w:val="right" w:leader="dot" w:pos="9412"/>
          <w:tab w:val="clear" w:pos="9402"/>
        </w:tabs>
      </w:pPr>
      <w:r>
        <w:fldChar w:fldCharType="begin"/>
      </w:r>
      <w:r>
        <w:instrText xml:space="preserve"> HYPERLINK \l _Toc9983 </w:instrText>
      </w:r>
      <w:r>
        <w:fldChar w:fldCharType="separate"/>
      </w:r>
      <w:r>
        <w:rPr>
          <w:rFonts w:hint="eastAsia" w:cs="Times New Roman"/>
        </w:rPr>
        <w:t>5</w:t>
      </w:r>
      <w:r>
        <w:rPr>
          <w:rFonts w:cs="Times New Roman"/>
        </w:rPr>
        <w:t xml:space="preserve">.1 </w:t>
      </w:r>
      <w:r>
        <w:rPr>
          <w:rFonts w:hint="eastAsia" w:cs="Times New Roman"/>
        </w:rPr>
        <w:t>建设项目环评报告表的主要结论与建议</w:t>
      </w:r>
      <w:r>
        <w:tab/>
      </w:r>
      <w:r>
        <w:fldChar w:fldCharType="begin"/>
      </w:r>
      <w:r>
        <w:instrText xml:space="preserve"> PAGEREF _Toc9983 \h </w:instrText>
      </w:r>
      <w:r>
        <w:fldChar w:fldCharType="separate"/>
      </w:r>
      <w:r>
        <w:t>17</w:t>
      </w:r>
      <w:r>
        <w:fldChar w:fldCharType="end"/>
      </w:r>
      <w:r>
        <w:fldChar w:fldCharType="end"/>
      </w:r>
    </w:p>
    <w:p>
      <w:pPr>
        <w:pStyle w:val="23"/>
        <w:tabs>
          <w:tab w:val="right" w:leader="dot" w:pos="9412"/>
          <w:tab w:val="clear" w:pos="9402"/>
        </w:tabs>
      </w:pPr>
      <w:r>
        <w:fldChar w:fldCharType="begin"/>
      </w:r>
      <w:r>
        <w:instrText xml:space="preserve"> HYPERLINK \l _Toc964 </w:instrText>
      </w:r>
      <w:r>
        <w:fldChar w:fldCharType="separate"/>
      </w:r>
      <w:r>
        <w:rPr>
          <w:rFonts w:hint="eastAsia" w:cs="Times New Roman"/>
        </w:rPr>
        <w:t>5.2 环评批复要求</w:t>
      </w:r>
      <w:r>
        <w:tab/>
      </w:r>
      <w:r>
        <w:fldChar w:fldCharType="begin"/>
      </w:r>
      <w:r>
        <w:instrText xml:space="preserve"> PAGEREF _Toc964 \h </w:instrText>
      </w:r>
      <w:r>
        <w:fldChar w:fldCharType="separate"/>
      </w:r>
      <w:r>
        <w:t>22</w:t>
      </w:r>
      <w:r>
        <w:fldChar w:fldCharType="end"/>
      </w:r>
      <w:r>
        <w:fldChar w:fldCharType="end"/>
      </w:r>
    </w:p>
    <w:p>
      <w:pPr>
        <w:pStyle w:val="21"/>
        <w:tabs>
          <w:tab w:val="right" w:leader="dot" w:pos="9412"/>
          <w:tab w:val="clear" w:pos="9402"/>
        </w:tabs>
      </w:pPr>
      <w:r>
        <w:fldChar w:fldCharType="begin"/>
      </w:r>
      <w:r>
        <w:instrText xml:space="preserve"> HYPERLINK \l _Toc13690 </w:instrText>
      </w:r>
      <w:r>
        <w:fldChar w:fldCharType="separate"/>
      </w:r>
      <w:r>
        <w:rPr>
          <w:rFonts w:hint="eastAsia" w:cs="Times New Roman"/>
        </w:rPr>
        <w:t>6验收执行</w:t>
      </w:r>
      <w:r>
        <w:rPr>
          <w:rFonts w:cs="Times New Roman"/>
        </w:rPr>
        <w:t>标准</w:t>
      </w:r>
      <w:r>
        <w:tab/>
      </w:r>
      <w:r>
        <w:fldChar w:fldCharType="begin"/>
      </w:r>
      <w:r>
        <w:instrText xml:space="preserve"> PAGEREF _Toc13690 \h </w:instrText>
      </w:r>
      <w:r>
        <w:fldChar w:fldCharType="separate"/>
      </w:r>
      <w:r>
        <w:t>23</w:t>
      </w:r>
      <w:r>
        <w:fldChar w:fldCharType="end"/>
      </w:r>
      <w:r>
        <w:fldChar w:fldCharType="end"/>
      </w:r>
    </w:p>
    <w:p>
      <w:pPr>
        <w:pStyle w:val="23"/>
        <w:tabs>
          <w:tab w:val="right" w:leader="dot" w:pos="9412"/>
          <w:tab w:val="clear" w:pos="9402"/>
        </w:tabs>
      </w:pPr>
      <w:r>
        <w:fldChar w:fldCharType="begin"/>
      </w:r>
      <w:r>
        <w:instrText xml:space="preserve"> HYPERLINK \l _Toc20835 </w:instrText>
      </w:r>
      <w:r>
        <w:fldChar w:fldCharType="separate"/>
      </w:r>
      <w:r>
        <w:rPr>
          <w:rFonts w:hint="eastAsia" w:cs="Times New Roman"/>
        </w:rPr>
        <w:t>6</w:t>
      </w:r>
      <w:r>
        <w:rPr>
          <w:rFonts w:cs="Times New Roman"/>
        </w:rPr>
        <w:t>.1 废水</w:t>
      </w:r>
      <w:r>
        <w:tab/>
      </w:r>
      <w:r>
        <w:fldChar w:fldCharType="begin"/>
      </w:r>
      <w:r>
        <w:instrText xml:space="preserve"> PAGEREF _Toc20835 \h </w:instrText>
      </w:r>
      <w:r>
        <w:fldChar w:fldCharType="separate"/>
      </w:r>
      <w:r>
        <w:t>23</w:t>
      </w:r>
      <w:r>
        <w:fldChar w:fldCharType="end"/>
      </w:r>
      <w:r>
        <w:fldChar w:fldCharType="end"/>
      </w:r>
    </w:p>
    <w:p>
      <w:pPr>
        <w:pStyle w:val="23"/>
        <w:tabs>
          <w:tab w:val="right" w:leader="dot" w:pos="9412"/>
          <w:tab w:val="clear" w:pos="9402"/>
        </w:tabs>
      </w:pPr>
      <w:r>
        <w:fldChar w:fldCharType="begin"/>
      </w:r>
      <w:r>
        <w:instrText xml:space="preserve"> HYPERLINK \l _Toc59 </w:instrText>
      </w:r>
      <w:r>
        <w:fldChar w:fldCharType="separate"/>
      </w:r>
      <w:r>
        <w:rPr>
          <w:rFonts w:hint="eastAsia" w:cs="Times New Roman"/>
        </w:rPr>
        <w:t>6</w:t>
      </w:r>
      <w:r>
        <w:rPr>
          <w:rFonts w:cs="Times New Roman"/>
        </w:rPr>
        <w:t>.</w:t>
      </w:r>
      <w:r>
        <w:rPr>
          <w:rFonts w:hint="eastAsia" w:cs="Times New Roman"/>
        </w:rPr>
        <w:t>2废气</w:t>
      </w:r>
      <w:r>
        <w:tab/>
      </w:r>
      <w:r>
        <w:fldChar w:fldCharType="begin"/>
      </w:r>
      <w:r>
        <w:instrText xml:space="preserve"> PAGEREF _Toc59 \h </w:instrText>
      </w:r>
      <w:r>
        <w:fldChar w:fldCharType="separate"/>
      </w:r>
      <w:r>
        <w:t>23</w:t>
      </w:r>
      <w:r>
        <w:fldChar w:fldCharType="end"/>
      </w:r>
      <w:r>
        <w:fldChar w:fldCharType="end"/>
      </w:r>
    </w:p>
    <w:p>
      <w:pPr>
        <w:pStyle w:val="23"/>
        <w:tabs>
          <w:tab w:val="right" w:leader="dot" w:pos="9412"/>
          <w:tab w:val="clear" w:pos="9402"/>
        </w:tabs>
      </w:pPr>
      <w:r>
        <w:fldChar w:fldCharType="begin"/>
      </w:r>
      <w:r>
        <w:instrText xml:space="preserve"> HYPERLINK \l _Toc27371 </w:instrText>
      </w:r>
      <w:r>
        <w:fldChar w:fldCharType="separate"/>
      </w:r>
      <w:r>
        <w:rPr>
          <w:rFonts w:hint="eastAsia" w:cs="Times New Roman"/>
        </w:rPr>
        <w:t>6</w:t>
      </w:r>
      <w:r>
        <w:rPr>
          <w:rFonts w:cs="Times New Roman"/>
        </w:rPr>
        <w:t>.3 噪声</w:t>
      </w:r>
      <w:r>
        <w:tab/>
      </w:r>
      <w:r>
        <w:fldChar w:fldCharType="begin"/>
      </w:r>
      <w:r>
        <w:instrText xml:space="preserve"> PAGEREF _Toc27371 \h </w:instrText>
      </w:r>
      <w:r>
        <w:fldChar w:fldCharType="separate"/>
      </w:r>
      <w:r>
        <w:t>24</w:t>
      </w:r>
      <w:r>
        <w:fldChar w:fldCharType="end"/>
      </w:r>
      <w:r>
        <w:fldChar w:fldCharType="end"/>
      </w:r>
    </w:p>
    <w:p>
      <w:pPr>
        <w:pStyle w:val="23"/>
        <w:tabs>
          <w:tab w:val="right" w:leader="dot" w:pos="9412"/>
          <w:tab w:val="clear" w:pos="9402"/>
        </w:tabs>
      </w:pPr>
      <w:r>
        <w:fldChar w:fldCharType="begin"/>
      </w:r>
      <w:r>
        <w:instrText xml:space="preserve"> HYPERLINK \l _Toc2148 </w:instrText>
      </w:r>
      <w:r>
        <w:fldChar w:fldCharType="separate"/>
      </w:r>
      <w:r>
        <w:rPr>
          <w:rFonts w:hint="eastAsia" w:ascii="Times New Roman" w:hAnsi="Times New Roman" w:eastAsia="宋体" w:cs="Times New Roman"/>
        </w:rPr>
        <w:t>6.</w:t>
      </w:r>
      <w:r>
        <w:rPr>
          <w:rFonts w:hint="eastAsia" w:ascii="Times New Roman" w:hAnsi="Times New Roman" w:eastAsia="宋体" w:cs="Times New Roman"/>
          <w:lang w:val="en-US" w:eastAsia="zh-CN"/>
        </w:rPr>
        <w:t>4</w:t>
      </w:r>
      <w:r>
        <w:rPr>
          <w:rFonts w:hint="eastAsia" w:ascii="Times New Roman" w:hAnsi="Times New Roman" w:eastAsia="宋体" w:cs="Times New Roman"/>
        </w:rPr>
        <w:t>固体废物污染管控标准要求</w:t>
      </w:r>
      <w:r>
        <w:tab/>
      </w:r>
      <w:r>
        <w:fldChar w:fldCharType="begin"/>
      </w:r>
      <w:r>
        <w:instrText xml:space="preserve"> PAGEREF _Toc2148 \h </w:instrText>
      </w:r>
      <w:r>
        <w:fldChar w:fldCharType="separate"/>
      </w:r>
      <w:r>
        <w:t>24</w:t>
      </w:r>
      <w:r>
        <w:fldChar w:fldCharType="end"/>
      </w:r>
      <w:r>
        <w:fldChar w:fldCharType="end"/>
      </w:r>
    </w:p>
    <w:p>
      <w:pPr>
        <w:pStyle w:val="21"/>
        <w:tabs>
          <w:tab w:val="right" w:leader="dot" w:pos="9412"/>
          <w:tab w:val="clear" w:pos="9402"/>
        </w:tabs>
      </w:pPr>
      <w:r>
        <w:fldChar w:fldCharType="begin"/>
      </w:r>
      <w:r>
        <w:instrText xml:space="preserve"> HYPERLINK \l _Toc3530 </w:instrText>
      </w:r>
      <w:r>
        <w:fldChar w:fldCharType="separate"/>
      </w:r>
      <w:r>
        <w:rPr>
          <w:rFonts w:hint="eastAsia" w:cs="Times New Roman"/>
        </w:rPr>
        <w:t>7</w:t>
      </w:r>
      <w:r>
        <w:rPr>
          <w:rFonts w:cs="Times New Roman"/>
        </w:rPr>
        <w:t>验收监测内容</w:t>
      </w:r>
      <w:r>
        <w:tab/>
      </w:r>
      <w:r>
        <w:fldChar w:fldCharType="begin"/>
      </w:r>
      <w:r>
        <w:instrText xml:space="preserve"> PAGEREF _Toc3530 \h </w:instrText>
      </w:r>
      <w:r>
        <w:fldChar w:fldCharType="separate"/>
      </w:r>
      <w:r>
        <w:t>25</w:t>
      </w:r>
      <w:r>
        <w:fldChar w:fldCharType="end"/>
      </w:r>
      <w:r>
        <w:fldChar w:fldCharType="end"/>
      </w:r>
    </w:p>
    <w:p>
      <w:pPr>
        <w:pStyle w:val="23"/>
        <w:tabs>
          <w:tab w:val="right" w:leader="dot" w:pos="9412"/>
          <w:tab w:val="clear" w:pos="9402"/>
        </w:tabs>
      </w:pPr>
      <w:r>
        <w:fldChar w:fldCharType="begin"/>
      </w:r>
      <w:r>
        <w:instrText xml:space="preserve"> HYPERLINK \l _Toc16601 </w:instrText>
      </w:r>
      <w:r>
        <w:fldChar w:fldCharType="separate"/>
      </w:r>
      <w:r>
        <w:rPr>
          <w:rFonts w:hint="eastAsia" w:cs="Times New Roman"/>
        </w:rPr>
        <w:t>7</w:t>
      </w:r>
      <w:r>
        <w:rPr>
          <w:rFonts w:cs="Times New Roman"/>
        </w:rPr>
        <w:t xml:space="preserve">.1 </w:t>
      </w:r>
      <w:r>
        <w:rPr>
          <w:rFonts w:hint="eastAsia" w:cs="Times New Roman"/>
        </w:rPr>
        <w:t>废水</w:t>
      </w:r>
      <w:r>
        <w:tab/>
      </w:r>
      <w:r>
        <w:fldChar w:fldCharType="begin"/>
      </w:r>
      <w:r>
        <w:instrText xml:space="preserve"> PAGEREF _Toc16601 \h </w:instrText>
      </w:r>
      <w:r>
        <w:fldChar w:fldCharType="separate"/>
      </w:r>
      <w:r>
        <w:t>25</w:t>
      </w:r>
      <w:r>
        <w:fldChar w:fldCharType="end"/>
      </w:r>
      <w:r>
        <w:fldChar w:fldCharType="end"/>
      </w:r>
    </w:p>
    <w:p>
      <w:pPr>
        <w:pStyle w:val="23"/>
        <w:tabs>
          <w:tab w:val="right" w:leader="dot" w:pos="9412"/>
          <w:tab w:val="clear" w:pos="9402"/>
        </w:tabs>
      </w:pPr>
      <w:r>
        <w:fldChar w:fldCharType="begin"/>
      </w:r>
      <w:r>
        <w:instrText xml:space="preserve"> HYPERLINK \l _Toc2006 </w:instrText>
      </w:r>
      <w:r>
        <w:fldChar w:fldCharType="separate"/>
      </w:r>
      <w:r>
        <w:rPr>
          <w:rFonts w:hint="eastAsia" w:cs="Times New Roman"/>
        </w:rPr>
        <w:t>7</w:t>
      </w:r>
      <w:r>
        <w:rPr>
          <w:rFonts w:cs="Times New Roman"/>
        </w:rPr>
        <w:t>.</w:t>
      </w:r>
      <w:r>
        <w:rPr>
          <w:rFonts w:hint="eastAsia" w:cs="Times New Roman"/>
        </w:rPr>
        <w:t>2废气</w:t>
      </w:r>
      <w:r>
        <w:tab/>
      </w:r>
      <w:r>
        <w:fldChar w:fldCharType="begin"/>
      </w:r>
      <w:r>
        <w:instrText xml:space="preserve"> PAGEREF _Toc2006 \h </w:instrText>
      </w:r>
      <w:r>
        <w:fldChar w:fldCharType="separate"/>
      </w:r>
      <w:r>
        <w:t>25</w:t>
      </w:r>
      <w:r>
        <w:fldChar w:fldCharType="end"/>
      </w:r>
      <w:r>
        <w:fldChar w:fldCharType="end"/>
      </w:r>
    </w:p>
    <w:p>
      <w:pPr>
        <w:pStyle w:val="23"/>
        <w:tabs>
          <w:tab w:val="right" w:leader="dot" w:pos="9412"/>
          <w:tab w:val="clear" w:pos="9402"/>
        </w:tabs>
      </w:pPr>
      <w:r>
        <w:fldChar w:fldCharType="begin"/>
      </w:r>
      <w:r>
        <w:instrText xml:space="preserve"> HYPERLINK \l _Toc21649 </w:instrText>
      </w:r>
      <w:r>
        <w:fldChar w:fldCharType="separate"/>
      </w:r>
      <w:r>
        <w:rPr>
          <w:rFonts w:hint="eastAsia" w:cs="Times New Roman"/>
        </w:rPr>
        <w:t>7</w:t>
      </w:r>
      <w:r>
        <w:rPr>
          <w:rFonts w:cs="Times New Roman"/>
        </w:rPr>
        <w:t>.</w:t>
      </w:r>
      <w:r>
        <w:rPr>
          <w:rFonts w:hint="eastAsia" w:cs="Times New Roman"/>
        </w:rPr>
        <w:t>3</w:t>
      </w:r>
      <w:r>
        <w:rPr>
          <w:rFonts w:cs="Times New Roman"/>
        </w:rPr>
        <w:t>噪</w:t>
      </w:r>
      <w:r>
        <w:rPr>
          <w:rFonts w:hint="eastAsia" w:cs="Times New Roman"/>
          <w:lang w:eastAsia="zh-CN"/>
        </w:rPr>
        <w:t>声</w:t>
      </w:r>
      <w:r>
        <w:tab/>
      </w:r>
      <w:r>
        <w:fldChar w:fldCharType="begin"/>
      </w:r>
      <w:r>
        <w:instrText xml:space="preserve"> PAGEREF _Toc21649 \h </w:instrText>
      </w:r>
      <w:r>
        <w:fldChar w:fldCharType="separate"/>
      </w:r>
      <w:r>
        <w:t>25</w:t>
      </w:r>
      <w:r>
        <w:fldChar w:fldCharType="end"/>
      </w:r>
      <w:r>
        <w:fldChar w:fldCharType="end"/>
      </w:r>
    </w:p>
    <w:p>
      <w:pPr>
        <w:pStyle w:val="21"/>
        <w:tabs>
          <w:tab w:val="right" w:leader="dot" w:pos="9412"/>
          <w:tab w:val="clear" w:pos="9402"/>
        </w:tabs>
      </w:pPr>
      <w:r>
        <w:fldChar w:fldCharType="begin"/>
      </w:r>
      <w:r>
        <w:instrText xml:space="preserve"> HYPERLINK \l _Toc27659 </w:instrText>
      </w:r>
      <w:r>
        <w:fldChar w:fldCharType="separate"/>
      </w:r>
      <w:r>
        <w:rPr>
          <w:rFonts w:hint="eastAsia" w:ascii="Times New Roman" w:hAnsi="Times New Roman" w:cs="Times New Roman"/>
        </w:rPr>
        <w:t>8质量保证及质量控制</w:t>
      </w:r>
      <w:r>
        <w:tab/>
      </w:r>
      <w:r>
        <w:fldChar w:fldCharType="begin"/>
      </w:r>
      <w:r>
        <w:instrText xml:space="preserve"> PAGEREF _Toc27659 \h </w:instrText>
      </w:r>
      <w:r>
        <w:fldChar w:fldCharType="separate"/>
      </w:r>
      <w:r>
        <w:t>26</w:t>
      </w:r>
      <w:r>
        <w:fldChar w:fldCharType="end"/>
      </w:r>
      <w:r>
        <w:fldChar w:fldCharType="end"/>
      </w:r>
    </w:p>
    <w:p>
      <w:pPr>
        <w:pStyle w:val="23"/>
        <w:tabs>
          <w:tab w:val="right" w:leader="dot" w:pos="9412"/>
          <w:tab w:val="clear" w:pos="9402"/>
        </w:tabs>
      </w:pPr>
      <w:r>
        <w:fldChar w:fldCharType="begin"/>
      </w:r>
      <w:r>
        <w:instrText xml:space="preserve"> HYPERLINK \l _Toc16762 </w:instrText>
      </w:r>
      <w:r>
        <w:fldChar w:fldCharType="separate"/>
      </w:r>
      <w:r>
        <w:rPr>
          <w:rFonts w:hint="eastAsia" w:cs="Times New Roman"/>
        </w:rPr>
        <w:t>8</w:t>
      </w:r>
      <w:r>
        <w:rPr>
          <w:rFonts w:cs="Times New Roman"/>
        </w:rPr>
        <w:t>.1 监测分析方法</w:t>
      </w:r>
      <w:r>
        <w:tab/>
      </w:r>
      <w:r>
        <w:fldChar w:fldCharType="begin"/>
      </w:r>
      <w:r>
        <w:instrText xml:space="preserve"> PAGEREF _Toc16762 \h </w:instrText>
      </w:r>
      <w:r>
        <w:fldChar w:fldCharType="separate"/>
      </w:r>
      <w:r>
        <w:t>26</w:t>
      </w:r>
      <w:r>
        <w:fldChar w:fldCharType="end"/>
      </w:r>
      <w:r>
        <w:fldChar w:fldCharType="end"/>
      </w:r>
    </w:p>
    <w:p>
      <w:pPr>
        <w:pStyle w:val="23"/>
        <w:tabs>
          <w:tab w:val="right" w:leader="dot" w:pos="9412"/>
          <w:tab w:val="clear" w:pos="9402"/>
        </w:tabs>
      </w:pPr>
      <w:r>
        <w:fldChar w:fldCharType="begin"/>
      </w:r>
      <w:r>
        <w:instrText xml:space="preserve"> HYPERLINK \l _Toc26027 </w:instrText>
      </w:r>
      <w:r>
        <w:fldChar w:fldCharType="separate"/>
      </w:r>
      <w:r>
        <w:rPr>
          <w:rFonts w:hint="eastAsia" w:cs="Times New Roman"/>
        </w:rPr>
        <w:t>8</w:t>
      </w:r>
      <w:r>
        <w:rPr>
          <w:rFonts w:cs="Times New Roman"/>
        </w:rPr>
        <w:t xml:space="preserve">.2 </w:t>
      </w:r>
      <w:r>
        <w:rPr>
          <w:rFonts w:hint="eastAsia" w:cs="Times New Roman"/>
        </w:rPr>
        <w:t>监测仪器</w:t>
      </w:r>
      <w:r>
        <w:tab/>
      </w:r>
      <w:r>
        <w:fldChar w:fldCharType="begin"/>
      </w:r>
      <w:r>
        <w:instrText xml:space="preserve"> PAGEREF _Toc26027 \h </w:instrText>
      </w:r>
      <w:r>
        <w:fldChar w:fldCharType="separate"/>
      </w:r>
      <w:r>
        <w:t>26</w:t>
      </w:r>
      <w:r>
        <w:fldChar w:fldCharType="end"/>
      </w:r>
      <w:r>
        <w:fldChar w:fldCharType="end"/>
      </w:r>
    </w:p>
    <w:p>
      <w:pPr>
        <w:pStyle w:val="23"/>
        <w:tabs>
          <w:tab w:val="right" w:leader="dot" w:pos="9412"/>
          <w:tab w:val="clear" w:pos="9402"/>
        </w:tabs>
      </w:pPr>
      <w:r>
        <w:fldChar w:fldCharType="begin"/>
      </w:r>
      <w:r>
        <w:instrText xml:space="preserve"> HYPERLINK \l _Toc1612 </w:instrText>
      </w:r>
      <w:r>
        <w:fldChar w:fldCharType="separate"/>
      </w:r>
      <w:r>
        <w:rPr>
          <w:rFonts w:hint="eastAsia" w:cs="Times New Roman"/>
        </w:rPr>
        <w:t>8</w:t>
      </w:r>
      <w:r>
        <w:rPr>
          <w:rFonts w:cs="Times New Roman"/>
        </w:rPr>
        <w:t>.</w:t>
      </w:r>
      <w:r>
        <w:rPr>
          <w:rFonts w:hint="eastAsia" w:cs="Times New Roman"/>
        </w:rPr>
        <w:t>3人员资质</w:t>
      </w:r>
      <w:r>
        <w:tab/>
      </w:r>
      <w:r>
        <w:fldChar w:fldCharType="begin"/>
      </w:r>
      <w:r>
        <w:instrText xml:space="preserve"> PAGEREF _Toc1612 \h </w:instrText>
      </w:r>
      <w:r>
        <w:fldChar w:fldCharType="separate"/>
      </w:r>
      <w:r>
        <w:t>27</w:t>
      </w:r>
      <w:r>
        <w:fldChar w:fldCharType="end"/>
      </w:r>
      <w:r>
        <w:fldChar w:fldCharType="end"/>
      </w:r>
    </w:p>
    <w:p>
      <w:pPr>
        <w:pStyle w:val="23"/>
        <w:tabs>
          <w:tab w:val="right" w:leader="dot" w:pos="9412"/>
          <w:tab w:val="clear" w:pos="9402"/>
        </w:tabs>
      </w:pPr>
      <w:r>
        <w:fldChar w:fldCharType="begin"/>
      </w:r>
      <w:r>
        <w:instrText xml:space="preserve"> HYPERLINK \l _Toc19648 </w:instrText>
      </w:r>
      <w:r>
        <w:fldChar w:fldCharType="separate"/>
      </w:r>
      <w:r>
        <w:rPr>
          <w:rFonts w:hint="eastAsia" w:cs="Times New Roman"/>
        </w:rPr>
        <w:t>8</w:t>
      </w:r>
      <w:r>
        <w:rPr>
          <w:rFonts w:cs="Times New Roman"/>
        </w:rPr>
        <w:t>.</w:t>
      </w:r>
      <w:r>
        <w:rPr>
          <w:rFonts w:hint="eastAsia" w:cs="Times New Roman"/>
        </w:rPr>
        <w:t>4</w:t>
      </w:r>
      <w:r>
        <w:rPr>
          <w:rFonts w:cs="Times New Roman"/>
        </w:rPr>
        <w:t>质量保证和质量控制</w:t>
      </w:r>
      <w:r>
        <w:tab/>
      </w:r>
      <w:r>
        <w:fldChar w:fldCharType="begin"/>
      </w:r>
      <w:r>
        <w:instrText xml:space="preserve"> PAGEREF _Toc19648 \h </w:instrText>
      </w:r>
      <w:r>
        <w:fldChar w:fldCharType="separate"/>
      </w:r>
      <w:r>
        <w:t>27</w:t>
      </w:r>
      <w:r>
        <w:fldChar w:fldCharType="end"/>
      </w:r>
      <w:r>
        <w:fldChar w:fldCharType="end"/>
      </w:r>
    </w:p>
    <w:p>
      <w:pPr>
        <w:pStyle w:val="21"/>
        <w:tabs>
          <w:tab w:val="right" w:leader="dot" w:pos="9412"/>
          <w:tab w:val="clear" w:pos="9402"/>
        </w:tabs>
      </w:pPr>
      <w:r>
        <w:fldChar w:fldCharType="begin"/>
      </w:r>
      <w:r>
        <w:instrText xml:space="preserve"> HYPERLINK \l _Toc20624 </w:instrText>
      </w:r>
      <w:r>
        <w:fldChar w:fldCharType="separate"/>
      </w:r>
      <w:r>
        <w:rPr>
          <w:rFonts w:hint="eastAsia" w:ascii="Times New Roman" w:hAnsi="Times New Roman" w:cs="Times New Roman"/>
        </w:rPr>
        <w:t>9验收监测结果及分析</w:t>
      </w:r>
      <w:r>
        <w:tab/>
      </w:r>
      <w:r>
        <w:fldChar w:fldCharType="begin"/>
      </w:r>
      <w:r>
        <w:instrText xml:space="preserve"> PAGEREF _Toc20624 \h </w:instrText>
      </w:r>
      <w:r>
        <w:fldChar w:fldCharType="separate"/>
      </w:r>
      <w:r>
        <w:t>29</w:t>
      </w:r>
      <w:r>
        <w:fldChar w:fldCharType="end"/>
      </w:r>
      <w:r>
        <w:fldChar w:fldCharType="end"/>
      </w:r>
    </w:p>
    <w:p>
      <w:pPr>
        <w:pStyle w:val="23"/>
        <w:tabs>
          <w:tab w:val="right" w:leader="dot" w:pos="9412"/>
          <w:tab w:val="clear" w:pos="9402"/>
        </w:tabs>
      </w:pPr>
      <w:r>
        <w:fldChar w:fldCharType="begin"/>
      </w:r>
      <w:r>
        <w:instrText xml:space="preserve"> HYPERLINK \l _Toc3848 </w:instrText>
      </w:r>
      <w:r>
        <w:fldChar w:fldCharType="separate"/>
      </w:r>
      <w:r>
        <w:rPr>
          <w:rFonts w:hint="eastAsia" w:cs="Times New Roman"/>
        </w:rPr>
        <w:t>9</w:t>
      </w:r>
      <w:r>
        <w:rPr>
          <w:rFonts w:cs="Times New Roman"/>
        </w:rPr>
        <w:t>.1 监测期间工况</w:t>
      </w:r>
      <w:r>
        <w:tab/>
      </w:r>
      <w:r>
        <w:fldChar w:fldCharType="begin"/>
      </w:r>
      <w:r>
        <w:instrText xml:space="preserve"> PAGEREF _Toc3848 \h </w:instrText>
      </w:r>
      <w:r>
        <w:fldChar w:fldCharType="separate"/>
      </w:r>
      <w:r>
        <w:t>29</w:t>
      </w:r>
      <w:r>
        <w:fldChar w:fldCharType="end"/>
      </w:r>
      <w:r>
        <w:fldChar w:fldCharType="end"/>
      </w:r>
    </w:p>
    <w:p>
      <w:pPr>
        <w:pStyle w:val="23"/>
        <w:tabs>
          <w:tab w:val="right" w:leader="dot" w:pos="9412"/>
          <w:tab w:val="clear" w:pos="9402"/>
        </w:tabs>
      </w:pPr>
      <w:r>
        <w:fldChar w:fldCharType="begin"/>
      </w:r>
      <w:r>
        <w:instrText xml:space="preserve"> HYPERLINK \l _Toc18326 </w:instrText>
      </w:r>
      <w:r>
        <w:fldChar w:fldCharType="separate"/>
      </w:r>
      <w:r>
        <w:rPr>
          <w:rFonts w:hint="eastAsia" w:cs="Times New Roman"/>
        </w:rPr>
        <w:t>9</w:t>
      </w:r>
      <w:r>
        <w:rPr>
          <w:rFonts w:cs="Times New Roman"/>
        </w:rPr>
        <w:t xml:space="preserve">.2 </w:t>
      </w:r>
      <w:r>
        <w:rPr>
          <w:rFonts w:hint="eastAsia" w:cs="Times New Roman"/>
        </w:rPr>
        <w:t>环境保护设施调试效果</w:t>
      </w:r>
      <w:r>
        <w:tab/>
      </w:r>
      <w:r>
        <w:fldChar w:fldCharType="begin"/>
      </w:r>
      <w:r>
        <w:instrText xml:space="preserve"> PAGEREF _Toc18326 \h </w:instrText>
      </w:r>
      <w:r>
        <w:fldChar w:fldCharType="separate"/>
      </w:r>
      <w:r>
        <w:t>29</w:t>
      </w:r>
      <w:r>
        <w:fldChar w:fldCharType="end"/>
      </w:r>
      <w:r>
        <w:fldChar w:fldCharType="end"/>
      </w:r>
    </w:p>
    <w:p>
      <w:pPr>
        <w:pStyle w:val="23"/>
        <w:tabs>
          <w:tab w:val="right" w:leader="dot" w:pos="9412"/>
          <w:tab w:val="clear" w:pos="9402"/>
        </w:tabs>
      </w:pPr>
      <w:r>
        <w:fldChar w:fldCharType="begin"/>
      </w:r>
      <w:r>
        <w:instrText xml:space="preserve"> HYPERLINK \l _Toc3323 </w:instrText>
      </w:r>
      <w:r>
        <w:fldChar w:fldCharType="separate"/>
      </w:r>
      <w:r>
        <w:rPr>
          <w:rFonts w:hint="eastAsia" w:ascii="Times New Roman" w:hAnsi="Times New Roman"/>
          <w:lang w:val="en-US" w:eastAsia="zh-CN"/>
        </w:rPr>
        <w:t>9.3  污染物总量控制</w:t>
      </w:r>
      <w:r>
        <w:tab/>
      </w:r>
      <w:r>
        <w:fldChar w:fldCharType="begin"/>
      </w:r>
      <w:r>
        <w:instrText xml:space="preserve"> PAGEREF _Toc3323 \h </w:instrText>
      </w:r>
      <w:r>
        <w:fldChar w:fldCharType="separate"/>
      </w:r>
      <w:r>
        <w:t>31</w:t>
      </w:r>
      <w:r>
        <w:fldChar w:fldCharType="end"/>
      </w:r>
      <w:r>
        <w:fldChar w:fldCharType="end"/>
      </w:r>
    </w:p>
    <w:p>
      <w:pPr>
        <w:pStyle w:val="21"/>
        <w:tabs>
          <w:tab w:val="right" w:leader="dot" w:pos="9412"/>
          <w:tab w:val="clear" w:pos="9402"/>
        </w:tabs>
      </w:pPr>
      <w:r>
        <w:fldChar w:fldCharType="begin"/>
      </w:r>
      <w:r>
        <w:instrText xml:space="preserve"> HYPERLINK \l _Toc20176 </w:instrText>
      </w:r>
      <w:r>
        <w:fldChar w:fldCharType="separate"/>
      </w:r>
      <w:r>
        <w:rPr>
          <w:rFonts w:hint="eastAsia" w:ascii="Times New Roman" w:hAnsi="Times New Roman" w:cs="Times New Roman"/>
        </w:rPr>
        <w:t>10 验收监测结论</w:t>
      </w:r>
      <w:r>
        <w:tab/>
      </w:r>
      <w:r>
        <w:fldChar w:fldCharType="begin"/>
      </w:r>
      <w:r>
        <w:instrText xml:space="preserve"> PAGEREF _Toc20176 \h </w:instrText>
      </w:r>
      <w:r>
        <w:fldChar w:fldCharType="separate"/>
      </w:r>
      <w:r>
        <w:t>32</w:t>
      </w:r>
      <w:r>
        <w:fldChar w:fldCharType="end"/>
      </w:r>
      <w:r>
        <w:fldChar w:fldCharType="end"/>
      </w:r>
    </w:p>
    <w:p>
      <w:pPr>
        <w:pStyle w:val="23"/>
        <w:tabs>
          <w:tab w:val="right" w:leader="dot" w:pos="9412"/>
          <w:tab w:val="clear" w:pos="9402"/>
        </w:tabs>
      </w:pPr>
      <w:r>
        <w:fldChar w:fldCharType="begin"/>
      </w:r>
      <w:r>
        <w:instrText xml:space="preserve"> HYPERLINK \l _Toc30128 </w:instrText>
      </w:r>
      <w:r>
        <w:fldChar w:fldCharType="separate"/>
      </w:r>
      <w:r>
        <w:rPr>
          <w:rFonts w:cs="Times New Roman"/>
        </w:rPr>
        <w:t>10.1</w:t>
      </w:r>
      <w:r>
        <w:rPr>
          <w:rFonts w:hint="eastAsia" w:cs="Times New Roman"/>
        </w:rPr>
        <w:t>环境保护设施调试效果</w:t>
      </w:r>
      <w:r>
        <w:tab/>
      </w:r>
      <w:r>
        <w:fldChar w:fldCharType="begin"/>
      </w:r>
      <w:r>
        <w:instrText xml:space="preserve"> PAGEREF _Toc30128 \h </w:instrText>
      </w:r>
      <w:r>
        <w:fldChar w:fldCharType="separate"/>
      </w:r>
      <w:r>
        <w:t>32</w:t>
      </w:r>
      <w:r>
        <w:fldChar w:fldCharType="end"/>
      </w:r>
      <w:r>
        <w:fldChar w:fldCharType="end"/>
      </w:r>
    </w:p>
    <w:p>
      <w:pPr>
        <w:pStyle w:val="23"/>
        <w:tabs>
          <w:tab w:val="right" w:leader="dot" w:pos="9412"/>
          <w:tab w:val="clear" w:pos="9402"/>
        </w:tabs>
      </w:pPr>
      <w:r>
        <w:fldChar w:fldCharType="begin"/>
      </w:r>
      <w:r>
        <w:instrText xml:space="preserve"> HYPERLINK \l _Toc5285 </w:instrText>
      </w:r>
      <w:r>
        <w:fldChar w:fldCharType="separate"/>
      </w:r>
      <w:r>
        <w:rPr>
          <w:rFonts w:cs="Times New Roman"/>
        </w:rPr>
        <w:t>10.</w:t>
      </w:r>
      <w:r>
        <w:rPr>
          <w:rFonts w:hint="eastAsia" w:cs="Times New Roman"/>
        </w:rPr>
        <w:t>2</w:t>
      </w:r>
      <w:r>
        <w:rPr>
          <w:rFonts w:cs="Times New Roman"/>
        </w:rPr>
        <w:t>环境风险措施检查结论</w:t>
      </w:r>
      <w:r>
        <w:tab/>
      </w:r>
      <w:r>
        <w:fldChar w:fldCharType="begin"/>
      </w:r>
      <w:r>
        <w:instrText xml:space="preserve"> PAGEREF _Toc5285 \h </w:instrText>
      </w:r>
      <w:r>
        <w:fldChar w:fldCharType="separate"/>
      </w:r>
      <w:r>
        <w:t>33</w:t>
      </w:r>
      <w:r>
        <w:fldChar w:fldCharType="end"/>
      </w:r>
      <w:r>
        <w:fldChar w:fldCharType="end"/>
      </w:r>
    </w:p>
    <w:p>
      <w:pPr>
        <w:pStyle w:val="23"/>
        <w:tabs>
          <w:tab w:val="right" w:leader="dot" w:pos="9412"/>
          <w:tab w:val="clear" w:pos="9402"/>
        </w:tabs>
      </w:pPr>
      <w:r>
        <w:fldChar w:fldCharType="begin"/>
      </w:r>
      <w:r>
        <w:instrText xml:space="preserve"> HYPERLINK \l _Toc13049 </w:instrText>
      </w:r>
      <w:r>
        <w:fldChar w:fldCharType="separate"/>
      </w:r>
      <w:r>
        <w:rPr>
          <w:rFonts w:cs="Times New Roman"/>
        </w:rPr>
        <w:t>10.</w:t>
      </w:r>
      <w:r>
        <w:rPr>
          <w:rFonts w:hint="eastAsia" w:cs="Times New Roman"/>
        </w:rPr>
        <w:t>3综合结论</w:t>
      </w:r>
      <w:r>
        <w:tab/>
      </w:r>
      <w:r>
        <w:fldChar w:fldCharType="begin"/>
      </w:r>
      <w:r>
        <w:instrText xml:space="preserve"> PAGEREF _Toc13049 \h </w:instrText>
      </w:r>
      <w:r>
        <w:fldChar w:fldCharType="separate"/>
      </w:r>
      <w:r>
        <w:t>33</w:t>
      </w:r>
      <w:r>
        <w:fldChar w:fldCharType="end"/>
      </w:r>
      <w:r>
        <w:fldChar w:fldCharType="end"/>
      </w:r>
    </w:p>
    <w:p>
      <w:pPr>
        <w:pStyle w:val="23"/>
        <w:tabs>
          <w:tab w:val="right" w:leader="dot" w:pos="9412"/>
          <w:tab w:val="clear" w:pos="9402"/>
        </w:tabs>
      </w:pPr>
      <w:r>
        <w:fldChar w:fldCharType="begin"/>
      </w:r>
      <w:r>
        <w:instrText xml:space="preserve"> HYPERLINK \l _Toc1176 </w:instrText>
      </w:r>
      <w:r>
        <w:fldChar w:fldCharType="separate"/>
      </w:r>
      <w:r>
        <w:rPr>
          <w:rFonts w:cs="Times New Roman"/>
        </w:rPr>
        <w:t>10.</w:t>
      </w:r>
      <w:r>
        <w:rPr>
          <w:rFonts w:hint="eastAsia" w:cs="Times New Roman"/>
        </w:rPr>
        <w:t>4建议</w:t>
      </w:r>
      <w:r>
        <w:tab/>
      </w:r>
      <w:r>
        <w:fldChar w:fldCharType="begin"/>
      </w:r>
      <w:r>
        <w:instrText xml:space="preserve"> PAGEREF _Toc1176 \h </w:instrText>
      </w:r>
      <w:r>
        <w:fldChar w:fldCharType="separate"/>
      </w:r>
      <w:r>
        <w:t>33</w:t>
      </w:r>
      <w:r>
        <w:fldChar w:fldCharType="end"/>
      </w:r>
      <w:r>
        <w:fldChar w:fldCharType="end"/>
      </w:r>
    </w:p>
    <w:p>
      <w:pPr>
        <w:pStyle w:val="21"/>
        <w:spacing w:line="276" w:lineRule="auto"/>
        <w:rPr>
          <w:rFonts w:asciiTheme="minorHAnsi" w:hAnsiTheme="minorHAnsi" w:eastAsiaTheme="minorEastAsia" w:cstheme="minorBidi"/>
          <w:b w:val="0"/>
          <w:caps w:val="0"/>
          <w:sz w:val="22"/>
          <w:szCs w:val="22"/>
        </w:rPr>
      </w:pPr>
      <w:r>
        <w:fldChar w:fldCharType="end"/>
      </w:r>
    </w:p>
    <w:p>
      <w:pPr>
        <w:pStyle w:val="21"/>
        <w:spacing w:line="276" w:lineRule="auto"/>
        <w:rPr>
          <w:rFonts w:asciiTheme="minorHAnsi" w:hAnsiTheme="minorHAnsi" w:eastAsiaTheme="minorEastAsia" w:cstheme="minorBidi"/>
          <w:b w:val="0"/>
          <w:caps w:val="0"/>
          <w:sz w:val="22"/>
          <w:szCs w:val="22"/>
        </w:rPr>
      </w:pPr>
    </w:p>
    <w:p>
      <w:pPr>
        <w:pStyle w:val="61"/>
        <w:spacing w:before="240"/>
        <w:rPr>
          <w:rFonts w:cs="Times New Roman"/>
          <w:sz w:val="40"/>
          <w:szCs w:val="28"/>
        </w:rPr>
        <w:sectPr>
          <w:pgSz w:w="11906" w:h="16838"/>
          <w:pgMar w:top="1247" w:right="1247" w:bottom="1247" w:left="1247" w:header="851" w:footer="851" w:gutter="0"/>
          <w:pgNumType w:start="1"/>
          <w:cols w:space="425" w:num="1"/>
          <w:titlePg/>
          <w:docGrid w:linePitch="381" w:charSpace="0"/>
        </w:sectPr>
      </w:pPr>
      <w:bookmarkStart w:id="1" w:name="_Toc333501100"/>
      <w:bookmarkStart w:id="2" w:name="_Toc312829599"/>
    </w:p>
    <w:bookmarkEnd w:id="1"/>
    <w:bookmarkEnd w:id="2"/>
    <w:p>
      <w:pPr>
        <w:pStyle w:val="61"/>
        <w:spacing w:beforeLines="50"/>
        <w:rPr>
          <w:rFonts w:cs="Times New Roman"/>
          <w:sz w:val="36"/>
        </w:rPr>
      </w:pPr>
      <w:bookmarkStart w:id="3" w:name="_Toc321042406"/>
      <w:bookmarkStart w:id="4" w:name="_Toc305059553"/>
      <w:bookmarkStart w:id="5" w:name="_Toc341293099"/>
      <w:bookmarkStart w:id="6" w:name="_Toc341278414"/>
      <w:bookmarkStart w:id="7" w:name="_Toc341431718"/>
      <w:bookmarkStart w:id="8" w:name="_Toc332553908"/>
      <w:bookmarkStart w:id="9" w:name="_Toc256171691"/>
      <w:bookmarkStart w:id="10" w:name="_Toc341357465"/>
      <w:bookmarkStart w:id="11" w:name="_Toc5898"/>
      <w:r>
        <w:rPr>
          <w:rFonts w:cs="Times New Roman"/>
          <w:sz w:val="36"/>
        </w:rPr>
        <w:t xml:space="preserve">1 </w:t>
      </w:r>
      <w:bookmarkEnd w:id="3"/>
      <w:bookmarkEnd w:id="4"/>
      <w:bookmarkEnd w:id="5"/>
      <w:bookmarkEnd w:id="6"/>
      <w:bookmarkEnd w:id="7"/>
      <w:bookmarkEnd w:id="8"/>
      <w:bookmarkEnd w:id="9"/>
      <w:bookmarkEnd w:id="10"/>
      <w:r>
        <w:rPr>
          <w:rFonts w:hint="eastAsia" w:cs="Times New Roman"/>
          <w:sz w:val="36"/>
        </w:rPr>
        <w:t>验收项目概况</w:t>
      </w:r>
      <w:bookmarkEnd w:id="11"/>
    </w:p>
    <w:p>
      <w:pPr>
        <w:spacing w:line="540" w:lineRule="exact"/>
        <w:ind w:firstLine="480" w:firstLineChars="200"/>
        <w:rPr>
          <w:rFonts w:hint="eastAsia" w:hAnsi="宋体"/>
          <w:sz w:val="24"/>
          <w:szCs w:val="24"/>
        </w:rPr>
      </w:pPr>
      <w:r>
        <w:rPr>
          <w:rFonts w:hint="eastAsia"/>
          <w:sz w:val="24"/>
          <w:highlight w:val="none"/>
          <w:lang w:eastAsia="zh-CN"/>
        </w:rPr>
        <w:t>重庆渝顺投资有限公司顺洁加油站，</w:t>
      </w:r>
      <w:r>
        <w:rPr>
          <w:rFonts w:hint="eastAsia"/>
          <w:sz w:val="24"/>
          <w:highlight w:val="none"/>
          <w:lang w:val="en-US" w:eastAsia="zh-CN"/>
        </w:rPr>
        <w:t>地址位于重庆市江津区双福新区J05-18-1/03号地块。</w:t>
      </w:r>
      <w:r>
        <w:rPr>
          <w:rFonts w:hint="eastAsia" w:ascii="Times New Roman" w:hAnsi="宋体"/>
          <w:bCs/>
          <w:color w:val="auto"/>
          <w:sz w:val="24"/>
          <w:szCs w:val="24"/>
          <w:lang w:eastAsia="zh-CN"/>
        </w:rPr>
        <w:t>销售规模为 92#汽油</w:t>
      </w:r>
      <w:r>
        <w:rPr>
          <w:rFonts w:hint="eastAsia" w:ascii="Times New Roman" w:hAnsi="宋体"/>
          <w:bCs/>
          <w:color w:val="auto"/>
          <w:sz w:val="24"/>
          <w:szCs w:val="24"/>
          <w:lang w:val="en-US" w:eastAsia="zh-CN"/>
        </w:rPr>
        <w:t>4</w:t>
      </w:r>
      <w:r>
        <w:rPr>
          <w:rFonts w:hint="eastAsia" w:ascii="Times New Roman" w:hAnsi="宋体"/>
          <w:bCs/>
          <w:color w:val="auto"/>
          <w:sz w:val="24"/>
          <w:szCs w:val="24"/>
          <w:lang w:eastAsia="zh-CN"/>
        </w:rPr>
        <w:t xml:space="preserve"> t/d（</w:t>
      </w:r>
      <w:r>
        <w:rPr>
          <w:rFonts w:hint="eastAsia" w:ascii="Times New Roman" w:hAnsi="宋体"/>
          <w:bCs/>
          <w:color w:val="auto"/>
          <w:sz w:val="24"/>
          <w:szCs w:val="24"/>
          <w:lang w:val="en-US" w:eastAsia="zh-CN"/>
        </w:rPr>
        <w:t>1460</w:t>
      </w:r>
      <w:r>
        <w:rPr>
          <w:rFonts w:hint="eastAsia" w:ascii="Times New Roman" w:hAnsi="宋体"/>
          <w:bCs/>
          <w:color w:val="auto"/>
          <w:sz w:val="24"/>
          <w:szCs w:val="24"/>
          <w:lang w:eastAsia="zh-CN"/>
        </w:rPr>
        <w:t xml:space="preserve"> t/a）、95#汽油1t/d（365 t/a）、9</w:t>
      </w:r>
      <w:r>
        <w:rPr>
          <w:rFonts w:hint="eastAsia" w:ascii="Times New Roman" w:hAnsi="宋体"/>
          <w:bCs/>
          <w:color w:val="auto"/>
          <w:sz w:val="24"/>
          <w:szCs w:val="24"/>
          <w:lang w:val="en-US" w:eastAsia="zh-CN"/>
        </w:rPr>
        <w:t>8</w:t>
      </w:r>
      <w:r>
        <w:rPr>
          <w:rFonts w:hint="eastAsia" w:ascii="Times New Roman" w:hAnsi="宋体"/>
          <w:bCs/>
          <w:color w:val="auto"/>
          <w:sz w:val="24"/>
          <w:szCs w:val="24"/>
          <w:lang w:eastAsia="zh-CN"/>
        </w:rPr>
        <w:t>#汽油</w:t>
      </w:r>
      <w:r>
        <w:rPr>
          <w:rFonts w:hint="eastAsia" w:ascii="Times New Roman" w:hAnsi="宋体"/>
          <w:bCs/>
          <w:color w:val="auto"/>
          <w:sz w:val="24"/>
          <w:szCs w:val="24"/>
          <w:lang w:val="en-US" w:eastAsia="zh-CN"/>
        </w:rPr>
        <w:t>0.5</w:t>
      </w:r>
      <w:r>
        <w:rPr>
          <w:rFonts w:hint="eastAsia" w:ascii="Times New Roman" w:hAnsi="宋体"/>
          <w:bCs/>
          <w:color w:val="auto"/>
          <w:sz w:val="24"/>
          <w:szCs w:val="24"/>
          <w:lang w:eastAsia="zh-CN"/>
        </w:rPr>
        <w:t>t/d（</w:t>
      </w:r>
      <w:r>
        <w:rPr>
          <w:rFonts w:hint="eastAsia" w:ascii="Times New Roman" w:hAnsi="宋体"/>
          <w:bCs/>
          <w:color w:val="auto"/>
          <w:sz w:val="24"/>
          <w:szCs w:val="24"/>
          <w:lang w:val="en-US" w:eastAsia="zh-CN"/>
        </w:rPr>
        <w:t>182.5</w:t>
      </w:r>
      <w:r>
        <w:rPr>
          <w:rFonts w:hint="eastAsia" w:ascii="Times New Roman" w:hAnsi="宋体"/>
          <w:bCs/>
          <w:color w:val="auto"/>
          <w:sz w:val="24"/>
          <w:szCs w:val="24"/>
          <w:lang w:eastAsia="zh-CN"/>
        </w:rPr>
        <w:t>t/a）、0#柴油</w:t>
      </w:r>
      <w:r>
        <w:rPr>
          <w:rFonts w:hint="eastAsia" w:ascii="Times New Roman" w:hAnsi="宋体"/>
          <w:bCs/>
          <w:color w:val="auto"/>
          <w:sz w:val="24"/>
          <w:szCs w:val="24"/>
          <w:lang w:val="en-US" w:eastAsia="zh-CN"/>
        </w:rPr>
        <w:t>5.5</w:t>
      </w:r>
      <w:r>
        <w:rPr>
          <w:rFonts w:hint="eastAsia" w:ascii="Times New Roman" w:hAnsi="宋体"/>
          <w:bCs/>
          <w:color w:val="auto"/>
          <w:sz w:val="24"/>
          <w:szCs w:val="24"/>
          <w:lang w:eastAsia="zh-CN"/>
        </w:rPr>
        <w:t xml:space="preserve"> t/d（</w:t>
      </w:r>
      <w:r>
        <w:rPr>
          <w:rFonts w:hint="eastAsia" w:ascii="Times New Roman" w:hAnsi="宋体"/>
          <w:bCs/>
          <w:color w:val="auto"/>
          <w:sz w:val="24"/>
          <w:szCs w:val="24"/>
          <w:lang w:val="en-US" w:eastAsia="zh-CN"/>
        </w:rPr>
        <w:t>2007.5</w:t>
      </w:r>
      <w:r>
        <w:rPr>
          <w:rFonts w:hint="eastAsia" w:ascii="Times New Roman" w:hAnsi="宋体"/>
          <w:bCs/>
          <w:color w:val="auto"/>
          <w:sz w:val="24"/>
          <w:szCs w:val="24"/>
          <w:lang w:eastAsia="zh-CN"/>
        </w:rPr>
        <w:t xml:space="preserve"> t/a）。</w:t>
      </w:r>
      <w:r>
        <w:rPr>
          <w:rFonts w:hint="eastAsia" w:ascii="Times New Roman" w:hAnsi="宋体"/>
          <w:bCs/>
          <w:color w:val="000000"/>
          <w:sz w:val="24"/>
          <w:szCs w:val="24"/>
          <w:lang w:eastAsia="zh-CN"/>
        </w:rPr>
        <w:t>汽油、柴油运输由重庆龙禹石油有限公司从重庆大班油库用油罐车配送</w:t>
      </w:r>
      <w:r>
        <w:rPr>
          <w:rFonts w:hint="eastAsia" w:ascii="Times New Roman" w:hAnsi="宋体"/>
          <w:color w:val="000000"/>
          <w:sz w:val="24"/>
          <w:szCs w:val="24"/>
          <w:lang w:val="en-US" w:eastAsia="zh-CN"/>
        </w:rPr>
        <w:t>。</w:t>
      </w:r>
      <w:r>
        <w:rPr>
          <w:rFonts w:hint="eastAsia" w:ascii="Times New Roman" w:hAnsi="宋体"/>
          <w:bCs/>
          <w:color w:val="000000"/>
          <w:sz w:val="24"/>
          <w:szCs w:val="24"/>
          <w:lang w:val="en-US" w:eastAsia="zh-CN"/>
        </w:rPr>
        <w:t>项目设置1台箱变（箱变为800KVA），设置7个直流充电桩。同时项目设置1台隧道式洗车机为过往车辆提供洗车服务。</w:t>
      </w:r>
      <w:r>
        <w:rPr>
          <w:rFonts w:hint="eastAsia"/>
          <w:sz w:val="24"/>
          <w:highlight w:val="none"/>
          <w:lang w:val="en-US" w:eastAsia="zh-CN"/>
        </w:rPr>
        <w:t>现有员工10人。年工作365天，三班制。总投资3500万元，其中环保投资30万元</w:t>
      </w:r>
      <w:r>
        <w:rPr>
          <w:rFonts w:hint="eastAsia" w:hAnsi="宋体"/>
          <w:sz w:val="24"/>
          <w:szCs w:val="24"/>
        </w:rPr>
        <w:t>。</w:t>
      </w:r>
    </w:p>
    <w:p>
      <w:pPr>
        <w:spacing w:line="540" w:lineRule="exact"/>
        <w:ind w:firstLine="480" w:firstLineChars="200"/>
        <w:rPr>
          <w:color w:val="000000"/>
          <w:sz w:val="24"/>
          <w:szCs w:val="24"/>
        </w:rPr>
      </w:pPr>
      <w:r>
        <w:rPr>
          <w:color w:val="000000"/>
          <w:sz w:val="24"/>
          <w:szCs w:val="24"/>
        </w:rPr>
        <w:t>20</w:t>
      </w:r>
      <w:r>
        <w:rPr>
          <w:rFonts w:hint="eastAsia"/>
          <w:color w:val="000000"/>
          <w:sz w:val="24"/>
          <w:szCs w:val="24"/>
          <w:lang w:val="en-US" w:eastAsia="zh-CN"/>
        </w:rPr>
        <w:t>23</w:t>
      </w:r>
      <w:r>
        <w:rPr>
          <w:color w:val="000000"/>
          <w:sz w:val="24"/>
          <w:szCs w:val="24"/>
        </w:rPr>
        <w:t>年</w:t>
      </w:r>
      <w:r>
        <w:rPr>
          <w:rFonts w:hint="eastAsia"/>
          <w:color w:val="000000"/>
          <w:sz w:val="24"/>
          <w:szCs w:val="24"/>
          <w:lang w:val="en-US" w:eastAsia="zh-CN"/>
        </w:rPr>
        <w:t>9</w:t>
      </w:r>
      <w:r>
        <w:rPr>
          <w:color w:val="000000"/>
          <w:sz w:val="24"/>
          <w:szCs w:val="24"/>
        </w:rPr>
        <w:t>月</w:t>
      </w:r>
      <w:r>
        <w:rPr>
          <w:rFonts w:hint="eastAsia"/>
          <w:color w:val="000000"/>
          <w:sz w:val="24"/>
          <w:szCs w:val="24"/>
          <w:lang w:eastAsia="zh-CN"/>
        </w:rPr>
        <w:t>，重庆渝顺投资有限公司</w:t>
      </w:r>
      <w:r>
        <w:rPr>
          <w:rFonts w:hint="eastAsia"/>
          <w:color w:val="000000"/>
          <w:sz w:val="24"/>
          <w:szCs w:val="24"/>
        </w:rPr>
        <w:t>委托</w:t>
      </w:r>
      <w:r>
        <w:rPr>
          <w:rFonts w:hint="eastAsia"/>
          <w:color w:val="000000"/>
          <w:sz w:val="24"/>
          <w:szCs w:val="24"/>
          <w:lang w:eastAsia="zh-CN"/>
        </w:rPr>
        <w:t>重庆长嵘环保科技有限公司</w:t>
      </w:r>
      <w:r>
        <w:rPr>
          <w:rFonts w:hint="eastAsia"/>
          <w:color w:val="000000"/>
          <w:sz w:val="24"/>
          <w:szCs w:val="24"/>
        </w:rPr>
        <w:t>对本项目进行环境影响评价；</w:t>
      </w:r>
      <w:r>
        <w:rPr>
          <w:color w:val="000000"/>
          <w:sz w:val="24"/>
          <w:szCs w:val="24"/>
        </w:rPr>
        <w:t>20</w:t>
      </w:r>
      <w:r>
        <w:rPr>
          <w:rFonts w:hint="eastAsia"/>
          <w:color w:val="000000"/>
          <w:sz w:val="24"/>
          <w:szCs w:val="24"/>
          <w:lang w:val="en-US" w:eastAsia="zh-CN"/>
        </w:rPr>
        <w:t>23</w:t>
      </w:r>
      <w:r>
        <w:rPr>
          <w:color w:val="000000"/>
          <w:sz w:val="24"/>
          <w:szCs w:val="24"/>
        </w:rPr>
        <w:t>年</w:t>
      </w:r>
      <w:r>
        <w:rPr>
          <w:rFonts w:hint="eastAsia"/>
          <w:color w:val="000000"/>
          <w:sz w:val="24"/>
          <w:szCs w:val="24"/>
          <w:lang w:val="en-US" w:eastAsia="zh-CN"/>
        </w:rPr>
        <w:t>10</w:t>
      </w:r>
      <w:r>
        <w:rPr>
          <w:color w:val="000000"/>
          <w:sz w:val="24"/>
          <w:szCs w:val="24"/>
        </w:rPr>
        <w:t>月</w:t>
      </w:r>
      <w:r>
        <w:rPr>
          <w:rFonts w:hint="eastAsia"/>
          <w:color w:val="000000"/>
          <w:sz w:val="24"/>
          <w:szCs w:val="24"/>
          <w:lang w:val="en-US" w:eastAsia="zh-CN"/>
        </w:rPr>
        <w:t>8日</w:t>
      </w:r>
      <w:r>
        <w:rPr>
          <w:color w:val="000000"/>
          <w:sz w:val="24"/>
          <w:szCs w:val="24"/>
        </w:rPr>
        <w:t>，重庆市</w:t>
      </w:r>
      <w:r>
        <w:rPr>
          <w:rFonts w:hint="eastAsia"/>
          <w:color w:val="000000"/>
          <w:sz w:val="24"/>
          <w:szCs w:val="24"/>
          <w:lang w:eastAsia="zh-CN"/>
        </w:rPr>
        <w:t>江津区生态环境局</w:t>
      </w:r>
      <w:r>
        <w:rPr>
          <w:color w:val="000000"/>
          <w:sz w:val="24"/>
          <w:szCs w:val="24"/>
        </w:rPr>
        <w:t>以</w:t>
      </w:r>
      <w:r>
        <w:rPr>
          <w:rFonts w:hint="eastAsia"/>
          <w:color w:val="000000"/>
          <w:sz w:val="24"/>
          <w:szCs w:val="24"/>
          <w:lang w:eastAsia="zh-CN"/>
        </w:rPr>
        <w:t>（渝（津）环准[2023]141号）</w:t>
      </w:r>
      <w:r>
        <w:rPr>
          <w:color w:val="000000"/>
          <w:sz w:val="24"/>
          <w:szCs w:val="24"/>
        </w:rPr>
        <w:t>文批复了</w:t>
      </w:r>
      <w:r>
        <w:rPr>
          <w:rFonts w:hint="eastAsia"/>
          <w:color w:val="000000"/>
          <w:sz w:val="24"/>
          <w:szCs w:val="24"/>
          <w:lang w:eastAsia="zh-CN"/>
        </w:rPr>
        <w:t>重庆渝顺投资有限公司顺洁加油站</w:t>
      </w:r>
      <w:r>
        <w:rPr>
          <w:color w:val="000000"/>
          <w:sz w:val="24"/>
          <w:szCs w:val="24"/>
        </w:rPr>
        <w:t>环境影响报告</w:t>
      </w:r>
      <w:r>
        <w:rPr>
          <w:rFonts w:hint="eastAsia"/>
          <w:color w:val="000000"/>
          <w:sz w:val="24"/>
          <w:szCs w:val="24"/>
        </w:rPr>
        <w:t>表</w:t>
      </w:r>
      <w:r>
        <w:rPr>
          <w:rFonts w:hint="eastAsia"/>
          <w:color w:val="000000" w:themeColor="text1"/>
          <w:sz w:val="24"/>
          <w:szCs w:val="24"/>
        </w:rPr>
        <w:t>；20</w:t>
      </w:r>
      <w:r>
        <w:rPr>
          <w:rFonts w:hint="eastAsia"/>
          <w:color w:val="000000" w:themeColor="text1"/>
          <w:sz w:val="24"/>
          <w:szCs w:val="24"/>
          <w:lang w:val="en-US" w:eastAsia="zh-CN"/>
        </w:rPr>
        <w:t>24</w:t>
      </w:r>
      <w:r>
        <w:rPr>
          <w:rFonts w:hint="eastAsia"/>
          <w:color w:val="000000" w:themeColor="text1"/>
          <w:sz w:val="24"/>
          <w:szCs w:val="24"/>
        </w:rPr>
        <w:t>年</w:t>
      </w:r>
      <w:r>
        <w:rPr>
          <w:rFonts w:hint="eastAsia"/>
          <w:color w:val="000000" w:themeColor="text1"/>
          <w:sz w:val="24"/>
          <w:szCs w:val="24"/>
          <w:lang w:val="en-US" w:eastAsia="zh-CN"/>
        </w:rPr>
        <w:t>1</w:t>
      </w:r>
      <w:r>
        <w:rPr>
          <w:rFonts w:hint="eastAsia"/>
          <w:color w:val="000000" w:themeColor="text1"/>
          <w:sz w:val="24"/>
          <w:szCs w:val="24"/>
        </w:rPr>
        <w:t>月</w:t>
      </w:r>
      <w:r>
        <w:rPr>
          <w:rFonts w:hint="eastAsia"/>
          <w:color w:val="000000" w:themeColor="text1"/>
          <w:sz w:val="24"/>
          <w:szCs w:val="24"/>
          <w:lang w:eastAsia="zh-CN"/>
        </w:rPr>
        <w:t>重庆渝顺投资有限公司顺洁加油站</w:t>
      </w:r>
      <w:r>
        <w:rPr>
          <w:rFonts w:hint="eastAsia"/>
          <w:color w:val="000000"/>
          <w:sz w:val="24"/>
          <w:szCs w:val="24"/>
        </w:rPr>
        <w:t>建设完成并投入运营。</w:t>
      </w:r>
    </w:p>
    <w:p>
      <w:pPr>
        <w:spacing w:line="540" w:lineRule="exact"/>
        <w:ind w:firstLine="480" w:firstLineChars="200"/>
        <w:rPr>
          <w:rFonts w:hint="eastAsia"/>
          <w:color w:val="000000"/>
          <w:sz w:val="24"/>
          <w:szCs w:val="24"/>
          <w:lang w:eastAsia="zh-CN"/>
        </w:rPr>
      </w:pPr>
      <w:r>
        <w:rPr>
          <w:color w:val="000000"/>
          <w:sz w:val="24"/>
          <w:szCs w:val="24"/>
        </w:rPr>
        <w:t>根据</w:t>
      </w:r>
      <w:r>
        <w:rPr>
          <w:rFonts w:hint="eastAsia"/>
          <w:color w:val="000000"/>
          <w:sz w:val="24"/>
          <w:szCs w:val="24"/>
        </w:rPr>
        <w:t>中华人民共和国国务院令第682</w:t>
      </w:r>
      <w:r>
        <w:rPr>
          <w:color w:val="000000"/>
          <w:sz w:val="24"/>
          <w:szCs w:val="24"/>
        </w:rPr>
        <w:t>号《建设项目</w:t>
      </w:r>
      <w:r>
        <w:rPr>
          <w:rFonts w:hint="eastAsia"/>
          <w:color w:val="000000"/>
          <w:sz w:val="24"/>
          <w:szCs w:val="24"/>
        </w:rPr>
        <w:t>环境保护管理条例</w:t>
      </w:r>
      <w:r>
        <w:rPr>
          <w:color w:val="000000"/>
          <w:sz w:val="24"/>
          <w:szCs w:val="24"/>
        </w:rPr>
        <w:t>》和</w:t>
      </w:r>
      <w:r>
        <w:rPr>
          <w:rFonts w:hint="eastAsia"/>
          <w:color w:val="000000"/>
          <w:sz w:val="24"/>
          <w:szCs w:val="24"/>
        </w:rPr>
        <w:t>渝</w:t>
      </w:r>
      <w:r>
        <w:rPr>
          <w:color w:val="000000"/>
          <w:sz w:val="24"/>
          <w:szCs w:val="24"/>
        </w:rPr>
        <w:t>环</w:t>
      </w:r>
      <w:r>
        <w:rPr>
          <w:rFonts w:hint="eastAsia"/>
          <w:color w:val="000000"/>
          <w:sz w:val="24"/>
          <w:szCs w:val="24"/>
        </w:rPr>
        <w:t>办</w:t>
      </w:r>
      <w:r>
        <w:rPr>
          <w:color w:val="000000"/>
          <w:sz w:val="24"/>
          <w:szCs w:val="24"/>
        </w:rPr>
        <w:t>[</w:t>
      </w:r>
      <w:r>
        <w:rPr>
          <w:rFonts w:hint="eastAsia"/>
          <w:color w:val="000000"/>
          <w:sz w:val="24"/>
          <w:szCs w:val="24"/>
        </w:rPr>
        <w:t>2017</w:t>
      </w:r>
      <w:r>
        <w:rPr>
          <w:color w:val="000000"/>
          <w:sz w:val="24"/>
          <w:szCs w:val="24"/>
        </w:rPr>
        <w:t>]</w:t>
      </w:r>
      <w:r>
        <w:rPr>
          <w:rFonts w:hint="eastAsia"/>
          <w:color w:val="000000"/>
          <w:sz w:val="24"/>
          <w:szCs w:val="24"/>
        </w:rPr>
        <w:t>404</w:t>
      </w:r>
      <w:r>
        <w:rPr>
          <w:color w:val="000000"/>
          <w:sz w:val="24"/>
          <w:szCs w:val="24"/>
        </w:rPr>
        <w:t>号文《</w:t>
      </w:r>
      <w:r>
        <w:rPr>
          <w:rFonts w:hint="eastAsia"/>
          <w:color w:val="000000"/>
          <w:sz w:val="24"/>
          <w:szCs w:val="24"/>
        </w:rPr>
        <w:t>重庆市环境保护局办公室关于不再受理建设项目竣工环境保护验收申请事项的通知</w:t>
      </w:r>
      <w:r>
        <w:rPr>
          <w:color w:val="000000"/>
          <w:sz w:val="24"/>
          <w:szCs w:val="24"/>
        </w:rPr>
        <w:t>》，</w:t>
      </w:r>
      <w:r>
        <w:rPr>
          <w:rFonts w:hint="eastAsia"/>
          <w:color w:val="000000"/>
          <w:sz w:val="24"/>
          <w:szCs w:val="24"/>
        </w:rPr>
        <w:t>“编制环境影响报告书、环境影响报告表的建设项目竣工后，建设单位应当按照国务院环境保护行政主管部门规定的标准和程序，对配套建设的环境保护设施进行验收，编制验收报告”。</w:t>
      </w:r>
      <w:r>
        <w:rPr>
          <w:rFonts w:hint="eastAsia"/>
          <w:color w:val="000000"/>
          <w:sz w:val="24"/>
          <w:szCs w:val="24"/>
          <w:lang w:eastAsia="zh-CN"/>
        </w:rPr>
        <w:t>重庆渝顺投资有限公司委托重庆万世缘环保科技有限公司</w:t>
      </w:r>
      <w:r>
        <w:rPr>
          <w:color w:val="000000"/>
          <w:sz w:val="24"/>
          <w:szCs w:val="24"/>
        </w:rPr>
        <w:t>开展</w:t>
      </w:r>
      <w:r>
        <w:rPr>
          <w:rFonts w:hint="eastAsia"/>
          <w:color w:val="000000"/>
          <w:sz w:val="24"/>
          <w:szCs w:val="24"/>
        </w:rPr>
        <w:t>了</w:t>
      </w:r>
      <w:r>
        <w:rPr>
          <w:rFonts w:hint="eastAsia"/>
          <w:color w:val="000000"/>
          <w:sz w:val="24"/>
          <w:szCs w:val="24"/>
          <w:lang w:eastAsia="zh-CN"/>
        </w:rPr>
        <w:t>重庆渝顺投资有限公司顺洁加油站</w:t>
      </w:r>
      <w:r>
        <w:rPr>
          <w:color w:val="000000"/>
          <w:sz w:val="24"/>
          <w:szCs w:val="24"/>
        </w:rPr>
        <w:t>环保设施竣工验收工作。20</w:t>
      </w:r>
      <w:r>
        <w:rPr>
          <w:rFonts w:hint="eastAsia"/>
          <w:color w:val="000000"/>
          <w:sz w:val="24"/>
          <w:szCs w:val="24"/>
          <w:lang w:val="en-US" w:eastAsia="zh-CN"/>
        </w:rPr>
        <w:t>24</w:t>
      </w:r>
      <w:r>
        <w:rPr>
          <w:color w:val="000000"/>
          <w:sz w:val="24"/>
          <w:szCs w:val="24"/>
        </w:rPr>
        <w:t>年</w:t>
      </w:r>
      <w:r>
        <w:rPr>
          <w:rFonts w:hint="eastAsia"/>
          <w:color w:val="000000"/>
          <w:sz w:val="24"/>
          <w:szCs w:val="24"/>
          <w:lang w:val="en-US" w:eastAsia="zh-CN"/>
        </w:rPr>
        <w:t>1</w:t>
      </w:r>
      <w:r>
        <w:rPr>
          <w:color w:val="000000"/>
          <w:sz w:val="24"/>
          <w:szCs w:val="24"/>
        </w:rPr>
        <w:t>月经现场踏勘、查阅资料后，编制了《</w:t>
      </w:r>
      <w:r>
        <w:rPr>
          <w:rFonts w:hint="eastAsia"/>
          <w:color w:val="000000"/>
          <w:sz w:val="24"/>
          <w:szCs w:val="24"/>
          <w:lang w:eastAsia="zh-CN"/>
        </w:rPr>
        <w:t>重庆渝顺投资有限公司顺洁加油站竣工环境保护验收监测方案》，重庆渝顺投资有限公司委托重庆中环宇检测技术服务有限公司于20</w:t>
      </w:r>
      <w:r>
        <w:rPr>
          <w:rFonts w:hint="eastAsia"/>
          <w:color w:val="000000"/>
          <w:sz w:val="24"/>
          <w:szCs w:val="24"/>
          <w:lang w:val="en-US" w:eastAsia="zh-CN"/>
        </w:rPr>
        <w:t>24</w:t>
      </w:r>
      <w:r>
        <w:rPr>
          <w:rFonts w:hint="eastAsia"/>
          <w:color w:val="000000"/>
          <w:sz w:val="24"/>
          <w:szCs w:val="24"/>
          <w:lang w:eastAsia="zh-CN"/>
        </w:rPr>
        <w:t>年</w:t>
      </w:r>
      <w:r>
        <w:rPr>
          <w:rFonts w:hint="eastAsia"/>
          <w:color w:val="000000"/>
          <w:sz w:val="24"/>
          <w:szCs w:val="24"/>
          <w:lang w:val="en-US" w:eastAsia="zh-CN"/>
        </w:rPr>
        <w:t>2</w:t>
      </w:r>
      <w:r>
        <w:rPr>
          <w:rFonts w:hint="eastAsia"/>
          <w:color w:val="000000"/>
          <w:sz w:val="24"/>
          <w:szCs w:val="24"/>
          <w:lang w:eastAsia="zh-CN"/>
        </w:rPr>
        <w:t>月</w:t>
      </w:r>
      <w:r>
        <w:rPr>
          <w:rFonts w:hint="eastAsia"/>
          <w:color w:val="000000"/>
          <w:sz w:val="24"/>
          <w:szCs w:val="24"/>
          <w:lang w:val="en-US" w:eastAsia="zh-CN"/>
        </w:rPr>
        <w:t>22</w:t>
      </w:r>
      <w:r>
        <w:rPr>
          <w:rFonts w:hint="eastAsia"/>
          <w:color w:val="000000"/>
          <w:sz w:val="24"/>
          <w:szCs w:val="24"/>
          <w:lang w:eastAsia="zh-CN"/>
        </w:rPr>
        <w:t>-</w:t>
      </w:r>
      <w:r>
        <w:rPr>
          <w:rFonts w:hint="eastAsia"/>
          <w:color w:val="000000"/>
          <w:sz w:val="24"/>
          <w:szCs w:val="24"/>
          <w:lang w:val="en-US" w:eastAsia="zh-CN"/>
        </w:rPr>
        <w:t>23</w:t>
      </w:r>
      <w:r>
        <w:rPr>
          <w:rFonts w:hint="eastAsia"/>
          <w:color w:val="000000"/>
          <w:sz w:val="24"/>
          <w:szCs w:val="24"/>
          <w:lang w:eastAsia="zh-CN"/>
        </w:rPr>
        <w:t>日对本项目实施了竣工环保验收的现场监测。根据验收监测结果以及现场环境管理检查结果，编制了《重庆渝顺投资有限公司顺洁加油站竣工环境保护验收监测报告》。</w:t>
      </w:r>
    </w:p>
    <w:p>
      <w:pPr>
        <w:spacing w:line="540" w:lineRule="exact"/>
        <w:ind w:firstLine="480" w:firstLineChars="200"/>
        <w:rPr>
          <w:color w:val="000000"/>
          <w:sz w:val="28"/>
          <w:szCs w:val="28"/>
        </w:rPr>
      </w:pPr>
      <w:r>
        <w:rPr>
          <w:rFonts w:hint="eastAsia"/>
          <w:color w:val="000000"/>
          <w:sz w:val="24"/>
          <w:szCs w:val="24"/>
          <w:lang w:eastAsia="zh-CN"/>
        </w:rPr>
        <w:t>该报告的编制得到了重庆市江津区生态环境局的大力支持，也得到了重庆中环宇检测技术服务有限公司的大力配合，在此，一并表示诚挚的谢意！</w:t>
      </w:r>
      <w:r>
        <w:rPr>
          <w:color w:val="000000"/>
          <w:sz w:val="24"/>
          <w:szCs w:val="24"/>
        </w:rPr>
        <w:br w:type="page"/>
      </w:r>
    </w:p>
    <w:p>
      <w:pPr>
        <w:pStyle w:val="61"/>
        <w:spacing w:beforeLines="50"/>
        <w:rPr>
          <w:rFonts w:cs="Times New Roman"/>
          <w:sz w:val="36"/>
        </w:rPr>
      </w:pPr>
      <w:bookmarkStart w:id="12" w:name="_Toc18402"/>
      <w:r>
        <w:rPr>
          <w:rFonts w:hint="eastAsia" w:cs="Times New Roman"/>
          <w:sz w:val="36"/>
        </w:rPr>
        <w:t>2验收依据</w:t>
      </w:r>
      <w:bookmarkEnd w:id="12"/>
    </w:p>
    <w:p>
      <w:pPr>
        <w:pStyle w:val="62"/>
        <w:rPr>
          <w:rFonts w:cs="Times New Roman"/>
          <w:sz w:val="32"/>
        </w:rPr>
      </w:pPr>
      <w:bookmarkStart w:id="13" w:name="_Toc14907"/>
      <w:r>
        <w:rPr>
          <w:rFonts w:hint="eastAsia" w:cs="Times New Roman"/>
          <w:sz w:val="32"/>
        </w:rPr>
        <w:t>2</w:t>
      </w:r>
      <w:r>
        <w:rPr>
          <w:rFonts w:cs="Times New Roman"/>
          <w:sz w:val="32"/>
        </w:rPr>
        <w:t>.1 环境保护有关法规、政策</w:t>
      </w:r>
      <w:bookmarkEnd w:id="13"/>
    </w:p>
    <w:p>
      <w:pPr>
        <w:spacing w:line="540" w:lineRule="exact"/>
        <w:ind w:firstLine="240" w:firstLineChars="1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（1）《中华人民共和国环境保护法》（2015年修订）；</w:t>
      </w:r>
    </w:p>
    <w:p>
      <w:pPr>
        <w:spacing w:line="540" w:lineRule="exact"/>
        <w:ind w:firstLine="240" w:firstLineChars="100"/>
        <w:rPr>
          <w:rFonts w:hint="eastAsia" w:ascii="Times New Roman" w:hAnsi="Times New Roman" w:eastAsia="宋体" w:cs="Times New Roman"/>
          <w:color w:val="000000"/>
          <w:sz w:val="24"/>
          <w:szCs w:val="24"/>
        </w:rPr>
      </w:pPr>
      <w:r>
        <w:rPr>
          <w:rFonts w:ascii="Times New Roman" w:hAnsi="Times New Roman" w:eastAsia="宋体" w:cs="Times New Roman"/>
          <w:color w:val="000000"/>
          <w:sz w:val="24"/>
          <w:szCs w:val="24"/>
        </w:rPr>
        <w:t>（2）《中华人民共和国环境影响评价法》（201</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年修订）；</w:t>
      </w:r>
    </w:p>
    <w:p>
      <w:pPr>
        <w:spacing w:line="540" w:lineRule="exact"/>
        <w:ind w:firstLine="240" w:firstLineChars="1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（3）《中华人民共和国大气污染防治法》（2016年1月1日实施）；</w:t>
      </w:r>
    </w:p>
    <w:p>
      <w:pPr>
        <w:spacing w:line="540" w:lineRule="exact"/>
        <w:ind w:firstLine="240" w:firstLineChars="100"/>
        <w:rPr>
          <w:rFonts w:hint="eastAsia" w:ascii="Times New Roman" w:hAnsi="Times New Roman" w:eastAsia="宋体" w:cs="Times New Roman"/>
          <w:color w:val="000000"/>
          <w:sz w:val="24"/>
          <w:szCs w:val="24"/>
        </w:rPr>
      </w:pPr>
      <w:r>
        <w:rPr>
          <w:rFonts w:ascii="Times New Roman" w:hAnsi="Times New Roman" w:eastAsia="宋体" w:cs="Times New Roman"/>
          <w:color w:val="000000"/>
          <w:sz w:val="24"/>
          <w:szCs w:val="24"/>
        </w:rPr>
        <w:t>（4）《中华人民共和国水污染防治法》（20</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8年</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月修订）；</w:t>
      </w:r>
    </w:p>
    <w:p>
      <w:pPr>
        <w:spacing w:line="540" w:lineRule="exact"/>
        <w:ind w:firstLine="240" w:firstLineChars="100"/>
        <w:rPr>
          <w:rFonts w:hint="eastAsia" w:ascii="Times New Roman" w:hAnsi="Times New Roman" w:eastAsia="宋体" w:cs="Times New Roman"/>
          <w:color w:val="000000"/>
          <w:sz w:val="24"/>
          <w:szCs w:val="24"/>
        </w:rPr>
      </w:pPr>
      <w:r>
        <w:rPr>
          <w:rFonts w:ascii="Times New Roman" w:hAnsi="Times New Roman" w:eastAsia="宋体" w:cs="Times New Roman"/>
          <w:color w:val="000000"/>
          <w:sz w:val="24"/>
          <w:szCs w:val="24"/>
        </w:rPr>
        <w:t>（5）《中华人民共和国固体废物污染环境防治法》（20</w:t>
      </w:r>
      <w:r>
        <w:rPr>
          <w:rFonts w:hint="eastAsia" w:ascii="Times New Roman" w:hAnsi="Times New Roman" w:eastAsia="宋体" w:cs="Times New Roman"/>
          <w:color w:val="000000"/>
          <w:sz w:val="24"/>
          <w:szCs w:val="24"/>
          <w:lang w:val="en-US" w:eastAsia="zh-CN"/>
        </w:rPr>
        <w:t>20</w:t>
      </w:r>
      <w:r>
        <w:rPr>
          <w:rFonts w:ascii="Times New Roman" w:hAnsi="Times New Roman" w:eastAsia="宋体" w:cs="Times New Roman"/>
          <w:color w:val="000000"/>
          <w:sz w:val="24"/>
          <w:szCs w:val="24"/>
        </w:rPr>
        <w:t>年</w:t>
      </w:r>
      <w:r>
        <w:rPr>
          <w:rFonts w:hint="eastAsia" w:ascii="Times New Roman" w:hAnsi="Times New Roman" w:eastAsia="宋体" w:cs="Times New Roman"/>
          <w:color w:val="000000"/>
          <w:sz w:val="24"/>
          <w:szCs w:val="24"/>
          <w:lang w:val="en-US" w:eastAsia="zh-CN"/>
        </w:rPr>
        <w:t>9</w:t>
      </w:r>
      <w:r>
        <w:rPr>
          <w:rFonts w:ascii="Times New Roman" w:hAnsi="Times New Roman" w:eastAsia="宋体" w:cs="Times New Roman"/>
          <w:color w:val="000000"/>
          <w:sz w:val="24"/>
          <w:szCs w:val="24"/>
        </w:rPr>
        <w:t>月</w:t>
      </w:r>
      <w:r>
        <w:rPr>
          <w:rFonts w:hint="eastAsia" w:ascii="Times New Roman" w:hAnsi="Times New Roman" w:eastAsia="宋体" w:cs="Times New Roman"/>
          <w:color w:val="000000"/>
          <w:sz w:val="24"/>
          <w:szCs w:val="24"/>
          <w:lang w:val="en-US" w:eastAsia="zh-CN"/>
        </w:rPr>
        <w:t>1</w:t>
      </w:r>
      <w:r>
        <w:rPr>
          <w:rFonts w:ascii="Times New Roman" w:hAnsi="Times New Roman" w:eastAsia="宋体" w:cs="Times New Roman"/>
          <w:color w:val="000000"/>
          <w:sz w:val="24"/>
          <w:szCs w:val="24"/>
        </w:rPr>
        <w:t>日</w:t>
      </w:r>
      <w:r>
        <w:rPr>
          <w:rFonts w:hint="eastAsia" w:ascii="Times New Roman" w:hAnsi="Times New Roman" w:eastAsia="宋体" w:cs="Times New Roman"/>
          <w:color w:val="000000"/>
          <w:sz w:val="24"/>
          <w:szCs w:val="24"/>
          <w:lang w:eastAsia="zh-CN"/>
        </w:rPr>
        <w:t>实施</w:t>
      </w:r>
      <w:r>
        <w:rPr>
          <w:rFonts w:ascii="Times New Roman" w:hAnsi="Times New Roman" w:eastAsia="宋体" w:cs="Times New Roman"/>
          <w:color w:val="000000"/>
          <w:sz w:val="24"/>
          <w:szCs w:val="24"/>
        </w:rPr>
        <w:t>）；</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ascii="Times New Roman" w:hAnsi="Times New Roman" w:eastAsia="宋体" w:cs="Times New Roman"/>
          <w:color w:val="000000"/>
          <w:sz w:val="24"/>
          <w:szCs w:val="24"/>
        </w:rPr>
        <w:t>（6）《中华人民共和国噪声污染防治法》（</w:t>
      </w:r>
      <w:r>
        <w:rPr>
          <w:rFonts w:hint="eastAsia" w:ascii="Times New Roman" w:hAnsi="Times New Roman" w:eastAsia="宋体" w:cs="Times New Roman"/>
          <w:color w:val="000000"/>
          <w:sz w:val="24"/>
          <w:szCs w:val="24"/>
        </w:rPr>
        <w:t>20</w:t>
      </w:r>
      <w:r>
        <w:rPr>
          <w:rFonts w:hint="eastAsia" w:ascii="Times New Roman" w:hAnsi="Times New Roman" w:eastAsia="宋体" w:cs="Times New Roman"/>
          <w:color w:val="000000"/>
          <w:sz w:val="24"/>
          <w:szCs w:val="24"/>
          <w:lang w:val="en-US" w:eastAsia="zh-CN"/>
        </w:rPr>
        <w:t>22</w:t>
      </w:r>
      <w:r>
        <w:rPr>
          <w:rFonts w:ascii="Times New Roman" w:hAnsi="Times New Roman" w:eastAsia="宋体" w:cs="Times New Roman"/>
          <w:color w:val="000000"/>
          <w:sz w:val="24"/>
          <w:szCs w:val="24"/>
        </w:rPr>
        <w:t>年</w:t>
      </w:r>
      <w:r>
        <w:rPr>
          <w:rFonts w:hint="eastAsia" w:ascii="Times New Roman" w:hAnsi="Times New Roman" w:eastAsia="宋体" w:cs="Times New Roman"/>
          <w:color w:val="000000"/>
          <w:sz w:val="24"/>
          <w:szCs w:val="24"/>
          <w:lang w:eastAsia="zh-CN"/>
        </w:rPr>
        <w:t>）。</w:t>
      </w:r>
    </w:p>
    <w:p>
      <w:pPr>
        <w:pStyle w:val="62"/>
        <w:rPr>
          <w:szCs w:val="28"/>
        </w:rPr>
      </w:pPr>
      <w:bookmarkStart w:id="14" w:name="_Toc341431720"/>
      <w:bookmarkStart w:id="15" w:name="_Toc305059555"/>
      <w:bookmarkStart w:id="16" w:name="_Toc249168133"/>
      <w:bookmarkStart w:id="17" w:name="_Toc321042408"/>
      <w:bookmarkStart w:id="18" w:name="_Toc280605145"/>
      <w:bookmarkStart w:id="19" w:name="_Toc341357467"/>
      <w:bookmarkStart w:id="20" w:name="_Toc249179016"/>
      <w:bookmarkStart w:id="21" w:name="_Toc249351090"/>
      <w:bookmarkStart w:id="22" w:name="_Toc249167418"/>
      <w:bookmarkStart w:id="23" w:name="_Toc332553910"/>
      <w:bookmarkStart w:id="24" w:name="_Toc249179230"/>
      <w:bookmarkStart w:id="25" w:name="_Toc341278416"/>
      <w:bookmarkStart w:id="26" w:name="_Toc341293101"/>
      <w:bookmarkStart w:id="27" w:name="_Toc184529243"/>
      <w:bookmarkStart w:id="28" w:name="_Toc22334"/>
      <w:r>
        <w:rPr>
          <w:rFonts w:hint="eastAsia" w:cs="Times New Roman"/>
          <w:sz w:val="32"/>
        </w:rPr>
        <w:t>2</w:t>
      </w:r>
      <w:r>
        <w:rPr>
          <w:rFonts w:cs="Times New Roman"/>
          <w:sz w:val="32"/>
        </w:rPr>
        <w:t xml:space="preserve">.2 </w:t>
      </w:r>
      <w:bookmarkEnd w:id="14"/>
      <w:bookmarkEnd w:id="15"/>
      <w:bookmarkEnd w:id="16"/>
      <w:bookmarkEnd w:id="17"/>
      <w:bookmarkEnd w:id="18"/>
      <w:bookmarkEnd w:id="19"/>
      <w:bookmarkEnd w:id="20"/>
      <w:bookmarkEnd w:id="21"/>
      <w:bookmarkEnd w:id="22"/>
      <w:bookmarkEnd w:id="23"/>
      <w:bookmarkEnd w:id="24"/>
      <w:bookmarkEnd w:id="25"/>
      <w:bookmarkEnd w:id="26"/>
      <w:bookmarkEnd w:id="27"/>
      <w:r>
        <w:rPr>
          <w:rFonts w:hint="eastAsia" w:cs="Times New Roman"/>
          <w:sz w:val="32"/>
        </w:rPr>
        <w:t>建设项目竣工环境保护验收技术规范</w:t>
      </w:r>
      <w:bookmarkEnd w:id="28"/>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（1）《建设项目环境保护管理条例》（国务院令第</w:t>
      </w:r>
      <w:r>
        <w:rPr>
          <w:rFonts w:hint="eastAsia" w:ascii="Times New Roman" w:hAnsi="Times New Roman" w:eastAsia="宋体" w:cs="Times New Roman"/>
          <w:color w:val="000000"/>
          <w:sz w:val="24"/>
          <w:szCs w:val="24"/>
          <w:lang w:val="en-US" w:eastAsia="zh-CN"/>
        </w:rPr>
        <w:t>682</w:t>
      </w:r>
      <w:r>
        <w:rPr>
          <w:rFonts w:hint="eastAsia" w:ascii="Times New Roman" w:hAnsi="Times New Roman" w:eastAsia="宋体" w:cs="Times New Roman"/>
          <w:color w:val="000000"/>
          <w:sz w:val="24"/>
          <w:szCs w:val="24"/>
          <w:lang w:eastAsia="zh-CN"/>
        </w:rPr>
        <w:t>号）；</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（2）《建设项目竣工环境保护验收暂行办法》（国环规环评〔2017〕4号）；</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（3）《建设项目环境影响评价分类管理名录》（2021年版）；</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（4）《突发环境事件应急预案管理暂行办法》环发[2010]113号；</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（5）《国务院关于印发水污染防治行动计划的通知》（国发[2015]17号）；</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（6） 《建设项目竣工环境保护验收技术指南 污染影响类》（生态环境部公告2018年 第9号）；</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（7）重庆市人民代表大会常务委员会公告[2010]第22号《重庆市环境保护条例》（修正）；</w:t>
      </w:r>
    </w:p>
    <w:p>
      <w:pPr>
        <w:spacing w:line="540" w:lineRule="exact"/>
        <w:ind w:firstLine="240" w:firstLineChars="1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（8）重庆市人民政府第270号《重庆市环境噪声污染防治办法》。</w:t>
      </w:r>
    </w:p>
    <w:p>
      <w:pPr>
        <w:pStyle w:val="62"/>
        <w:rPr>
          <w:rFonts w:cs="Times New Roman"/>
          <w:sz w:val="32"/>
        </w:rPr>
      </w:pPr>
      <w:bookmarkStart w:id="29" w:name="_Toc23550"/>
      <w:bookmarkStart w:id="30" w:name="_Toc341278417"/>
      <w:bookmarkStart w:id="31" w:name="_Toc305059556"/>
      <w:bookmarkStart w:id="32" w:name="_Toc341293102"/>
      <w:bookmarkStart w:id="33" w:name="_Toc321042409"/>
      <w:bookmarkStart w:id="34" w:name="_Toc341431721"/>
      <w:bookmarkStart w:id="35" w:name="_Toc332553911"/>
      <w:bookmarkStart w:id="36" w:name="_Toc341357468"/>
      <w:r>
        <w:rPr>
          <w:rFonts w:hint="eastAsia" w:cs="Times New Roman"/>
          <w:sz w:val="32"/>
        </w:rPr>
        <w:t>2</w:t>
      </w:r>
      <w:r>
        <w:rPr>
          <w:rFonts w:cs="Times New Roman"/>
          <w:sz w:val="32"/>
        </w:rPr>
        <w:t>.3建设项目</w:t>
      </w:r>
      <w:r>
        <w:rPr>
          <w:rFonts w:hint="eastAsia" w:cs="Times New Roman"/>
          <w:sz w:val="32"/>
        </w:rPr>
        <w:t>环境影响报告书（表）及审批部门审批决定</w:t>
      </w:r>
      <w:bookmarkEnd w:id="29"/>
    </w:p>
    <w:p>
      <w:pPr>
        <w:spacing w:line="540" w:lineRule="exact"/>
        <w:ind w:firstLine="240" w:firstLineChars="100"/>
        <w:rPr>
          <w:bCs/>
          <w:sz w:val="24"/>
          <w:szCs w:val="24"/>
        </w:rPr>
      </w:pPr>
      <w:r>
        <w:rPr>
          <w:color w:val="000000"/>
          <w:sz w:val="24"/>
          <w:szCs w:val="24"/>
        </w:rPr>
        <w:t>（</w:t>
      </w:r>
      <w:r>
        <w:rPr>
          <w:rFonts w:hint="eastAsia"/>
          <w:color w:val="000000"/>
          <w:sz w:val="24"/>
          <w:szCs w:val="24"/>
        </w:rPr>
        <w:t>1</w:t>
      </w:r>
      <w:r>
        <w:rPr>
          <w:color w:val="000000"/>
          <w:sz w:val="24"/>
          <w:szCs w:val="24"/>
        </w:rPr>
        <w:t>）</w:t>
      </w:r>
      <w:r>
        <w:rPr>
          <w:rFonts w:hint="eastAsia"/>
          <w:color w:val="000000"/>
          <w:sz w:val="24"/>
          <w:szCs w:val="24"/>
          <w:lang w:eastAsia="zh-CN"/>
        </w:rPr>
        <w:t>重庆长嵘环保科技有限公司</w:t>
      </w:r>
      <w:r>
        <w:rPr>
          <w:color w:val="000000"/>
          <w:sz w:val="24"/>
          <w:szCs w:val="24"/>
        </w:rPr>
        <w:t>《</w:t>
      </w:r>
      <w:r>
        <w:rPr>
          <w:rFonts w:hint="eastAsia"/>
          <w:color w:val="000000"/>
          <w:sz w:val="24"/>
          <w:szCs w:val="24"/>
          <w:lang w:eastAsia="zh-CN"/>
        </w:rPr>
        <w:t>重庆渝顺投资有限公司顺洁加油站</w:t>
      </w:r>
      <w:r>
        <w:rPr>
          <w:color w:val="000000"/>
          <w:sz w:val="24"/>
          <w:szCs w:val="24"/>
        </w:rPr>
        <w:t>环境影响报告</w:t>
      </w:r>
      <w:r>
        <w:rPr>
          <w:rFonts w:hint="eastAsia"/>
          <w:color w:val="000000"/>
          <w:sz w:val="24"/>
          <w:szCs w:val="24"/>
        </w:rPr>
        <w:t>表</w:t>
      </w:r>
      <w:r>
        <w:rPr>
          <w:color w:val="000000"/>
          <w:sz w:val="24"/>
          <w:szCs w:val="24"/>
        </w:rPr>
        <w:t>》（20</w:t>
      </w:r>
      <w:r>
        <w:rPr>
          <w:rFonts w:hint="eastAsia"/>
          <w:color w:val="000000"/>
          <w:sz w:val="24"/>
          <w:szCs w:val="24"/>
          <w:lang w:val="en-US" w:eastAsia="zh-CN"/>
        </w:rPr>
        <w:t>23</w:t>
      </w:r>
      <w:r>
        <w:rPr>
          <w:color w:val="000000"/>
          <w:sz w:val="24"/>
          <w:szCs w:val="24"/>
        </w:rPr>
        <w:t>.</w:t>
      </w:r>
      <w:r>
        <w:rPr>
          <w:rFonts w:hint="eastAsia"/>
          <w:color w:val="000000"/>
          <w:sz w:val="24"/>
          <w:szCs w:val="24"/>
          <w:lang w:val="en-US" w:eastAsia="zh-CN"/>
        </w:rPr>
        <w:t>9</w:t>
      </w:r>
      <w:r>
        <w:rPr>
          <w:color w:val="000000"/>
          <w:sz w:val="24"/>
          <w:szCs w:val="24"/>
        </w:rPr>
        <w:t>）；</w:t>
      </w:r>
    </w:p>
    <w:p>
      <w:pPr>
        <w:spacing w:line="540" w:lineRule="exact"/>
        <w:ind w:firstLine="240" w:firstLineChars="100"/>
        <w:rPr>
          <w:rFonts w:hint="eastAsia" w:eastAsia="宋体"/>
          <w:color w:val="000000"/>
          <w:sz w:val="24"/>
          <w:szCs w:val="24"/>
          <w:lang w:eastAsia="zh-CN"/>
        </w:rPr>
      </w:pPr>
      <w:r>
        <w:rPr>
          <w:color w:val="000000"/>
          <w:sz w:val="24"/>
          <w:szCs w:val="24"/>
        </w:rPr>
        <w:t>（</w:t>
      </w:r>
      <w:r>
        <w:rPr>
          <w:rFonts w:hint="eastAsia"/>
          <w:color w:val="000000"/>
          <w:sz w:val="24"/>
          <w:szCs w:val="24"/>
        </w:rPr>
        <w:t>2</w:t>
      </w:r>
      <w:r>
        <w:rPr>
          <w:color w:val="000000"/>
          <w:sz w:val="24"/>
          <w:szCs w:val="24"/>
        </w:rPr>
        <w:t>）重庆市</w:t>
      </w:r>
      <w:r>
        <w:rPr>
          <w:rFonts w:hint="eastAsia"/>
          <w:color w:val="000000"/>
          <w:sz w:val="24"/>
          <w:szCs w:val="24"/>
          <w:lang w:eastAsia="zh-CN"/>
        </w:rPr>
        <w:t>江津区生态环境局（渝（津）环准[2023]141号）</w:t>
      </w:r>
      <w:r>
        <w:rPr>
          <w:color w:val="000000"/>
          <w:sz w:val="24"/>
          <w:szCs w:val="24"/>
        </w:rPr>
        <w:t>《重庆市建设项目环境影响评价文件批准书》（20</w:t>
      </w:r>
      <w:r>
        <w:rPr>
          <w:rFonts w:hint="eastAsia"/>
          <w:color w:val="000000"/>
          <w:sz w:val="24"/>
          <w:szCs w:val="24"/>
          <w:lang w:val="en-US" w:eastAsia="zh-CN"/>
        </w:rPr>
        <w:t>23</w:t>
      </w:r>
      <w:r>
        <w:rPr>
          <w:color w:val="000000"/>
          <w:sz w:val="24"/>
          <w:szCs w:val="24"/>
        </w:rPr>
        <w:t>.</w:t>
      </w:r>
      <w:r>
        <w:rPr>
          <w:rFonts w:hint="eastAsia"/>
          <w:color w:val="000000"/>
          <w:sz w:val="24"/>
          <w:szCs w:val="24"/>
          <w:lang w:val="en-US" w:eastAsia="zh-CN"/>
        </w:rPr>
        <w:t>10</w:t>
      </w:r>
      <w:r>
        <w:rPr>
          <w:color w:val="000000"/>
          <w:sz w:val="24"/>
          <w:szCs w:val="24"/>
        </w:rPr>
        <w:t>）</w:t>
      </w:r>
      <w:r>
        <w:rPr>
          <w:rFonts w:hint="eastAsia"/>
          <w:color w:val="000000"/>
          <w:sz w:val="24"/>
          <w:szCs w:val="24"/>
          <w:lang w:eastAsia="zh-CN"/>
        </w:rPr>
        <w:t>。</w:t>
      </w:r>
    </w:p>
    <w:p>
      <w:pPr>
        <w:spacing w:line="540" w:lineRule="exact"/>
        <w:ind w:firstLine="280" w:firstLineChars="100"/>
        <w:rPr>
          <w:color w:val="000000"/>
          <w:sz w:val="28"/>
          <w:szCs w:val="28"/>
        </w:rPr>
      </w:pPr>
    </w:p>
    <w:p>
      <w:pPr>
        <w:widowControl/>
        <w:jc w:val="left"/>
        <w:rPr>
          <w:color w:val="000000"/>
          <w:sz w:val="28"/>
          <w:szCs w:val="28"/>
        </w:rPr>
      </w:pPr>
      <w:r>
        <w:rPr>
          <w:color w:val="000000"/>
          <w:sz w:val="28"/>
          <w:szCs w:val="28"/>
        </w:rPr>
        <w:br w:type="page"/>
      </w:r>
    </w:p>
    <w:bookmarkEnd w:id="30"/>
    <w:bookmarkEnd w:id="31"/>
    <w:bookmarkEnd w:id="32"/>
    <w:bookmarkEnd w:id="33"/>
    <w:bookmarkEnd w:id="34"/>
    <w:bookmarkEnd w:id="35"/>
    <w:bookmarkEnd w:id="36"/>
    <w:p>
      <w:pPr>
        <w:pStyle w:val="61"/>
        <w:spacing w:beforeLines="50"/>
        <w:rPr>
          <w:rFonts w:cs="Times New Roman"/>
          <w:sz w:val="36"/>
        </w:rPr>
      </w:pPr>
      <w:bookmarkStart w:id="37" w:name="_Toc321042411"/>
      <w:bookmarkStart w:id="38" w:name="_Toc341431723"/>
      <w:bookmarkStart w:id="39" w:name="_Toc332553913"/>
      <w:bookmarkStart w:id="40" w:name="_Toc341293104"/>
      <w:bookmarkStart w:id="41" w:name="_Toc305059558"/>
      <w:bookmarkStart w:id="42" w:name="_Toc341357470"/>
      <w:bookmarkStart w:id="43" w:name="_Toc341278419"/>
      <w:bookmarkStart w:id="44" w:name="_Toc21142"/>
      <w:r>
        <w:rPr>
          <w:rFonts w:hint="eastAsia" w:cs="Times New Roman"/>
          <w:sz w:val="36"/>
        </w:rPr>
        <w:t>3</w:t>
      </w:r>
      <w:bookmarkEnd w:id="37"/>
      <w:bookmarkEnd w:id="38"/>
      <w:bookmarkEnd w:id="39"/>
      <w:bookmarkEnd w:id="40"/>
      <w:bookmarkEnd w:id="41"/>
      <w:bookmarkEnd w:id="42"/>
      <w:bookmarkEnd w:id="43"/>
      <w:r>
        <w:rPr>
          <w:rFonts w:hint="eastAsia" w:cs="Times New Roman"/>
          <w:sz w:val="36"/>
        </w:rPr>
        <w:t>工程建设情况</w:t>
      </w:r>
      <w:bookmarkEnd w:id="44"/>
    </w:p>
    <w:p>
      <w:pPr>
        <w:pStyle w:val="62"/>
        <w:rPr>
          <w:rFonts w:cs="Times New Roman"/>
          <w:sz w:val="32"/>
        </w:rPr>
      </w:pPr>
      <w:bookmarkStart w:id="45" w:name="_Toc325099457"/>
      <w:bookmarkStart w:id="46" w:name="_Toc341278420"/>
      <w:bookmarkStart w:id="47" w:name="_Toc324514075"/>
      <w:bookmarkStart w:id="48" w:name="_Toc341357471"/>
      <w:bookmarkStart w:id="49" w:name="_Toc307902787"/>
      <w:bookmarkStart w:id="50" w:name="_Toc341431724"/>
      <w:bookmarkStart w:id="51" w:name="_Toc341293105"/>
      <w:bookmarkStart w:id="52" w:name="_Toc22456"/>
      <w:bookmarkStart w:id="53" w:name="_Toc332553914"/>
      <w:bookmarkStart w:id="54" w:name="_Toc321042412"/>
      <w:bookmarkStart w:id="55" w:name="_Toc305059559"/>
      <w:r>
        <w:rPr>
          <w:rFonts w:hint="eastAsia" w:cs="Times New Roman"/>
          <w:sz w:val="32"/>
        </w:rPr>
        <w:t>3</w:t>
      </w:r>
      <w:r>
        <w:rPr>
          <w:rFonts w:cs="Times New Roman"/>
          <w:sz w:val="32"/>
        </w:rPr>
        <w:t>.1</w:t>
      </w:r>
      <w:bookmarkEnd w:id="45"/>
      <w:bookmarkEnd w:id="46"/>
      <w:bookmarkEnd w:id="47"/>
      <w:bookmarkEnd w:id="48"/>
      <w:bookmarkEnd w:id="49"/>
      <w:bookmarkEnd w:id="50"/>
      <w:bookmarkEnd w:id="51"/>
      <w:r>
        <w:rPr>
          <w:rFonts w:hint="eastAsia" w:cs="Times New Roman"/>
          <w:sz w:val="32"/>
        </w:rPr>
        <w:t>地理位置及平面布置</w:t>
      </w:r>
      <w:bookmarkEnd w:id="52"/>
    </w:p>
    <w:p>
      <w:pPr>
        <w:spacing w:line="540" w:lineRule="exact"/>
        <w:ind w:firstLine="480" w:firstLineChars="200"/>
        <w:rPr>
          <w:rFonts w:hAnsi="宋体"/>
          <w:sz w:val="24"/>
          <w:szCs w:val="24"/>
        </w:rPr>
      </w:pPr>
      <w:r>
        <w:rPr>
          <w:rFonts w:hint="eastAsia" w:hAnsi="宋体"/>
          <w:sz w:val="24"/>
          <w:szCs w:val="24"/>
          <w:lang w:eastAsia="zh-CN"/>
        </w:rPr>
        <w:t>重庆渝顺投资有限公司顺洁加油站</w:t>
      </w:r>
      <w:r>
        <w:rPr>
          <w:rFonts w:hAnsi="宋体"/>
          <w:sz w:val="24"/>
          <w:szCs w:val="24"/>
        </w:rPr>
        <w:t>位于</w:t>
      </w:r>
      <w:r>
        <w:rPr>
          <w:rFonts w:hint="eastAsia" w:hAnsi="宋体"/>
          <w:sz w:val="24"/>
          <w:szCs w:val="24"/>
          <w:lang w:eastAsia="zh-CN"/>
        </w:rPr>
        <w:t>重庆市江津区双福新区J05-18-1/03号地块</w:t>
      </w:r>
      <w:r>
        <w:rPr>
          <w:rFonts w:hint="eastAsia" w:hAnsi="宋体"/>
          <w:sz w:val="24"/>
          <w:szCs w:val="24"/>
        </w:rPr>
        <w:t>。</w:t>
      </w:r>
      <w:r>
        <w:rPr>
          <w:rFonts w:hint="eastAsia" w:hAnsi="宋体"/>
          <w:sz w:val="24"/>
          <w:szCs w:val="24"/>
          <w:lang w:eastAsia="zh-CN"/>
        </w:rPr>
        <w:t>项目西北侧临团结大道，北侧和西侧为重庆千贸实业有限公司，南侧为重庆宏泽实业有限公司</w:t>
      </w:r>
      <w:r>
        <w:rPr>
          <w:rFonts w:hint="eastAsia" w:hAnsi="宋体"/>
          <w:sz w:val="24"/>
          <w:szCs w:val="24"/>
        </w:rPr>
        <w:t>。</w:t>
      </w:r>
      <w:r>
        <w:rPr>
          <w:rFonts w:hAnsi="宋体"/>
          <w:sz w:val="24"/>
          <w:szCs w:val="24"/>
        </w:rPr>
        <w:t>项目地理位置见</w:t>
      </w:r>
      <w:r>
        <w:rPr>
          <w:rFonts w:hint="eastAsia" w:hAnsi="宋体"/>
          <w:sz w:val="24"/>
          <w:szCs w:val="24"/>
        </w:rPr>
        <w:t>附图1。</w:t>
      </w:r>
    </w:p>
    <w:p>
      <w:pPr>
        <w:spacing w:line="540" w:lineRule="exact"/>
        <w:ind w:firstLine="480" w:firstLineChars="200"/>
        <w:rPr>
          <w:rFonts w:hint="eastAsia" w:hAnsi="宋体"/>
          <w:sz w:val="24"/>
          <w:szCs w:val="24"/>
        </w:rPr>
      </w:pPr>
      <w:r>
        <w:rPr>
          <w:rFonts w:hint="eastAsia" w:hAnsi="宋体"/>
          <w:sz w:val="24"/>
          <w:szCs w:val="24"/>
        </w:rPr>
        <w:t>项目为三级加油站，所在地块呈三角形，总体分为加油区、埋地油罐区、站房区、充电区、洗车区等。</w:t>
      </w:r>
    </w:p>
    <w:p>
      <w:pPr>
        <w:spacing w:line="540" w:lineRule="exact"/>
        <w:ind w:firstLine="480" w:firstLineChars="200"/>
        <w:rPr>
          <w:rFonts w:hint="eastAsia" w:hAnsi="宋体"/>
          <w:sz w:val="24"/>
          <w:szCs w:val="24"/>
        </w:rPr>
      </w:pPr>
      <w:r>
        <w:rPr>
          <w:rFonts w:hint="eastAsia" w:hAnsi="宋体"/>
          <w:sz w:val="24"/>
          <w:szCs w:val="24"/>
        </w:rPr>
        <w:t>加油区位于站区中部，设置1座罩棚，布置3座加油岛，设四枪四油品加油机3台；埋地油罐区位于罩棚南侧地下，设4个SF双层储罐，设置防渗罐池，设置2根带阻火器功能的机械呼吸阀的通气立管和1根放散管，沿罩棚立柱敷设，管口高出罩棚顶2m，离地高为9m；卸油区位于站区北侧；站房位于站区西侧，为2层建筑物，占地面积195.68m</w:t>
      </w:r>
      <w:r>
        <w:rPr>
          <w:rFonts w:hint="eastAsia" w:hAnsi="宋体"/>
          <w:sz w:val="24"/>
          <w:szCs w:val="24"/>
          <w:vertAlign w:val="superscript"/>
        </w:rPr>
        <w:t>2</w:t>
      </w:r>
      <w:r>
        <w:rPr>
          <w:rFonts w:hint="eastAsia" w:hAnsi="宋体"/>
          <w:sz w:val="24"/>
          <w:szCs w:val="24"/>
        </w:rPr>
        <w:t>，建筑面积391.36m</w:t>
      </w:r>
      <w:r>
        <w:rPr>
          <w:rFonts w:hint="eastAsia" w:hAnsi="宋体"/>
          <w:sz w:val="24"/>
          <w:szCs w:val="24"/>
          <w:vertAlign w:val="superscript"/>
        </w:rPr>
        <w:t>2</w:t>
      </w:r>
      <w:r>
        <w:rPr>
          <w:rFonts w:hint="eastAsia" w:hAnsi="宋体"/>
          <w:sz w:val="24"/>
          <w:szCs w:val="24"/>
        </w:rPr>
        <w:t>，建筑结构高度7.35m，设置便利店、厕所、发配电设施、配套用房等功能用房；充电区位于站区西北侧，设置1台箱式变压器和7个充电桩及停车位；洗车区位于站区南侧，设置1台隧道式自动洗车机。</w:t>
      </w:r>
    </w:p>
    <w:p>
      <w:pPr>
        <w:spacing w:line="540" w:lineRule="exact"/>
        <w:ind w:firstLine="480" w:firstLineChars="200"/>
        <w:rPr>
          <w:rFonts w:hint="eastAsia" w:hAnsi="宋体"/>
          <w:sz w:val="24"/>
          <w:szCs w:val="24"/>
        </w:rPr>
      </w:pPr>
      <w:r>
        <w:rPr>
          <w:rFonts w:hint="eastAsia" w:hAnsi="宋体"/>
          <w:sz w:val="24"/>
          <w:szCs w:val="24"/>
        </w:rPr>
        <w:t>加油站入口位于站区东北侧，出口位于站区东南侧，出入口与团结大道相连，交通便利，便于车辆进出加油。</w:t>
      </w:r>
    </w:p>
    <w:p>
      <w:pPr>
        <w:spacing w:line="540" w:lineRule="exact"/>
        <w:ind w:firstLine="480" w:firstLineChars="200"/>
        <w:rPr>
          <w:rFonts w:hint="eastAsia" w:hAnsi="宋体"/>
          <w:sz w:val="24"/>
          <w:szCs w:val="24"/>
        </w:rPr>
      </w:pPr>
      <w:r>
        <w:rPr>
          <w:rFonts w:hint="eastAsia" w:hAnsi="宋体"/>
          <w:sz w:val="24"/>
          <w:szCs w:val="24"/>
        </w:rPr>
        <w:t>项目生化池位于站房南侧，用于收集处理生活污水；三段式水封隔油池位于站区南侧绿化带，用于收集处理地面冲洗废水、初期雨水和洗车废水；站区北侧设置危废暂存柜，便于危废的收集转运，站房内设生活垃圾收集箱，便于生活垃圾的收运处置。</w:t>
      </w:r>
    </w:p>
    <w:p>
      <w:pPr>
        <w:spacing w:line="540" w:lineRule="exact"/>
        <w:ind w:firstLine="480" w:firstLineChars="200"/>
        <w:rPr>
          <w:rFonts w:hint="eastAsia" w:hAnsi="宋体"/>
          <w:sz w:val="24"/>
          <w:szCs w:val="24"/>
        </w:rPr>
      </w:pPr>
      <w:r>
        <w:rPr>
          <w:rFonts w:hint="eastAsia" w:hAnsi="宋体"/>
          <w:sz w:val="24"/>
          <w:szCs w:val="24"/>
        </w:rPr>
        <w:t>项目油罐区设通气立管3根，沿罩棚立柱敷设，管口高出罩棚顶 2m，离地高为9m；卸油过程油气设置一次油气回收系统进行回收利用，且卸油区设置油气回收阀；加油过程产生的油气设置二次油气回收系统收集利用，并预留三次油气回收系统。备用柴油发电机废气经专用管道引至屋顶排放。</w:t>
      </w:r>
    </w:p>
    <w:p>
      <w:pPr>
        <w:spacing w:line="540" w:lineRule="exact"/>
        <w:ind w:firstLine="480" w:firstLineChars="200"/>
        <w:rPr>
          <w:rFonts w:hint="eastAsia" w:hAnsi="宋体"/>
          <w:sz w:val="24"/>
          <w:szCs w:val="24"/>
        </w:rPr>
      </w:pPr>
      <w:r>
        <w:rPr>
          <w:rFonts w:hint="eastAsia" w:hAnsi="宋体"/>
          <w:sz w:val="24"/>
          <w:szCs w:val="24"/>
        </w:rPr>
        <w:t>站内间距及与周围建筑之间的距离均严格按照《汽车加油加气加氢站技术标准》（GB50156-2021）控制，消防车道的设置使各建构筑物都有足够的消防扑救面，单车道宽度大于 4m，双车道大于 6m。站内设施之间的防火间距见表1-10。根据表中实际与规范间距对比结果可知，站内设施距离均满足《汽车加油加气加氢站技术标准》（GB50156-2021）要求。</w:t>
      </w:r>
    </w:p>
    <w:p>
      <w:pPr>
        <w:spacing w:line="540" w:lineRule="exact"/>
        <w:ind w:firstLine="480" w:firstLineChars="200"/>
        <w:rPr>
          <w:rFonts w:hAnsi="宋体"/>
          <w:sz w:val="28"/>
          <w:szCs w:val="28"/>
        </w:rPr>
      </w:pPr>
      <w:r>
        <w:rPr>
          <w:rFonts w:hint="eastAsia" w:hAnsi="宋体"/>
          <w:sz w:val="24"/>
          <w:szCs w:val="24"/>
        </w:rPr>
        <w:t>加油站平面布置具有功能分区明确，工艺布置顺畅、紧凑合理，平面布置合理。厂区总平面图见附图2。</w:t>
      </w:r>
      <w:r>
        <w:rPr>
          <w:rFonts w:hAnsi="宋体"/>
          <w:sz w:val="28"/>
          <w:szCs w:val="28"/>
        </w:rPr>
        <w:tab/>
      </w:r>
    </w:p>
    <w:p>
      <w:pPr>
        <w:pStyle w:val="62"/>
        <w:rPr>
          <w:rFonts w:cs="Times New Roman"/>
          <w:sz w:val="32"/>
        </w:rPr>
      </w:pPr>
      <w:bookmarkStart w:id="56" w:name="_Toc26433"/>
      <w:r>
        <w:rPr>
          <w:rFonts w:hint="eastAsia" w:cs="Times New Roman"/>
          <w:sz w:val="32"/>
        </w:rPr>
        <w:t>3</w:t>
      </w:r>
      <w:r>
        <w:rPr>
          <w:rFonts w:cs="Times New Roman"/>
          <w:sz w:val="32"/>
        </w:rPr>
        <w:t>.</w:t>
      </w:r>
      <w:r>
        <w:rPr>
          <w:rFonts w:hint="eastAsia" w:cs="Times New Roman"/>
          <w:sz w:val="32"/>
        </w:rPr>
        <w:t>2建设内容</w:t>
      </w:r>
      <w:bookmarkEnd w:id="56"/>
    </w:p>
    <w:p>
      <w:pPr>
        <w:spacing w:line="540" w:lineRule="exact"/>
        <w:ind w:firstLine="480" w:firstLineChars="200"/>
        <w:rPr>
          <w:rFonts w:hAnsi="宋体"/>
          <w:sz w:val="24"/>
          <w:szCs w:val="24"/>
        </w:rPr>
      </w:pPr>
      <w:r>
        <w:rPr>
          <w:rFonts w:hint="eastAsia" w:hAnsi="宋体"/>
          <w:sz w:val="24"/>
          <w:szCs w:val="24"/>
        </w:rPr>
        <w:t>1、建设内容</w:t>
      </w:r>
    </w:p>
    <w:p>
      <w:pPr>
        <w:spacing w:line="540" w:lineRule="exact"/>
        <w:ind w:firstLine="480" w:firstLineChars="200"/>
        <w:rPr>
          <w:rFonts w:hAnsi="宋体"/>
          <w:sz w:val="24"/>
          <w:szCs w:val="24"/>
        </w:rPr>
      </w:pPr>
      <w:r>
        <w:rPr>
          <w:rFonts w:hint="eastAsia" w:hAnsi="宋体"/>
          <w:sz w:val="24"/>
          <w:szCs w:val="24"/>
          <w:lang w:eastAsia="zh-CN"/>
        </w:rPr>
        <w:t>重庆渝顺投资有限公司顺洁加油站</w:t>
      </w:r>
      <w:r>
        <w:rPr>
          <w:rFonts w:hint="eastAsia" w:hAnsi="宋体"/>
          <w:sz w:val="24"/>
          <w:szCs w:val="24"/>
        </w:rPr>
        <w:t>为新建</w:t>
      </w:r>
      <w:r>
        <w:rPr>
          <w:rFonts w:hAnsi="宋体"/>
          <w:sz w:val="24"/>
          <w:szCs w:val="24"/>
        </w:rPr>
        <w:t>项目</w:t>
      </w:r>
      <w:r>
        <w:rPr>
          <w:rFonts w:hint="eastAsia" w:hAnsi="宋体"/>
          <w:sz w:val="24"/>
          <w:szCs w:val="24"/>
        </w:rPr>
        <w:t>。</w:t>
      </w:r>
    </w:p>
    <w:p>
      <w:pPr>
        <w:spacing w:line="540" w:lineRule="exact"/>
        <w:ind w:firstLine="480" w:firstLineChars="200"/>
        <w:rPr>
          <w:rFonts w:hint="eastAsia" w:hAnsi="宋体"/>
          <w:sz w:val="24"/>
          <w:szCs w:val="24"/>
          <w:lang w:eastAsia="zh-CN"/>
        </w:rPr>
      </w:pPr>
      <w:r>
        <w:rPr>
          <w:rFonts w:hint="eastAsia" w:hAnsi="宋体"/>
          <w:sz w:val="24"/>
          <w:szCs w:val="24"/>
        </w:rPr>
        <w:t>项目占地面积3998.98m</w:t>
      </w:r>
      <w:r>
        <w:rPr>
          <w:rFonts w:hint="eastAsia" w:hAnsi="宋体"/>
          <w:sz w:val="24"/>
          <w:szCs w:val="24"/>
          <w:vertAlign w:val="superscript"/>
        </w:rPr>
        <w:t>2</w:t>
      </w:r>
      <w:r>
        <w:rPr>
          <w:rFonts w:hint="eastAsia" w:hAnsi="宋体"/>
          <w:sz w:val="24"/>
          <w:szCs w:val="24"/>
        </w:rPr>
        <w:t>，总建筑面积564.81m</w:t>
      </w:r>
      <w:r>
        <w:rPr>
          <w:rFonts w:hint="eastAsia" w:hAnsi="宋体"/>
          <w:sz w:val="24"/>
          <w:szCs w:val="24"/>
          <w:vertAlign w:val="superscript"/>
        </w:rPr>
        <w:t>2</w:t>
      </w:r>
      <w:r>
        <w:rPr>
          <w:rFonts w:hint="eastAsia" w:hAnsi="宋体"/>
          <w:sz w:val="24"/>
          <w:szCs w:val="24"/>
        </w:rPr>
        <w:t>，新建SF双层储罐4个并设置防渗罐池、3座加油岛、1座2F站房和1座加油罩棚，另配套建设公用设施、环保设施及储运工程等。项目提供洗车服务，配套设置1个隧道式洗车区。项目设置1台箱变（箱变为800KVA），设置7个直流充电桩。项目基本组成见表3-1</w:t>
      </w:r>
      <w:r>
        <w:rPr>
          <w:rFonts w:hint="eastAsia" w:hAnsi="宋体"/>
          <w:sz w:val="24"/>
          <w:szCs w:val="24"/>
          <w:lang w:eastAsia="zh-CN"/>
        </w:rPr>
        <w:t>。</w:t>
      </w:r>
    </w:p>
    <w:p>
      <w:pPr>
        <w:spacing w:line="540" w:lineRule="exact"/>
        <w:jc w:val="center"/>
        <w:rPr>
          <w:rFonts w:hAnsi="宋体"/>
          <w:b/>
          <w:sz w:val="28"/>
          <w:szCs w:val="28"/>
        </w:rPr>
      </w:pPr>
      <w:r>
        <w:rPr>
          <w:rFonts w:hint="eastAsia" w:hAnsi="宋体"/>
          <w:b/>
          <w:sz w:val="24"/>
          <w:szCs w:val="24"/>
        </w:rPr>
        <w:t>表3-1  工程基本组成</w:t>
      </w:r>
    </w:p>
    <w:tbl>
      <w:tblPr>
        <w:tblStyle w:val="26"/>
        <w:tblW w:w="928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9"/>
        <w:gridCol w:w="1400"/>
        <w:gridCol w:w="4367"/>
        <w:gridCol w:w="28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059" w:type="dxa"/>
            <w:gridSpan w:val="2"/>
            <w:vAlign w:val="center"/>
          </w:tcPr>
          <w:p>
            <w:pPr>
              <w:jc w:val="center"/>
              <w:rPr>
                <w:rFonts w:hAnsi="宋体"/>
                <w:b/>
                <w:sz w:val="21"/>
                <w:szCs w:val="21"/>
              </w:rPr>
            </w:pPr>
            <w:r>
              <w:rPr>
                <w:rFonts w:hint="eastAsia" w:hAnsi="宋体"/>
                <w:b/>
                <w:sz w:val="21"/>
                <w:szCs w:val="21"/>
              </w:rPr>
              <w:t>项目组成</w:t>
            </w:r>
          </w:p>
        </w:tc>
        <w:tc>
          <w:tcPr>
            <w:tcW w:w="4367" w:type="dxa"/>
            <w:tcBorders>
              <w:right w:val="single" w:color="auto" w:sz="4" w:space="0"/>
            </w:tcBorders>
            <w:vAlign w:val="center"/>
          </w:tcPr>
          <w:p>
            <w:pPr>
              <w:jc w:val="center"/>
              <w:rPr>
                <w:rFonts w:hAnsi="宋体"/>
                <w:b/>
                <w:sz w:val="21"/>
                <w:szCs w:val="21"/>
              </w:rPr>
            </w:pPr>
            <w:r>
              <w:rPr>
                <w:rFonts w:hint="eastAsia" w:hAnsi="宋体"/>
                <w:b/>
                <w:sz w:val="21"/>
                <w:szCs w:val="21"/>
              </w:rPr>
              <w:t>设计建设规模及内容</w:t>
            </w:r>
          </w:p>
        </w:tc>
        <w:tc>
          <w:tcPr>
            <w:tcW w:w="2860" w:type="dxa"/>
            <w:tcBorders>
              <w:left w:val="single" w:color="auto" w:sz="4" w:space="0"/>
            </w:tcBorders>
            <w:vAlign w:val="center"/>
          </w:tcPr>
          <w:p>
            <w:pPr>
              <w:jc w:val="center"/>
              <w:rPr>
                <w:rFonts w:hAnsi="宋体"/>
                <w:b/>
                <w:sz w:val="21"/>
                <w:szCs w:val="21"/>
              </w:rPr>
            </w:pPr>
            <w:r>
              <w:rPr>
                <w:rFonts w:hint="eastAsia" w:hAnsi="宋体"/>
                <w:b/>
                <w:sz w:val="21"/>
                <w:szCs w:val="21"/>
              </w:rPr>
              <w:t>实际建设规模及内容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主体工程</w:t>
            </w: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埋地油罐区</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位于站区中部，</w:t>
            </w:r>
            <w:r>
              <w:rPr>
                <w:color w:val="000000"/>
                <w:sz w:val="21"/>
                <w:szCs w:val="21"/>
              </w:rPr>
              <w:t>油罐总储量折合为</w:t>
            </w:r>
            <w:r>
              <w:rPr>
                <w:rFonts w:hint="eastAsia"/>
                <w:color w:val="000000"/>
                <w:sz w:val="21"/>
                <w:szCs w:val="21"/>
                <w:lang w:val="en-US" w:eastAsia="zh-CN"/>
              </w:rPr>
              <w:t>90</w:t>
            </w:r>
            <w:r>
              <w:rPr>
                <w:color w:val="000000"/>
                <w:sz w:val="21"/>
                <w:szCs w:val="21"/>
              </w:rPr>
              <w:t>m</w:t>
            </w:r>
            <w:r>
              <w:rPr>
                <w:color w:val="000000"/>
                <w:sz w:val="21"/>
                <w:szCs w:val="21"/>
                <w:vertAlign w:val="superscript"/>
              </w:rPr>
              <w:t>3</w:t>
            </w:r>
            <w:r>
              <w:rPr>
                <w:color w:val="000000"/>
                <w:sz w:val="21"/>
                <w:szCs w:val="21"/>
              </w:rPr>
              <w:t>（柴油折半），其中92#汽油罐</w:t>
            </w:r>
            <w:r>
              <w:rPr>
                <w:rFonts w:hint="eastAsia"/>
                <w:color w:val="000000"/>
                <w:sz w:val="21"/>
                <w:szCs w:val="21"/>
                <w:lang w:val="en-US" w:eastAsia="zh-CN"/>
              </w:rPr>
              <w:t>25</w:t>
            </w:r>
            <w:r>
              <w:rPr>
                <w:color w:val="000000"/>
                <w:sz w:val="21"/>
                <w:szCs w:val="21"/>
              </w:rPr>
              <w:t>m</w:t>
            </w:r>
            <w:r>
              <w:rPr>
                <w:color w:val="000000"/>
                <w:sz w:val="21"/>
                <w:szCs w:val="21"/>
                <w:vertAlign w:val="superscript"/>
              </w:rPr>
              <w:t>3</w:t>
            </w:r>
            <w:r>
              <w:rPr>
                <w:color w:val="000000"/>
                <w:sz w:val="21"/>
                <w:szCs w:val="21"/>
              </w:rPr>
              <w:t>×</w:t>
            </w:r>
            <w:r>
              <w:rPr>
                <w:rFonts w:hint="eastAsia"/>
                <w:color w:val="000000"/>
                <w:sz w:val="21"/>
                <w:szCs w:val="21"/>
                <w:lang w:val="en-US" w:eastAsia="zh-CN"/>
              </w:rPr>
              <w:t>1</w:t>
            </w:r>
            <w:r>
              <w:rPr>
                <w:color w:val="000000"/>
                <w:sz w:val="21"/>
                <w:szCs w:val="21"/>
              </w:rPr>
              <w:t>个，95#汽油罐</w:t>
            </w:r>
            <w:r>
              <w:rPr>
                <w:rFonts w:hint="eastAsia"/>
                <w:color w:val="000000"/>
                <w:sz w:val="21"/>
                <w:szCs w:val="21"/>
                <w:lang w:val="en-US" w:eastAsia="zh-CN"/>
              </w:rPr>
              <w:t>25</w:t>
            </w:r>
            <w:r>
              <w:rPr>
                <w:color w:val="000000"/>
                <w:sz w:val="21"/>
                <w:szCs w:val="21"/>
              </w:rPr>
              <w:t>m</w:t>
            </w:r>
            <w:r>
              <w:rPr>
                <w:color w:val="000000"/>
                <w:sz w:val="21"/>
                <w:szCs w:val="21"/>
                <w:vertAlign w:val="superscript"/>
              </w:rPr>
              <w:t>3</w:t>
            </w:r>
            <w:r>
              <w:rPr>
                <w:color w:val="000000"/>
                <w:sz w:val="21"/>
                <w:szCs w:val="21"/>
              </w:rPr>
              <w:t>×1个，9</w:t>
            </w:r>
            <w:r>
              <w:rPr>
                <w:rFonts w:hint="eastAsia"/>
                <w:color w:val="000000"/>
                <w:sz w:val="21"/>
                <w:szCs w:val="21"/>
                <w:lang w:val="en-US" w:eastAsia="zh-CN"/>
              </w:rPr>
              <w:t>8</w:t>
            </w:r>
            <w:r>
              <w:rPr>
                <w:color w:val="000000"/>
                <w:sz w:val="21"/>
                <w:szCs w:val="21"/>
              </w:rPr>
              <w:t>#汽油罐</w:t>
            </w:r>
            <w:r>
              <w:rPr>
                <w:rFonts w:hint="eastAsia"/>
                <w:color w:val="000000"/>
                <w:sz w:val="21"/>
                <w:szCs w:val="21"/>
                <w:lang w:val="en-US" w:eastAsia="zh-CN"/>
              </w:rPr>
              <w:t>25</w:t>
            </w:r>
            <w:r>
              <w:rPr>
                <w:color w:val="000000"/>
                <w:sz w:val="21"/>
                <w:szCs w:val="21"/>
              </w:rPr>
              <w:t>m</w:t>
            </w:r>
            <w:r>
              <w:rPr>
                <w:color w:val="000000"/>
                <w:sz w:val="21"/>
                <w:szCs w:val="21"/>
                <w:vertAlign w:val="superscript"/>
              </w:rPr>
              <w:t>3</w:t>
            </w:r>
            <w:r>
              <w:rPr>
                <w:color w:val="000000"/>
                <w:sz w:val="21"/>
                <w:szCs w:val="21"/>
              </w:rPr>
              <w:t>×1个，0#柴油罐</w:t>
            </w:r>
            <w:r>
              <w:rPr>
                <w:rFonts w:hint="eastAsia"/>
                <w:color w:val="000000"/>
                <w:sz w:val="21"/>
                <w:szCs w:val="21"/>
                <w:lang w:val="en-US" w:eastAsia="zh-CN"/>
              </w:rPr>
              <w:t>30</w:t>
            </w:r>
            <w:r>
              <w:rPr>
                <w:color w:val="000000"/>
                <w:sz w:val="21"/>
                <w:szCs w:val="21"/>
              </w:rPr>
              <w:t>m</w:t>
            </w:r>
            <w:r>
              <w:rPr>
                <w:color w:val="000000"/>
                <w:sz w:val="21"/>
                <w:szCs w:val="21"/>
                <w:vertAlign w:val="superscript"/>
              </w:rPr>
              <w:t>3</w:t>
            </w:r>
            <w:r>
              <w:rPr>
                <w:color w:val="000000"/>
                <w:sz w:val="21"/>
                <w:szCs w:val="21"/>
              </w:rPr>
              <w:t>×</w:t>
            </w:r>
            <w:r>
              <w:rPr>
                <w:rFonts w:hint="eastAsia"/>
                <w:color w:val="000000"/>
                <w:sz w:val="21"/>
                <w:szCs w:val="21"/>
                <w:lang w:val="en-US" w:eastAsia="zh-CN"/>
              </w:rPr>
              <w:t>1</w:t>
            </w:r>
            <w:r>
              <w:rPr>
                <w:color w:val="000000"/>
                <w:sz w:val="21"/>
                <w:szCs w:val="21"/>
              </w:rPr>
              <w:t>个，</w:t>
            </w:r>
            <w:r>
              <w:rPr>
                <w:color w:val="auto"/>
                <w:sz w:val="21"/>
                <w:szCs w:val="21"/>
              </w:rPr>
              <w:t>采用</w:t>
            </w:r>
            <w:r>
              <w:rPr>
                <w:rFonts w:hint="eastAsia"/>
                <w:color w:val="auto"/>
                <w:sz w:val="21"/>
                <w:szCs w:val="21"/>
                <w:lang w:val="en-US" w:eastAsia="zh-CN"/>
              </w:rPr>
              <w:t>双</w:t>
            </w:r>
            <w:r>
              <w:rPr>
                <w:color w:val="auto"/>
                <w:sz w:val="21"/>
                <w:szCs w:val="21"/>
              </w:rPr>
              <w:t>层卧式</w:t>
            </w:r>
            <w:r>
              <w:rPr>
                <w:rFonts w:hint="eastAsia"/>
                <w:color w:val="auto"/>
                <w:sz w:val="21"/>
                <w:szCs w:val="21"/>
                <w:lang w:val="en-US" w:eastAsia="zh-CN"/>
              </w:rPr>
              <w:t>SF</w:t>
            </w:r>
            <w:r>
              <w:rPr>
                <w:color w:val="auto"/>
                <w:sz w:val="21"/>
                <w:szCs w:val="21"/>
              </w:rPr>
              <w:t>埋地油罐</w:t>
            </w:r>
            <w:r>
              <w:rPr>
                <w:rFonts w:hint="eastAsia"/>
                <w:color w:val="auto"/>
                <w:sz w:val="21"/>
                <w:szCs w:val="21"/>
                <w:lang w:val="en-US" w:eastAsia="zh-CN"/>
              </w:rPr>
              <w:t>+防渗罐池</w:t>
            </w:r>
            <w:r>
              <w:rPr>
                <w:color w:val="auto"/>
                <w:sz w:val="21"/>
                <w:szCs w:val="21"/>
              </w:rPr>
              <w:t>结构</w:t>
            </w:r>
            <w:r>
              <w:rPr>
                <w:rFonts w:hint="eastAsia"/>
                <w:color w:val="auto"/>
                <w:sz w:val="21"/>
                <w:szCs w:val="21"/>
                <w:lang w:eastAsia="zh-CN"/>
              </w:rPr>
              <w:t>。</w:t>
            </w:r>
          </w:p>
        </w:tc>
        <w:tc>
          <w:tcPr>
            <w:tcW w:w="2860" w:type="dxa"/>
            <w:tcBorders>
              <w:left w:val="single" w:color="auto" w:sz="4" w:space="0"/>
            </w:tcBorders>
            <w:vAlign w:val="center"/>
          </w:tcPr>
          <w:p>
            <w:pPr>
              <w:jc w:val="center"/>
              <w:rPr>
                <w:rFonts w:ascii="Times New Roman" w:hAnsi="Times New Roman" w:eastAsia="宋体" w:cs="TimesNewRomanPSMT"/>
                <w:bCs/>
                <w:snapToGrid w:val="0"/>
                <w:color w:val="auto"/>
                <w:kern w:val="0"/>
                <w:sz w:val="21"/>
                <w:szCs w:val="21"/>
                <w:lang w:val="en-US" w:eastAsia="zh-CN" w:bidi="ar-SA"/>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加油罩棚</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位于站区中部，</w:t>
            </w:r>
            <w:r>
              <w:rPr>
                <w:color w:val="000000"/>
                <w:sz w:val="21"/>
                <w:szCs w:val="21"/>
              </w:rPr>
              <w:t>型钢结构，建筑面积</w:t>
            </w:r>
            <w:r>
              <w:rPr>
                <w:rFonts w:hint="eastAsia"/>
                <w:color w:val="000000"/>
                <w:sz w:val="21"/>
                <w:szCs w:val="21"/>
                <w:lang w:val="en-US" w:eastAsia="zh-CN"/>
              </w:rPr>
              <w:t>173.45</w:t>
            </w:r>
            <w:r>
              <w:rPr>
                <w:color w:val="000000"/>
                <w:sz w:val="21"/>
                <w:szCs w:val="21"/>
              </w:rPr>
              <w:t>㎡，柱高</w:t>
            </w:r>
            <w:r>
              <w:rPr>
                <w:rFonts w:hint="eastAsia"/>
                <w:color w:val="000000"/>
                <w:sz w:val="21"/>
                <w:szCs w:val="21"/>
                <w:lang w:val="en-US" w:eastAsia="zh-CN"/>
              </w:rPr>
              <w:t>7</w:t>
            </w:r>
            <w:r>
              <w:rPr>
                <w:color w:val="000000"/>
                <w:sz w:val="21"/>
                <w:szCs w:val="21"/>
              </w:rPr>
              <w:t>m。罩棚下设置</w:t>
            </w:r>
            <w:r>
              <w:rPr>
                <w:rFonts w:hint="eastAsia"/>
                <w:color w:val="000000"/>
                <w:sz w:val="21"/>
                <w:szCs w:val="21"/>
                <w:lang w:val="en-US" w:eastAsia="zh-CN"/>
              </w:rPr>
              <w:t>3</w:t>
            </w:r>
            <w:r>
              <w:rPr>
                <w:color w:val="000000"/>
                <w:sz w:val="21"/>
                <w:szCs w:val="21"/>
              </w:rPr>
              <w:t>个加油岛。设置</w:t>
            </w:r>
            <w:r>
              <w:rPr>
                <w:rFonts w:hint="eastAsia"/>
                <w:color w:val="000000"/>
                <w:sz w:val="21"/>
                <w:szCs w:val="21"/>
                <w:lang w:val="en-US" w:eastAsia="zh-CN"/>
              </w:rPr>
              <w:t>3</w:t>
            </w:r>
            <w:r>
              <w:rPr>
                <w:color w:val="000000"/>
                <w:sz w:val="21"/>
                <w:szCs w:val="21"/>
              </w:rPr>
              <w:t>台</w:t>
            </w:r>
            <w:r>
              <w:rPr>
                <w:rFonts w:hint="eastAsia"/>
                <w:color w:val="000000"/>
                <w:sz w:val="21"/>
                <w:szCs w:val="21"/>
                <w:lang w:val="en-US" w:eastAsia="zh-CN"/>
              </w:rPr>
              <w:t>四枪四油品</w:t>
            </w:r>
            <w:r>
              <w:rPr>
                <w:color w:val="000000"/>
                <w:sz w:val="21"/>
                <w:szCs w:val="21"/>
              </w:rPr>
              <w:t>加油机。</w:t>
            </w:r>
          </w:p>
        </w:tc>
        <w:tc>
          <w:tcPr>
            <w:tcW w:w="2860" w:type="dxa"/>
            <w:tcBorders>
              <w:left w:val="single" w:color="auto" w:sz="4" w:space="0"/>
            </w:tcBorders>
            <w:vAlign w:val="center"/>
          </w:tcPr>
          <w:p>
            <w:pPr>
              <w:jc w:val="center"/>
              <w:rPr>
                <w:rFonts w:hAnsi="宋体"/>
                <w:sz w:val="21"/>
                <w:szCs w:val="21"/>
              </w:rPr>
            </w:pPr>
            <w:r>
              <w:rPr>
                <w:color w:val="000000"/>
                <w:sz w:val="21"/>
                <w:szCs w:val="21"/>
              </w:rPr>
              <w:t>设置</w:t>
            </w:r>
            <w:r>
              <w:rPr>
                <w:rFonts w:hint="eastAsia"/>
                <w:color w:val="000000"/>
                <w:sz w:val="21"/>
                <w:szCs w:val="21"/>
                <w:lang w:val="en-US" w:eastAsia="zh-CN"/>
              </w:rPr>
              <w:t>1</w:t>
            </w:r>
            <w:r>
              <w:rPr>
                <w:color w:val="000000"/>
                <w:sz w:val="21"/>
                <w:szCs w:val="21"/>
              </w:rPr>
              <w:t>台</w:t>
            </w:r>
            <w:r>
              <w:rPr>
                <w:rFonts w:hint="eastAsia"/>
                <w:color w:val="000000"/>
                <w:sz w:val="21"/>
                <w:szCs w:val="21"/>
                <w:lang w:val="en-US" w:eastAsia="zh-CN"/>
              </w:rPr>
              <w:t>4枪四油品</w:t>
            </w:r>
            <w:r>
              <w:rPr>
                <w:color w:val="000000"/>
                <w:sz w:val="21"/>
                <w:szCs w:val="21"/>
              </w:rPr>
              <w:t>加油机</w:t>
            </w:r>
            <w:r>
              <w:rPr>
                <w:rFonts w:hint="eastAsia"/>
                <w:color w:val="000000"/>
                <w:sz w:val="21"/>
                <w:szCs w:val="21"/>
                <w:lang w:eastAsia="zh-CN"/>
              </w:rPr>
              <w:t>，</w:t>
            </w:r>
            <w:r>
              <w:rPr>
                <w:color w:val="000000"/>
                <w:sz w:val="21"/>
                <w:szCs w:val="21"/>
              </w:rPr>
              <w:t>设置</w:t>
            </w:r>
            <w:r>
              <w:rPr>
                <w:rFonts w:hint="eastAsia"/>
                <w:color w:val="000000"/>
                <w:sz w:val="21"/>
                <w:szCs w:val="21"/>
                <w:lang w:val="en-US" w:eastAsia="zh-CN"/>
              </w:rPr>
              <w:t>2</w:t>
            </w:r>
            <w:r>
              <w:rPr>
                <w:color w:val="000000"/>
                <w:sz w:val="21"/>
                <w:szCs w:val="21"/>
              </w:rPr>
              <w:t>台</w:t>
            </w:r>
            <w:r>
              <w:rPr>
                <w:rFonts w:hint="eastAsia"/>
                <w:color w:val="000000"/>
                <w:sz w:val="21"/>
                <w:szCs w:val="21"/>
                <w:lang w:val="en-US" w:eastAsia="zh-CN"/>
              </w:rPr>
              <w:t>8枪四油品</w:t>
            </w:r>
            <w:r>
              <w:rPr>
                <w:color w:val="000000"/>
                <w:sz w:val="21"/>
                <w:szCs w:val="21"/>
              </w:rPr>
              <w:t>加油机。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rFonts w:hint="default" w:eastAsia="宋体"/>
                <w:bCs/>
                <w:color w:val="000000"/>
                <w:sz w:val="21"/>
                <w:szCs w:val="21"/>
                <w:lang w:val="en-US" w:eastAsia="zh-CN"/>
              </w:rPr>
              <w:t>卸油区</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设卸油车位1处，位于项目北侧，占地面积48m</w:t>
            </w:r>
            <w:r>
              <w:rPr>
                <w:rFonts w:hint="eastAsia"/>
                <w:color w:val="000000"/>
                <w:sz w:val="21"/>
                <w:szCs w:val="21"/>
                <w:vertAlign w:val="superscript"/>
                <w:lang w:val="en-US" w:eastAsia="zh-CN"/>
              </w:rPr>
              <w:t>2</w:t>
            </w:r>
            <w:r>
              <w:rPr>
                <w:rFonts w:hint="eastAsia"/>
                <w:color w:val="000000"/>
                <w:sz w:val="21"/>
                <w:szCs w:val="21"/>
                <w:lang w:val="en-US" w:eastAsia="zh-CN"/>
              </w:rPr>
              <w:t>，设置92#汽油卸油口1个，95#汽油卸油口1个，98#汽油卸油口1个，0#柴油卸油口1个。</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rFonts w:hint="eastAsia" w:eastAsia="宋体"/>
                <w:bCs/>
                <w:color w:val="000000"/>
                <w:sz w:val="21"/>
                <w:szCs w:val="21"/>
                <w:lang w:val="en-US" w:eastAsia="zh-CN"/>
              </w:rPr>
              <w:t>充电区</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设置1个充电区，位于站区西北侧，占地面积89m</w:t>
            </w:r>
            <w:r>
              <w:rPr>
                <w:rFonts w:hint="eastAsia"/>
                <w:color w:val="000000"/>
                <w:sz w:val="21"/>
                <w:szCs w:val="21"/>
                <w:vertAlign w:val="superscript"/>
                <w:lang w:val="en-US" w:eastAsia="zh-CN"/>
              </w:rPr>
              <w:t>2</w:t>
            </w:r>
            <w:r>
              <w:rPr>
                <w:rFonts w:hint="eastAsia"/>
                <w:color w:val="000000"/>
                <w:sz w:val="21"/>
                <w:szCs w:val="21"/>
                <w:lang w:val="en-US" w:eastAsia="zh-CN"/>
              </w:rPr>
              <w:t>，设置7个充电桩及充电停车位，用作往来电动车充电。</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辅助工程</w:t>
            </w: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综合站房</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位于站区西侧，</w:t>
            </w:r>
            <w:r>
              <w:rPr>
                <w:color w:val="000000"/>
                <w:sz w:val="21"/>
                <w:szCs w:val="21"/>
              </w:rPr>
              <w:t>站房为</w:t>
            </w:r>
            <w:r>
              <w:rPr>
                <w:rFonts w:hint="eastAsia"/>
                <w:color w:val="000000"/>
                <w:sz w:val="21"/>
                <w:szCs w:val="21"/>
                <w:lang w:val="en-US" w:eastAsia="zh-CN"/>
              </w:rPr>
              <w:t>2</w:t>
            </w:r>
            <w:r>
              <w:rPr>
                <w:color w:val="000000"/>
                <w:sz w:val="21"/>
                <w:szCs w:val="21"/>
              </w:rPr>
              <w:t>层建筑物，占地面积</w:t>
            </w:r>
            <w:r>
              <w:rPr>
                <w:rFonts w:hint="eastAsia"/>
                <w:color w:val="000000"/>
                <w:sz w:val="21"/>
                <w:szCs w:val="21"/>
                <w:lang w:val="en-US" w:eastAsia="zh-CN"/>
              </w:rPr>
              <w:t>195.68m</w:t>
            </w:r>
            <w:r>
              <w:rPr>
                <w:rFonts w:hint="eastAsia"/>
                <w:color w:val="000000"/>
                <w:sz w:val="21"/>
                <w:szCs w:val="21"/>
                <w:vertAlign w:val="superscript"/>
                <w:lang w:val="en-US" w:eastAsia="zh-CN"/>
              </w:rPr>
              <w:t>2</w:t>
            </w:r>
            <w:r>
              <w:rPr>
                <w:color w:val="000000"/>
                <w:sz w:val="21"/>
                <w:szCs w:val="21"/>
              </w:rPr>
              <w:t>，建筑面积</w:t>
            </w:r>
            <w:r>
              <w:rPr>
                <w:rFonts w:hint="eastAsia"/>
                <w:color w:val="000000"/>
                <w:sz w:val="21"/>
                <w:szCs w:val="21"/>
                <w:lang w:val="en-US" w:eastAsia="zh-CN"/>
              </w:rPr>
              <w:t>391.36m</w:t>
            </w:r>
            <w:r>
              <w:rPr>
                <w:rFonts w:hint="eastAsia"/>
                <w:color w:val="000000"/>
                <w:sz w:val="21"/>
                <w:szCs w:val="21"/>
                <w:vertAlign w:val="superscript"/>
                <w:lang w:val="en-US" w:eastAsia="zh-CN"/>
              </w:rPr>
              <w:t>2</w:t>
            </w:r>
            <w:r>
              <w:rPr>
                <w:color w:val="000000"/>
                <w:sz w:val="21"/>
                <w:szCs w:val="21"/>
              </w:rPr>
              <w:t>。建筑结构高度</w:t>
            </w:r>
            <w:r>
              <w:rPr>
                <w:rFonts w:hint="eastAsia"/>
                <w:color w:val="000000"/>
                <w:sz w:val="21"/>
                <w:szCs w:val="21"/>
                <w:lang w:val="en-US" w:eastAsia="zh-CN"/>
              </w:rPr>
              <w:t>7.35</w:t>
            </w:r>
            <w:r>
              <w:rPr>
                <w:color w:val="000000"/>
                <w:sz w:val="21"/>
                <w:szCs w:val="21"/>
              </w:rPr>
              <w:t>m，设置</w:t>
            </w:r>
            <w:r>
              <w:rPr>
                <w:rFonts w:hint="eastAsia"/>
                <w:color w:val="000000"/>
                <w:sz w:val="21"/>
                <w:szCs w:val="21"/>
              </w:rPr>
              <w:t>便利店、厕所、发配电设施、配套用房等功能用房</w:t>
            </w:r>
            <w:r>
              <w:rPr>
                <w:color w:val="000000"/>
                <w:sz w:val="21"/>
                <w:szCs w:val="21"/>
              </w:rPr>
              <w:t>。</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rFonts w:hint="eastAsia"/>
                <w:bCs/>
                <w:color w:val="000000"/>
                <w:sz w:val="21"/>
                <w:szCs w:val="21"/>
              </w:rPr>
              <w:t>配电</w:t>
            </w:r>
            <w:r>
              <w:rPr>
                <w:rFonts w:hint="eastAsia"/>
                <w:bCs/>
                <w:color w:val="000000"/>
                <w:sz w:val="21"/>
                <w:szCs w:val="21"/>
                <w:lang w:val="en-US" w:eastAsia="zh-CN"/>
              </w:rPr>
              <w:t>间</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配电室1间，设于站房内，建筑面积约7m</w:t>
            </w:r>
            <w:r>
              <w:rPr>
                <w:rFonts w:hint="eastAsia"/>
                <w:color w:val="000000"/>
                <w:sz w:val="21"/>
                <w:szCs w:val="21"/>
                <w:vertAlign w:val="superscript"/>
                <w:lang w:val="en-US" w:eastAsia="zh-CN"/>
              </w:rPr>
              <w:t>2</w:t>
            </w:r>
            <w:r>
              <w:rPr>
                <w:rFonts w:hint="eastAsia"/>
                <w:color w:val="000000"/>
                <w:sz w:val="21"/>
                <w:szCs w:val="21"/>
                <w:lang w:val="en-US" w:eastAsia="zh-CN"/>
              </w:rPr>
              <w:t>，同时内设1台24kW的柴油发电机作为备用电源</w:t>
            </w:r>
            <w:r>
              <w:rPr>
                <w:color w:val="000000"/>
                <w:sz w:val="21"/>
                <w:szCs w:val="21"/>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rFonts w:hint="eastAsia"/>
                <w:bCs/>
                <w:color w:val="000000"/>
                <w:sz w:val="21"/>
                <w:szCs w:val="21"/>
                <w:lang w:val="en-US" w:eastAsia="zh-CN"/>
              </w:rPr>
              <w:t>变压器</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int="eastAsia" w:ascii="Times New Roman" w:hAnsi="Times New Roman" w:eastAsia="宋体" w:cs="Times New Roman"/>
                <w:bCs w:val="0"/>
                <w:snapToGrid/>
                <w:color w:val="auto"/>
                <w:kern w:val="2"/>
                <w:sz w:val="21"/>
                <w:szCs w:val="21"/>
                <w:lang w:val="en-US" w:eastAsia="zh-CN" w:bidi="ar-SA"/>
              </w:rPr>
            </w:pPr>
            <w:r>
              <w:rPr>
                <w:rFonts w:hint="eastAsia"/>
                <w:color w:val="000000"/>
                <w:sz w:val="21"/>
                <w:szCs w:val="21"/>
                <w:lang w:val="en-US" w:eastAsia="zh-CN"/>
              </w:rPr>
              <w:t>设置1个</w:t>
            </w:r>
            <w:r>
              <w:rPr>
                <w:rFonts w:hint="eastAsia"/>
                <w:color w:val="auto"/>
                <w:sz w:val="21"/>
                <w:szCs w:val="21"/>
                <w:lang w:val="en-US" w:eastAsia="zh-CN"/>
              </w:rPr>
              <w:t>箱式干式变压器</w:t>
            </w:r>
            <w:r>
              <w:rPr>
                <w:rFonts w:hint="eastAsia"/>
                <w:color w:val="000000"/>
                <w:sz w:val="21"/>
                <w:szCs w:val="21"/>
                <w:lang w:val="en-US" w:eastAsia="zh-CN"/>
              </w:rPr>
              <w:t>，位于站区西北侧，配电电压为800KVA。</w:t>
            </w:r>
          </w:p>
        </w:tc>
        <w:tc>
          <w:tcPr>
            <w:tcW w:w="2860" w:type="dxa"/>
            <w:tcBorders>
              <w:left w:val="single" w:color="auto" w:sz="4" w:space="0"/>
            </w:tcBorders>
            <w:vAlign w:val="center"/>
          </w:tcPr>
          <w:p>
            <w:pPr>
              <w:jc w:val="center"/>
              <w:rPr>
                <w:rFonts w:hint="eastAsia" w:ascii="Times New Roman" w:hAnsi="Times New Roman" w:eastAsia="宋体" w:cs="Times New Roman"/>
                <w:bCs w:val="0"/>
                <w:snapToGrid/>
                <w:color w:val="auto"/>
                <w:kern w:val="2"/>
                <w:sz w:val="21"/>
                <w:szCs w:val="21"/>
                <w:lang w:val="en-US" w:eastAsia="zh-CN" w:bidi="ar-SA"/>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color w:val="000000"/>
                <w:sz w:val="21"/>
                <w:szCs w:val="21"/>
              </w:rPr>
              <w:t>监控系统</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color w:val="000000"/>
                <w:sz w:val="21"/>
                <w:szCs w:val="21"/>
              </w:rPr>
              <w:t>站内设有仪表值班室，监控加油枪数据；油罐设置液位仪系统，检测油罐液位状态；站内关键部位设置视频摄像机</w:t>
            </w:r>
            <w:r>
              <w:rPr>
                <w:rFonts w:hint="eastAsia"/>
                <w:color w:val="000000"/>
                <w:sz w:val="21"/>
                <w:szCs w:val="21"/>
                <w:lang w:eastAsia="zh-CN"/>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rFonts w:hint="eastAsia"/>
                <w:bCs/>
                <w:color w:val="000000"/>
                <w:sz w:val="21"/>
                <w:szCs w:val="21"/>
                <w:lang w:val="en-US" w:eastAsia="zh-CN"/>
              </w:rPr>
              <w:t>洗车区</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rPr>
              <w:t>设置</w:t>
            </w:r>
            <w:r>
              <w:rPr>
                <w:rFonts w:hint="eastAsia"/>
                <w:color w:val="000000"/>
                <w:sz w:val="21"/>
                <w:szCs w:val="21"/>
                <w:lang w:val="en-US" w:eastAsia="zh-CN"/>
              </w:rPr>
              <w:t>1</w:t>
            </w:r>
            <w:r>
              <w:rPr>
                <w:rFonts w:hint="eastAsia"/>
                <w:color w:val="000000"/>
                <w:sz w:val="21"/>
                <w:szCs w:val="21"/>
              </w:rPr>
              <w:t>台</w:t>
            </w:r>
            <w:r>
              <w:rPr>
                <w:rFonts w:hint="eastAsia"/>
                <w:color w:val="000000"/>
                <w:sz w:val="21"/>
                <w:szCs w:val="21"/>
                <w:lang w:val="en-US" w:eastAsia="zh-CN"/>
              </w:rPr>
              <w:t>隧道式</w:t>
            </w:r>
            <w:r>
              <w:rPr>
                <w:rFonts w:hint="eastAsia"/>
                <w:color w:val="000000"/>
                <w:sz w:val="21"/>
                <w:szCs w:val="21"/>
              </w:rPr>
              <w:t>自动洗车机，位于</w:t>
            </w:r>
            <w:r>
              <w:rPr>
                <w:rFonts w:hint="eastAsia"/>
                <w:color w:val="000000"/>
                <w:sz w:val="21"/>
                <w:szCs w:val="21"/>
                <w:lang w:eastAsia="zh-CN"/>
              </w:rPr>
              <w:t>站区</w:t>
            </w:r>
            <w:r>
              <w:rPr>
                <w:rFonts w:hint="eastAsia"/>
                <w:color w:val="000000"/>
                <w:sz w:val="21"/>
                <w:szCs w:val="21"/>
                <w:lang w:val="en-US" w:eastAsia="zh-CN"/>
              </w:rPr>
              <w:t>南</w:t>
            </w:r>
            <w:r>
              <w:rPr>
                <w:rFonts w:hint="eastAsia"/>
                <w:color w:val="000000"/>
                <w:sz w:val="21"/>
                <w:szCs w:val="21"/>
              </w:rPr>
              <w:t>侧，用于过往车辆清洗</w:t>
            </w:r>
            <w:r>
              <w:rPr>
                <w:rFonts w:hint="eastAsia"/>
                <w:color w:val="000000"/>
                <w:sz w:val="21"/>
                <w:szCs w:val="21"/>
                <w:lang w:eastAsia="zh-CN"/>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公用工程</w:t>
            </w: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供水</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bCs/>
                <w:color w:val="000000"/>
                <w:sz w:val="21"/>
                <w:szCs w:val="21"/>
              </w:rPr>
              <w:t>由</w:t>
            </w:r>
            <w:r>
              <w:rPr>
                <w:rFonts w:hint="eastAsia"/>
                <w:bCs/>
                <w:color w:val="000000"/>
                <w:sz w:val="21"/>
                <w:szCs w:val="21"/>
                <w:lang w:val="en-US" w:eastAsia="zh-CN"/>
              </w:rPr>
              <w:t>市政</w:t>
            </w:r>
            <w:r>
              <w:rPr>
                <w:bCs/>
                <w:color w:val="000000"/>
                <w:sz w:val="21"/>
                <w:szCs w:val="21"/>
              </w:rPr>
              <w:t>给水管网供水</w:t>
            </w:r>
            <w:r>
              <w:rPr>
                <w:rFonts w:hint="eastAsia"/>
                <w:bCs/>
                <w:color w:val="000000"/>
                <w:sz w:val="21"/>
                <w:szCs w:val="21"/>
                <w:lang w:eastAsia="zh-CN"/>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排水</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textAlignment w:val="auto"/>
              <w:rPr>
                <w:rFonts w:hAnsi="宋体"/>
                <w:sz w:val="21"/>
                <w:szCs w:val="21"/>
              </w:rPr>
            </w:pPr>
            <w:r>
              <w:rPr>
                <w:rFonts w:hint="eastAsia"/>
                <w:color w:val="000000"/>
                <w:sz w:val="21"/>
                <w:szCs w:val="21"/>
              </w:rPr>
              <w:t>采用雨污分流制，</w:t>
            </w:r>
            <w:r>
              <w:rPr>
                <w:rFonts w:hint="eastAsia"/>
                <w:color w:val="000000"/>
                <w:sz w:val="21"/>
                <w:szCs w:val="21"/>
                <w:lang w:eastAsia="zh-CN"/>
              </w:rPr>
              <w:t>地面冲洗废水、初期雨水、洗车废水经三段式水封隔油池</w:t>
            </w:r>
            <w:r>
              <w:rPr>
                <w:rFonts w:hint="eastAsia"/>
                <w:color w:val="000000"/>
                <w:sz w:val="21"/>
                <w:szCs w:val="21"/>
              </w:rPr>
              <w:t>处理达《污水综合排放标准》（GB8978-1996）三级标准后与经生化池处理达《污水综合排放标准》（GB8978-1996）三级标准后</w:t>
            </w:r>
            <w:r>
              <w:rPr>
                <w:rFonts w:hint="eastAsia"/>
                <w:color w:val="000000"/>
                <w:sz w:val="21"/>
                <w:szCs w:val="21"/>
                <w:lang w:val="en-US" w:eastAsia="zh-CN"/>
              </w:rPr>
              <w:t>的</w:t>
            </w:r>
            <w:r>
              <w:rPr>
                <w:rFonts w:hint="eastAsia"/>
                <w:color w:val="000000"/>
                <w:sz w:val="21"/>
                <w:szCs w:val="21"/>
              </w:rPr>
              <w:t>生活污水一起通过同一排口</w:t>
            </w:r>
            <w:r>
              <w:rPr>
                <w:rFonts w:hint="eastAsia"/>
                <w:color w:val="000000"/>
                <w:sz w:val="21"/>
                <w:szCs w:val="21"/>
                <w:lang w:val="en-US" w:eastAsia="zh-CN"/>
              </w:rPr>
              <w:t>进入市政污水管网再</w:t>
            </w:r>
            <w:r>
              <w:rPr>
                <w:rFonts w:hint="eastAsia"/>
                <w:color w:val="000000"/>
                <w:sz w:val="21"/>
                <w:szCs w:val="21"/>
              </w:rPr>
              <w:t>进入</w:t>
            </w:r>
            <w:r>
              <w:rPr>
                <w:rFonts w:hint="eastAsia"/>
                <w:color w:val="000000"/>
                <w:sz w:val="21"/>
                <w:szCs w:val="21"/>
                <w:lang w:val="en-US" w:eastAsia="zh-CN"/>
              </w:rPr>
              <w:t>双福污水处理厂</w:t>
            </w:r>
            <w:r>
              <w:rPr>
                <w:rFonts w:hint="eastAsia"/>
                <w:color w:val="000000"/>
                <w:sz w:val="21"/>
                <w:szCs w:val="21"/>
              </w:rPr>
              <w:t>深度处理达《城镇污水处理厂污染物排放标准》(GB18918-2002)一级</w:t>
            </w:r>
            <w:r>
              <w:rPr>
                <w:rFonts w:hint="eastAsia"/>
                <w:color w:val="000000"/>
                <w:sz w:val="21"/>
                <w:szCs w:val="21"/>
                <w:lang w:val="en-US" w:eastAsia="zh-CN"/>
              </w:rPr>
              <w:t>B</w:t>
            </w:r>
            <w:r>
              <w:rPr>
                <w:rFonts w:hint="eastAsia"/>
                <w:color w:val="000000"/>
                <w:sz w:val="21"/>
                <w:szCs w:val="21"/>
              </w:rPr>
              <w:t>标后，</w:t>
            </w:r>
            <w:r>
              <w:rPr>
                <w:rFonts w:hint="eastAsia"/>
                <w:color w:val="000000"/>
                <w:sz w:val="21"/>
                <w:szCs w:val="21"/>
                <w:lang w:eastAsia="zh-CN"/>
              </w:rPr>
              <w:t>排入大溪河，最终排入长江。</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color w:val="000000"/>
                <w:kern w:val="0"/>
                <w:sz w:val="21"/>
                <w:szCs w:val="21"/>
              </w:rPr>
              <w:t>通气管</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auto"/>
                <w:sz w:val="21"/>
                <w:szCs w:val="21"/>
                <w:lang w:val="en-US" w:eastAsia="zh-CN"/>
              </w:rPr>
              <w:t>3</w:t>
            </w:r>
            <w:r>
              <w:rPr>
                <w:color w:val="auto"/>
                <w:sz w:val="21"/>
                <w:szCs w:val="21"/>
              </w:rPr>
              <w:t>根，分别是</w:t>
            </w:r>
            <w:r>
              <w:rPr>
                <w:rFonts w:hint="eastAsia"/>
                <w:color w:val="auto"/>
                <w:sz w:val="21"/>
                <w:szCs w:val="21"/>
                <w:lang w:val="en-US" w:eastAsia="zh-CN"/>
              </w:rPr>
              <w:t>1</w:t>
            </w:r>
            <w:r>
              <w:rPr>
                <w:color w:val="auto"/>
                <w:sz w:val="21"/>
                <w:szCs w:val="21"/>
              </w:rPr>
              <w:t>根柴油通气管</w:t>
            </w:r>
            <w:r>
              <w:rPr>
                <w:rFonts w:hint="eastAsia"/>
                <w:color w:val="auto"/>
                <w:sz w:val="21"/>
                <w:szCs w:val="21"/>
                <w:lang w:eastAsia="zh-CN"/>
              </w:rPr>
              <w:t>、</w:t>
            </w:r>
            <w:r>
              <w:rPr>
                <w:rFonts w:hint="eastAsia"/>
                <w:color w:val="auto"/>
                <w:sz w:val="21"/>
                <w:szCs w:val="21"/>
                <w:lang w:val="en-US" w:eastAsia="zh-CN"/>
              </w:rPr>
              <w:t>1</w:t>
            </w:r>
            <w:r>
              <w:rPr>
                <w:color w:val="auto"/>
                <w:sz w:val="21"/>
                <w:szCs w:val="21"/>
              </w:rPr>
              <w:t>根汽油通气管</w:t>
            </w:r>
            <w:r>
              <w:rPr>
                <w:rFonts w:hint="eastAsia"/>
                <w:color w:val="auto"/>
                <w:sz w:val="21"/>
                <w:szCs w:val="21"/>
                <w:lang w:val="en-US" w:eastAsia="zh-CN"/>
              </w:rPr>
              <w:t>以及1根放散管</w:t>
            </w:r>
            <w:r>
              <w:rPr>
                <w:color w:val="auto"/>
                <w:sz w:val="21"/>
                <w:szCs w:val="21"/>
              </w:rPr>
              <w:t>，</w:t>
            </w:r>
            <w:r>
              <w:rPr>
                <w:rFonts w:hint="eastAsia"/>
                <w:color w:val="auto"/>
                <w:sz w:val="21"/>
                <w:szCs w:val="21"/>
                <w:lang w:val="en-US" w:eastAsia="zh-CN"/>
              </w:rPr>
              <w:t>通气管沿罩棚立柱敷设，管口高出罩棚顶 2m，离地高为9m，通气管</w:t>
            </w:r>
            <w:r>
              <w:rPr>
                <w:rFonts w:hint="eastAsia"/>
                <w:color w:val="000000"/>
                <w:sz w:val="21"/>
                <w:szCs w:val="21"/>
                <w:lang w:val="en-US" w:eastAsia="zh-CN"/>
              </w:rPr>
              <w:t>安装带阻火器功能的机械呼吸阀，</w:t>
            </w:r>
            <w:r>
              <w:rPr>
                <w:color w:val="000000"/>
                <w:sz w:val="21"/>
                <w:szCs w:val="21"/>
              </w:rPr>
              <w:t>DN50</w:t>
            </w:r>
            <w:r>
              <w:rPr>
                <w:rFonts w:hint="eastAsia"/>
                <w:color w:val="000000"/>
                <w:sz w:val="21"/>
                <w:szCs w:val="21"/>
                <w:lang w:eastAsia="zh-CN"/>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color w:val="000000"/>
                <w:kern w:val="0"/>
                <w:sz w:val="21"/>
                <w:szCs w:val="21"/>
              </w:rPr>
              <w:t>密闭卸油箱</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color w:val="000000"/>
                <w:sz w:val="21"/>
                <w:szCs w:val="21"/>
              </w:rPr>
              <w:t>设</w:t>
            </w:r>
            <w:r>
              <w:rPr>
                <w:rFonts w:hint="eastAsia"/>
                <w:color w:val="000000"/>
                <w:sz w:val="21"/>
                <w:szCs w:val="21"/>
                <w:lang w:val="en-US" w:eastAsia="zh-CN"/>
              </w:rPr>
              <w:t>4</w:t>
            </w:r>
            <w:r>
              <w:rPr>
                <w:color w:val="000000"/>
                <w:sz w:val="21"/>
                <w:szCs w:val="21"/>
              </w:rPr>
              <w:t>个密闭卸油快速接头及1个卸油油气回收快速接头</w:t>
            </w:r>
            <w:r>
              <w:rPr>
                <w:rFonts w:hint="eastAsia"/>
                <w:color w:val="000000"/>
                <w:sz w:val="21"/>
                <w:szCs w:val="21"/>
                <w:lang w:eastAsia="zh-CN"/>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color w:val="000000"/>
                <w:kern w:val="0"/>
                <w:sz w:val="21"/>
                <w:szCs w:val="21"/>
              </w:rPr>
              <w:t>消防</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color w:val="000000"/>
                <w:sz w:val="21"/>
                <w:szCs w:val="21"/>
                <w:lang w:val="en-US" w:eastAsia="zh-CN"/>
              </w:rPr>
              <w:t>加油区</w:t>
            </w:r>
            <w:r>
              <w:rPr>
                <w:color w:val="000000"/>
                <w:sz w:val="21"/>
                <w:szCs w:val="21"/>
              </w:rPr>
              <w:t>设置</w:t>
            </w:r>
            <w:r>
              <w:rPr>
                <w:rFonts w:hint="eastAsia"/>
                <w:color w:val="000000"/>
                <w:sz w:val="21"/>
                <w:szCs w:val="21"/>
                <w:lang w:val="en-US" w:eastAsia="zh-CN"/>
              </w:rPr>
              <w:t>5</w:t>
            </w:r>
            <w:r>
              <w:rPr>
                <w:color w:val="000000"/>
                <w:sz w:val="21"/>
                <w:szCs w:val="21"/>
              </w:rPr>
              <w:t>kg手提式干粉灭火器</w:t>
            </w:r>
            <w:r>
              <w:rPr>
                <w:rFonts w:hint="eastAsia"/>
                <w:color w:val="000000"/>
                <w:sz w:val="21"/>
                <w:szCs w:val="21"/>
                <w:lang w:val="en-US" w:eastAsia="zh-CN"/>
              </w:rPr>
              <w:t>4</w:t>
            </w:r>
            <w:r>
              <w:rPr>
                <w:color w:val="000000"/>
                <w:sz w:val="21"/>
                <w:szCs w:val="21"/>
              </w:rPr>
              <w:t>具；油罐区附近放置35kg推车式干粉灭火器</w:t>
            </w:r>
            <w:r>
              <w:rPr>
                <w:rFonts w:hint="eastAsia"/>
                <w:color w:val="000000"/>
                <w:sz w:val="21"/>
                <w:szCs w:val="21"/>
                <w:lang w:val="en-US" w:eastAsia="zh-CN"/>
              </w:rPr>
              <w:t>1</w:t>
            </w:r>
            <w:r>
              <w:rPr>
                <w:color w:val="000000"/>
                <w:sz w:val="21"/>
                <w:szCs w:val="21"/>
              </w:rPr>
              <w:t>台</w:t>
            </w:r>
            <w:r>
              <w:rPr>
                <w:rFonts w:hint="eastAsia"/>
                <w:color w:val="000000"/>
                <w:sz w:val="21"/>
                <w:szCs w:val="21"/>
                <w:lang w:val="en-US" w:eastAsia="zh-CN"/>
              </w:rPr>
              <w:t>、</w:t>
            </w:r>
            <w:r>
              <w:rPr>
                <w:color w:val="000000"/>
                <w:sz w:val="21"/>
                <w:szCs w:val="21"/>
              </w:rPr>
              <w:t>灭火毯</w:t>
            </w:r>
            <w:r>
              <w:rPr>
                <w:rFonts w:hint="eastAsia"/>
                <w:color w:val="000000"/>
                <w:sz w:val="21"/>
                <w:szCs w:val="21"/>
                <w:lang w:val="en-US" w:eastAsia="zh-CN"/>
              </w:rPr>
              <w:t>2</w:t>
            </w:r>
            <w:r>
              <w:rPr>
                <w:color w:val="000000"/>
                <w:sz w:val="21"/>
                <w:szCs w:val="21"/>
              </w:rPr>
              <w:t>块；</w:t>
            </w:r>
            <w:r>
              <w:rPr>
                <w:rFonts w:hint="eastAsia"/>
                <w:color w:val="000000"/>
                <w:sz w:val="21"/>
                <w:szCs w:val="21"/>
                <w:lang w:val="en-US" w:eastAsia="zh-CN"/>
              </w:rPr>
              <w:t>卸油区设置</w:t>
            </w:r>
            <w:r>
              <w:rPr>
                <w:color w:val="000000"/>
                <w:sz w:val="21"/>
                <w:szCs w:val="21"/>
              </w:rPr>
              <w:t>消防器材</w:t>
            </w:r>
            <w:r>
              <w:rPr>
                <w:rFonts w:hint="eastAsia"/>
                <w:color w:val="000000"/>
                <w:sz w:val="21"/>
                <w:szCs w:val="21"/>
                <w:lang w:val="en-US" w:eastAsia="zh-CN"/>
              </w:rPr>
              <w:t>箱1</w:t>
            </w:r>
            <w:r>
              <w:rPr>
                <w:color w:val="000000"/>
                <w:sz w:val="21"/>
                <w:szCs w:val="21"/>
              </w:rPr>
              <w:t>座</w:t>
            </w:r>
            <w:r>
              <w:rPr>
                <w:rFonts w:hint="eastAsia"/>
                <w:color w:val="000000"/>
                <w:sz w:val="21"/>
                <w:szCs w:val="21"/>
                <w:lang w:val="en-US" w:eastAsia="zh-CN"/>
              </w:rPr>
              <w:t>和消防沙箱1座</w:t>
            </w:r>
            <w:r>
              <w:rPr>
                <w:color w:val="000000"/>
                <w:sz w:val="21"/>
                <w:szCs w:val="21"/>
              </w:rPr>
              <w:t>，内置2m³消防沙及消防工具等。</w:t>
            </w:r>
            <w:r>
              <w:rPr>
                <w:rFonts w:hint="eastAsia"/>
                <w:color w:val="000000"/>
                <w:sz w:val="21"/>
                <w:szCs w:val="21"/>
              </w:rPr>
              <w:t>站房内发电间、配电间各设置2具MF/ABC8手提式干粉灭火器，其余功能间设置8具MF/ABC8手提式干粉灭火器</w:t>
            </w:r>
            <w:r>
              <w:rPr>
                <w:color w:val="000000"/>
                <w:sz w:val="21"/>
                <w:szCs w:val="21"/>
              </w:rPr>
              <w:t>。</w:t>
            </w:r>
          </w:p>
        </w:tc>
        <w:tc>
          <w:tcPr>
            <w:tcW w:w="2860" w:type="dxa"/>
            <w:tcBorders>
              <w:left w:val="single" w:color="auto" w:sz="4" w:space="0"/>
            </w:tcBorders>
            <w:vAlign w:val="center"/>
          </w:tcPr>
          <w:p>
            <w:pPr>
              <w:jc w:val="center"/>
              <w:rPr>
                <w:rFonts w:hAnsi="宋体"/>
                <w:sz w:val="21"/>
                <w:szCs w:val="21"/>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color w:val="000000"/>
                <w:kern w:val="0"/>
                <w:sz w:val="21"/>
                <w:szCs w:val="21"/>
              </w:rPr>
              <w:t>防雷</w:t>
            </w:r>
          </w:p>
        </w:tc>
        <w:tc>
          <w:tcPr>
            <w:tcW w:w="4367" w:type="dxa"/>
            <w:tcBorders>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jc w:val="left"/>
              <w:textAlignment w:val="auto"/>
              <w:rPr>
                <w:rFonts w:hAnsi="宋体"/>
                <w:sz w:val="21"/>
                <w:szCs w:val="21"/>
              </w:rPr>
            </w:pPr>
            <w:r>
              <w:rPr>
                <w:color w:val="000000"/>
                <w:kern w:val="0"/>
                <w:sz w:val="21"/>
                <w:szCs w:val="21"/>
              </w:rPr>
              <w:t>站内综合接地装置接地电阻不大于</w:t>
            </w:r>
            <w:r>
              <w:rPr>
                <w:rFonts w:hint="eastAsia"/>
                <w:color w:val="000000"/>
                <w:kern w:val="0"/>
                <w:sz w:val="21"/>
                <w:szCs w:val="21"/>
                <w:lang w:val="en-US" w:eastAsia="zh-CN"/>
              </w:rPr>
              <w:t>1</w:t>
            </w:r>
            <w:r>
              <w:rPr>
                <w:color w:val="000000"/>
                <w:kern w:val="0"/>
                <w:sz w:val="21"/>
                <w:szCs w:val="21"/>
              </w:rPr>
              <w:t>欧，设置相应防雷设施</w:t>
            </w:r>
            <w:r>
              <w:rPr>
                <w:rFonts w:hint="eastAsia"/>
                <w:color w:val="000000"/>
                <w:kern w:val="0"/>
                <w:sz w:val="21"/>
                <w:szCs w:val="21"/>
                <w:lang w:eastAsia="zh-CN"/>
              </w:rPr>
              <w:t>。</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供电</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rFonts w:hint="eastAsia"/>
                <w:bCs/>
                <w:color w:val="000000"/>
                <w:sz w:val="21"/>
                <w:szCs w:val="21"/>
                <w:lang w:val="en-US" w:eastAsia="zh-CN"/>
              </w:rPr>
              <w:t>站房内设置</w:t>
            </w:r>
            <w:r>
              <w:rPr>
                <w:bCs/>
                <w:color w:val="000000"/>
                <w:sz w:val="21"/>
                <w:szCs w:val="21"/>
              </w:rPr>
              <w:t>配电间</w:t>
            </w:r>
            <w:r>
              <w:rPr>
                <w:rFonts w:hint="eastAsia"/>
                <w:bCs/>
                <w:color w:val="000000"/>
                <w:sz w:val="21"/>
                <w:szCs w:val="21"/>
                <w:lang w:eastAsia="zh-CN"/>
              </w:rPr>
              <w:t>、</w:t>
            </w:r>
            <w:r>
              <w:rPr>
                <w:rFonts w:hint="eastAsia"/>
                <w:bCs/>
                <w:color w:val="000000"/>
                <w:sz w:val="21"/>
                <w:szCs w:val="21"/>
                <w:lang w:val="en-US" w:eastAsia="zh-CN"/>
              </w:rPr>
              <w:t>发电间</w:t>
            </w:r>
            <w:r>
              <w:rPr>
                <w:bCs/>
                <w:color w:val="000000"/>
                <w:sz w:val="21"/>
                <w:szCs w:val="21"/>
              </w:rPr>
              <w:t>供电，</w:t>
            </w:r>
            <w:r>
              <w:rPr>
                <w:rFonts w:hint="eastAsia"/>
                <w:bCs/>
                <w:color w:val="000000"/>
                <w:sz w:val="21"/>
                <w:szCs w:val="21"/>
                <w:lang w:val="en-US" w:eastAsia="zh-CN"/>
              </w:rPr>
              <w:t>发电间</w:t>
            </w:r>
            <w:r>
              <w:rPr>
                <w:bCs/>
                <w:color w:val="000000"/>
                <w:sz w:val="21"/>
                <w:szCs w:val="21"/>
              </w:rPr>
              <w:t>内设置1台柴油发电机临时应急供电</w:t>
            </w:r>
            <w:r>
              <w:rPr>
                <w:rFonts w:hint="eastAsia"/>
                <w:bCs/>
                <w:color w:val="000000"/>
                <w:sz w:val="21"/>
                <w:szCs w:val="21"/>
                <w:lang w:eastAsia="zh-CN"/>
              </w:rPr>
              <w:t>。</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空调及通风</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bCs/>
                <w:color w:val="000000"/>
                <w:sz w:val="21"/>
                <w:szCs w:val="21"/>
              </w:rPr>
              <w:t>便利店、办公室</w:t>
            </w:r>
            <w:r>
              <w:rPr>
                <w:rFonts w:hint="eastAsia"/>
                <w:bCs/>
                <w:color w:val="000000"/>
                <w:sz w:val="21"/>
                <w:szCs w:val="21"/>
                <w:lang w:eastAsia="zh-CN"/>
              </w:rPr>
              <w:t>、</w:t>
            </w:r>
            <w:r>
              <w:rPr>
                <w:rFonts w:hint="eastAsia"/>
                <w:bCs/>
                <w:color w:val="000000"/>
                <w:sz w:val="21"/>
                <w:szCs w:val="21"/>
                <w:lang w:val="en-US" w:eastAsia="zh-CN"/>
              </w:rPr>
              <w:t>值班室</w:t>
            </w:r>
            <w:r>
              <w:rPr>
                <w:bCs/>
                <w:color w:val="000000"/>
                <w:sz w:val="21"/>
                <w:szCs w:val="21"/>
              </w:rPr>
              <w:t>等有温湿度要求的房间设置分体式冷暖空调机</w:t>
            </w:r>
            <w:r>
              <w:rPr>
                <w:rFonts w:hint="eastAsia"/>
                <w:bCs/>
                <w:color w:val="000000"/>
                <w:sz w:val="21"/>
                <w:szCs w:val="21"/>
                <w:lang w:eastAsia="zh-CN"/>
              </w:rPr>
              <w:t>。</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Ansi="宋体"/>
                <w:sz w:val="21"/>
                <w:szCs w:val="21"/>
              </w:rPr>
            </w:pPr>
            <w:r>
              <w:rPr>
                <w:bCs/>
                <w:color w:val="000000"/>
                <w:sz w:val="21"/>
                <w:szCs w:val="21"/>
              </w:rPr>
              <w:t>站房卫生间选用天花板式换气扇机械通风，</w:t>
            </w:r>
            <w:r>
              <w:rPr>
                <w:rFonts w:hint="eastAsia"/>
                <w:bCs/>
                <w:color w:val="000000"/>
                <w:sz w:val="21"/>
                <w:szCs w:val="21"/>
                <w:lang w:val="en-US" w:eastAsia="zh-CN"/>
              </w:rPr>
              <w:t>淋浴间</w:t>
            </w:r>
            <w:r>
              <w:rPr>
                <w:bCs/>
                <w:color w:val="000000"/>
                <w:sz w:val="21"/>
                <w:szCs w:val="21"/>
              </w:rPr>
              <w:t>采用浴霸辅助通风，</w:t>
            </w:r>
            <w:r>
              <w:rPr>
                <w:rFonts w:hint="eastAsia"/>
                <w:bCs/>
                <w:color w:val="000000"/>
                <w:sz w:val="21"/>
                <w:szCs w:val="21"/>
                <w:lang w:val="en-US" w:eastAsia="zh-CN"/>
              </w:rPr>
              <w:t>储藏间</w:t>
            </w:r>
            <w:r>
              <w:rPr>
                <w:bCs/>
                <w:color w:val="000000"/>
                <w:sz w:val="21"/>
                <w:szCs w:val="21"/>
              </w:rPr>
              <w:t>设置百叶窗</w:t>
            </w:r>
            <w:r>
              <w:rPr>
                <w:rFonts w:hint="eastAsia"/>
                <w:bCs/>
                <w:color w:val="000000"/>
                <w:sz w:val="21"/>
                <w:szCs w:val="21"/>
                <w:lang w:val="en-US" w:eastAsia="zh-CN"/>
              </w:rPr>
              <w:t>式</w:t>
            </w:r>
            <w:r>
              <w:rPr>
                <w:bCs/>
                <w:color w:val="000000"/>
                <w:sz w:val="21"/>
                <w:szCs w:val="21"/>
              </w:rPr>
              <w:t>换气扇机械通风，</w:t>
            </w:r>
            <w:r>
              <w:rPr>
                <w:rFonts w:hint="eastAsia"/>
                <w:bCs/>
                <w:color w:val="000000"/>
                <w:sz w:val="21"/>
                <w:szCs w:val="21"/>
                <w:lang w:val="en-US" w:eastAsia="zh-CN"/>
              </w:rPr>
              <w:t>配电间采用防爆轴流风机机械通风。</w:t>
            </w:r>
            <w:r>
              <w:rPr>
                <w:bCs/>
                <w:color w:val="000000"/>
                <w:sz w:val="21"/>
                <w:szCs w:val="21"/>
              </w:rPr>
              <w:t>卫生间、</w:t>
            </w:r>
            <w:r>
              <w:rPr>
                <w:rFonts w:hint="eastAsia"/>
                <w:bCs/>
                <w:color w:val="000000"/>
                <w:sz w:val="21"/>
                <w:szCs w:val="21"/>
                <w:lang w:val="en-US" w:eastAsia="zh-CN"/>
              </w:rPr>
              <w:t>淋浴</w:t>
            </w:r>
            <w:r>
              <w:rPr>
                <w:bCs/>
                <w:color w:val="000000"/>
                <w:sz w:val="21"/>
                <w:szCs w:val="21"/>
              </w:rPr>
              <w:t>间换气次数10次/h，</w:t>
            </w:r>
            <w:r>
              <w:rPr>
                <w:rFonts w:hint="eastAsia"/>
                <w:bCs/>
                <w:color w:val="000000"/>
                <w:sz w:val="21"/>
                <w:szCs w:val="21"/>
                <w:lang w:val="en-US" w:eastAsia="zh-CN"/>
              </w:rPr>
              <w:t>储藏间</w:t>
            </w:r>
            <w:r>
              <w:rPr>
                <w:bCs/>
                <w:color w:val="000000"/>
                <w:sz w:val="21"/>
                <w:szCs w:val="21"/>
              </w:rPr>
              <w:t>换气次数</w:t>
            </w:r>
            <w:r>
              <w:rPr>
                <w:rFonts w:hint="eastAsia"/>
                <w:bCs/>
                <w:color w:val="000000"/>
                <w:sz w:val="21"/>
                <w:szCs w:val="21"/>
                <w:lang w:val="en-US" w:eastAsia="zh-CN"/>
              </w:rPr>
              <w:t>6</w:t>
            </w:r>
            <w:r>
              <w:rPr>
                <w:bCs/>
                <w:color w:val="000000"/>
                <w:sz w:val="21"/>
                <w:szCs w:val="21"/>
              </w:rPr>
              <w:t>次/h，</w:t>
            </w:r>
            <w:r>
              <w:rPr>
                <w:rFonts w:hint="eastAsia"/>
                <w:bCs/>
                <w:color w:val="000000"/>
                <w:sz w:val="21"/>
                <w:szCs w:val="21"/>
                <w:lang w:val="en-US" w:eastAsia="zh-CN"/>
              </w:rPr>
              <w:t>配电间</w:t>
            </w:r>
            <w:r>
              <w:rPr>
                <w:bCs/>
                <w:color w:val="000000"/>
                <w:sz w:val="21"/>
                <w:szCs w:val="21"/>
              </w:rPr>
              <w:t>换气次数12次/h。通风管道材质选用镀锌钢板。其他房间自然通风，所有房间采取自然补风</w:t>
            </w:r>
            <w:r>
              <w:rPr>
                <w:rFonts w:hint="eastAsia"/>
                <w:bCs/>
                <w:color w:val="000000"/>
                <w:sz w:val="21"/>
                <w:szCs w:val="21"/>
                <w:lang w:eastAsia="zh-CN"/>
              </w:rPr>
              <w:t>。</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环保工程</w:t>
            </w: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废气治理工程</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rFonts w:hint="eastAsia"/>
                <w:bCs/>
                <w:color w:val="000000"/>
                <w:sz w:val="21"/>
                <w:szCs w:val="21"/>
              </w:rPr>
            </w:pPr>
            <w:r>
              <w:rPr>
                <w:rFonts w:hint="eastAsia"/>
                <w:bCs/>
                <w:color w:val="000000"/>
                <w:sz w:val="21"/>
                <w:szCs w:val="21"/>
              </w:rPr>
              <w:t>油罐</w:t>
            </w:r>
            <w:r>
              <w:rPr>
                <w:rFonts w:hint="eastAsia"/>
                <w:bCs/>
                <w:color w:val="000000"/>
                <w:sz w:val="21"/>
                <w:szCs w:val="21"/>
                <w:lang w:val="en-US" w:eastAsia="zh-CN"/>
              </w:rPr>
              <w:t>设置2根</w:t>
            </w:r>
            <w:r>
              <w:rPr>
                <w:rFonts w:hint="eastAsia"/>
                <w:bCs/>
                <w:color w:val="000000"/>
                <w:sz w:val="21"/>
                <w:szCs w:val="21"/>
              </w:rPr>
              <w:t>带阻火器功能的机械呼吸阀</w:t>
            </w:r>
            <w:r>
              <w:rPr>
                <w:rFonts w:hint="eastAsia"/>
                <w:bCs/>
                <w:color w:val="000000"/>
                <w:sz w:val="21"/>
                <w:szCs w:val="21"/>
                <w:lang w:val="en-US" w:eastAsia="zh-CN"/>
              </w:rPr>
              <w:t>的</w:t>
            </w:r>
            <w:r>
              <w:rPr>
                <w:rFonts w:hint="eastAsia"/>
                <w:bCs/>
                <w:color w:val="000000"/>
                <w:sz w:val="21"/>
                <w:szCs w:val="21"/>
              </w:rPr>
              <w:t>通气立管</w:t>
            </w:r>
            <w:r>
              <w:rPr>
                <w:rFonts w:hint="eastAsia"/>
                <w:bCs/>
                <w:color w:val="000000"/>
                <w:sz w:val="21"/>
                <w:szCs w:val="21"/>
                <w:lang w:val="en-US" w:eastAsia="zh-CN"/>
              </w:rPr>
              <w:t>和1根放散管</w:t>
            </w:r>
            <w:r>
              <w:rPr>
                <w:rFonts w:hint="eastAsia"/>
                <w:bCs/>
                <w:color w:val="000000"/>
                <w:sz w:val="21"/>
                <w:szCs w:val="21"/>
              </w:rPr>
              <w:t>，</w:t>
            </w:r>
            <w:r>
              <w:rPr>
                <w:rFonts w:hint="eastAsia"/>
                <w:color w:val="000000"/>
                <w:sz w:val="21"/>
                <w:szCs w:val="21"/>
                <w:lang w:val="en-US" w:eastAsia="zh-CN"/>
              </w:rPr>
              <w:t>沿罩棚立柱敷设，管口高出罩棚顶 2m，离地高为9m</w:t>
            </w:r>
            <w:r>
              <w:rPr>
                <w:rFonts w:hint="eastAsia"/>
                <w:bCs/>
                <w:color w:val="auto"/>
                <w:sz w:val="21"/>
                <w:szCs w:val="21"/>
              </w:rPr>
              <w:t>；卸油过程油气设置一次油气回收系统进行回收利用</w:t>
            </w:r>
            <w:r>
              <w:rPr>
                <w:rFonts w:hint="eastAsia"/>
                <w:bCs/>
                <w:color w:val="auto"/>
                <w:sz w:val="21"/>
                <w:szCs w:val="21"/>
                <w:lang w:eastAsia="zh-CN"/>
              </w:rPr>
              <w:t>，</w:t>
            </w:r>
            <w:r>
              <w:rPr>
                <w:rFonts w:hint="eastAsia"/>
                <w:bCs/>
                <w:color w:val="auto"/>
                <w:sz w:val="21"/>
                <w:szCs w:val="21"/>
                <w:lang w:val="en-US" w:eastAsia="zh-CN"/>
              </w:rPr>
              <w:t>且</w:t>
            </w:r>
            <w:r>
              <w:rPr>
                <w:rFonts w:hint="eastAsia"/>
                <w:bCs/>
                <w:color w:val="auto"/>
                <w:sz w:val="21"/>
                <w:szCs w:val="21"/>
              </w:rPr>
              <w:t>卸油区设置油气回收阀；</w:t>
            </w:r>
            <w:r>
              <w:rPr>
                <w:rFonts w:hint="eastAsia"/>
                <w:bCs/>
                <w:color w:val="000000"/>
                <w:sz w:val="21"/>
                <w:szCs w:val="21"/>
              </w:rPr>
              <w:t>加油过程产生的油气设置二次油气回收系统收集利用，并预留三次油气回收系统。</w:t>
            </w:r>
          </w:p>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bCs/>
                <w:color w:val="000000"/>
                <w:sz w:val="21"/>
                <w:szCs w:val="21"/>
              </w:rPr>
              <w:t>备用柴油发电机使用频次少，污染物产生量少，且产生的废气经专用管道引至屋顶排放</w:t>
            </w:r>
          </w:p>
        </w:tc>
        <w:tc>
          <w:tcPr>
            <w:tcW w:w="2860" w:type="dxa"/>
            <w:tcBorders>
              <w:left w:val="single" w:color="auto" w:sz="4" w:space="0"/>
            </w:tcBorders>
            <w:vAlign w:val="center"/>
          </w:tcPr>
          <w:p>
            <w:pPr>
              <w:jc w:val="center"/>
              <w:rPr>
                <w:rFonts w:hint="eastAsia" w:hAnsi="宋体" w:eastAsia="宋体"/>
                <w:sz w:val="21"/>
                <w:szCs w:val="21"/>
                <w:lang w:eastAsia="zh-CN"/>
              </w:rPr>
            </w:pPr>
            <w:r>
              <w:rPr>
                <w:rFonts w:hint="eastAsia"/>
                <w:bCs/>
                <w:color w:val="000000"/>
                <w:sz w:val="21"/>
                <w:szCs w:val="21"/>
              </w:rPr>
              <w:t>三次油气回收系统</w:t>
            </w:r>
            <w:r>
              <w:rPr>
                <w:rFonts w:hint="eastAsia"/>
                <w:bCs/>
                <w:color w:val="000000"/>
                <w:sz w:val="21"/>
                <w:szCs w:val="21"/>
                <w:lang w:eastAsia="zh-CN"/>
              </w:rPr>
              <w:t>已投入使用。</w:t>
            </w:r>
            <w:bookmarkStart w:id="203" w:name="_GoBack"/>
            <w:bookmarkEnd w:id="203"/>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污水治理工程</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color w:val="000000"/>
                <w:sz w:val="21"/>
                <w:szCs w:val="21"/>
              </w:rPr>
              <w:t>采用雨污分流制，</w:t>
            </w:r>
            <w:r>
              <w:rPr>
                <w:rFonts w:hint="eastAsia"/>
                <w:color w:val="000000"/>
                <w:sz w:val="21"/>
                <w:szCs w:val="21"/>
                <w:lang w:eastAsia="zh-CN"/>
              </w:rPr>
              <w:t>地面冲洗废水、初期雨水、洗车废水经三段式水封隔油池</w:t>
            </w:r>
            <w:r>
              <w:rPr>
                <w:rFonts w:hint="eastAsia"/>
                <w:color w:val="000000"/>
                <w:sz w:val="21"/>
                <w:szCs w:val="21"/>
              </w:rPr>
              <w:t>处理达《污水综合排放标准》（GB8978-1996）三级标准后与经生化池处理达《污水综合排放标准》（GB8978-1996）三级标准后</w:t>
            </w:r>
            <w:r>
              <w:rPr>
                <w:rFonts w:hint="eastAsia"/>
                <w:color w:val="000000"/>
                <w:sz w:val="21"/>
                <w:szCs w:val="21"/>
                <w:lang w:val="en-US" w:eastAsia="zh-CN"/>
              </w:rPr>
              <w:t>的</w:t>
            </w:r>
            <w:r>
              <w:rPr>
                <w:rFonts w:hint="eastAsia"/>
                <w:color w:val="000000"/>
                <w:sz w:val="21"/>
                <w:szCs w:val="21"/>
              </w:rPr>
              <w:t>生活污水一起通过同一排口</w:t>
            </w:r>
            <w:r>
              <w:rPr>
                <w:rFonts w:hint="eastAsia"/>
                <w:color w:val="000000"/>
                <w:sz w:val="21"/>
                <w:szCs w:val="21"/>
                <w:lang w:val="en-US" w:eastAsia="zh-CN"/>
              </w:rPr>
              <w:t>进入市政污水管网再</w:t>
            </w:r>
            <w:r>
              <w:rPr>
                <w:rFonts w:hint="eastAsia"/>
                <w:color w:val="000000"/>
                <w:sz w:val="21"/>
                <w:szCs w:val="21"/>
              </w:rPr>
              <w:t>进入</w:t>
            </w:r>
            <w:r>
              <w:rPr>
                <w:rFonts w:hint="eastAsia"/>
                <w:color w:val="000000"/>
                <w:sz w:val="21"/>
                <w:szCs w:val="21"/>
                <w:lang w:val="en-US" w:eastAsia="zh-CN"/>
              </w:rPr>
              <w:t>双福污水处理厂</w:t>
            </w:r>
            <w:r>
              <w:rPr>
                <w:rFonts w:hint="eastAsia"/>
                <w:color w:val="000000"/>
                <w:sz w:val="21"/>
                <w:szCs w:val="21"/>
              </w:rPr>
              <w:t>深度处理达《城镇污水处理厂污染物排放标准》(GB18918-2002)一级</w:t>
            </w:r>
            <w:r>
              <w:rPr>
                <w:rFonts w:hint="eastAsia"/>
                <w:color w:val="000000"/>
                <w:sz w:val="21"/>
                <w:szCs w:val="21"/>
                <w:lang w:val="en-US" w:eastAsia="zh-CN"/>
              </w:rPr>
              <w:t>B</w:t>
            </w:r>
            <w:r>
              <w:rPr>
                <w:rFonts w:hint="eastAsia"/>
                <w:color w:val="000000"/>
                <w:sz w:val="21"/>
                <w:szCs w:val="21"/>
              </w:rPr>
              <w:t>标后，</w:t>
            </w:r>
            <w:r>
              <w:rPr>
                <w:rFonts w:hint="eastAsia"/>
                <w:color w:val="000000"/>
                <w:sz w:val="21"/>
                <w:szCs w:val="21"/>
                <w:lang w:eastAsia="zh-CN"/>
              </w:rPr>
              <w:t>排入大溪河，最终排入长江。</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固废治理工程</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bCs/>
                <w:color w:val="000000"/>
                <w:sz w:val="21"/>
                <w:szCs w:val="21"/>
              </w:rPr>
              <w:t>站区设置垃圾桶收集生活垃圾，</w:t>
            </w:r>
            <w:r>
              <w:rPr>
                <w:rFonts w:hint="eastAsia"/>
                <w:bCs/>
                <w:color w:val="000000"/>
                <w:sz w:val="21"/>
                <w:szCs w:val="21"/>
              </w:rPr>
              <w:t>委托环卫部门定期清运</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bCs/>
                <w:color w:val="000000"/>
                <w:sz w:val="21"/>
                <w:szCs w:val="21"/>
                <w:lang w:val="en-US" w:eastAsia="zh-CN"/>
              </w:rPr>
              <w:t>项目北侧</w:t>
            </w:r>
            <w:r>
              <w:rPr>
                <w:bCs/>
                <w:color w:val="000000"/>
                <w:sz w:val="21"/>
                <w:szCs w:val="21"/>
              </w:rPr>
              <w:t>设置1个</w:t>
            </w:r>
            <w:r>
              <w:rPr>
                <w:rFonts w:hint="eastAsia"/>
                <w:bCs/>
                <w:color w:val="000000"/>
                <w:sz w:val="21"/>
                <w:szCs w:val="21"/>
              </w:rPr>
              <w:t>危废暂存</w:t>
            </w:r>
            <w:r>
              <w:rPr>
                <w:rFonts w:hint="eastAsia"/>
                <w:bCs/>
                <w:color w:val="auto"/>
                <w:sz w:val="21"/>
                <w:szCs w:val="21"/>
                <w:lang w:val="en-US" w:eastAsia="zh-CN"/>
              </w:rPr>
              <w:t>柜</w:t>
            </w:r>
            <w:r>
              <w:rPr>
                <w:rFonts w:hint="eastAsia"/>
                <w:bCs/>
                <w:color w:val="auto"/>
                <w:sz w:val="21"/>
                <w:szCs w:val="21"/>
              </w:rPr>
              <w:t>2</w:t>
            </w:r>
            <w:r>
              <w:rPr>
                <w:bCs/>
                <w:color w:val="auto"/>
                <w:sz w:val="21"/>
                <w:szCs w:val="21"/>
              </w:rPr>
              <w:t>m</w:t>
            </w:r>
            <w:r>
              <w:rPr>
                <w:rFonts w:hint="eastAsia"/>
                <w:bCs/>
                <w:color w:val="auto"/>
                <w:sz w:val="21"/>
                <w:szCs w:val="21"/>
                <w:vertAlign w:val="superscript"/>
                <w:lang w:val="en-US" w:eastAsia="zh-CN"/>
              </w:rPr>
              <w:t>3</w:t>
            </w:r>
            <w:r>
              <w:rPr>
                <w:bCs/>
                <w:color w:val="auto"/>
                <w:sz w:val="21"/>
                <w:szCs w:val="21"/>
              </w:rPr>
              <w:t>，</w:t>
            </w:r>
            <w:r>
              <w:rPr>
                <w:bCs/>
                <w:color w:val="000000"/>
                <w:sz w:val="21"/>
                <w:szCs w:val="21"/>
              </w:rPr>
              <w:t>采用密闭柜进行防雨、防晒，地面防渗处理，进行收集、暂存</w:t>
            </w:r>
            <w:r>
              <w:rPr>
                <w:rFonts w:hint="eastAsia"/>
                <w:bCs/>
                <w:color w:val="000000"/>
                <w:sz w:val="21"/>
                <w:szCs w:val="21"/>
              </w:rPr>
              <w:t>隔油池油泥、废油、检修废物等</w:t>
            </w:r>
            <w:r>
              <w:rPr>
                <w:bCs/>
                <w:color w:val="000000"/>
                <w:sz w:val="21"/>
                <w:szCs w:val="21"/>
              </w:rPr>
              <w:t>危险废物；</w:t>
            </w:r>
            <w:r>
              <w:rPr>
                <w:rFonts w:hint="eastAsia"/>
                <w:bCs/>
                <w:color w:val="000000"/>
                <w:sz w:val="21"/>
                <w:szCs w:val="21"/>
              </w:rPr>
              <w:t>每次清罐废物收集后直接交具有危险废物处理资质的单位进行妥善处理</w:t>
            </w:r>
            <w:r>
              <w:rPr>
                <w:bCs/>
                <w:color w:val="000000"/>
                <w:sz w:val="21"/>
                <w:szCs w:val="21"/>
              </w:rPr>
              <w:t>，站内不暂存</w:t>
            </w:r>
            <w:r>
              <w:rPr>
                <w:rFonts w:hint="eastAsia"/>
                <w:bCs/>
                <w:color w:val="000000"/>
                <w:sz w:val="21"/>
                <w:szCs w:val="21"/>
                <w:lang w:eastAsia="zh-CN"/>
              </w:rPr>
              <w:t>。</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bCs/>
                <w:color w:val="000000"/>
                <w:sz w:val="21"/>
                <w:szCs w:val="21"/>
                <w:lang w:val="en-US" w:eastAsia="zh-CN"/>
              </w:rPr>
              <w:t>生化池由市政部门定期清掏，污泥委托环卫部门定期清运。</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rFonts w:hint="eastAsia"/>
                <w:bCs/>
                <w:color w:val="000000"/>
                <w:sz w:val="21"/>
                <w:szCs w:val="21"/>
              </w:rPr>
              <w:t>环境风险</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bCs/>
                <w:color w:val="000000"/>
                <w:sz w:val="21"/>
                <w:szCs w:val="21"/>
                <w:lang w:val="en-US" w:eastAsia="zh-CN"/>
              </w:rPr>
              <w:t>编制应急预案；站内全面视频监控、防雷防静电接地；油罐区设置检测立管；加油机两侧均设置防撞护栏；站内设置“严禁烟火”“禁打手机”、“限速行驶”等标识。设置消防砂、吸油毯等应急物资；雨水收集设置切换阀。</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rFonts w:hint="eastAsia"/>
                <w:bCs/>
                <w:color w:val="000000"/>
                <w:sz w:val="21"/>
                <w:szCs w:val="21"/>
                <w:lang w:val="en-US" w:eastAsia="zh-CN"/>
              </w:rPr>
              <w:t>地下水</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bCs/>
                <w:color w:val="000000"/>
                <w:sz w:val="21"/>
                <w:szCs w:val="21"/>
                <w:lang w:val="en-US" w:eastAsia="zh-CN"/>
              </w:rPr>
              <w:t xml:space="preserve">罐区采取双层SF油罐+防渗罐池，埋地管道采用双层管道。采取分区防渗措施，油罐区、工艺管道、三段式水封隔油池、危废暂存间为重点防渗，防渗能力等效黏土防渗层 Mb≥6.0m，K≤1.0×10 </w:t>
            </w:r>
            <w:r>
              <w:rPr>
                <w:rFonts w:hint="eastAsia"/>
                <w:bCs/>
                <w:color w:val="000000"/>
                <w:sz w:val="21"/>
                <w:szCs w:val="21"/>
                <w:vertAlign w:val="superscript"/>
                <w:lang w:val="en-US" w:eastAsia="zh-CN"/>
              </w:rPr>
              <w:t>-7</w:t>
            </w:r>
            <w:r>
              <w:rPr>
                <w:rFonts w:hint="eastAsia"/>
                <w:bCs/>
                <w:color w:val="000000"/>
                <w:sz w:val="21"/>
                <w:szCs w:val="21"/>
                <w:lang w:val="en-US" w:eastAsia="zh-CN"/>
              </w:rPr>
              <w:t xml:space="preserve"> cm/s；生化池、洗车区为一般防渗区，防渗能力等效黏土防渗层 Mb≥1.5m，K≤1.0×10 </w:t>
            </w:r>
            <w:r>
              <w:rPr>
                <w:rFonts w:hint="eastAsia"/>
                <w:bCs/>
                <w:color w:val="000000"/>
                <w:sz w:val="21"/>
                <w:szCs w:val="21"/>
                <w:vertAlign w:val="superscript"/>
                <w:lang w:val="en-US" w:eastAsia="zh-CN"/>
              </w:rPr>
              <w:t>-7</w:t>
            </w:r>
            <w:r>
              <w:rPr>
                <w:rFonts w:hint="eastAsia"/>
                <w:bCs/>
                <w:color w:val="000000"/>
                <w:sz w:val="21"/>
                <w:szCs w:val="21"/>
                <w:lang w:val="en-US" w:eastAsia="zh-CN"/>
              </w:rPr>
              <w:t xml:space="preserve"> cm/；其他为简单防渗。</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restart"/>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r>
              <w:rPr>
                <w:bCs/>
                <w:color w:val="000000"/>
                <w:sz w:val="21"/>
                <w:szCs w:val="21"/>
              </w:rPr>
              <w:t>储运工程</w:t>
            </w: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储存</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bCs/>
                <w:color w:val="000000"/>
                <w:sz w:val="21"/>
                <w:szCs w:val="21"/>
              </w:rPr>
              <w:t>油品采用</w:t>
            </w:r>
            <w:r>
              <w:rPr>
                <w:rFonts w:hint="eastAsia"/>
                <w:color w:val="000000"/>
                <w:sz w:val="21"/>
                <w:szCs w:val="21"/>
                <w:lang w:val="en-US" w:eastAsia="zh-CN"/>
              </w:rPr>
              <w:t>双</w:t>
            </w:r>
            <w:r>
              <w:rPr>
                <w:color w:val="000000"/>
                <w:sz w:val="21"/>
                <w:szCs w:val="21"/>
              </w:rPr>
              <w:t>层卧式</w:t>
            </w:r>
            <w:r>
              <w:rPr>
                <w:rFonts w:hint="eastAsia"/>
                <w:color w:val="000000"/>
                <w:sz w:val="21"/>
                <w:szCs w:val="21"/>
                <w:lang w:val="en-US" w:eastAsia="zh-CN"/>
              </w:rPr>
              <w:t>SF</w:t>
            </w:r>
            <w:r>
              <w:rPr>
                <w:color w:val="000000"/>
                <w:sz w:val="21"/>
                <w:szCs w:val="21"/>
              </w:rPr>
              <w:t>埋地油罐</w:t>
            </w:r>
            <w:r>
              <w:rPr>
                <w:bCs/>
                <w:color w:val="000000"/>
                <w:sz w:val="21"/>
                <w:szCs w:val="21"/>
              </w:rPr>
              <w:t>储存；通过密闭卸油方式将油料注入储油罐内</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59" w:type="dxa"/>
            <w:vMerge w:val="continue"/>
            <w:vAlign w:val="center"/>
          </w:tcPr>
          <w:p>
            <w:pPr>
              <w:keepNext w:val="0"/>
              <w:keepLines w:val="0"/>
              <w:pageBreakBefore w:val="0"/>
              <w:widowControl w:val="0"/>
              <w:kinsoku/>
              <w:wordWrap/>
              <w:overflowPunct/>
              <w:topLinePunct w:val="0"/>
              <w:bidi w:val="0"/>
              <w:adjustRightInd w:val="0"/>
              <w:snapToGrid w:val="0"/>
              <w:jc w:val="center"/>
              <w:textAlignment w:val="auto"/>
              <w:rPr>
                <w:rFonts w:hAnsi="宋体"/>
                <w:sz w:val="21"/>
                <w:szCs w:val="21"/>
              </w:rPr>
            </w:pPr>
          </w:p>
        </w:tc>
        <w:tc>
          <w:tcPr>
            <w:tcW w:w="1400"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hAnsi="宋体"/>
                <w:sz w:val="21"/>
                <w:szCs w:val="21"/>
              </w:rPr>
            </w:pPr>
            <w:r>
              <w:rPr>
                <w:bCs/>
                <w:color w:val="000000"/>
                <w:sz w:val="21"/>
                <w:szCs w:val="21"/>
              </w:rPr>
              <w:t>运输</w:t>
            </w:r>
          </w:p>
        </w:tc>
        <w:tc>
          <w:tcPr>
            <w:tcW w:w="4367" w:type="dxa"/>
            <w:tcBorders>
              <w:right w:val="single" w:color="auto" w:sz="4" w:space="0"/>
            </w:tcBorders>
            <w:vAlign w:val="center"/>
          </w:tcPr>
          <w:p>
            <w:pPr>
              <w:keepNext w:val="0"/>
              <w:keepLines w:val="0"/>
              <w:pageBreakBefore w:val="0"/>
              <w:widowControl w:val="0"/>
              <w:kinsoku/>
              <w:wordWrap/>
              <w:overflowPunct/>
              <w:topLinePunct w:val="0"/>
              <w:bidi w:val="0"/>
              <w:adjustRightInd w:val="0"/>
              <w:snapToGrid w:val="0"/>
              <w:jc w:val="left"/>
              <w:textAlignment w:val="auto"/>
              <w:rPr>
                <w:bCs/>
                <w:color w:val="auto"/>
                <w:sz w:val="21"/>
                <w:szCs w:val="21"/>
              </w:rPr>
            </w:pPr>
            <w:r>
              <w:rPr>
                <w:rFonts w:hint="eastAsia"/>
                <w:color w:val="000000"/>
                <w:sz w:val="21"/>
                <w:szCs w:val="21"/>
              </w:rPr>
              <w:t>由重庆龙禹石油有限公司从重庆大班油库用油罐车配送</w:t>
            </w:r>
            <w:r>
              <w:rPr>
                <w:rFonts w:hint="eastAsia"/>
                <w:color w:val="000000"/>
                <w:sz w:val="21"/>
                <w:szCs w:val="21"/>
                <w:lang w:eastAsia="zh-CN"/>
              </w:rPr>
              <w:t>。</w:t>
            </w:r>
          </w:p>
        </w:tc>
        <w:tc>
          <w:tcPr>
            <w:tcW w:w="2860" w:type="dxa"/>
            <w:tcBorders>
              <w:left w:val="single" w:color="auto" w:sz="4" w:space="0"/>
            </w:tcBorders>
            <w:vAlign w:val="center"/>
          </w:tcPr>
          <w:p>
            <w:pPr>
              <w:jc w:val="center"/>
              <w:rPr>
                <w:rFonts w:hint="eastAsia" w:hAnsi="宋体"/>
                <w:sz w:val="21"/>
                <w:szCs w:val="21"/>
                <w:lang w:eastAsia="zh-CN"/>
              </w:rPr>
            </w:pPr>
            <w:r>
              <w:rPr>
                <w:rFonts w:hint="eastAsia" w:cs="TimesNewRomanPSMT"/>
                <w:bCs/>
                <w:snapToGrid w:val="0"/>
                <w:color w:val="auto"/>
                <w:kern w:val="0"/>
                <w:sz w:val="21"/>
                <w:szCs w:val="21"/>
                <w:lang w:val="en-US" w:eastAsia="zh-CN" w:bidi="ar-SA"/>
              </w:rPr>
              <w:t>与环评一致</w:t>
            </w:r>
          </w:p>
        </w:tc>
      </w:tr>
    </w:tbl>
    <w:p>
      <w:pPr>
        <w:spacing w:line="540" w:lineRule="exact"/>
        <w:ind w:firstLine="480" w:firstLineChars="200"/>
        <w:rPr>
          <w:rFonts w:hAnsi="宋体"/>
          <w:sz w:val="24"/>
          <w:szCs w:val="24"/>
        </w:rPr>
      </w:pPr>
      <w:r>
        <w:rPr>
          <w:rFonts w:hint="eastAsia" w:hAnsi="宋体"/>
          <w:sz w:val="24"/>
          <w:szCs w:val="24"/>
        </w:rPr>
        <w:t>2、建设规模</w:t>
      </w:r>
    </w:p>
    <w:p>
      <w:pPr>
        <w:pStyle w:val="36"/>
        <w:bidi w:val="0"/>
        <w:rPr>
          <w:rFonts w:hint="eastAsia" w:hAnsi="宋体" w:eastAsia="宋体"/>
          <w:color w:val="000000" w:themeColor="text1"/>
          <w:sz w:val="24"/>
          <w:szCs w:val="24"/>
          <w:lang w:eastAsia="zh-CN"/>
        </w:rPr>
      </w:pPr>
      <w:r>
        <w:rPr>
          <w:rFonts w:hint="eastAsia" w:hAnsi="宋体"/>
          <w:color w:val="000000" w:themeColor="text1"/>
          <w:sz w:val="24"/>
          <w:szCs w:val="24"/>
        </w:rPr>
        <w:t>项目采用SF双层储罐+防渗罐池，包括1个30m</w:t>
      </w:r>
      <w:r>
        <w:rPr>
          <w:rFonts w:hint="eastAsia" w:hAnsi="宋体"/>
          <w:color w:val="000000" w:themeColor="text1"/>
          <w:sz w:val="24"/>
          <w:szCs w:val="24"/>
          <w:vertAlign w:val="superscript"/>
        </w:rPr>
        <w:t>3</w:t>
      </w:r>
      <w:r>
        <w:rPr>
          <w:rFonts w:hint="eastAsia" w:hAnsi="宋体"/>
          <w:color w:val="000000" w:themeColor="text1"/>
          <w:sz w:val="24"/>
          <w:szCs w:val="24"/>
        </w:rPr>
        <w:t>的0#柴油罐、1个25m</w:t>
      </w:r>
      <w:r>
        <w:rPr>
          <w:rFonts w:hint="eastAsia" w:hAnsi="宋体"/>
          <w:color w:val="000000" w:themeColor="text1"/>
          <w:sz w:val="24"/>
          <w:szCs w:val="24"/>
          <w:vertAlign w:val="superscript"/>
        </w:rPr>
        <w:t>3</w:t>
      </w:r>
      <w:r>
        <w:rPr>
          <w:rFonts w:hint="eastAsia" w:hAnsi="宋体"/>
          <w:color w:val="000000" w:themeColor="text1"/>
          <w:sz w:val="24"/>
          <w:szCs w:val="24"/>
        </w:rPr>
        <w:t>的92#汽油罐、1个25m</w:t>
      </w:r>
      <w:r>
        <w:rPr>
          <w:rFonts w:hint="eastAsia" w:hAnsi="宋体"/>
          <w:color w:val="000000" w:themeColor="text1"/>
          <w:sz w:val="24"/>
          <w:szCs w:val="24"/>
          <w:vertAlign w:val="superscript"/>
        </w:rPr>
        <w:t>3</w:t>
      </w:r>
      <w:r>
        <w:rPr>
          <w:rFonts w:hint="eastAsia" w:hAnsi="宋体"/>
          <w:color w:val="000000" w:themeColor="text1"/>
          <w:sz w:val="24"/>
          <w:szCs w:val="24"/>
        </w:rPr>
        <w:t>的95#汽油罐、1个25m</w:t>
      </w:r>
      <w:r>
        <w:rPr>
          <w:rFonts w:hint="eastAsia" w:hAnsi="宋体"/>
          <w:color w:val="000000" w:themeColor="text1"/>
          <w:sz w:val="24"/>
          <w:szCs w:val="24"/>
          <w:vertAlign w:val="superscript"/>
        </w:rPr>
        <w:t>3</w:t>
      </w:r>
      <w:r>
        <w:rPr>
          <w:rFonts w:hint="eastAsia" w:hAnsi="宋体"/>
          <w:color w:val="000000" w:themeColor="text1"/>
          <w:sz w:val="24"/>
          <w:szCs w:val="24"/>
        </w:rPr>
        <w:t>的98#汽油罐，油罐总容积V=90m</w:t>
      </w:r>
      <w:r>
        <w:rPr>
          <w:rFonts w:hint="eastAsia" w:hAnsi="宋体"/>
          <w:color w:val="000000" w:themeColor="text1"/>
          <w:sz w:val="24"/>
          <w:szCs w:val="24"/>
          <w:vertAlign w:val="superscript"/>
        </w:rPr>
        <w:t>3</w:t>
      </w:r>
      <w:r>
        <w:rPr>
          <w:rFonts w:hint="eastAsia" w:hAnsi="宋体"/>
          <w:color w:val="000000" w:themeColor="text1"/>
          <w:sz w:val="24"/>
          <w:szCs w:val="24"/>
        </w:rPr>
        <w:t>（柴油折半计）</w:t>
      </w:r>
      <w:r>
        <w:rPr>
          <w:rFonts w:hint="eastAsia" w:hAnsi="宋体"/>
          <w:color w:val="000000" w:themeColor="text1"/>
          <w:sz w:val="24"/>
          <w:szCs w:val="24"/>
          <w:lang w:eastAsia="zh-CN"/>
        </w:rPr>
        <w:t>。</w:t>
      </w:r>
    </w:p>
    <w:p>
      <w:pPr>
        <w:spacing w:line="540" w:lineRule="exact"/>
        <w:ind w:firstLine="480" w:firstLineChars="200"/>
        <w:rPr>
          <w:rFonts w:hint="eastAsia" w:hAnsi="宋体"/>
          <w:sz w:val="24"/>
          <w:szCs w:val="24"/>
        </w:rPr>
      </w:pPr>
      <w:r>
        <w:rPr>
          <w:rFonts w:hint="eastAsia" w:hAnsi="宋体"/>
          <w:sz w:val="24"/>
          <w:szCs w:val="24"/>
        </w:rPr>
        <w:t>3、投资情况</w:t>
      </w:r>
    </w:p>
    <w:p>
      <w:pPr>
        <w:spacing w:line="540" w:lineRule="exact"/>
        <w:ind w:firstLine="480" w:firstLineChars="200"/>
        <w:rPr>
          <w:sz w:val="24"/>
          <w:szCs w:val="24"/>
        </w:rPr>
      </w:pPr>
      <w:r>
        <w:rPr>
          <w:rFonts w:hint="eastAsia"/>
          <w:sz w:val="24"/>
          <w:szCs w:val="24"/>
          <w:lang w:eastAsia="zh-CN"/>
        </w:rPr>
        <w:t>3500.00万元，其中环保投资3</w:t>
      </w:r>
      <w:r>
        <w:rPr>
          <w:rFonts w:hint="eastAsia"/>
          <w:sz w:val="24"/>
          <w:szCs w:val="24"/>
          <w:lang w:val="en-US" w:eastAsia="zh-CN"/>
        </w:rPr>
        <w:t>5</w:t>
      </w:r>
      <w:r>
        <w:rPr>
          <w:rFonts w:hint="eastAsia"/>
          <w:sz w:val="24"/>
          <w:szCs w:val="24"/>
          <w:lang w:eastAsia="zh-CN"/>
        </w:rPr>
        <w:t>.00万元，占总投资</w:t>
      </w:r>
      <w:r>
        <w:rPr>
          <w:rFonts w:hint="eastAsia"/>
          <w:sz w:val="24"/>
          <w:szCs w:val="24"/>
          <w:lang w:val="en-US" w:eastAsia="zh-CN"/>
        </w:rPr>
        <w:t>1</w:t>
      </w:r>
      <w:r>
        <w:rPr>
          <w:rFonts w:hint="eastAsia"/>
          <w:sz w:val="24"/>
          <w:szCs w:val="24"/>
          <w:lang w:eastAsia="zh-CN"/>
        </w:rPr>
        <w:t>%</w:t>
      </w:r>
      <w:r>
        <w:rPr>
          <w:rFonts w:hint="eastAsia"/>
          <w:sz w:val="24"/>
          <w:szCs w:val="24"/>
        </w:rPr>
        <w:t>。</w:t>
      </w:r>
    </w:p>
    <w:p>
      <w:pPr>
        <w:pStyle w:val="25"/>
        <w:spacing w:after="0" w:line="540" w:lineRule="exact"/>
        <w:ind w:firstLine="480" w:firstLineChars="200"/>
        <w:rPr>
          <w:rFonts w:eastAsiaTheme="minorEastAsia"/>
          <w:color w:val="000000"/>
          <w:sz w:val="24"/>
          <w:szCs w:val="24"/>
        </w:rPr>
      </w:pPr>
      <w:r>
        <w:rPr>
          <w:rFonts w:hint="eastAsia" w:eastAsiaTheme="minorEastAsia"/>
          <w:color w:val="000000"/>
          <w:sz w:val="24"/>
          <w:szCs w:val="24"/>
        </w:rPr>
        <w:t>4、建设内容及规模变更情况</w:t>
      </w:r>
    </w:p>
    <w:p>
      <w:pPr>
        <w:pStyle w:val="25"/>
        <w:spacing w:after="0" w:line="540" w:lineRule="exact"/>
        <w:ind w:firstLine="480" w:firstLineChars="200"/>
        <w:rPr>
          <w:rFonts w:hint="eastAsia" w:eastAsia="宋体"/>
          <w:bCs/>
          <w:sz w:val="24"/>
          <w:szCs w:val="24"/>
          <w:lang w:eastAsia="zh-CN"/>
        </w:rPr>
      </w:pPr>
      <w:r>
        <w:rPr>
          <w:rFonts w:hint="eastAsia"/>
          <w:bCs/>
          <w:sz w:val="24"/>
          <w:szCs w:val="24"/>
          <w:lang w:eastAsia="zh-CN"/>
        </w:rPr>
        <w:t>重庆渝顺投资有限公司顺洁加油站</w:t>
      </w:r>
      <w:r>
        <w:rPr>
          <w:bCs/>
          <w:sz w:val="24"/>
          <w:szCs w:val="24"/>
        </w:rPr>
        <w:t>建设</w:t>
      </w:r>
      <w:r>
        <w:rPr>
          <w:rFonts w:hint="eastAsia"/>
          <w:bCs/>
          <w:sz w:val="24"/>
          <w:szCs w:val="24"/>
        </w:rPr>
        <w:t>内容及</w:t>
      </w:r>
      <w:r>
        <w:rPr>
          <w:bCs/>
          <w:sz w:val="24"/>
          <w:szCs w:val="24"/>
        </w:rPr>
        <w:t>规模与环评和批复相比</w:t>
      </w:r>
      <w:r>
        <w:rPr>
          <w:rFonts w:hint="eastAsia"/>
          <w:bCs/>
          <w:sz w:val="24"/>
          <w:szCs w:val="24"/>
        </w:rPr>
        <w:t>根据实际需要，增加了加油枪的数量</w:t>
      </w:r>
      <w:r>
        <w:rPr>
          <w:rFonts w:hint="eastAsia"/>
          <w:bCs/>
          <w:sz w:val="24"/>
          <w:szCs w:val="24"/>
          <w:lang w:eastAsia="zh-CN"/>
        </w:rPr>
        <w:t>，其余建设内容没有发生变化。按照《（环办环评函〔2020〕688号）关于印发污染影响类建设项目重大变动清单（试行）的通知》中相关重大变动标准，无重大变动情况。</w:t>
      </w:r>
    </w:p>
    <w:p>
      <w:pPr>
        <w:pStyle w:val="62"/>
        <w:rPr>
          <w:rFonts w:cs="Times New Roman"/>
          <w:sz w:val="32"/>
        </w:rPr>
      </w:pPr>
      <w:bookmarkStart w:id="57" w:name="_Toc3784"/>
      <w:r>
        <w:rPr>
          <w:rFonts w:hint="eastAsia" w:cs="Times New Roman"/>
          <w:sz w:val="32"/>
        </w:rPr>
        <w:t>3</w:t>
      </w:r>
      <w:r>
        <w:rPr>
          <w:rFonts w:cs="Times New Roman"/>
          <w:sz w:val="32"/>
        </w:rPr>
        <w:t>.</w:t>
      </w:r>
      <w:r>
        <w:rPr>
          <w:rFonts w:hint="eastAsia" w:cs="Times New Roman"/>
          <w:sz w:val="32"/>
        </w:rPr>
        <w:t>3主要原辅材料及燃料</w:t>
      </w:r>
      <w:bookmarkEnd w:id="57"/>
    </w:p>
    <w:p>
      <w:pPr>
        <w:spacing w:line="540" w:lineRule="exact"/>
        <w:ind w:firstLine="480" w:firstLineChars="200"/>
        <w:rPr>
          <w:rFonts w:eastAsiaTheme="minorEastAsia"/>
          <w:color w:val="000000"/>
          <w:sz w:val="24"/>
          <w:szCs w:val="24"/>
        </w:rPr>
      </w:pPr>
      <w:r>
        <w:rPr>
          <w:rFonts w:hint="eastAsia" w:eastAsiaTheme="minorEastAsia"/>
          <w:color w:val="000000"/>
          <w:sz w:val="24"/>
          <w:szCs w:val="24"/>
        </w:rPr>
        <w:t>本项目能源及原辅材料年消耗情况如下：</w:t>
      </w:r>
    </w:p>
    <w:p>
      <w:pPr>
        <w:spacing w:beforeLines="20" w:line="360" w:lineRule="auto"/>
        <w:ind w:firstLine="482" w:firstLineChars="200"/>
        <w:jc w:val="center"/>
        <w:rPr>
          <w:rFonts w:hAnsi="宋体"/>
          <w:b/>
          <w:sz w:val="24"/>
        </w:rPr>
      </w:pPr>
      <w:r>
        <w:rPr>
          <w:rFonts w:hint="eastAsia" w:hAnsi="宋体"/>
          <w:b/>
          <w:sz w:val="24"/>
          <w:lang w:eastAsia="zh-CN"/>
        </w:rPr>
        <w:t>表</w:t>
      </w:r>
      <w:r>
        <w:rPr>
          <w:rFonts w:hint="eastAsia" w:hAnsi="宋体"/>
          <w:b/>
          <w:sz w:val="24"/>
          <w:lang w:val="en-US" w:eastAsia="zh-CN"/>
        </w:rPr>
        <w:t xml:space="preserve">3-2  </w:t>
      </w:r>
      <w:r>
        <w:rPr>
          <w:rFonts w:hAnsi="宋体"/>
          <w:b/>
          <w:sz w:val="24"/>
        </w:rPr>
        <w:t>主要原辅材料、能源名称及年消耗数量</w:t>
      </w:r>
    </w:p>
    <w:tbl>
      <w:tblPr>
        <w:tblStyle w:val="26"/>
        <w:tblW w:w="5000"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Layout w:type="autofit"/>
        <w:tblCellMar>
          <w:top w:w="0" w:type="dxa"/>
          <w:left w:w="108" w:type="dxa"/>
          <w:bottom w:w="0" w:type="dxa"/>
          <w:right w:w="108" w:type="dxa"/>
        </w:tblCellMar>
      </w:tblPr>
      <w:tblGrid>
        <w:gridCol w:w="575"/>
        <w:gridCol w:w="1574"/>
        <w:gridCol w:w="1270"/>
        <w:gridCol w:w="1307"/>
        <w:gridCol w:w="2085"/>
        <w:gridCol w:w="2475"/>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序号</w:t>
            </w:r>
          </w:p>
        </w:tc>
        <w:tc>
          <w:tcPr>
            <w:tcW w:w="157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名称</w:t>
            </w:r>
          </w:p>
        </w:tc>
        <w:tc>
          <w:tcPr>
            <w:tcW w:w="2577"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eastAsia"/>
                <w:color w:val="auto"/>
                <w:sz w:val="21"/>
                <w:szCs w:val="21"/>
                <w:lang w:val="en-US" w:eastAsia="zh-CN"/>
              </w:rPr>
            </w:pPr>
            <w:r>
              <w:rPr>
                <w:rFonts w:hint="eastAsia"/>
                <w:color w:val="000000"/>
                <w:sz w:val="21"/>
                <w:szCs w:val="21"/>
                <w:lang w:val="en-US" w:eastAsia="zh-CN"/>
              </w:rPr>
              <w:t>周转</w:t>
            </w:r>
            <w:r>
              <w:rPr>
                <w:color w:val="000000"/>
                <w:sz w:val="21"/>
                <w:szCs w:val="21"/>
              </w:rPr>
              <w:t>量</w:t>
            </w:r>
          </w:p>
        </w:tc>
        <w:tc>
          <w:tcPr>
            <w:tcW w:w="208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最大储存量</w:t>
            </w:r>
          </w:p>
        </w:tc>
        <w:tc>
          <w:tcPr>
            <w:tcW w:w="247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p>
        </w:tc>
        <w:tc>
          <w:tcPr>
            <w:tcW w:w="157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p>
        </w:tc>
        <w:tc>
          <w:tcPr>
            <w:tcW w:w="12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color w:val="auto"/>
                <w:sz w:val="21"/>
                <w:szCs w:val="21"/>
                <w:lang w:val="en-US" w:eastAsia="zh-CN"/>
              </w:rPr>
            </w:pPr>
            <w:r>
              <w:rPr>
                <w:rFonts w:hint="eastAsia"/>
                <w:color w:val="000000"/>
                <w:sz w:val="21"/>
                <w:szCs w:val="21"/>
                <w:lang w:val="en-US" w:eastAsia="zh-CN"/>
              </w:rPr>
              <w:t>日销售量</w:t>
            </w:r>
          </w:p>
        </w:tc>
        <w:tc>
          <w:tcPr>
            <w:tcW w:w="13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color w:val="auto"/>
                <w:sz w:val="21"/>
                <w:szCs w:val="21"/>
                <w:lang w:val="en-US" w:eastAsia="zh-CN"/>
              </w:rPr>
            </w:pPr>
            <w:r>
              <w:rPr>
                <w:rFonts w:hint="eastAsia"/>
                <w:color w:val="000000"/>
                <w:sz w:val="21"/>
                <w:szCs w:val="21"/>
                <w:lang w:val="en-US" w:eastAsia="zh-CN"/>
              </w:rPr>
              <w:t>年销售量</w:t>
            </w:r>
          </w:p>
        </w:tc>
        <w:tc>
          <w:tcPr>
            <w:tcW w:w="20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eastAsia"/>
                <w:color w:val="auto"/>
                <w:sz w:val="21"/>
                <w:szCs w:val="21"/>
                <w:lang w:val="en-US" w:eastAsia="zh-CN"/>
              </w:rPr>
            </w:pPr>
          </w:p>
        </w:tc>
        <w:tc>
          <w:tcPr>
            <w:tcW w:w="24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eastAsia"/>
                <w:color w:val="auto"/>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1</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92</w:t>
            </w:r>
            <w:r>
              <w:rPr>
                <w:color w:val="000000"/>
                <w:sz w:val="21"/>
                <w:szCs w:val="21"/>
                <w:vertAlign w:val="superscript"/>
              </w:rPr>
              <w:t>#</w:t>
            </w:r>
            <w:r>
              <w:rPr>
                <w:color w:val="000000"/>
                <w:sz w:val="21"/>
                <w:szCs w:val="21"/>
              </w:rPr>
              <w:t>汽油</w:t>
            </w:r>
          </w:p>
        </w:tc>
        <w:tc>
          <w:tcPr>
            <w:tcW w:w="1270"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r>
              <w:rPr>
                <w:rFonts w:hint="eastAsia"/>
                <w:color w:val="auto"/>
                <w:kern w:val="2"/>
                <w:sz w:val="21"/>
                <w:szCs w:val="21"/>
                <w:lang w:val="en-US" w:eastAsia="zh-CN"/>
              </w:rPr>
              <w:t>4</w:t>
            </w:r>
            <w:r>
              <w:rPr>
                <w:color w:val="auto"/>
                <w:kern w:val="2"/>
                <w:sz w:val="21"/>
                <w:szCs w:val="21"/>
              </w:rPr>
              <w:t>t/d</w:t>
            </w:r>
          </w:p>
        </w:tc>
        <w:tc>
          <w:tcPr>
            <w:tcW w:w="1307"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hint="default"/>
                <w:color w:val="auto"/>
                <w:kern w:val="2"/>
                <w:sz w:val="21"/>
                <w:szCs w:val="21"/>
                <w:lang w:val="en-US" w:eastAsia="zh-CN"/>
              </w:rPr>
            </w:pPr>
            <w:r>
              <w:rPr>
                <w:rFonts w:hint="eastAsia"/>
                <w:color w:val="auto"/>
                <w:kern w:val="2"/>
                <w:sz w:val="21"/>
                <w:szCs w:val="21"/>
                <w:lang w:val="en-US" w:eastAsia="zh-CN"/>
              </w:rPr>
              <w:t>1460</w:t>
            </w:r>
            <w:r>
              <w:rPr>
                <w:color w:val="auto"/>
                <w:kern w:val="2"/>
                <w:sz w:val="21"/>
                <w:szCs w:val="21"/>
              </w:rPr>
              <w:t>t/a</w:t>
            </w:r>
          </w:p>
        </w:tc>
        <w:tc>
          <w:tcPr>
            <w:tcW w:w="2085"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r>
              <w:rPr>
                <w:rFonts w:hint="eastAsia"/>
                <w:color w:val="auto"/>
                <w:kern w:val="2"/>
                <w:sz w:val="21"/>
                <w:szCs w:val="21"/>
                <w:lang w:val="en-US" w:eastAsia="zh-CN"/>
              </w:rPr>
              <w:t>16.15</w:t>
            </w:r>
            <w:r>
              <w:rPr>
                <w:color w:val="auto"/>
                <w:kern w:val="2"/>
                <w:sz w:val="21"/>
                <w:szCs w:val="21"/>
              </w:rPr>
              <w:t>t（</w:t>
            </w:r>
            <w:r>
              <w:rPr>
                <w:rFonts w:hint="eastAsia"/>
                <w:color w:val="auto"/>
                <w:kern w:val="2"/>
                <w:sz w:val="21"/>
                <w:szCs w:val="21"/>
                <w:lang w:val="en-US" w:eastAsia="zh-CN"/>
              </w:rPr>
              <w:t>21.25</w:t>
            </w:r>
            <w:r>
              <w:rPr>
                <w:color w:val="auto"/>
                <w:kern w:val="2"/>
                <w:sz w:val="21"/>
                <w:szCs w:val="21"/>
              </w:rPr>
              <w:t>m</w:t>
            </w:r>
            <w:r>
              <w:rPr>
                <w:color w:val="auto"/>
                <w:kern w:val="2"/>
                <w:sz w:val="21"/>
                <w:szCs w:val="21"/>
                <w:vertAlign w:val="superscript"/>
              </w:rPr>
              <w:t>3</w:t>
            </w:r>
            <w:r>
              <w:rPr>
                <w:color w:val="auto"/>
                <w:kern w:val="2"/>
                <w:sz w:val="21"/>
                <w:szCs w:val="21"/>
              </w:rPr>
              <w:t>）</w:t>
            </w:r>
          </w:p>
        </w:tc>
        <w:tc>
          <w:tcPr>
            <w:tcW w:w="2475" w:type="dxa"/>
            <w:vMerge w:val="restart"/>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r>
              <w:rPr>
                <w:rFonts w:hint="eastAsia"/>
                <w:color w:val="000000"/>
                <w:kern w:val="2"/>
                <w:sz w:val="21"/>
                <w:szCs w:val="21"/>
              </w:rPr>
              <w:t>由重庆龙禹石油有限公司从重庆大班油库用油罐车配送至本加油站</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2</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95</w:t>
            </w:r>
            <w:r>
              <w:rPr>
                <w:color w:val="000000"/>
                <w:sz w:val="21"/>
                <w:szCs w:val="21"/>
                <w:vertAlign w:val="superscript"/>
              </w:rPr>
              <w:t>#</w:t>
            </w:r>
            <w:r>
              <w:rPr>
                <w:color w:val="000000"/>
                <w:sz w:val="21"/>
                <w:szCs w:val="21"/>
              </w:rPr>
              <w:t>汽油</w:t>
            </w:r>
          </w:p>
        </w:tc>
        <w:tc>
          <w:tcPr>
            <w:tcW w:w="1270"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ascii="Times New Roman" w:hAnsi="Times New Roman"/>
                <w:color w:val="auto"/>
                <w:kern w:val="2"/>
                <w:sz w:val="21"/>
                <w:szCs w:val="21"/>
                <w:lang w:val="en-US" w:eastAsia="zh-CN" w:bidi="ar-SA"/>
              </w:rPr>
            </w:pPr>
            <w:r>
              <w:rPr>
                <w:rFonts w:hint="eastAsia"/>
                <w:color w:val="auto"/>
                <w:kern w:val="2"/>
                <w:sz w:val="21"/>
                <w:szCs w:val="21"/>
                <w:lang w:val="en-US" w:eastAsia="zh-CN"/>
              </w:rPr>
              <w:t>1</w:t>
            </w:r>
            <w:r>
              <w:rPr>
                <w:color w:val="auto"/>
                <w:kern w:val="2"/>
                <w:sz w:val="21"/>
                <w:szCs w:val="21"/>
              </w:rPr>
              <w:t>t/d</w:t>
            </w:r>
          </w:p>
        </w:tc>
        <w:tc>
          <w:tcPr>
            <w:tcW w:w="1307"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hint="eastAsia"/>
                <w:color w:val="auto"/>
                <w:kern w:val="2"/>
                <w:sz w:val="21"/>
                <w:szCs w:val="21"/>
                <w:lang w:val="en-US" w:eastAsia="zh-CN"/>
              </w:rPr>
            </w:pPr>
            <w:r>
              <w:rPr>
                <w:rFonts w:hint="eastAsia"/>
                <w:color w:val="auto"/>
                <w:kern w:val="2"/>
                <w:sz w:val="21"/>
                <w:szCs w:val="21"/>
                <w:lang w:val="en-US" w:eastAsia="zh-CN"/>
              </w:rPr>
              <w:t>365</w:t>
            </w:r>
            <w:r>
              <w:rPr>
                <w:color w:val="auto"/>
                <w:kern w:val="2"/>
                <w:sz w:val="21"/>
                <w:szCs w:val="21"/>
              </w:rPr>
              <w:t>t/a</w:t>
            </w:r>
          </w:p>
        </w:tc>
        <w:tc>
          <w:tcPr>
            <w:tcW w:w="2085"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ascii="Times New Roman" w:hAnsi="Times New Roman"/>
                <w:color w:val="auto"/>
                <w:kern w:val="2"/>
                <w:sz w:val="21"/>
                <w:szCs w:val="21"/>
                <w:lang w:val="en-US" w:eastAsia="zh-CN" w:bidi="ar-SA"/>
              </w:rPr>
            </w:pPr>
            <w:r>
              <w:rPr>
                <w:rFonts w:hint="eastAsia"/>
                <w:color w:val="auto"/>
                <w:kern w:val="2"/>
                <w:sz w:val="21"/>
                <w:szCs w:val="21"/>
                <w:lang w:val="en-US" w:eastAsia="zh-CN"/>
              </w:rPr>
              <w:t>16.15</w:t>
            </w:r>
            <w:r>
              <w:rPr>
                <w:color w:val="auto"/>
                <w:kern w:val="2"/>
                <w:sz w:val="21"/>
                <w:szCs w:val="21"/>
              </w:rPr>
              <w:t>t（</w:t>
            </w:r>
            <w:r>
              <w:rPr>
                <w:rFonts w:hint="eastAsia"/>
                <w:color w:val="auto"/>
                <w:kern w:val="2"/>
                <w:sz w:val="21"/>
                <w:szCs w:val="21"/>
                <w:lang w:val="en-US" w:eastAsia="zh-CN"/>
              </w:rPr>
              <w:t>21.25</w:t>
            </w:r>
            <w:r>
              <w:rPr>
                <w:color w:val="auto"/>
                <w:kern w:val="2"/>
                <w:sz w:val="21"/>
                <w:szCs w:val="21"/>
              </w:rPr>
              <w:t>m</w:t>
            </w:r>
            <w:r>
              <w:rPr>
                <w:color w:val="auto"/>
                <w:kern w:val="2"/>
                <w:sz w:val="21"/>
                <w:szCs w:val="21"/>
                <w:vertAlign w:val="superscript"/>
              </w:rPr>
              <w:t>3</w:t>
            </w:r>
            <w:r>
              <w:rPr>
                <w:color w:val="auto"/>
                <w:kern w:val="2"/>
                <w:sz w:val="21"/>
                <w:szCs w:val="21"/>
              </w:rPr>
              <w:t>）</w:t>
            </w:r>
          </w:p>
        </w:tc>
        <w:tc>
          <w:tcPr>
            <w:tcW w:w="2475" w:type="dxa"/>
            <w:vMerge w:val="continue"/>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3</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9</w:t>
            </w:r>
            <w:r>
              <w:rPr>
                <w:rFonts w:hint="eastAsia"/>
                <w:color w:val="000000"/>
                <w:sz w:val="21"/>
                <w:szCs w:val="21"/>
                <w:lang w:val="en-US" w:eastAsia="zh-CN"/>
              </w:rPr>
              <w:t>8</w:t>
            </w:r>
            <w:r>
              <w:rPr>
                <w:color w:val="000000"/>
                <w:sz w:val="21"/>
                <w:szCs w:val="21"/>
                <w:vertAlign w:val="superscript"/>
              </w:rPr>
              <w:t>#</w:t>
            </w:r>
            <w:r>
              <w:rPr>
                <w:color w:val="000000"/>
                <w:sz w:val="21"/>
                <w:szCs w:val="21"/>
              </w:rPr>
              <w:t>汽油</w:t>
            </w:r>
          </w:p>
        </w:tc>
        <w:tc>
          <w:tcPr>
            <w:tcW w:w="1270"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ascii="Times New Roman" w:hAnsi="Times New Roman"/>
                <w:color w:val="auto"/>
                <w:kern w:val="2"/>
                <w:sz w:val="21"/>
                <w:szCs w:val="21"/>
                <w:lang w:val="en-US" w:eastAsia="zh-CN" w:bidi="ar-SA"/>
              </w:rPr>
            </w:pPr>
            <w:r>
              <w:rPr>
                <w:rFonts w:hint="eastAsia"/>
                <w:color w:val="auto"/>
                <w:kern w:val="2"/>
                <w:sz w:val="21"/>
                <w:szCs w:val="21"/>
                <w:lang w:val="en-US" w:eastAsia="zh-CN"/>
              </w:rPr>
              <w:t>0.5</w:t>
            </w:r>
            <w:r>
              <w:rPr>
                <w:color w:val="auto"/>
                <w:kern w:val="2"/>
                <w:sz w:val="21"/>
                <w:szCs w:val="21"/>
              </w:rPr>
              <w:t>t/d</w:t>
            </w:r>
          </w:p>
        </w:tc>
        <w:tc>
          <w:tcPr>
            <w:tcW w:w="1307"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r>
              <w:rPr>
                <w:rFonts w:hint="eastAsia"/>
                <w:color w:val="auto"/>
                <w:kern w:val="2"/>
                <w:sz w:val="21"/>
                <w:szCs w:val="21"/>
                <w:lang w:val="en-US" w:eastAsia="zh-CN"/>
              </w:rPr>
              <w:t>182.5</w:t>
            </w:r>
            <w:r>
              <w:rPr>
                <w:color w:val="auto"/>
                <w:kern w:val="2"/>
                <w:sz w:val="21"/>
                <w:szCs w:val="21"/>
              </w:rPr>
              <w:t>t/a</w:t>
            </w:r>
          </w:p>
        </w:tc>
        <w:tc>
          <w:tcPr>
            <w:tcW w:w="2085"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ascii="Times New Roman" w:hAnsi="Times New Roman"/>
                <w:color w:val="auto"/>
                <w:kern w:val="2"/>
                <w:sz w:val="21"/>
                <w:szCs w:val="21"/>
                <w:lang w:val="en-US" w:eastAsia="zh-CN" w:bidi="ar-SA"/>
              </w:rPr>
            </w:pPr>
            <w:r>
              <w:rPr>
                <w:rFonts w:hint="eastAsia"/>
                <w:color w:val="auto"/>
                <w:kern w:val="2"/>
                <w:sz w:val="21"/>
                <w:szCs w:val="21"/>
                <w:lang w:val="en-US" w:eastAsia="zh-CN"/>
              </w:rPr>
              <w:t>16.15</w:t>
            </w:r>
            <w:r>
              <w:rPr>
                <w:color w:val="auto"/>
                <w:kern w:val="2"/>
                <w:sz w:val="21"/>
                <w:szCs w:val="21"/>
              </w:rPr>
              <w:t>t（</w:t>
            </w:r>
            <w:r>
              <w:rPr>
                <w:rFonts w:hint="eastAsia"/>
                <w:color w:val="auto"/>
                <w:kern w:val="2"/>
                <w:sz w:val="21"/>
                <w:szCs w:val="21"/>
                <w:lang w:val="en-US" w:eastAsia="zh-CN"/>
              </w:rPr>
              <w:t>21.25</w:t>
            </w:r>
            <w:r>
              <w:rPr>
                <w:color w:val="auto"/>
                <w:kern w:val="2"/>
                <w:sz w:val="21"/>
                <w:szCs w:val="21"/>
              </w:rPr>
              <w:t>m</w:t>
            </w:r>
            <w:r>
              <w:rPr>
                <w:color w:val="auto"/>
                <w:kern w:val="2"/>
                <w:sz w:val="21"/>
                <w:szCs w:val="21"/>
                <w:vertAlign w:val="superscript"/>
              </w:rPr>
              <w:t>3</w:t>
            </w:r>
            <w:r>
              <w:rPr>
                <w:color w:val="auto"/>
                <w:kern w:val="2"/>
                <w:sz w:val="21"/>
                <w:szCs w:val="21"/>
              </w:rPr>
              <w:t>）</w:t>
            </w:r>
          </w:p>
        </w:tc>
        <w:tc>
          <w:tcPr>
            <w:tcW w:w="2475" w:type="dxa"/>
            <w:vMerge w:val="continue"/>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4</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0</w:t>
            </w:r>
            <w:r>
              <w:rPr>
                <w:color w:val="000000"/>
                <w:sz w:val="21"/>
                <w:szCs w:val="21"/>
                <w:vertAlign w:val="superscript"/>
              </w:rPr>
              <w:t>#</w:t>
            </w:r>
            <w:r>
              <w:rPr>
                <w:color w:val="000000"/>
                <w:sz w:val="21"/>
                <w:szCs w:val="21"/>
              </w:rPr>
              <w:t>柴油</w:t>
            </w:r>
          </w:p>
        </w:tc>
        <w:tc>
          <w:tcPr>
            <w:tcW w:w="1270"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hint="eastAsia"/>
                <w:color w:val="auto"/>
                <w:kern w:val="2"/>
                <w:sz w:val="21"/>
                <w:szCs w:val="21"/>
                <w:lang w:val="en-US" w:eastAsia="zh-CN"/>
              </w:rPr>
            </w:pPr>
            <w:r>
              <w:rPr>
                <w:rFonts w:hint="eastAsia"/>
                <w:color w:val="auto"/>
                <w:kern w:val="2"/>
                <w:sz w:val="21"/>
                <w:szCs w:val="21"/>
                <w:lang w:val="en-US" w:eastAsia="zh-CN"/>
              </w:rPr>
              <w:t>5.5</w:t>
            </w:r>
            <w:r>
              <w:rPr>
                <w:color w:val="auto"/>
                <w:kern w:val="2"/>
                <w:sz w:val="21"/>
                <w:szCs w:val="21"/>
              </w:rPr>
              <w:t>t/d</w:t>
            </w:r>
          </w:p>
        </w:tc>
        <w:tc>
          <w:tcPr>
            <w:tcW w:w="1307"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hint="eastAsia"/>
                <w:color w:val="auto"/>
                <w:kern w:val="2"/>
                <w:sz w:val="21"/>
                <w:szCs w:val="21"/>
                <w:lang w:val="en-US" w:eastAsia="zh-CN"/>
              </w:rPr>
            </w:pPr>
            <w:r>
              <w:rPr>
                <w:rFonts w:hint="eastAsia"/>
                <w:color w:val="auto"/>
                <w:kern w:val="2"/>
                <w:sz w:val="21"/>
                <w:szCs w:val="21"/>
                <w:lang w:val="en-US" w:eastAsia="zh-CN"/>
              </w:rPr>
              <w:t>2007.5</w:t>
            </w:r>
            <w:r>
              <w:rPr>
                <w:color w:val="auto"/>
                <w:kern w:val="2"/>
                <w:sz w:val="21"/>
                <w:szCs w:val="21"/>
              </w:rPr>
              <w:t>t/a</w:t>
            </w:r>
          </w:p>
        </w:tc>
        <w:tc>
          <w:tcPr>
            <w:tcW w:w="2085" w:type="dxa"/>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rFonts w:hint="eastAsia"/>
                <w:color w:val="auto"/>
                <w:kern w:val="2"/>
                <w:sz w:val="21"/>
                <w:szCs w:val="21"/>
                <w:lang w:val="en-US" w:eastAsia="zh-CN"/>
              </w:rPr>
            </w:pPr>
            <w:r>
              <w:rPr>
                <w:rFonts w:hint="eastAsia"/>
                <w:color w:val="auto"/>
                <w:kern w:val="2"/>
                <w:sz w:val="21"/>
                <w:szCs w:val="21"/>
                <w:lang w:val="en-US" w:eastAsia="zh-CN"/>
              </w:rPr>
              <w:t>21.68</w:t>
            </w:r>
            <w:r>
              <w:rPr>
                <w:color w:val="auto"/>
                <w:kern w:val="2"/>
                <w:sz w:val="21"/>
                <w:szCs w:val="21"/>
              </w:rPr>
              <w:t>t（</w:t>
            </w:r>
            <w:r>
              <w:rPr>
                <w:rFonts w:hint="eastAsia"/>
                <w:color w:val="auto"/>
                <w:kern w:val="2"/>
                <w:sz w:val="21"/>
                <w:szCs w:val="21"/>
                <w:lang w:val="en-US" w:eastAsia="zh-CN"/>
              </w:rPr>
              <w:t>25.5</w:t>
            </w:r>
            <w:r>
              <w:rPr>
                <w:color w:val="auto"/>
                <w:kern w:val="2"/>
                <w:sz w:val="21"/>
                <w:szCs w:val="21"/>
              </w:rPr>
              <w:t>m</w:t>
            </w:r>
            <w:r>
              <w:rPr>
                <w:color w:val="auto"/>
                <w:kern w:val="2"/>
                <w:sz w:val="21"/>
                <w:szCs w:val="21"/>
                <w:vertAlign w:val="superscript"/>
              </w:rPr>
              <w:t>3</w:t>
            </w:r>
            <w:r>
              <w:rPr>
                <w:color w:val="auto"/>
                <w:kern w:val="2"/>
                <w:sz w:val="21"/>
                <w:szCs w:val="21"/>
              </w:rPr>
              <w:t>）</w:t>
            </w:r>
          </w:p>
        </w:tc>
        <w:tc>
          <w:tcPr>
            <w:tcW w:w="2475" w:type="dxa"/>
            <w:vMerge w:val="continue"/>
            <w:tcBorders>
              <w:tl2br w:val="nil"/>
              <w:tr2bl w:val="nil"/>
            </w:tcBorders>
            <w:noWrap w:val="0"/>
            <w:vAlign w:val="center"/>
          </w:tcPr>
          <w:p>
            <w:pPr>
              <w:pStyle w:val="84"/>
              <w:keepNext w:val="0"/>
              <w:keepLines w:val="0"/>
              <w:pageBreakBefore w:val="0"/>
              <w:widowControl w:val="0"/>
              <w:kinsoku/>
              <w:wordWrap/>
              <w:overflowPunct/>
              <w:topLinePunct w:val="0"/>
              <w:autoSpaceDE/>
              <w:autoSpaceDN/>
              <w:bidi w:val="0"/>
              <w:spacing w:line="240" w:lineRule="auto"/>
              <w:textAlignment w:val="auto"/>
              <w:rPr>
                <w:color w:val="auto"/>
                <w:kern w:val="2"/>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5</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水</w:t>
            </w:r>
          </w:p>
        </w:tc>
        <w:tc>
          <w:tcPr>
            <w:tcW w:w="2577"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rFonts w:hint="eastAsia" w:ascii="Times New Roman" w:hAnsi="宋体"/>
                <w:b w:val="0"/>
                <w:bCs w:val="0"/>
                <w:snapToGrid w:val="0"/>
                <w:color w:val="auto"/>
                <w:kern w:val="0"/>
                <w:sz w:val="21"/>
                <w:szCs w:val="21"/>
                <w:vertAlign w:val="baseline"/>
                <w:lang w:val="en-US" w:eastAsia="zh-CN"/>
              </w:rPr>
              <w:t>4723.62</w:t>
            </w:r>
            <w:r>
              <w:rPr>
                <w:color w:val="000000"/>
                <w:sz w:val="21"/>
                <w:szCs w:val="21"/>
              </w:rPr>
              <w:t>t/a</w:t>
            </w:r>
          </w:p>
        </w:tc>
        <w:tc>
          <w:tcPr>
            <w:tcW w:w="208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b w:val="0"/>
                <w:bCs w:val="0"/>
                <w:color w:val="auto"/>
                <w:sz w:val="21"/>
                <w:szCs w:val="21"/>
              </w:rPr>
            </w:pPr>
            <w:r>
              <w:rPr>
                <w:b w:val="0"/>
                <w:bCs w:val="0"/>
                <w:color w:val="000000"/>
                <w:sz w:val="21"/>
                <w:szCs w:val="21"/>
              </w:rPr>
              <w:t>/</w:t>
            </w:r>
          </w:p>
        </w:tc>
        <w:tc>
          <w:tcPr>
            <w:tcW w:w="247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rFonts w:hint="eastAsia" w:eastAsia="宋体"/>
                <w:b w:val="0"/>
                <w:bCs w:val="0"/>
                <w:color w:val="auto"/>
                <w:sz w:val="21"/>
                <w:szCs w:val="21"/>
                <w:lang w:eastAsia="zh-CN"/>
              </w:rPr>
            </w:pPr>
            <w:r>
              <w:rPr>
                <w:rFonts w:hint="eastAsia"/>
                <w:b w:val="0"/>
                <w:bCs w:val="0"/>
                <w:color w:val="000000"/>
                <w:sz w:val="21"/>
                <w:szCs w:val="21"/>
                <w:lang w:val="en-US" w:eastAsia="zh-CN"/>
              </w:rPr>
              <w:t>市政</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rFonts w:hint="eastAsia"/>
                <w:color w:val="000000"/>
                <w:sz w:val="21"/>
                <w:szCs w:val="21"/>
                <w:lang w:val="en-US" w:eastAsia="zh-CN"/>
              </w:rPr>
              <w:t>6</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color w:val="auto"/>
                <w:sz w:val="21"/>
                <w:szCs w:val="21"/>
              </w:rPr>
            </w:pPr>
            <w:r>
              <w:rPr>
                <w:color w:val="000000"/>
                <w:sz w:val="21"/>
                <w:szCs w:val="21"/>
              </w:rPr>
              <w:t>电</w:t>
            </w:r>
          </w:p>
        </w:tc>
        <w:tc>
          <w:tcPr>
            <w:tcW w:w="2577" w:type="dxa"/>
            <w:gridSpan w:val="2"/>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b w:val="0"/>
                <w:bCs w:val="0"/>
                <w:color w:val="auto"/>
                <w:sz w:val="21"/>
                <w:szCs w:val="21"/>
              </w:rPr>
            </w:pPr>
            <w:r>
              <w:rPr>
                <w:b w:val="0"/>
                <w:bCs w:val="0"/>
                <w:color w:val="000000"/>
                <w:sz w:val="21"/>
                <w:szCs w:val="21"/>
              </w:rPr>
              <w:t>5万kw·h/a</w:t>
            </w:r>
          </w:p>
        </w:tc>
        <w:tc>
          <w:tcPr>
            <w:tcW w:w="208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b w:val="0"/>
                <w:bCs w:val="0"/>
                <w:color w:val="auto"/>
                <w:sz w:val="21"/>
                <w:szCs w:val="21"/>
              </w:rPr>
            </w:pPr>
            <w:r>
              <w:rPr>
                <w:b w:val="0"/>
                <w:bCs w:val="0"/>
                <w:color w:val="000000"/>
                <w:sz w:val="21"/>
                <w:szCs w:val="21"/>
              </w:rPr>
              <w:t>/</w:t>
            </w:r>
          </w:p>
        </w:tc>
        <w:tc>
          <w:tcPr>
            <w:tcW w:w="247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rFonts w:hint="eastAsia" w:eastAsia="宋体"/>
                <w:b w:val="0"/>
                <w:bCs w:val="0"/>
                <w:color w:val="auto"/>
                <w:sz w:val="21"/>
                <w:szCs w:val="21"/>
                <w:lang w:eastAsia="zh-CN"/>
              </w:rPr>
            </w:pPr>
            <w:r>
              <w:rPr>
                <w:rFonts w:hint="eastAsia"/>
                <w:b w:val="0"/>
                <w:bCs w:val="0"/>
                <w:color w:val="000000"/>
                <w:sz w:val="21"/>
                <w:szCs w:val="21"/>
                <w:lang w:val="en-US" w:eastAsia="zh-CN"/>
              </w:rPr>
              <w:t>市政</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5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eastAsia" w:eastAsia="宋体"/>
                <w:color w:val="auto"/>
                <w:sz w:val="21"/>
                <w:szCs w:val="21"/>
                <w:lang w:val="en-US" w:eastAsia="zh-CN"/>
              </w:rPr>
            </w:pPr>
            <w:r>
              <w:rPr>
                <w:rFonts w:hint="eastAsia"/>
                <w:color w:val="000000"/>
                <w:sz w:val="21"/>
                <w:szCs w:val="21"/>
                <w:lang w:val="en-US" w:eastAsia="zh-CN"/>
              </w:rPr>
              <w:t>7</w:t>
            </w:r>
          </w:p>
        </w:tc>
        <w:tc>
          <w:tcPr>
            <w:tcW w:w="1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eastAsia="宋体"/>
                <w:color w:val="auto"/>
                <w:sz w:val="21"/>
                <w:szCs w:val="21"/>
                <w:lang w:val="en-US" w:eastAsia="zh-CN"/>
              </w:rPr>
            </w:pPr>
            <w:r>
              <w:rPr>
                <w:rFonts w:hint="eastAsia"/>
                <w:color w:val="auto"/>
                <w:sz w:val="21"/>
                <w:szCs w:val="21"/>
                <w:lang w:val="en-US" w:eastAsia="zh-CN"/>
              </w:rPr>
              <w:t>发电机柴油</w:t>
            </w:r>
          </w:p>
        </w:tc>
        <w:tc>
          <w:tcPr>
            <w:tcW w:w="2577" w:type="dxa"/>
            <w:gridSpan w:val="2"/>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rFonts w:hint="default" w:eastAsia="宋体"/>
                <w:b w:val="0"/>
                <w:bCs w:val="0"/>
                <w:color w:val="auto"/>
                <w:sz w:val="21"/>
                <w:szCs w:val="21"/>
                <w:lang w:val="en-US" w:eastAsia="zh-CN"/>
              </w:rPr>
            </w:pPr>
            <w:r>
              <w:rPr>
                <w:rFonts w:hint="eastAsia"/>
                <w:b w:val="0"/>
                <w:bCs w:val="0"/>
                <w:color w:val="auto"/>
                <w:sz w:val="21"/>
                <w:szCs w:val="21"/>
                <w:lang w:val="en-US" w:eastAsia="zh-CN"/>
              </w:rPr>
              <w:t>200L/a</w:t>
            </w:r>
          </w:p>
        </w:tc>
        <w:tc>
          <w:tcPr>
            <w:tcW w:w="208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b w:val="0"/>
                <w:bCs w:val="0"/>
                <w:color w:val="auto"/>
                <w:kern w:val="2"/>
                <w:sz w:val="21"/>
                <w:szCs w:val="21"/>
                <w:lang w:val="en-US" w:eastAsia="zh-CN" w:bidi="ar-SA"/>
              </w:rPr>
            </w:pPr>
            <w:r>
              <w:rPr>
                <w:rFonts w:hint="eastAsia"/>
                <w:b w:val="0"/>
                <w:bCs w:val="0"/>
                <w:color w:val="auto"/>
                <w:sz w:val="21"/>
                <w:szCs w:val="21"/>
                <w:lang w:val="en-US" w:eastAsia="zh-CN"/>
              </w:rPr>
              <w:t>200L/a</w:t>
            </w:r>
          </w:p>
        </w:tc>
        <w:tc>
          <w:tcPr>
            <w:tcW w:w="2475" w:type="dxa"/>
            <w:tcBorders>
              <w:tl2br w:val="nil"/>
              <w:tr2bl w:val="nil"/>
            </w:tcBorders>
            <w:noWrap w:val="0"/>
            <w:vAlign w:val="center"/>
          </w:tcPr>
          <w:p>
            <w:pPr>
              <w:pStyle w:val="85"/>
              <w:keepNext w:val="0"/>
              <w:keepLines w:val="0"/>
              <w:pageBreakBefore w:val="0"/>
              <w:widowControl w:val="0"/>
              <w:kinsoku/>
              <w:wordWrap/>
              <w:overflowPunct/>
              <w:topLinePunct w:val="0"/>
              <w:autoSpaceDE/>
              <w:autoSpaceDN/>
              <w:bidi w:val="0"/>
              <w:spacing w:line="240" w:lineRule="auto"/>
              <w:textAlignment w:val="auto"/>
              <w:rPr>
                <w:rFonts w:hint="default"/>
                <w:b w:val="0"/>
                <w:bCs w:val="0"/>
                <w:color w:val="auto"/>
                <w:sz w:val="21"/>
                <w:szCs w:val="21"/>
                <w:lang w:val="en-US" w:eastAsia="zh-CN"/>
              </w:rPr>
            </w:pPr>
            <w:r>
              <w:rPr>
                <w:rFonts w:hint="eastAsia"/>
                <w:b w:val="0"/>
                <w:bCs w:val="0"/>
                <w:color w:val="auto"/>
                <w:sz w:val="21"/>
                <w:szCs w:val="21"/>
                <w:lang w:val="en-US" w:eastAsia="zh-CN"/>
              </w:rPr>
              <w:t>自有</w:t>
            </w:r>
          </w:p>
        </w:tc>
      </w:tr>
    </w:tbl>
    <w:p>
      <w:pPr>
        <w:pStyle w:val="62"/>
        <w:rPr>
          <w:rFonts w:cs="Times New Roman"/>
          <w:sz w:val="32"/>
        </w:rPr>
      </w:pPr>
      <w:bookmarkStart w:id="58" w:name="_Toc15617"/>
      <w:r>
        <w:rPr>
          <w:rFonts w:hint="eastAsia" w:cs="Times New Roman"/>
          <w:sz w:val="32"/>
        </w:rPr>
        <w:t>3</w:t>
      </w:r>
      <w:r>
        <w:rPr>
          <w:rFonts w:cs="Times New Roman"/>
          <w:sz w:val="32"/>
        </w:rPr>
        <w:t>.</w:t>
      </w:r>
      <w:r>
        <w:rPr>
          <w:rFonts w:hint="eastAsia" w:cs="Times New Roman"/>
          <w:sz w:val="32"/>
        </w:rPr>
        <w:t>4水源</w:t>
      </w:r>
      <w:bookmarkEnd w:id="58"/>
    </w:p>
    <w:p>
      <w:pPr>
        <w:tabs>
          <w:tab w:val="left" w:pos="6480"/>
        </w:tabs>
        <w:spacing w:line="540" w:lineRule="exact"/>
        <w:ind w:firstLine="480" w:firstLineChars="200"/>
        <w:rPr>
          <w:color w:val="000000"/>
          <w:sz w:val="24"/>
          <w:szCs w:val="24"/>
        </w:rPr>
      </w:pPr>
      <w:r>
        <w:rPr>
          <w:rFonts w:hint="eastAsia"/>
          <w:color w:val="000000"/>
          <w:sz w:val="24"/>
          <w:szCs w:val="24"/>
        </w:rPr>
        <w:t>本工程用水水源来至市政自来水管网。</w:t>
      </w:r>
    </w:p>
    <w:p>
      <w:pPr>
        <w:pStyle w:val="62"/>
        <w:rPr>
          <w:rFonts w:hint="default" w:ascii="Times New Roman" w:hAnsi="Times New Roman" w:cs="Times New Roman" w:eastAsiaTheme="minorEastAsia"/>
          <w:sz w:val="24"/>
          <w:szCs w:val="24"/>
          <w:lang w:eastAsia="zh-CN"/>
        </w:rPr>
      </w:pPr>
      <w:bookmarkStart w:id="59" w:name="_Toc361646651"/>
      <w:bookmarkStart w:id="60" w:name="_Toc362535747"/>
      <w:bookmarkStart w:id="61" w:name="_Toc361841099"/>
      <w:bookmarkStart w:id="62" w:name="_Toc3672"/>
      <w:r>
        <w:rPr>
          <w:rFonts w:hint="eastAsia" w:cs="Times New Roman"/>
          <w:color w:val="auto"/>
          <w:sz w:val="32"/>
        </w:rPr>
        <w:t>3.</w:t>
      </w:r>
      <w:bookmarkEnd w:id="59"/>
      <w:bookmarkEnd w:id="60"/>
      <w:bookmarkEnd w:id="61"/>
      <w:r>
        <w:rPr>
          <w:rFonts w:hint="eastAsia" w:cs="Times New Roman"/>
          <w:color w:val="auto"/>
          <w:sz w:val="32"/>
        </w:rPr>
        <w:t>5生产工艺</w:t>
      </w:r>
      <w:bookmarkEnd w:id="62"/>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项目为加油站项目，营运期主要为过往车辆加油。加油站工艺流程主要包括接卸油、储存、加油及洗车等系统。</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1. 汽油作业工艺流程</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 xml:space="preserve">汽油作业工艺流程及产污环节见下图 </w:t>
      </w:r>
      <w:r>
        <w:rPr>
          <w:rFonts w:hint="eastAsia"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lang w:eastAsia="zh-CN"/>
        </w:rPr>
        <w:t>-</w:t>
      </w:r>
      <w:r>
        <w:rPr>
          <w:rFonts w:hint="eastAsia" w:ascii="Times New Roman" w:hAnsi="Times New Roman" w:cs="Times New Roman" w:eastAsiaTheme="minorEastAsia"/>
          <w:sz w:val="24"/>
          <w:szCs w:val="24"/>
          <w:lang w:val="en-US" w:eastAsia="zh-CN"/>
        </w:rPr>
        <w:t>1</w:t>
      </w:r>
      <w:r>
        <w:rPr>
          <w:rFonts w:hint="default" w:ascii="Times New Roman" w:hAnsi="Times New Roman" w:cs="Times New Roman" w:eastAsiaTheme="minorEastAsia"/>
          <w:sz w:val="24"/>
          <w:szCs w:val="24"/>
          <w:lang w:eastAsia="zh-CN"/>
        </w:rPr>
        <w:t>。</w:t>
      </w:r>
    </w:p>
    <w:p>
      <w:pPr>
        <w:spacing w:line="240" w:lineRule="auto"/>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638800" cy="1619250"/>
            <wp:effectExtent l="0" t="0" r="0" b="0"/>
            <wp:docPr id="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1"/>
                    <pic:cNvPicPr>
                      <a:picLocks noChangeAspect="1"/>
                    </pic:cNvPicPr>
                  </pic:nvPicPr>
                  <pic:blipFill>
                    <a:blip r:embed="rId9"/>
                    <a:stretch>
                      <a:fillRect/>
                    </a:stretch>
                  </pic:blipFill>
                  <pic:spPr>
                    <a:xfrm>
                      <a:off x="0" y="0"/>
                      <a:ext cx="5638800" cy="1619250"/>
                    </a:xfrm>
                    <a:prstGeom prst="rect">
                      <a:avLst/>
                    </a:prstGeom>
                  </pic:spPr>
                </pic:pic>
              </a:graphicData>
            </a:graphic>
          </wp:inline>
        </w:drawing>
      </w:r>
    </w:p>
    <w:p>
      <w:pPr>
        <w:spacing w:line="440" w:lineRule="exact"/>
        <w:ind w:firstLine="482" w:firstLineChars="200"/>
        <w:jc w:val="center"/>
        <w:rPr>
          <w:rFonts w:hint="default" w:ascii="Times New Roman" w:hAnsi="Times New Roman" w:cs="Times New Roman" w:eastAsiaTheme="minorEastAsia"/>
          <w:b/>
          <w:bCs/>
          <w:sz w:val="24"/>
          <w:szCs w:val="24"/>
          <w:lang w:eastAsia="zh-CN"/>
        </w:rPr>
      </w:pPr>
      <w:r>
        <w:rPr>
          <w:rFonts w:hint="default" w:ascii="Times New Roman" w:hAnsi="Times New Roman" w:cs="Times New Roman" w:eastAsiaTheme="minorEastAsia"/>
          <w:b/>
          <w:bCs/>
          <w:sz w:val="24"/>
          <w:szCs w:val="24"/>
          <w:lang w:eastAsia="zh-CN"/>
        </w:rPr>
        <w:t xml:space="preserve">图 </w:t>
      </w:r>
      <w:r>
        <w:rPr>
          <w:rFonts w:hint="eastAsia" w:ascii="Times New Roman" w:hAnsi="Times New Roman" w:cs="Times New Roman" w:eastAsiaTheme="minorEastAsia"/>
          <w:b/>
          <w:bCs/>
          <w:sz w:val="24"/>
          <w:szCs w:val="24"/>
          <w:lang w:val="en-US" w:eastAsia="zh-CN"/>
        </w:rPr>
        <w:t>3</w:t>
      </w:r>
      <w:r>
        <w:rPr>
          <w:rFonts w:hint="default" w:ascii="Times New Roman" w:hAnsi="Times New Roman" w:cs="Times New Roman" w:eastAsiaTheme="minorEastAsia"/>
          <w:b/>
          <w:bCs/>
          <w:sz w:val="24"/>
          <w:szCs w:val="24"/>
          <w:lang w:eastAsia="zh-CN"/>
        </w:rPr>
        <w:t>-</w:t>
      </w:r>
      <w:r>
        <w:rPr>
          <w:rFonts w:hint="eastAsia" w:ascii="Times New Roman" w:hAnsi="Times New Roman" w:cs="Times New Roman" w:eastAsiaTheme="minorEastAsia"/>
          <w:b/>
          <w:bCs/>
          <w:sz w:val="24"/>
          <w:szCs w:val="24"/>
          <w:lang w:val="en-US" w:eastAsia="zh-CN"/>
        </w:rPr>
        <w:t>1</w:t>
      </w:r>
      <w:r>
        <w:rPr>
          <w:rFonts w:hint="default" w:ascii="Times New Roman" w:hAnsi="Times New Roman" w:cs="Times New Roman" w:eastAsiaTheme="minorEastAsia"/>
          <w:b/>
          <w:bCs/>
          <w:sz w:val="24"/>
          <w:szCs w:val="24"/>
          <w:lang w:eastAsia="zh-CN"/>
        </w:rPr>
        <w:t xml:space="preserve"> 汽油作业工艺流程及产污环节图</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工艺说明：</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①汽油卸油</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油品由油罐车通过公路运输至本站后，温油15min，用能监测接地状态的静电接地仪、接地夹接地后，通过插入式软管快速接头卸入相应油罐。卸油时，油罐内油气由卸油油气回收管经快速接头排入油罐车（通气管管口设阻火器）。拟建项目安装卸油油气回收系统即一次油气回收系统，对92#、95#</w:t>
      </w:r>
      <w:r>
        <w:rPr>
          <w:rFonts w:hint="eastAsia" w:cs="Times New Roman" w:eastAsiaTheme="minorEastAsia"/>
          <w:sz w:val="24"/>
          <w:szCs w:val="24"/>
          <w:lang w:eastAsia="zh-CN"/>
        </w:rPr>
        <w:t>、</w:t>
      </w:r>
      <w:r>
        <w:rPr>
          <w:rFonts w:hint="eastAsia" w:cs="Times New Roman" w:eastAsiaTheme="minorEastAsia"/>
          <w:sz w:val="24"/>
          <w:szCs w:val="24"/>
          <w:lang w:val="en-US" w:eastAsia="zh-CN"/>
        </w:rPr>
        <w:t>98#</w:t>
      </w:r>
      <w:r>
        <w:rPr>
          <w:rFonts w:hint="default" w:ascii="Times New Roman" w:hAnsi="Times New Roman" w:cs="Times New Roman" w:eastAsiaTheme="minorEastAsia"/>
          <w:sz w:val="24"/>
          <w:szCs w:val="24"/>
          <w:lang w:eastAsia="zh-CN"/>
        </w:rPr>
        <w:t>汽油卸油时产生的油气进行回收。卸油油气回收系统主要工作原理为：在卸油过程中油罐车内压力减小，埋地油罐内压力增加，埋地油罐与油罐车间形成压差，使卸油过程中挥发的油气通过密闭管线回到油罐车内，运回储油库处理，达到油气回收的目的。加油站和油罐车均安装卸油油气快速接头，油罐车同时配备带快速接头的软管。卸油过程罐车与埋地油罐内油气气压基本平衡，气液等体积置换，卸油过程管道密闭，卸油油气回收效率可达 95%。</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②汽油加油</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加油时，加油机通过加油枪给汽车油箱加油，油品通过潜油泵从埋地油罐输送至加油机，加油过程中通过计量器进行计量。加油过程产生加油机运行噪声和逸散油气。</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在汽油加油过程中，通过真空泵产生一定真空度，车辆油箱中的油气由油气回收油枪、同轴皮管和油气回收管等油气回收设备机中回收，经加油油气回收管进入油罐，控制油气外排。加油油气经 1.1:1 的气液比进行回收，回收后在油罐内平衡后多余油气经通气立管外排。加油油气回收效率可达 90%。</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③清罐</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根据加油站实际清罐情况，油罐一般每5年清洗一次，清罐工艺流程见图</w:t>
      </w:r>
      <w:r>
        <w:rPr>
          <w:rFonts w:hint="eastAsia"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lang w:eastAsia="zh-CN"/>
        </w:rPr>
        <w:t>-</w:t>
      </w:r>
      <w:r>
        <w:rPr>
          <w:rFonts w:hint="eastAsia" w:ascii="Times New Roman" w:hAnsi="Times New Roman" w:cs="Times New Roman" w:eastAsiaTheme="minorEastAsia"/>
          <w:sz w:val="24"/>
          <w:szCs w:val="24"/>
          <w:lang w:val="en-US" w:eastAsia="zh-CN"/>
        </w:rPr>
        <w:t>2</w:t>
      </w:r>
      <w:r>
        <w:rPr>
          <w:rFonts w:hint="default" w:ascii="Times New Roman" w:hAnsi="Times New Roman" w:cs="Times New Roman" w:eastAsiaTheme="minorEastAsia"/>
          <w:sz w:val="24"/>
          <w:szCs w:val="24"/>
          <w:lang w:eastAsia="zh-CN"/>
        </w:rPr>
        <w:t>。</w:t>
      </w:r>
    </w:p>
    <w:p>
      <w:pPr>
        <w:spacing w:line="240" w:lineRule="auto"/>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695950" cy="2139950"/>
            <wp:effectExtent l="0" t="0" r="0" b="12700"/>
            <wp:docPr id="10" name="图片 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2"/>
                    <pic:cNvPicPr>
                      <a:picLocks noChangeAspect="1"/>
                    </pic:cNvPicPr>
                  </pic:nvPicPr>
                  <pic:blipFill>
                    <a:blip r:embed="rId10"/>
                    <a:stretch>
                      <a:fillRect/>
                    </a:stretch>
                  </pic:blipFill>
                  <pic:spPr>
                    <a:xfrm>
                      <a:off x="0" y="0"/>
                      <a:ext cx="5695950" cy="2139950"/>
                    </a:xfrm>
                    <a:prstGeom prst="rect">
                      <a:avLst/>
                    </a:prstGeom>
                  </pic:spPr>
                </pic:pic>
              </a:graphicData>
            </a:graphic>
          </wp:inline>
        </w:drawing>
      </w:r>
    </w:p>
    <w:p>
      <w:pPr>
        <w:spacing w:line="440" w:lineRule="exact"/>
        <w:ind w:firstLine="482" w:firstLineChars="200"/>
        <w:jc w:val="center"/>
        <w:rPr>
          <w:rFonts w:hint="default" w:ascii="Times New Roman" w:hAnsi="Times New Roman" w:cs="Times New Roman" w:eastAsiaTheme="minorEastAsia"/>
          <w:b/>
          <w:bCs/>
          <w:sz w:val="24"/>
          <w:szCs w:val="24"/>
          <w:lang w:eastAsia="zh-CN"/>
        </w:rPr>
      </w:pPr>
      <w:r>
        <w:rPr>
          <w:rFonts w:hint="default" w:ascii="Times New Roman" w:hAnsi="Times New Roman" w:cs="Times New Roman" w:eastAsiaTheme="minorEastAsia"/>
          <w:b/>
          <w:bCs/>
          <w:sz w:val="24"/>
          <w:szCs w:val="24"/>
          <w:lang w:eastAsia="zh-CN"/>
        </w:rPr>
        <w:t xml:space="preserve">图 </w:t>
      </w:r>
      <w:r>
        <w:rPr>
          <w:rFonts w:hint="eastAsia" w:ascii="Times New Roman" w:hAnsi="Times New Roman" w:cs="Times New Roman" w:eastAsiaTheme="minorEastAsia"/>
          <w:b/>
          <w:bCs/>
          <w:sz w:val="24"/>
          <w:szCs w:val="24"/>
          <w:lang w:val="en-US" w:eastAsia="zh-CN"/>
        </w:rPr>
        <w:t>3</w:t>
      </w:r>
      <w:r>
        <w:rPr>
          <w:rFonts w:hint="default" w:ascii="Times New Roman" w:hAnsi="Times New Roman" w:cs="Times New Roman" w:eastAsiaTheme="minorEastAsia"/>
          <w:b/>
          <w:bCs/>
          <w:sz w:val="24"/>
          <w:szCs w:val="24"/>
          <w:lang w:eastAsia="zh-CN"/>
        </w:rPr>
        <w:t>-</w:t>
      </w:r>
      <w:r>
        <w:rPr>
          <w:rFonts w:hint="eastAsia" w:ascii="Times New Roman" w:hAnsi="Times New Roman" w:cs="Times New Roman" w:eastAsiaTheme="minorEastAsia"/>
          <w:b/>
          <w:bCs/>
          <w:sz w:val="24"/>
          <w:szCs w:val="24"/>
          <w:lang w:val="en-US" w:eastAsia="zh-CN"/>
        </w:rPr>
        <w:t>2</w:t>
      </w:r>
      <w:r>
        <w:rPr>
          <w:rFonts w:hint="default" w:ascii="Times New Roman" w:hAnsi="Times New Roman" w:cs="Times New Roman" w:eastAsiaTheme="minorEastAsia"/>
          <w:b/>
          <w:bCs/>
          <w:sz w:val="24"/>
          <w:szCs w:val="24"/>
          <w:lang w:eastAsia="zh-CN"/>
        </w:rPr>
        <w:t xml:space="preserve"> 清罐工艺流程及产排污节点图</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工艺说明：</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油罐检修之前，先尽量将油品排空，然后拆卸输油管线，脱离开油罐与其他罐、管的连接，并加盲板封堵，将阀门关闭，防止油气进入；打开人孔、通气孔和排污口，使罐内充分通风；清洗油罐，最后将检修场地清理干净。化学清洗剂由专业的检修单位提供，评价要求尽量使用能满足工艺要求的不燃或难燃性化学清洗剂。</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从油罐、加油机等设备中清出的含油废渣，交由有资质的专业单位处置。</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含油污水不可随意排入下水管道，应交由具有危废处置资质的单位处置。</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2. 柴油作业工艺流程</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 xml:space="preserve">柴油的卸油、加油及清罐工艺与汽油一致，柴油的挥发性较汽油弱，未设置油气回收系统。柴油作业工艺流程及产污环节见下图 </w:t>
      </w:r>
      <w:r>
        <w:rPr>
          <w:rFonts w:hint="eastAsia"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lang w:eastAsia="zh-CN"/>
        </w:rPr>
        <w:t>-</w:t>
      </w:r>
      <w:r>
        <w:rPr>
          <w:rFonts w:hint="eastAsia"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lang w:eastAsia="zh-CN"/>
        </w:rPr>
        <w:t>。</w:t>
      </w:r>
    </w:p>
    <w:p>
      <w:pPr>
        <w:spacing w:line="240" w:lineRule="auto"/>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403850" cy="1047750"/>
            <wp:effectExtent l="0" t="0" r="6350" b="0"/>
            <wp:docPr id="11" name="图片 1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3"/>
                    <pic:cNvPicPr>
                      <a:picLocks noChangeAspect="1"/>
                    </pic:cNvPicPr>
                  </pic:nvPicPr>
                  <pic:blipFill>
                    <a:blip r:embed="rId11"/>
                    <a:stretch>
                      <a:fillRect/>
                    </a:stretch>
                  </pic:blipFill>
                  <pic:spPr>
                    <a:xfrm>
                      <a:off x="0" y="0"/>
                      <a:ext cx="5403850" cy="1047750"/>
                    </a:xfrm>
                    <a:prstGeom prst="rect">
                      <a:avLst/>
                    </a:prstGeom>
                  </pic:spPr>
                </pic:pic>
              </a:graphicData>
            </a:graphic>
          </wp:inline>
        </w:drawing>
      </w:r>
    </w:p>
    <w:p>
      <w:pPr>
        <w:spacing w:line="440" w:lineRule="exact"/>
        <w:ind w:firstLine="482" w:firstLineChars="200"/>
        <w:jc w:val="center"/>
        <w:rPr>
          <w:rFonts w:hint="default" w:ascii="Times New Roman" w:hAnsi="Times New Roman" w:cs="Times New Roman" w:eastAsiaTheme="minorEastAsia"/>
          <w:b/>
          <w:bCs/>
          <w:sz w:val="24"/>
          <w:szCs w:val="24"/>
          <w:lang w:eastAsia="zh-CN"/>
        </w:rPr>
      </w:pPr>
      <w:r>
        <w:rPr>
          <w:rFonts w:hint="default" w:ascii="Times New Roman" w:hAnsi="Times New Roman" w:cs="Times New Roman" w:eastAsiaTheme="minorEastAsia"/>
          <w:b/>
          <w:bCs/>
          <w:sz w:val="24"/>
          <w:szCs w:val="24"/>
          <w:lang w:eastAsia="zh-CN"/>
        </w:rPr>
        <w:t xml:space="preserve">图 </w:t>
      </w:r>
      <w:r>
        <w:rPr>
          <w:rFonts w:hint="eastAsia" w:ascii="Times New Roman" w:hAnsi="Times New Roman" w:cs="Times New Roman" w:eastAsiaTheme="minorEastAsia"/>
          <w:b/>
          <w:bCs/>
          <w:sz w:val="24"/>
          <w:szCs w:val="24"/>
          <w:lang w:val="en-US" w:eastAsia="zh-CN"/>
        </w:rPr>
        <w:t>3</w:t>
      </w:r>
      <w:r>
        <w:rPr>
          <w:rFonts w:hint="default" w:ascii="Times New Roman" w:hAnsi="Times New Roman" w:cs="Times New Roman" w:eastAsiaTheme="minorEastAsia"/>
          <w:b/>
          <w:bCs/>
          <w:sz w:val="24"/>
          <w:szCs w:val="24"/>
          <w:lang w:eastAsia="zh-CN"/>
        </w:rPr>
        <w:t>-</w:t>
      </w:r>
      <w:r>
        <w:rPr>
          <w:rFonts w:hint="eastAsia" w:ascii="Times New Roman" w:hAnsi="Times New Roman" w:cs="Times New Roman" w:eastAsiaTheme="minorEastAsia"/>
          <w:b/>
          <w:bCs/>
          <w:sz w:val="24"/>
          <w:szCs w:val="24"/>
          <w:lang w:val="en-US" w:eastAsia="zh-CN"/>
        </w:rPr>
        <w:t>3</w:t>
      </w:r>
      <w:r>
        <w:rPr>
          <w:rFonts w:hint="default" w:ascii="Times New Roman" w:hAnsi="Times New Roman" w:cs="Times New Roman" w:eastAsiaTheme="minorEastAsia"/>
          <w:b/>
          <w:bCs/>
          <w:sz w:val="24"/>
          <w:szCs w:val="24"/>
          <w:lang w:eastAsia="zh-CN"/>
        </w:rPr>
        <w:t xml:space="preserve"> 柴油作业工艺流程及产污环节图</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工艺说明：</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①柴油卸油</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油罐车将柴油运至场地内通过密闭卸油点将柴油卸至埋地油罐。在卸油过程中油罐车内压力减小，埋地油罐内压力增加，埋地油罐与油罐车内的压差使卸油过程中埋地油罐内产生的油气通过立管排放，油罐车内产生的油气通过呼吸控制阀排放。</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②柴油加油</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柴油通过潜油泵从埋地油罐输送至加油机，再通过配套加油枪给加油车辆加油。加油过程中通过计量器进行计量，加油车辆油箱随着柴油的注入，油箱内产生的油气逸散至大气中。</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③清罐</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同上汽油清罐工艺。</w:t>
      </w:r>
    </w:p>
    <w:p>
      <w:pPr>
        <w:spacing w:line="440" w:lineRule="exact"/>
        <w:ind w:firstLine="480" w:firstLineChars="200"/>
        <w:rPr>
          <w:rFonts w:hint="default"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3.充电工艺：</w:t>
      </w:r>
    </w:p>
    <w:p>
      <w:pPr>
        <w:pStyle w:val="93"/>
        <w:keepNext w:val="0"/>
        <w:keepLines w:val="0"/>
        <w:pageBreakBefore w:val="0"/>
        <w:kinsoku/>
        <w:wordWrap/>
        <w:overflowPunct/>
        <w:topLinePunct w:val="0"/>
        <w:bidi w:val="0"/>
        <w:spacing w:line="360" w:lineRule="auto"/>
        <w:ind w:firstLine="480" w:firstLineChars="200"/>
        <w:contextualSpacing/>
        <w:textAlignment w:val="auto"/>
        <w:rPr>
          <w:rFonts w:hint="default"/>
          <w:lang w:eastAsia="zh-CN"/>
        </w:rPr>
      </w:pPr>
      <w:r>
        <w:rPr>
          <w:rFonts w:hint="eastAsia"/>
          <w:b w:val="0"/>
          <w:bCs w:val="0"/>
          <w:color w:val="000000"/>
          <w:sz w:val="24"/>
          <w:szCs w:val="24"/>
          <w:lang w:val="en-US" w:eastAsia="zh-CN"/>
        </w:rPr>
        <w:t>充电桩其功能类似于加油站里面的加油机，可以固定在地面或墙壁，安装于公共建筑（公共楼宇、商场、公共停车场等）和居民小区停车场或充电站内，可以根据不同的电压等级为各种型号的电动汽车充电。充电桩的输入端与交流电网直接连接，输出端都装有充电插头用于为电动汽车充电。目前充电桩分为三类：直流充电桩，交流充电桩和交直流一体充电桩。本项目采用直流充电桩，充电采用电力，为清洁能源，不产生污染物。</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eastAsia" w:cs="Times New Roman" w:eastAsiaTheme="minorEastAsia"/>
          <w:sz w:val="24"/>
          <w:szCs w:val="24"/>
          <w:lang w:val="en-US" w:eastAsia="zh-CN"/>
        </w:rPr>
        <w:t>4</w:t>
      </w:r>
      <w:r>
        <w:rPr>
          <w:rFonts w:hint="default" w:ascii="Times New Roman" w:hAnsi="Times New Roman" w:cs="Times New Roman" w:eastAsiaTheme="minorEastAsia"/>
          <w:sz w:val="24"/>
          <w:szCs w:val="24"/>
          <w:lang w:eastAsia="zh-CN"/>
        </w:rPr>
        <w:t>.其他产污环节</w:t>
      </w:r>
      <w:r>
        <w:rPr>
          <w:rFonts w:hint="eastAsia" w:cs="Times New Roman" w:eastAsiaTheme="minorEastAsia"/>
          <w:sz w:val="24"/>
          <w:szCs w:val="24"/>
          <w:lang w:eastAsia="zh-CN"/>
        </w:rPr>
        <w:t>：</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①设备检修</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本项目加油机等设备每月例行检修 1 次，设备检修由专业的检修单位进行，采用冷加工检修法。每个月对加油机外观进行检修。加油机的清理，首先需要先切断电源，打开门板清除机内污物。外表面清洗过程禁止使用汽油、煤油等可燃性液体。校对计量准确度（需用标准容器打计量），清洗过滤器。</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检修工序一般会产生油水混合物和少量的含油棉纱及手套等检修废物，收集于危废间暂存后，定期交由有危险废物处置资质的单位转运处置。</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②洗车工序</w:t>
      </w:r>
    </w:p>
    <w:p>
      <w:pPr>
        <w:spacing w:line="440" w:lineRule="exact"/>
        <w:ind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项目采用隧道式洗车机对来往汽车进行清洗，当车辆被输送机送入洗车机内后，由摆动式高压水刀完全冲掉附于车体上的微小砂砾及灰尘，再经多组高档洗车机专用滚刷对车辆表面及轮毂作全方位包裹清洗，后经多组强力风干后，使车辆表面更加光亮如新。洗车过程不采用任何清洗剂，单台车辆清洗耗水量约90L。</w:t>
      </w:r>
    </w:p>
    <w:bookmarkEnd w:id="53"/>
    <w:bookmarkEnd w:id="54"/>
    <w:bookmarkEnd w:id="55"/>
    <w:p>
      <w:pPr>
        <w:pStyle w:val="62"/>
        <w:rPr>
          <w:rFonts w:cs="Times New Roman"/>
          <w:color w:val="auto"/>
          <w:sz w:val="32"/>
        </w:rPr>
      </w:pPr>
      <w:bookmarkStart w:id="63" w:name="_Toc26368"/>
      <w:bookmarkStart w:id="64" w:name="_Toc332553919"/>
      <w:bookmarkStart w:id="65" w:name="_Toc341293109"/>
      <w:bookmarkStart w:id="66" w:name="_Toc305059565"/>
      <w:bookmarkStart w:id="67" w:name="_Toc341278424"/>
      <w:bookmarkStart w:id="68" w:name="_Toc341357473"/>
      <w:bookmarkStart w:id="69" w:name="_Toc321042418"/>
      <w:bookmarkStart w:id="70" w:name="_Toc341431726"/>
      <w:r>
        <w:rPr>
          <w:rFonts w:hint="eastAsia" w:cs="Times New Roman"/>
          <w:color w:val="auto"/>
          <w:sz w:val="32"/>
        </w:rPr>
        <w:t>3.6项目变动情况</w:t>
      </w:r>
      <w:bookmarkEnd w:id="63"/>
    </w:p>
    <w:p>
      <w:pPr>
        <w:spacing w:line="540" w:lineRule="exact"/>
        <w:ind w:firstLine="480" w:firstLineChars="200"/>
        <w:rPr>
          <w:b/>
          <w:bCs/>
          <w:kern w:val="0"/>
          <w:sz w:val="36"/>
          <w:szCs w:val="20"/>
        </w:rPr>
      </w:pPr>
      <w:r>
        <w:rPr>
          <w:rFonts w:hint="eastAsia"/>
          <w:bCs/>
          <w:sz w:val="24"/>
          <w:szCs w:val="24"/>
          <w:lang w:eastAsia="zh-CN"/>
        </w:rPr>
        <w:t>重庆渝顺投资有限公司顺洁加油站建设内容及规模与环评和批复相比根据实际需要，增加了加油枪的数量，其余建设内容没有发生变化。按照《（环办环评函〔2020〕688号） 关于印发污染影响类建设项目重大变动清单（试行）的通知》中相关重大变动标准，无重大变动情况，纳入竣工环境保护验收管理。</w:t>
      </w:r>
      <w:r>
        <w:rPr>
          <w:sz w:val="36"/>
        </w:rPr>
        <w:br w:type="page"/>
      </w:r>
    </w:p>
    <w:p>
      <w:pPr>
        <w:pStyle w:val="61"/>
        <w:spacing w:beforeLines="50"/>
        <w:rPr>
          <w:rFonts w:cs="Times New Roman"/>
          <w:sz w:val="36"/>
        </w:rPr>
      </w:pPr>
      <w:bookmarkStart w:id="71" w:name="_Toc5356"/>
      <w:r>
        <w:rPr>
          <w:rFonts w:hint="eastAsia" w:cs="Times New Roman"/>
          <w:sz w:val="36"/>
        </w:rPr>
        <w:t>4</w:t>
      </w:r>
      <w:bookmarkEnd w:id="64"/>
      <w:bookmarkEnd w:id="65"/>
      <w:bookmarkEnd w:id="66"/>
      <w:bookmarkEnd w:id="67"/>
      <w:bookmarkEnd w:id="68"/>
      <w:bookmarkEnd w:id="69"/>
      <w:bookmarkEnd w:id="70"/>
      <w:r>
        <w:rPr>
          <w:rFonts w:hint="eastAsia" w:cs="Times New Roman"/>
          <w:sz w:val="36"/>
        </w:rPr>
        <w:t>环境保护设施</w:t>
      </w:r>
      <w:bookmarkEnd w:id="71"/>
    </w:p>
    <w:p>
      <w:pPr>
        <w:pStyle w:val="62"/>
        <w:rPr>
          <w:rFonts w:cs="Times New Roman"/>
          <w:color w:val="auto"/>
          <w:sz w:val="32"/>
        </w:rPr>
      </w:pPr>
      <w:bookmarkStart w:id="72" w:name="_Toc18862"/>
      <w:r>
        <w:rPr>
          <w:rFonts w:hint="eastAsia" w:cs="Times New Roman"/>
          <w:color w:val="auto"/>
          <w:sz w:val="32"/>
        </w:rPr>
        <w:t>4.1污染物治理及处置设施</w:t>
      </w:r>
      <w:bookmarkEnd w:id="72"/>
    </w:p>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1</w:t>
      </w:r>
      <w:r>
        <w:rPr>
          <w:b/>
          <w:sz w:val="28"/>
          <w:szCs w:val="28"/>
          <w:lang w:val="en-IE"/>
        </w:rPr>
        <w:t>.1  废水</w:t>
      </w:r>
    </w:p>
    <w:p>
      <w:pPr>
        <w:spacing w:line="540" w:lineRule="exact"/>
        <w:ind w:firstLine="480" w:firstLineChars="200"/>
        <w:jc w:val="left"/>
        <w:rPr>
          <w:rFonts w:hAnsiTheme="minorEastAsia" w:eastAsiaTheme="minorEastAsia"/>
          <w:sz w:val="24"/>
          <w:szCs w:val="24"/>
        </w:rPr>
      </w:pPr>
      <w:r>
        <w:rPr>
          <w:rFonts w:hAnsiTheme="minorEastAsia" w:eastAsiaTheme="minorEastAsia"/>
          <w:sz w:val="24"/>
          <w:szCs w:val="24"/>
        </w:rPr>
        <w:t>本项目废水</w:t>
      </w:r>
      <w:r>
        <w:rPr>
          <w:rFonts w:hint="eastAsia" w:hAnsiTheme="minorEastAsia" w:eastAsiaTheme="minorEastAsia"/>
          <w:sz w:val="24"/>
          <w:szCs w:val="24"/>
        </w:rPr>
        <w:t>为生活废水</w:t>
      </w:r>
      <w:r>
        <w:rPr>
          <w:rFonts w:hint="eastAsia" w:hAnsiTheme="minorEastAsia" w:eastAsiaTheme="minorEastAsia"/>
          <w:sz w:val="24"/>
          <w:szCs w:val="24"/>
          <w:lang w:eastAsia="zh-CN"/>
        </w:rPr>
        <w:t>、</w:t>
      </w:r>
      <w:r>
        <w:rPr>
          <w:rFonts w:hint="eastAsia" w:hAnsiTheme="minorEastAsia" w:eastAsiaTheme="minorEastAsia"/>
          <w:sz w:val="24"/>
          <w:szCs w:val="24"/>
        </w:rPr>
        <w:t>初期雨水、洗车废水和场地冲洗水。</w:t>
      </w:r>
    </w:p>
    <w:p>
      <w:pPr>
        <w:spacing w:line="540" w:lineRule="exact"/>
        <w:ind w:firstLine="480" w:firstLineChars="200"/>
        <w:jc w:val="left"/>
        <w:rPr>
          <w:rFonts w:eastAsiaTheme="minorEastAsia"/>
          <w:bCs/>
          <w:sz w:val="24"/>
          <w:szCs w:val="24"/>
        </w:rPr>
      </w:pPr>
      <w:r>
        <w:rPr>
          <w:rFonts w:hint="eastAsia" w:hAnsiTheme="minorEastAsia" w:eastAsiaTheme="minorEastAsia"/>
          <w:sz w:val="24"/>
          <w:szCs w:val="24"/>
        </w:rPr>
        <w:t>项目地面冲洗废水、初期雨水、洗车废水经三段式水封隔油池处理达《污水综合排放标准》（GB8978-1996）三级标准后与经生化池处理达《污水综合排放标准》（GB8978-1996）三级标准后的生活污水一起通过同一排口进入市政污水管网再进入双福污水处理厂深度处理达《城镇污水处理厂污染物排放标准》(GB18918-2002)一级B标后，排入大溪河，最终排入长江</w:t>
      </w:r>
      <w:r>
        <w:rPr>
          <w:rFonts w:hint="eastAsia" w:ascii="Times New Roman" w:hAnsi="Times New Roman" w:cs="Times New Roman" w:eastAsiaTheme="minorEastAsia"/>
          <w:bCs/>
          <w:sz w:val="24"/>
          <w:szCs w:val="24"/>
        </w:rPr>
        <w:t>。</w:t>
      </w:r>
    </w:p>
    <w:p>
      <w:pPr>
        <w:spacing w:line="540" w:lineRule="exact"/>
        <w:ind w:firstLine="480" w:firstLineChars="200"/>
        <w:jc w:val="left"/>
        <w:rPr>
          <w:rFonts w:hint="eastAsia" w:eastAsiaTheme="minorEastAsia"/>
          <w:sz w:val="28"/>
          <w:szCs w:val="28"/>
          <w:lang w:val="en-US" w:eastAsia="zh-CN"/>
        </w:rPr>
      </w:pPr>
      <w:r>
        <w:rPr>
          <w:rFonts w:hint="eastAsia" w:hAnsiTheme="minorEastAsia" w:eastAsiaTheme="minorEastAsia"/>
          <w:sz w:val="24"/>
          <w:szCs w:val="24"/>
        </w:rPr>
        <w:t>本项目废水</w:t>
      </w:r>
      <w:r>
        <w:rPr>
          <w:rFonts w:hAnsiTheme="minorEastAsia" w:eastAsiaTheme="minorEastAsia"/>
          <w:sz w:val="24"/>
          <w:szCs w:val="24"/>
        </w:rPr>
        <w:t>处理流程见图</w:t>
      </w:r>
      <w:r>
        <w:rPr>
          <w:rFonts w:hint="eastAsia" w:eastAsiaTheme="minorEastAsia"/>
          <w:sz w:val="24"/>
          <w:szCs w:val="24"/>
        </w:rPr>
        <w:t>4-1，废水收集处理设施见图4-2</w:t>
      </w:r>
      <w:r>
        <w:rPr>
          <w:rFonts w:hAnsiTheme="minorEastAsia" w:eastAsiaTheme="minorEastAsia"/>
          <w:sz w:val="24"/>
          <w:szCs w:val="24"/>
        </w:rPr>
        <w:t>。</w:t>
      </w:r>
    </w:p>
    <w:p>
      <w:pPr>
        <w:ind w:firstLine="420"/>
        <w:jc w:val="center"/>
        <w:rPr>
          <w:rFonts w:eastAsia="仿宋_GB2312"/>
          <w:sz w:val="28"/>
          <w:szCs w:val="28"/>
        </w:rPr>
      </w:pPr>
      <w:r>
        <w:drawing>
          <wp:inline distT="0" distB="0" distL="114300" distR="114300">
            <wp:extent cx="4857750" cy="125603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
                    <a:srcRect b="11499"/>
                    <a:stretch>
                      <a:fillRect/>
                    </a:stretch>
                  </pic:blipFill>
                  <pic:spPr>
                    <a:xfrm>
                      <a:off x="0" y="0"/>
                      <a:ext cx="4857750" cy="1256030"/>
                    </a:xfrm>
                    <a:prstGeom prst="rect">
                      <a:avLst/>
                    </a:prstGeom>
                    <a:noFill/>
                    <a:ln>
                      <a:noFill/>
                    </a:ln>
                  </pic:spPr>
                </pic:pic>
              </a:graphicData>
            </a:graphic>
          </wp:inline>
        </w:drawing>
      </w:r>
    </w:p>
    <w:p>
      <w:pPr>
        <w:spacing w:line="360" w:lineRule="auto"/>
        <w:jc w:val="left"/>
        <w:rPr>
          <w:rFonts w:hAnsiTheme="minorEastAsia" w:eastAsiaTheme="minorEastAsia"/>
          <w:b/>
          <w:color w:val="000000"/>
          <w:sz w:val="28"/>
        </w:rPr>
      </w:pPr>
      <w:r>
        <w:rPr>
          <w:rFonts w:hAnsiTheme="minorEastAsia" w:eastAsiaTheme="minorEastAsia"/>
          <w:b/>
          <w:color w:val="000000"/>
          <w:sz w:val="28"/>
        </w:rPr>
        <w:pict>
          <v:rect id="_x0000_s2104" o:spid="_x0000_s2104" o:spt="1" style="position:absolute;left:0pt;margin-left:69.9pt;margin-top:0.95pt;height:32.25pt;width:328pt;z-index:251659264;mso-width-relative:page;mso-height-relative:page;" filled="f" stroked="f" coordsize="21600,21600">
            <v:path/>
            <v:fill on="f" focussize="0,0"/>
            <v:stroke on="f"/>
            <v:imagedata o:title=""/>
            <o:lock v:ext="edit"/>
            <v:textbox>
              <w:txbxContent>
                <w:p>
                  <w:pPr>
                    <w:jc w:val="center"/>
                    <w:rPr>
                      <w:sz w:val="24"/>
                      <w:szCs w:val="24"/>
                    </w:rPr>
                  </w:pPr>
                  <w:r>
                    <w:rPr>
                      <w:rFonts w:hAnsiTheme="minorEastAsia" w:eastAsiaTheme="minorEastAsia"/>
                      <w:b/>
                      <w:color w:val="000000"/>
                      <w:sz w:val="24"/>
                      <w:szCs w:val="24"/>
                    </w:rPr>
                    <w:t>图</w:t>
                  </w:r>
                  <w:r>
                    <w:rPr>
                      <w:rFonts w:hint="eastAsia" w:hAnsiTheme="minorEastAsia" w:eastAsiaTheme="minorEastAsia"/>
                      <w:b/>
                      <w:color w:val="000000"/>
                      <w:sz w:val="24"/>
                      <w:szCs w:val="24"/>
                    </w:rPr>
                    <w:t>4</w:t>
                  </w:r>
                  <w:r>
                    <w:rPr>
                      <w:rFonts w:hAnsiTheme="minorEastAsia" w:eastAsiaTheme="minorEastAsia"/>
                      <w:b/>
                      <w:color w:val="000000"/>
                      <w:sz w:val="24"/>
                      <w:szCs w:val="24"/>
                    </w:rPr>
                    <w:t>-</w:t>
                  </w:r>
                  <w:r>
                    <w:rPr>
                      <w:rFonts w:hint="eastAsia" w:hAnsiTheme="minorEastAsia" w:eastAsiaTheme="minorEastAsia"/>
                      <w:b/>
                      <w:color w:val="000000"/>
                      <w:sz w:val="24"/>
                      <w:szCs w:val="24"/>
                    </w:rPr>
                    <w:t>1</w:t>
                  </w:r>
                  <w:r>
                    <w:rPr>
                      <w:rFonts w:hint="eastAsia" w:hAnsiTheme="minorEastAsia" w:eastAsiaTheme="minorEastAsia"/>
                      <w:b/>
                      <w:color w:val="000000"/>
                      <w:sz w:val="24"/>
                      <w:szCs w:val="24"/>
                      <w:lang w:val="en-US" w:eastAsia="zh-CN"/>
                    </w:rPr>
                    <w:t xml:space="preserve"> </w:t>
                  </w:r>
                  <w:r>
                    <w:rPr>
                      <w:rFonts w:hint="eastAsia" w:hAnsiTheme="minorEastAsia" w:eastAsiaTheme="minorEastAsia"/>
                      <w:b/>
                      <w:color w:val="000000"/>
                      <w:sz w:val="24"/>
                      <w:szCs w:val="24"/>
                    </w:rPr>
                    <w:t>生活</w:t>
                  </w:r>
                  <w:r>
                    <w:rPr>
                      <w:rFonts w:hAnsiTheme="minorEastAsia" w:eastAsiaTheme="minorEastAsia"/>
                      <w:b/>
                      <w:color w:val="000000"/>
                      <w:sz w:val="24"/>
                      <w:szCs w:val="24"/>
                    </w:rPr>
                    <w:t>废水</w:t>
                  </w:r>
                  <w:r>
                    <w:rPr>
                      <w:rFonts w:hint="eastAsia" w:hAnsiTheme="minorEastAsia" w:eastAsiaTheme="minorEastAsia"/>
                      <w:b/>
                      <w:color w:val="000000"/>
                      <w:sz w:val="24"/>
                      <w:szCs w:val="24"/>
                    </w:rPr>
                    <w:t>、场地冲洗水</w:t>
                  </w:r>
                  <w:r>
                    <w:rPr>
                      <w:rFonts w:hAnsiTheme="minorEastAsia" w:eastAsiaTheme="minorEastAsia"/>
                      <w:b/>
                      <w:color w:val="000000"/>
                      <w:sz w:val="24"/>
                      <w:szCs w:val="24"/>
                    </w:rPr>
                    <w:t>治理工艺流程</w:t>
                  </w:r>
                </w:p>
              </w:txbxContent>
            </v:textbox>
          </v:rect>
        </w:pict>
      </w:r>
    </w:p>
    <w:tbl>
      <w:tblPr>
        <w:tblStyle w:val="27"/>
        <w:tblW w:w="4506" w:type="pct"/>
        <w:tblInd w:w="3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4184"/>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602" w:hRule="atLeast"/>
        </w:trPr>
        <w:tc>
          <w:tcPr>
            <w:tcW w:w="2499" w:type="pct"/>
          </w:tcPr>
          <w:p>
            <w:pPr>
              <w:spacing w:line="360" w:lineRule="auto"/>
              <w:jc w:val="both"/>
              <w:rPr>
                <w:rFonts w:hint="eastAsia" w:asciiTheme="minorEastAsia" w:hAnsiTheme="minorEastAsia" w:eastAsiaTheme="minorEastAsia"/>
                <w:b/>
                <w:sz w:val="28"/>
                <w:szCs w:val="28"/>
                <w:lang w:val="en-IE" w:eastAsia="zh-CN"/>
              </w:rPr>
            </w:pPr>
          </w:p>
          <w:p>
            <w:pPr>
              <w:spacing w:line="360" w:lineRule="auto"/>
              <w:jc w:val="both"/>
              <w:rPr>
                <w:rFonts w:hAnsiTheme="minorEastAsia" w:eastAsiaTheme="minorEastAsia"/>
                <w:b/>
                <w:color w:val="000000"/>
                <w:sz w:val="28"/>
                <w:vertAlign w:val="baseline"/>
              </w:rPr>
            </w:pPr>
            <w:r>
              <w:rPr>
                <w:rFonts w:hint="eastAsia" w:asciiTheme="minorEastAsia" w:hAnsiTheme="minorEastAsia" w:eastAsiaTheme="minorEastAsia"/>
                <w:b/>
                <w:sz w:val="28"/>
                <w:szCs w:val="28"/>
                <w:lang w:val="en-IE" w:eastAsia="zh-CN"/>
              </w:rPr>
              <w:drawing>
                <wp:inline distT="0" distB="0" distL="114300" distR="114300">
                  <wp:extent cx="2855595" cy="2141855"/>
                  <wp:effectExtent l="0" t="0" r="10795" b="1905"/>
                  <wp:docPr id="1" name="图片 1" descr="7e9cd9c2820643546a916fd400b03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e9cd9c2820643546a916fd400b03d4"/>
                          <pic:cNvPicPr>
                            <a:picLocks noChangeAspect="1"/>
                          </pic:cNvPicPr>
                        </pic:nvPicPr>
                        <pic:blipFill>
                          <a:blip r:embed="rId13"/>
                          <a:stretch>
                            <a:fillRect/>
                          </a:stretch>
                        </pic:blipFill>
                        <pic:spPr>
                          <a:xfrm rot="5400000">
                            <a:off x="0" y="0"/>
                            <a:ext cx="2855595" cy="2141855"/>
                          </a:xfrm>
                          <a:prstGeom prst="rect">
                            <a:avLst/>
                          </a:prstGeom>
                        </pic:spPr>
                      </pic:pic>
                    </a:graphicData>
                  </a:graphic>
                </wp:inline>
              </w:drawing>
            </w:r>
          </w:p>
        </w:tc>
        <w:tc>
          <w:tcPr>
            <w:tcW w:w="2500" w:type="pct"/>
          </w:tcPr>
          <w:p>
            <w:pPr>
              <w:spacing w:line="360" w:lineRule="auto"/>
              <w:jc w:val="both"/>
              <w:rPr>
                <w:rFonts w:hint="eastAsia" w:asciiTheme="minorEastAsia" w:hAnsiTheme="minorEastAsia" w:eastAsiaTheme="minorEastAsia"/>
                <w:b/>
                <w:sz w:val="28"/>
                <w:szCs w:val="28"/>
                <w:lang w:val="en-IE" w:eastAsia="zh-CN"/>
              </w:rPr>
            </w:pPr>
          </w:p>
          <w:p>
            <w:pPr>
              <w:spacing w:line="360" w:lineRule="auto"/>
              <w:jc w:val="both"/>
              <w:rPr>
                <w:rFonts w:hAnsiTheme="minorEastAsia" w:eastAsiaTheme="minorEastAsia"/>
                <w:b/>
                <w:color w:val="000000"/>
                <w:sz w:val="28"/>
                <w:vertAlign w:val="baseline"/>
              </w:rPr>
            </w:pPr>
            <w:r>
              <w:rPr>
                <w:rFonts w:hint="eastAsia" w:asciiTheme="minorEastAsia" w:hAnsiTheme="minorEastAsia" w:eastAsiaTheme="minorEastAsia"/>
                <w:b/>
                <w:sz w:val="28"/>
                <w:szCs w:val="28"/>
                <w:lang w:val="en-IE" w:eastAsia="zh-CN"/>
              </w:rPr>
              <w:drawing>
                <wp:inline distT="0" distB="0" distL="114300" distR="114300">
                  <wp:extent cx="2813685" cy="2110740"/>
                  <wp:effectExtent l="0" t="0" r="3810" b="5715"/>
                  <wp:docPr id="2" name="图片 2" descr="b24fe22d1727ed6672dfb9eb2cfa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24fe22d1727ed6672dfb9eb2cfa26c"/>
                          <pic:cNvPicPr>
                            <a:picLocks noChangeAspect="1"/>
                          </pic:cNvPicPr>
                        </pic:nvPicPr>
                        <pic:blipFill>
                          <a:blip r:embed="rId14"/>
                          <a:stretch>
                            <a:fillRect/>
                          </a:stretch>
                        </pic:blipFill>
                        <pic:spPr>
                          <a:xfrm rot="5400000">
                            <a:off x="0" y="0"/>
                            <a:ext cx="2813685" cy="2110740"/>
                          </a:xfrm>
                          <a:prstGeom prst="rect">
                            <a:avLst/>
                          </a:prstGeom>
                        </pic:spPr>
                      </pic:pic>
                    </a:graphicData>
                  </a:graphic>
                </wp:inline>
              </w:drawing>
            </w:r>
          </w:p>
        </w:tc>
      </w:tr>
    </w:tbl>
    <w:p>
      <w:pPr>
        <w:jc w:val="center"/>
        <w:rPr>
          <w:rFonts w:asciiTheme="minorEastAsia" w:hAnsiTheme="minorEastAsia" w:eastAsiaTheme="minorEastAsia"/>
          <w:b/>
          <w:sz w:val="24"/>
          <w:szCs w:val="24"/>
          <w:lang w:val="en-IE"/>
        </w:rPr>
      </w:pPr>
      <w:r>
        <w:rPr>
          <w:rFonts w:hAnsiTheme="minorEastAsia" w:eastAsiaTheme="minorEastAsia"/>
          <w:b/>
          <w:color w:val="000000"/>
          <w:sz w:val="24"/>
          <w:szCs w:val="24"/>
        </w:rPr>
        <w:t>图</w:t>
      </w:r>
      <w:r>
        <w:rPr>
          <w:rFonts w:hint="eastAsia" w:hAnsiTheme="minorEastAsia" w:eastAsiaTheme="minorEastAsia"/>
          <w:b/>
          <w:color w:val="000000"/>
          <w:sz w:val="24"/>
          <w:szCs w:val="24"/>
        </w:rPr>
        <w:t>4</w:t>
      </w:r>
      <w:r>
        <w:rPr>
          <w:rFonts w:hAnsiTheme="minorEastAsia" w:eastAsiaTheme="minorEastAsia"/>
          <w:b/>
          <w:color w:val="000000"/>
          <w:sz w:val="24"/>
          <w:szCs w:val="24"/>
        </w:rPr>
        <w:t>-</w:t>
      </w:r>
      <w:r>
        <w:rPr>
          <w:rFonts w:hint="eastAsia" w:hAnsiTheme="minorEastAsia" w:eastAsiaTheme="minorEastAsia"/>
          <w:b/>
          <w:color w:val="000000"/>
          <w:sz w:val="24"/>
          <w:szCs w:val="24"/>
          <w:lang w:val="en-US" w:eastAsia="zh-CN"/>
        </w:rPr>
        <w:t xml:space="preserve">2 </w:t>
      </w:r>
      <w:r>
        <w:rPr>
          <w:rFonts w:hint="eastAsia" w:hAnsiTheme="minorEastAsia" w:eastAsiaTheme="minorEastAsia"/>
          <w:b/>
          <w:color w:val="000000"/>
          <w:sz w:val="24"/>
          <w:szCs w:val="24"/>
          <w:lang w:eastAsia="zh-CN"/>
        </w:rPr>
        <w:t>隔油池及截流沟设施图</w:t>
      </w:r>
    </w:p>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1</w:t>
      </w:r>
      <w:r>
        <w:rPr>
          <w:b/>
          <w:sz w:val="28"/>
          <w:szCs w:val="28"/>
          <w:lang w:val="en-IE"/>
        </w:rPr>
        <w:t>.2  废气</w:t>
      </w:r>
    </w:p>
    <w:p>
      <w:pPr>
        <w:adjustRightInd w:val="0"/>
        <w:snapToGrid w:val="0"/>
        <w:spacing w:line="360" w:lineRule="auto"/>
        <w:ind w:firstLine="480" w:firstLineChars="200"/>
        <w:rPr>
          <w:rFonts w:hint="eastAsia" w:eastAsiaTheme="minorEastAsia"/>
          <w:bCs/>
          <w:sz w:val="24"/>
          <w:szCs w:val="24"/>
        </w:rPr>
      </w:pPr>
      <w:r>
        <w:rPr>
          <w:rFonts w:hint="eastAsia" w:asciiTheme="minorEastAsia" w:hAnsiTheme="minorEastAsia" w:eastAsiaTheme="minorEastAsia"/>
          <w:bCs/>
          <w:sz w:val="24"/>
          <w:szCs w:val="24"/>
        </w:rPr>
        <w:t>项目废气主要为卸油废气、储存废气、机动车加油废气以及备用柴油发电机废气。汽车卸油过程中通过一次油气回收系统回收后运回油库进行油气回收处理，且卸油区设置油气回收阀；加油站采用埋地式储油罐，密闭型较好，油罐呼吸由机械呼吸阀排放，储油罐罐室内气温比较稳定，受大气环境稳定影响较小，延缓油品变质，油罐储存小呼吸蒸发损耗较小；加油过程油气设二次回收系统，经回收后进入油罐，并预留三次油气回收系统；备用柴油发电机使用频次少，污染物产生量少，且产生的废气经专用管道引至屋顶排放</w:t>
      </w:r>
      <w:r>
        <w:rPr>
          <w:rFonts w:hint="eastAsia" w:eastAsiaTheme="minorEastAsia"/>
          <w:bCs/>
          <w:sz w:val="24"/>
          <w:szCs w:val="24"/>
        </w:rPr>
        <w:t>。</w:t>
      </w:r>
    </w:p>
    <w:tbl>
      <w:tblPr>
        <w:tblStyle w:val="27"/>
        <w:tblW w:w="0" w:type="auto"/>
        <w:tblInd w:w="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4121"/>
        <w:gridCol w:w="4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121" w:type="dxa"/>
          </w:tcPr>
          <w:p>
            <w:pPr>
              <w:adjustRightInd w:val="0"/>
              <w:snapToGrid w:val="0"/>
              <w:spacing w:line="360" w:lineRule="auto"/>
              <w:jc w:val="both"/>
              <w:rPr>
                <w:rFonts w:hint="eastAsia" w:eastAsiaTheme="minorEastAsia"/>
                <w:bCs/>
                <w:sz w:val="24"/>
                <w:szCs w:val="24"/>
                <w:vertAlign w:val="baseline"/>
                <w:lang w:eastAsia="zh-CN"/>
              </w:rPr>
            </w:pPr>
            <w:r>
              <w:rPr>
                <w:rFonts w:hint="eastAsia" w:eastAsiaTheme="minorEastAsia"/>
                <w:bCs/>
                <w:sz w:val="24"/>
                <w:szCs w:val="24"/>
                <w:lang w:eastAsia="zh-CN"/>
              </w:rPr>
              <w:drawing>
                <wp:inline distT="0" distB="0" distL="114300" distR="114300">
                  <wp:extent cx="3375660" cy="2532380"/>
                  <wp:effectExtent l="0" t="0" r="1270" b="15240"/>
                  <wp:docPr id="3" name="图片 3" descr="63da1cf24a4be7b27f55b2d2b9a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3da1cf24a4be7b27f55b2d2b9a1730"/>
                          <pic:cNvPicPr>
                            <a:picLocks noChangeAspect="1"/>
                          </pic:cNvPicPr>
                        </pic:nvPicPr>
                        <pic:blipFill>
                          <a:blip r:embed="rId15"/>
                          <a:stretch>
                            <a:fillRect/>
                          </a:stretch>
                        </pic:blipFill>
                        <pic:spPr>
                          <a:xfrm rot="5400000">
                            <a:off x="0" y="0"/>
                            <a:ext cx="3375660" cy="2532380"/>
                          </a:xfrm>
                          <a:prstGeom prst="rect">
                            <a:avLst/>
                          </a:prstGeom>
                        </pic:spPr>
                      </pic:pic>
                    </a:graphicData>
                  </a:graphic>
                </wp:inline>
              </w:drawing>
            </w:r>
          </w:p>
        </w:tc>
        <w:tc>
          <w:tcPr>
            <w:tcW w:w="4114" w:type="dxa"/>
          </w:tcPr>
          <w:p>
            <w:pPr>
              <w:adjustRightInd w:val="0"/>
              <w:snapToGrid w:val="0"/>
              <w:spacing w:line="360" w:lineRule="auto"/>
              <w:jc w:val="both"/>
              <w:rPr>
                <w:rFonts w:hint="eastAsia" w:eastAsiaTheme="minorEastAsia"/>
                <w:bCs/>
                <w:sz w:val="24"/>
                <w:szCs w:val="24"/>
                <w:vertAlign w:val="baseline"/>
                <w:lang w:eastAsia="zh-CN"/>
              </w:rPr>
            </w:pPr>
            <w:r>
              <w:rPr>
                <w:rFonts w:hint="eastAsia" w:eastAsiaTheme="minorEastAsia"/>
                <w:bCs/>
                <w:sz w:val="24"/>
                <w:szCs w:val="24"/>
                <w:lang w:eastAsia="zh-CN"/>
              </w:rPr>
              <w:drawing>
                <wp:inline distT="0" distB="0" distL="114300" distR="114300">
                  <wp:extent cx="2303145" cy="2919730"/>
                  <wp:effectExtent l="0" t="0" r="1905" b="13970"/>
                  <wp:docPr id="4" name="图片 4" descr="4aa1330f8d72f29755bbc2380e1a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aa1330f8d72f29755bbc2380e1adfe"/>
                          <pic:cNvPicPr>
                            <a:picLocks noChangeAspect="1"/>
                          </pic:cNvPicPr>
                        </pic:nvPicPr>
                        <pic:blipFill>
                          <a:blip r:embed="rId16"/>
                          <a:stretch>
                            <a:fillRect/>
                          </a:stretch>
                        </pic:blipFill>
                        <pic:spPr>
                          <a:xfrm>
                            <a:off x="0" y="0"/>
                            <a:ext cx="2303145" cy="2919730"/>
                          </a:xfrm>
                          <a:prstGeom prst="rect">
                            <a:avLst/>
                          </a:prstGeom>
                        </pic:spPr>
                      </pic:pic>
                    </a:graphicData>
                  </a:graphic>
                </wp:inline>
              </w:drawing>
            </w:r>
          </w:p>
        </w:tc>
      </w:tr>
    </w:tbl>
    <w:p>
      <w:pPr>
        <w:jc w:val="center"/>
        <w:rPr>
          <w:rFonts w:asciiTheme="minorEastAsia" w:hAnsiTheme="minorEastAsia" w:eastAsiaTheme="minorEastAsia"/>
          <w:b/>
          <w:sz w:val="24"/>
          <w:szCs w:val="24"/>
          <w:lang w:val="en-IE"/>
        </w:rPr>
      </w:pPr>
      <w:r>
        <w:rPr>
          <w:rFonts w:hAnsiTheme="minorEastAsia" w:eastAsiaTheme="minorEastAsia"/>
          <w:b/>
          <w:color w:val="000000"/>
          <w:sz w:val="24"/>
          <w:szCs w:val="24"/>
        </w:rPr>
        <w:t>图</w:t>
      </w:r>
      <w:r>
        <w:rPr>
          <w:rFonts w:hint="eastAsia" w:hAnsiTheme="minorEastAsia" w:eastAsiaTheme="minorEastAsia"/>
          <w:b/>
          <w:color w:val="000000"/>
          <w:sz w:val="24"/>
          <w:szCs w:val="24"/>
        </w:rPr>
        <w:t>4</w:t>
      </w:r>
      <w:r>
        <w:rPr>
          <w:rFonts w:hAnsiTheme="minorEastAsia" w:eastAsiaTheme="minorEastAsia"/>
          <w:b/>
          <w:color w:val="000000"/>
          <w:sz w:val="24"/>
          <w:szCs w:val="24"/>
        </w:rPr>
        <w:t>-</w:t>
      </w:r>
      <w:r>
        <w:rPr>
          <w:rFonts w:hint="eastAsia" w:hAnsiTheme="minorEastAsia" w:eastAsiaTheme="minorEastAsia"/>
          <w:b/>
          <w:color w:val="000000"/>
          <w:sz w:val="24"/>
          <w:szCs w:val="24"/>
          <w:lang w:val="en-US" w:eastAsia="zh-CN"/>
        </w:rPr>
        <w:t xml:space="preserve">3 </w:t>
      </w:r>
      <w:r>
        <w:rPr>
          <w:rFonts w:hint="eastAsia" w:hAnsiTheme="minorEastAsia" w:eastAsiaTheme="minorEastAsia"/>
          <w:b/>
          <w:color w:val="000000"/>
          <w:sz w:val="24"/>
          <w:szCs w:val="24"/>
          <w:lang w:eastAsia="zh-CN"/>
        </w:rPr>
        <w:t>废气设施图</w:t>
      </w:r>
    </w:p>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1</w:t>
      </w:r>
      <w:r>
        <w:rPr>
          <w:b/>
          <w:sz w:val="28"/>
          <w:szCs w:val="28"/>
          <w:lang w:val="en-IE"/>
        </w:rPr>
        <w:t>.3  噪声</w:t>
      </w:r>
    </w:p>
    <w:p>
      <w:pPr>
        <w:adjustRightInd w:val="0"/>
        <w:snapToGrid w:val="0"/>
        <w:spacing w:line="360" w:lineRule="auto"/>
        <w:ind w:firstLine="480" w:firstLineChars="200"/>
        <w:rPr>
          <w:rFonts w:asciiTheme="minorEastAsia" w:hAnsiTheme="minorEastAsia" w:eastAsiaTheme="minorEastAsia"/>
          <w:bCs/>
          <w:sz w:val="24"/>
          <w:szCs w:val="24"/>
        </w:rPr>
      </w:pPr>
      <w:r>
        <w:rPr>
          <w:rFonts w:hint="eastAsia" w:asciiTheme="minorEastAsia" w:hAnsiTheme="minorEastAsia" w:eastAsiaTheme="minorEastAsia"/>
          <w:bCs/>
          <w:sz w:val="24"/>
          <w:szCs w:val="24"/>
        </w:rPr>
        <w:t>本项目</w:t>
      </w:r>
      <w:r>
        <w:rPr>
          <w:rFonts w:asciiTheme="minorEastAsia" w:hAnsiTheme="minorEastAsia" w:eastAsiaTheme="minorEastAsia"/>
          <w:bCs/>
          <w:sz w:val="24"/>
          <w:szCs w:val="24"/>
        </w:rPr>
        <w:t>噪声源主要来自</w:t>
      </w:r>
      <w:r>
        <w:rPr>
          <w:rFonts w:hint="eastAsia" w:asciiTheme="minorEastAsia" w:hAnsiTheme="minorEastAsia" w:eastAsiaTheme="minorEastAsia"/>
          <w:bCs/>
          <w:sz w:val="24"/>
          <w:szCs w:val="24"/>
        </w:rPr>
        <w:t>加油泵、加油机、柴油发电机等设备噪声以及进出车辆的交通噪声，柴油发电机位于站房内，采用建筑隔音。</w:t>
      </w:r>
    </w:p>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1</w:t>
      </w:r>
      <w:r>
        <w:rPr>
          <w:b/>
          <w:sz w:val="28"/>
          <w:szCs w:val="28"/>
          <w:lang w:val="en-IE"/>
        </w:rPr>
        <w:t>.4  固体废物</w:t>
      </w:r>
    </w:p>
    <w:p>
      <w:pPr>
        <w:adjustRightInd w:val="0"/>
        <w:snapToGrid w:val="0"/>
        <w:spacing w:line="360" w:lineRule="auto"/>
        <w:ind w:firstLine="480" w:firstLineChars="200"/>
        <w:rPr>
          <w:rFonts w:asciiTheme="minorEastAsia" w:hAnsiTheme="minorEastAsia" w:eastAsiaTheme="minorEastAsia"/>
          <w:bCs/>
          <w:sz w:val="24"/>
          <w:szCs w:val="24"/>
        </w:rPr>
      </w:pPr>
      <w:r>
        <w:rPr>
          <w:rFonts w:hint="eastAsia" w:asciiTheme="minorEastAsia" w:hAnsiTheme="minorEastAsia" w:eastAsiaTheme="minorEastAsia"/>
          <w:sz w:val="24"/>
          <w:szCs w:val="24"/>
        </w:rPr>
        <w:t>本项目产生的</w:t>
      </w:r>
      <w:r>
        <w:rPr>
          <w:rFonts w:hint="eastAsia" w:asciiTheme="minorEastAsia" w:hAnsiTheme="minorEastAsia" w:eastAsiaTheme="minorEastAsia"/>
          <w:bCs/>
          <w:sz w:val="24"/>
          <w:szCs w:val="24"/>
        </w:rPr>
        <w:t>固体</w:t>
      </w:r>
      <w:r>
        <w:rPr>
          <w:rFonts w:hint="eastAsia" w:asciiTheme="minorEastAsia" w:hAnsiTheme="minorEastAsia" w:eastAsiaTheme="minorEastAsia"/>
          <w:sz w:val="24"/>
          <w:szCs w:val="24"/>
        </w:rPr>
        <w:t>废物包括包括生活垃圾、生化池污泥、便利店包装废物、危险废物</w:t>
      </w:r>
      <w:r>
        <w:rPr>
          <w:rFonts w:hint="eastAsia" w:asciiTheme="minorEastAsia" w:hAnsiTheme="minorEastAsia" w:eastAsiaTheme="minorEastAsia"/>
          <w:bCs/>
          <w:sz w:val="24"/>
          <w:szCs w:val="24"/>
        </w:rPr>
        <w:t>。</w:t>
      </w:r>
    </w:p>
    <w:p>
      <w:pPr>
        <w:adjustRightInd w:val="0"/>
        <w:snapToGrid w:val="0"/>
        <w:spacing w:line="360" w:lineRule="auto"/>
        <w:ind w:firstLine="480" w:firstLineChars="200"/>
        <w:rPr>
          <w:rFonts w:asciiTheme="minorEastAsia" w:hAnsiTheme="minorEastAsia" w:eastAsiaTheme="minorEastAsia"/>
          <w:bCs/>
          <w:sz w:val="24"/>
          <w:szCs w:val="24"/>
        </w:rPr>
      </w:pPr>
      <w:r>
        <w:rPr>
          <w:rFonts w:asciiTheme="minorEastAsia" w:hAnsiTheme="minorEastAsia" w:eastAsiaTheme="minorEastAsia"/>
          <w:sz w:val="24"/>
          <w:szCs w:val="24"/>
        </w:rPr>
        <w:t>油罐清洗废物、</w:t>
      </w:r>
      <w:r>
        <w:rPr>
          <w:rFonts w:hint="eastAsia" w:asciiTheme="minorEastAsia" w:hAnsiTheme="minorEastAsia" w:eastAsiaTheme="minorEastAsia"/>
          <w:sz w:val="24"/>
          <w:szCs w:val="24"/>
        </w:rPr>
        <w:t>隔油池油泥、废油、</w:t>
      </w:r>
      <w:r>
        <w:rPr>
          <w:rFonts w:hint="eastAsia" w:asciiTheme="minorEastAsia" w:hAnsiTheme="minorEastAsia" w:eastAsiaTheme="minorEastAsia"/>
          <w:bCs/>
          <w:sz w:val="24"/>
          <w:szCs w:val="24"/>
        </w:rPr>
        <w:t>含油棉纱及手套、油水混合物</w:t>
      </w:r>
      <w:r>
        <w:rPr>
          <w:rFonts w:hint="eastAsia" w:asciiTheme="minorEastAsia" w:hAnsiTheme="minorEastAsia" w:eastAsiaTheme="minorEastAsia"/>
          <w:sz w:val="24"/>
          <w:szCs w:val="24"/>
        </w:rPr>
        <w:t>等危险废物暂存于铁桶内，定期交有危废资质单位处理</w:t>
      </w:r>
      <w:r>
        <w:rPr>
          <w:rFonts w:hint="eastAsia"/>
          <w:bCs/>
          <w:sz w:val="24"/>
          <w:szCs w:val="24"/>
        </w:rPr>
        <w:t>；</w:t>
      </w:r>
      <w:r>
        <w:rPr>
          <w:rFonts w:asciiTheme="minorEastAsia" w:hAnsiTheme="minorEastAsia" w:eastAsiaTheme="minorEastAsia"/>
          <w:bCs/>
          <w:sz w:val="24"/>
          <w:szCs w:val="24"/>
        </w:rPr>
        <w:t>生活垃圾由环卫部门收集后</w:t>
      </w:r>
      <w:r>
        <w:rPr>
          <w:rFonts w:hint="eastAsia" w:asciiTheme="minorEastAsia" w:hAnsiTheme="minorEastAsia" w:eastAsiaTheme="minorEastAsia"/>
          <w:bCs/>
          <w:sz w:val="24"/>
          <w:szCs w:val="24"/>
        </w:rPr>
        <w:t>处理，生化池污泥由由指定单位定期清掏并送城市生活垃圾填埋场处置。</w:t>
      </w:r>
    </w:p>
    <w:p>
      <w:pPr>
        <w:pStyle w:val="62"/>
        <w:rPr>
          <w:rFonts w:cs="Times New Roman"/>
          <w:color w:val="auto"/>
          <w:sz w:val="32"/>
        </w:rPr>
      </w:pPr>
      <w:bookmarkStart w:id="73" w:name="_Toc32072"/>
      <w:r>
        <w:rPr>
          <w:rFonts w:hint="eastAsia" w:cs="Times New Roman"/>
          <w:color w:val="auto"/>
          <w:sz w:val="32"/>
        </w:rPr>
        <w:t>4.2其他环保设施</w:t>
      </w:r>
      <w:bookmarkEnd w:id="73"/>
    </w:p>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2</w:t>
      </w:r>
      <w:r>
        <w:rPr>
          <w:b/>
          <w:sz w:val="28"/>
          <w:szCs w:val="28"/>
          <w:lang w:val="en-IE"/>
        </w:rPr>
        <w:t>.</w:t>
      </w:r>
      <w:r>
        <w:rPr>
          <w:rFonts w:hint="eastAsia"/>
          <w:b/>
          <w:sz w:val="28"/>
          <w:szCs w:val="28"/>
          <w:lang w:val="en-IE"/>
        </w:rPr>
        <w:t>1环境风险防范设施</w:t>
      </w:r>
    </w:p>
    <w:p>
      <w:pPr>
        <w:adjustRightInd w:val="0"/>
        <w:snapToGrid w:val="0"/>
        <w:spacing w:line="540" w:lineRule="exact"/>
        <w:ind w:firstLine="480" w:firstLineChars="200"/>
        <w:rPr>
          <w:rFonts w:asciiTheme="minorEastAsia" w:hAnsiTheme="minorEastAsia" w:eastAsiaTheme="minorEastAsia"/>
          <w:bCs/>
          <w:sz w:val="24"/>
          <w:szCs w:val="24"/>
        </w:rPr>
      </w:pPr>
      <w:r>
        <w:rPr>
          <w:rFonts w:hint="eastAsia" w:asciiTheme="minorEastAsia" w:hAnsiTheme="minorEastAsia" w:eastAsiaTheme="minorEastAsia"/>
          <w:bCs/>
          <w:sz w:val="24"/>
          <w:szCs w:val="24"/>
        </w:rPr>
        <w:t>本项目编制了《突发环境事件应急预案》、《突发环境事件风险评估报告》确保事故发生时能够得到及时有效的处理。</w:t>
      </w:r>
    </w:p>
    <w:p>
      <w:pPr>
        <w:adjustRightInd w:val="0"/>
        <w:snapToGrid w:val="0"/>
        <w:spacing w:line="540" w:lineRule="exact"/>
        <w:ind w:firstLine="480" w:firstLineChars="200"/>
        <w:rPr>
          <w:rFonts w:asciiTheme="minorEastAsia" w:hAnsiTheme="minorEastAsia" w:eastAsiaTheme="minorEastAsia"/>
          <w:bCs/>
          <w:sz w:val="24"/>
          <w:szCs w:val="24"/>
        </w:rPr>
      </w:pPr>
      <w:r>
        <w:rPr>
          <w:rFonts w:hint="eastAsia" w:asciiTheme="minorEastAsia" w:hAnsiTheme="minorEastAsia" w:eastAsiaTheme="minorEastAsia"/>
          <w:bCs/>
          <w:sz w:val="24"/>
          <w:szCs w:val="24"/>
        </w:rPr>
        <w:t>本项目油罐均为双层油罐，均设置了液位仪和测漏仪，若油罐破裂，油品泄漏在罐内，不会外泄，同时终端会声音报警，罐池采用防渗钢筋混凝土整体浇筑。</w:t>
      </w:r>
    </w:p>
    <w:p>
      <w:pPr>
        <w:adjustRightInd w:val="0"/>
        <w:snapToGrid w:val="0"/>
        <w:spacing w:line="540" w:lineRule="exact"/>
        <w:ind w:firstLine="480" w:firstLineChars="200"/>
        <w:rPr>
          <w:rFonts w:asciiTheme="minorEastAsia" w:hAnsiTheme="minorEastAsia" w:eastAsiaTheme="minorEastAsia"/>
          <w:bCs/>
          <w:sz w:val="24"/>
          <w:szCs w:val="24"/>
        </w:rPr>
      </w:pPr>
      <w:r>
        <w:rPr>
          <w:rFonts w:hint="eastAsia" w:asciiTheme="minorEastAsia" w:hAnsiTheme="minorEastAsia" w:eastAsiaTheme="minorEastAsia"/>
          <w:bCs/>
          <w:sz w:val="24"/>
          <w:szCs w:val="24"/>
        </w:rPr>
        <w:t>本项目配</w:t>
      </w:r>
      <w:r>
        <w:rPr>
          <w:rFonts w:hAnsiTheme="minorEastAsia" w:eastAsiaTheme="minorEastAsia"/>
          <w:bCs/>
          <w:sz w:val="24"/>
          <w:szCs w:val="24"/>
        </w:rPr>
        <w:t>备应急物资与装备，详见表</w:t>
      </w:r>
      <w:r>
        <w:rPr>
          <w:rFonts w:eastAsiaTheme="minorEastAsia"/>
          <w:bCs/>
          <w:sz w:val="24"/>
          <w:szCs w:val="24"/>
        </w:rPr>
        <w:t>4-1</w:t>
      </w:r>
      <w:r>
        <w:rPr>
          <w:rFonts w:hAnsiTheme="minorEastAsia" w:eastAsiaTheme="minorEastAsia"/>
          <w:bCs/>
          <w:sz w:val="24"/>
          <w:szCs w:val="24"/>
        </w:rPr>
        <w:t>，图</w:t>
      </w:r>
      <w:r>
        <w:rPr>
          <w:rFonts w:eastAsiaTheme="minorEastAsia"/>
          <w:bCs/>
          <w:sz w:val="24"/>
          <w:szCs w:val="24"/>
        </w:rPr>
        <w:t>4-</w:t>
      </w:r>
      <w:r>
        <w:rPr>
          <w:rFonts w:hint="eastAsia" w:eastAsiaTheme="minorEastAsia"/>
          <w:bCs/>
          <w:sz w:val="24"/>
          <w:szCs w:val="24"/>
        </w:rPr>
        <w:t>3</w:t>
      </w:r>
      <w:r>
        <w:rPr>
          <w:rFonts w:hAnsiTheme="minorEastAsia" w:eastAsiaTheme="minorEastAsia"/>
          <w:bCs/>
          <w:sz w:val="24"/>
          <w:szCs w:val="24"/>
        </w:rPr>
        <w:t>。</w:t>
      </w:r>
    </w:p>
    <w:p>
      <w:pPr>
        <w:adjustRightInd w:val="0"/>
        <w:snapToGrid w:val="0"/>
        <w:spacing w:line="540" w:lineRule="exact"/>
        <w:jc w:val="center"/>
        <w:rPr>
          <w:rFonts w:hAnsiTheme="minorEastAsia" w:eastAsiaTheme="minorEastAsia"/>
          <w:b/>
          <w:bCs/>
          <w:sz w:val="24"/>
          <w:szCs w:val="24"/>
        </w:rPr>
      </w:pPr>
      <w:r>
        <w:rPr>
          <w:rFonts w:hAnsiTheme="minorEastAsia" w:eastAsiaTheme="minorEastAsia"/>
          <w:b/>
          <w:bCs/>
          <w:sz w:val="24"/>
          <w:szCs w:val="24"/>
        </w:rPr>
        <w:t>表</w:t>
      </w:r>
      <w:r>
        <w:rPr>
          <w:rFonts w:eastAsiaTheme="minorEastAsia"/>
          <w:b/>
          <w:bCs/>
          <w:sz w:val="24"/>
          <w:szCs w:val="24"/>
        </w:rPr>
        <w:t xml:space="preserve">4-1 </w:t>
      </w:r>
      <w:r>
        <w:rPr>
          <w:rFonts w:hAnsiTheme="minorEastAsia" w:eastAsiaTheme="minorEastAsia"/>
          <w:b/>
          <w:bCs/>
          <w:sz w:val="24"/>
          <w:szCs w:val="24"/>
        </w:rPr>
        <w:t>应急物资表</w:t>
      </w:r>
    </w:p>
    <w:tbl>
      <w:tblPr>
        <w:tblStyle w:val="2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2744"/>
        <w:gridCol w:w="2280"/>
        <w:gridCol w:w="975"/>
        <w:gridCol w:w="2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安全设施类别</w:t>
            </w:r>
          </w:p>
        </w:tc>
        <w:tc>
          <w:tcPr>
            <w:tcW w:w="147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设置的安全设施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已设置的安全设施</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数量</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储存或放置位置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预防事故设施</w:t>
            </w: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检测、报警设施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防雷、防静电装置</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站房、罩棚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视频监控系统</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1</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eastAsia" w:ascii="Times New Roman" w:hAnsi="Times New Roman" w:eastAsia="宋体" w:cs="宋体"/>
                <w:snapToGrid/>
                <w:color w:val="000000"/>
                <w:kern w:val="2"/>
                <w:sz w:val="21"/>
                <w:szCs w:val="21"/>
                <w:lang w:val="en-US" w:eastAsia="zh-CN" w:bidi="ar"/>
              </w:rPr>
              <w:t>机柜室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带高液位显示报警器的液位计</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1</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机柜室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工艺设施设备安全装置</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加油油气回收系统</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1</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防静电设施</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3</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eastAsia" w:ascii="Times New Roman" w:hAnsi="Times New Roman" w:eastAsia="宋体" w:cs="宋体"/>
                <w:snapToGrid/>
                <w:color w:val="000000"/>
                <w:kern w:val="2"/>
                <w:sz w:val="21"/>
                <w:szCs w:val="21"/>
                <w:lang w:val="en-US" w:eastAsia="zh-CN" w:bidi="ar"/>
              </w:rPr>
              <w:t>罩棚、油罐、站房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作业场所防护设施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密闭防渗漏油罐隔池</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3</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eastAsia" w:ascii="Times New Roman" w:hAnsi="Times New Roman" w:eastAsia="宋体" w:cs="宋体"/>
                <w:snapToGrid/>
                <w:color w:val="000000"/>
                <w:kern w:val="2"/>
                <w:sz w:val="21"/>
                <w:szCs w:val="21"/>
                <w:lang w:val="en-US" w:eastAsia="zh-CN" w:bidi="ar"/>
              </w:rPr>
              <w:t>油罐区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防撞柱</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4</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人体静电导除器</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1</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卸油区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安全警示标志</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各种安全标志、标识</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8</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控制事故设施</w:t>
            </w: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泄压和止逆设施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通气管及阻火器</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3</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卸油区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呼吸阀</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3</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卸油区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紧急处理设施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气动紧急截断阀</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加油站现场、便利店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检测立井</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3</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油罐区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应急照明</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4</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拉断阀</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4</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电源避雷保护器</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1</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配电箱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减少与消除事故影响设施</w:t>
            </w: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灭火设施</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灭火毯</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消防间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消防沙</w:t>
            </w:r>
          </w:p>
        </w:tc>
        <w:tc>
          <w:tcPr>
            <w:tcW w:w="525" w:type="pct"/>
            <w:tcBorders>
              <w:top w:val="single" w:color="auto" w:sz="4" w:space="0"/>
              <w:left w:val="nil"/>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rPr>
            </w:pPr>
            <w:r>
              <w:rPr>
                <w:rFonts w:hint="eastAsia" w:ascii="Times New Roman" w:hAnsi="Times New Roman" w:eastAsia="宋体" w:cs="Times New Roman"/>
                <w:snapToGrid/>
                <w:color w:val="000000"/>
                <w:kern w:val="2"/>
                <w:sz w:val="21"/>
                <w:szCs w:val="21"/>
                <w:lang w:val="en-US" w:eastAsia="zh-CN" w:bidi="ar"/>
              </w:rPr>
              <w:t>3</w:t>
            </w:r>
            <w:r>
              <w:rPr>
                <w:rFonts w:hint="default" w:ascii="Times New Roman" w:hAnsi="Times New Roman" w:eastAsia="宋体" w:cs="Times New Roman"/>
                <w:snapToGrid/>
                <w:color w:val="000000"/>
                <w:kern w:val="2"/>
                <w:sz w:val="21"/>
                <w:szCs w:val="21"/>
                <w:lang w:val="en-US" w:eastAsia="zh-CN" w:bidi="ar"/>
              </w:rPr>
              <w:t>m</w:t>
            </w:r>
            <w:r>
              <w:rPr>
                <w:rFonts w:hint="eastAsia" w:ascii="Times New Roman" w:hAnsi="Times New Roman" w:eastAsia="宋体" w:cs="Times New Roman"/>
                <w:snapToGrid/>
                <w:color w:val="000000"/>
                <w:kern w:val="2"/>
                <w:sz w:val="21"/>
                <w:szCs w:val="21"/>
                <w:vertAlign w:val="superscript"/>
                <w:lang w:val="en-US" w:eastAsia="zh-CN" w:bidi="ar"/>
              </w:rPr>
              <w:t>3</w:t>
            </w:r>
          </w:p>
        </w:tc>
        <w:tc>
          <w:tcPr>
            <w:tcW w:w="1101"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消防间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消防铲</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2</w:t>
            </w:r>
          </w:p>
        </w:tc>
        <w:tc>
          <w:tcPr>
            <w:tcW w:w="1101"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消防桶</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2</w:t>
            </w:r>
          </w:p>
        </w:tc>
        <w:tc>
          <w:tcPr>
            <w:tcW w:w="1101"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吸油棉</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10</w:t>
            </w:r>
            <w:r>
              <w:rPr>
                <w:rFonts w:hint="default" w:ascii="Times New Roman" w:hAnsi="Times New Roman" w:eastAsia="宋体" w:cs="Times New Roman"/>
                <w:snapToGrid/>
                <w:color w:val="000000"/>
                <w:kern w:val="2"/>
                <w:sz w:val="21"/>
                <w:szCs w:val="21"/>
                <w:lang w:val="en-US" w:eastAsia="zh-CN" w:bidi="ar"/>
              </w:rPr>
              <w:t xml:space="preserve">   </w:t>
            </w:r>
          </w:p>
        </w:tc>
        <w:tc>
          <w:tcPr>
            <w:tcW w:w="1101"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推车式干粉灭火器</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lang w:val="en-US" w:eastAsia="zh-CN"/>
              </w:rPr>
            </w:pPr>
            <w:r>
              <w:rPr>
                <w:rFonts w:hint="eastAsia" w:ascii="Times New Roman" w:hAnsi="Times New Roman" w:eastAsia="宋体" w:cs="宋体"/>
                <w:color w:val="000000"/>
                <w:kern w:val="2"/>
                <w:sz w:val="21"/>
                <w:szCs w:val="21"/>
                <w:lang w:val="en-US" w:eastAsia="zh-CN"/>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手提式干粉灭火器</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8</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逃生避难设置</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安全出口</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劳保用品和装备</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个人防护用品</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4</w:t>
            </w:r>
          </w:p>
        </w:tc>
        <w:tc>
          <w:tcPr>
            <w:tcW w:w="1101"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工程抢险装备、现场受伤人员医疗抢救装备</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医疗急救包</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1</w:t>
            </w:r>
          </w:p>
        </w:tc>
        <w:tc>
          <w:tcPr>
            <w:tcW w:w="1101"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疏导箱</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p>
        </w:tc>
        <w:tc>
          <w:tcPr>
            <w:tcW w:w="1101"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逃生和避难的安全通道（梯）、避难信号、避难指示标志</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人员紧急疏散通道</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restart"/>
            <w:tcBorders>
              <w:top w:val="nil"/>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头部，面部，呼吸器官，四肢，躯干防火、防毒、防高处坠落等免受作业场所物理、化学因素伤害的劳动防护用品和装备</w:t>
            </w: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防静电工作服</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6</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防静电手套</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Times New Roman"/>
                <w:snapToGrid/>
                <w:color w:val="000000"/>
                <w:kern w:val="2"/>
                <w:sz w:val="21"/>
                <w:szCs w:val="21"/>
                <w:lang w:val="en-US" w:eastAsia="zh-CN" w:bidi="ar"/>
              </w:rPr>
              <w:t>2</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66"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478" w:type="pct"/>
            <w:vMerge w:val="continue"/>
            <w:tcBorders>
              <w:top w:val="nil"/>
              <w:left w:val="nil"/>
              <w:bottom w:val="single" w:color="auto" w:sz="4" w:space="0"/>
              <w:right w:val="single" w:color="auto" w:sz="4" w:space="0"/>
            </w:tcBorders>
            <w:noWrap w:val="0"/>
            <w:vAlign w:val="center"/>
          </w:tcPr>
          <w:p>
            <w:pPr>
              <w:keepNext w:val="0"/>
              <w:keepLines w:val="0"/>
              <w:pageBreakBefore w:val="0"/>
              <w:kinsoku/>
              <w:wordWrap/>
              <w:overflowPunct/>
              <w:topLinePunct w:val="0"/>
              <w:autoSpaceDN/>
              <w:bidi w:val="0"/>
              <w:adjustRightInd w:val="0"/>
              <w:snapToGrid w:val="0"/>
              <w:spacing w:line="240" w:lineRule="auto"/>
              <w:textAlignment w:val="auto"/>
              <w:rPr>
                <w:rFonts w:hint="default" w:ascii="Times New Roman" w:hAnsi="Times New Roman" w:cs="Times New Roman"/>
                <w:color w:val="000000"/>
                <w:sz w:val="20"/>
                <w:szCs w:val="20"/>
              </w:rPr>
            </w:pPr>
          </w:p>
        </w:tc>
        <w:tc>
          <w:tcPr>
            <w:tcW w:w="122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rPr>
            </w:pPr>
            <w:r>
              <w:rPr>
                <w:rFonts w:hint="eastAsia" w:ascii="Times New Roman" w:hAnsi="Times New Roman" w:eastAsia="宋体" w:cs="宋体"/>
                <w:snapToGrid/>
                <w:color w:val="000000"/>
                <w:kern w:val="2"/>
                <w:sz w:val="21"/>
                <w:szCs w:val="21"/>
                <w:lang w:val="en-US" w:eastAsia="zh-CN" w:bidi="ar"/>
              </w:rPr>
              <w:t>防护口罩</w:t>
            </w:r>
          </w:p>
        </w:tc>
        <w:tc>
          <w:tcPr>
            <w:tcW w:w="52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default" w:ascii="Times New Roman" w:hAnsi="Times New Roman" w:eastAsia="宋体" w:cs="Times New Roman"/>
                <w:snapToGrid/>
                <w:color w:val="000000"/>
                <w:kern w:val="2"/>
                <w:sz w:val="21"/>
                <w:szCs w:val="21"/>
                <w:lang w:val="en-US" w:eastAsia="zh-CN" w:bidi="ar"/>
              </w:rPr>
              <w:t>4</w:t>
            </w:r>
          </w:p>
        </w:tc>
        <w:tc>
          <w:tcPr>
            <w:tcW w:w="11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宋体"/>
                <w:color w:val="000000"/>
                <w:kern w:val="2"/>
                <w:sz w:val="21"/>
                <w:szCs w:val="21"/>
              </w:rPr>
            </w:pPr>
            <w:r>
              <w:rPr>
                <w:rFonts w:hint="eastAsia" w:ascii="Times New Roman" w:hAnsi="Times New Roman" w:eastAsia="宋体" w:cs="宋体"/>
                <w:snapToGrid/>
                <w:color w:val="000000"/>
                <w:kern w:val="2"/>
                <w:sz w:val="21"/>
                <w:szCs w:val="21"/>
                <w:lang w:val="en-US" w:eastAsia="zh-CN" w:bidi="ar"/>
              </w:rPr>
              <w:t>加油站</w:t>
            </w:r>
          </w:p>
        </w:tc>
      </w:tr>
    </w:tbl>
    <w:p>
      <w:pPr>
        <w:adjustRightInd w:val="0"/>
        <w:snapToGrid w:val="0"/>
        <w:spacing w:line="360" w:lineRule="auto"/>
        <w:rPr>
          <w:b/>
          <w:sz w:val="28"/>
          <w:szCs w:val="28"/>
          <w:lang w:val="en-IE"/>
        </w:rPr>
      </w:pPr>
      <w:r>
        <w:rPr>
          <w:rFonts w:hint="eastAsia"/>
          <w:b/>
          <w:sz w:val="28"/>
          <w:szCs w:val="28"/>
          <w:lang w:val="en-IE"/>
        </w:rPr>
        <w:t>4</w:t>
      </w:r>
      <w:r>
        <w:rPr>
          <w:b/>
          <w:sz w:val="28"/>
          <w:szCs w:val="28"/>
          <w:lang w:val="en-IE"/>
        </w:rPr>
        <w:t>.</w:t>
      </w:r>
      <w:r>
        <w:rPr>
          <w:rFonts w:hint="eastAsia"/>
          <w:b/>
          <w:sz w:val="28"/>
          <w:szCs w:val="28"/>
          <w:lang w:val="en-IE"/>
        </w:rPr>
        <w:t>2</w:t>
      </w:r>
      <w:r>
        <w:rPr>
          <w:b/>
          <w:sz w:val="28"/>
          <w:szCs w:val="28"/>
          <w:lang w:val="en-IE"/>
        </w:rPr>
        <w:t>.</w:t>
      </w:r>
      <w:r>
        <w:rPr>
          <w:rFonts w:hint="eastAsia"/>
          <w:b/>
          <w:sz w:val="28"/>
          <w:szCs w:val="28"/>
          <w:lang w:val="en-IE"/>
        </w:rPr>
        <w:t>1绿化</w:t>
      </w:r>
    </w:p>
    <w:p>
      <w:pPr>
        <w:spacing w:line="540" w:lineRule="exact"/>
        <w:ind w:firstLine="600" w:firstLineChars="250"/>
        <w:jc w:val="left"/>
        <w:rPr>
          <w:rFonts w:eastAsiaTheme="minorEastAsia"/>
          <w:bCs/>
          <w:sz w:val="24"/>
          <w:szCs w:val="24"/>
        </w:rPr>
      </w:pPr>
      <w:r>
        <w:rPr>
          <w:rFonts w:hAnsiTheme="minorEastAsia" w:eastAsiaTheme="minorEastAsia"/>
          <w:bCs/>
          <w:sz w:val="24"/>
          <w:szCs w:val="24"/>
        </w:rPr>
        <w:t>本项目绿化面积</w:t>
      </w:r>
      <w:r>
        <w:rPr>
          <w:rFonts w:hint="eastAsia" w:eastAsiaTheme="minorEastAsia"/>
          <w:bCs/>
          <w:sz w:val="24"/>
          <w:szCs w:val="24"/>
          <w:lang w:val="en-US" w:eastAsia="zh-CN"/>
        </w:rPr>
        <w:t>1</w:t>
      </w:r>
      <w:r>
        <w:rPr>
          <w:rFonts w:eastAsiaTheme="minorEastAsia"/>
          <w:bCs/>
          <w:sz w:val="24"/>
          <w:szCs w:val="24"/>
        </w:rPr>
        <w:t>0m</w:t>
      </w:r>
      <w:r>
        <w:rPr>
          <w:rFonts w:eastAsiaTheme="minorEastAsia"/>
          <w:bCs/>
          <w:sz w:val="24"/>
          <w:szCs w:val="24"/>
          <w:vertAlign w:val="superscript"/>
        </w:rPr>
        <w:t>2</w:t>
      </w:r>
      <w:r>
        <w:rPr>
          <w:rFonts w:hint="eastAsia" w:eastAsiaTheme="minorEastAsia"/>
          <w:bCs/>
          <w:sz w:val="24"/>
          <w:szCs w:val="24"/>
        </w:rPr>
        <w:t>。</w:t>
      </w:r>
    </w:p>
    <w:p>
      <w:pPr>
        <w:spacing w:line="240" w:lineRule="exact"/>
        <w:ind w:firstLine="703" w:firstLineChars="250"/>
        <w:jc w:val="left"/>
        <w:rPr>
          <w:b/>
          <w:bCs/>
          <w:color w:val="000000"/>
          <w:sz w:val="28"/>
          <w:szCs w:val="28"/>
        </w:rPr>
      </w:pPr>
    </w:p>
    <w:p>
      <w:pPr>
        <w:pStyle w:val="62"/>
        <w:rPr>
          <w:rFonts w:cs="Times New Roman"/>
          <w:color w:val="auto"/>
          <w:sz w:val="32"/>
        </w:rPr>
      </w:pPr>
      <w:bookmarkStart w:id="74" w:name="_Toc1157"/>
      <w:r>
        <w:rPr>
          <w:rFonts w:hint="eastAsia" w:cs="Times New Roman"/>
          <w:color w:val="auto"/>
          <w:sz w:val="32"/>
        </w:rPr>
        <w:t>4.3环保设施投资及“三同时”落实情况</w:t>
      </w:r>
      <w:bookmarkEnd w:id="74"/>
    </w:p>
    <w:p>
      <w:pPr>
        <w:spacing w:line="540" w:lineRule="exact"/>
        <w:ind w:firstLine="480" w:firstLineChars="200"/>
        <w:rPr>
          <w:bCs/>
          <w:sz w:val="24"/>
          <w:szCs w:val="24"/>
        </w:rPr>
      </w:pPr>
      <w:r>
        <w:rPr>
          <w:rFonts w:hint="eastAsia"/>
          <w:sz w:val="24"/>
          <w:szCs w:val="24"/>
        </w:rPr>
        <w:t>本</w:t>
      </w:r>
      <w:r>
        <w:rPr>
          <w:bCs/>
          <w:sz w:val="24"/>
          <w:szCs w:val="24"/>
        </w:rPr>
        <w:t>项目做到了环保设施与主体工程同时设计、同时施工、同时投入运行</w:t>
      </w:r>
      <w:r>
        <w:rPr>
          <w:rFonts w:hint="eastAsia"/>
          <w:bCs/>
          <w:sz w:val="24"/>
          <w:szCs w:val="24"/>
        </w:rPr>
        <w:t>，严格执行了环境保护“</w:t>
      </w:r>
      <w:r>
        <w:rPr>
          <w:bCs/>
          <w:sz w:val="24"/>
          <w:szCs w:val="24"/>
        </w:rPr>
        <w:t>三同时</w:t>
      </w:r>
      <w:r>
        <w:rPr>
          <w:rFonts w:hint="eastAsia"/>
          <w:bCs/>
          <w:sz w:val="24"/>
          <w:szCs w:val="24"/>
        </w:rPr>
        <w:t>”制度</w:t>
      </w:r>
      <w:r>
        <w:rPr>
          <w:bCs/>
          <w:sz w:val="24"/>
          <w:szCs w:val="24"/>
        </w:rPr>
        <w:t>。</w:t>
      </w:r>
    </w:p>
    <w:p>
      <w:pPr>
        <w:spacing w:line="540" w:lineRule="exact"/>
        <w:ind w:firstLine="480" w:firstLineChars="200"/>
        <w:rPr>
          <w:bCs/>
          <w:sz w:val="24"/>
          <w:szCs w:val="24"/>
        </w:rPr>
      </w:pPr>
      <w:r>
        <w:rPr>
          <w:rFonts w:hint="eastAsia"/>
          <w:bCs/>
          <w:sz w:val="24"/>
          <w:szCs w:val="24"/>
        </w:rPr>
        <w:t>工程实际环保投资情况见表4-2。</w:t>
      </w:r>
    </w:p>
    <w:p>
      <w:pPr>
        <w:spacing w:line="540" w:lineRule="exact"/>
        <w:jc w:val="center"/>
        <w:rPr>
          <w:b/>
          <w:bCs/>
          <w:sz w:val="28"/>
          <w:szCs w:val="28"/>
        </w:rPr>
      </w:pPr>
      <w:r>
        <w:rPr>
          <w:rFonts w:hint="eastAsia"/>
          <w:b/>
          <w:bCs/>
          <w:sz w:val="28"/>
          <w:szCs w:val="28"/>
        </w:rPr>
        <w:t>表4-2    实际环保投资一览表</w:t>
      </w:r>
    </w:p>
    <w:tbl>
      <w:tblPr>
        <w:tblStyle w:val="27"/>
        <w:tblW w:w="928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01"/>
        <w:gridCol w:w="5089"/>
        <w:gridCol w:w="309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序号</w:t>
            </w:r>
          </w:p>
        </w:tc>
        <w:tc>
          <w:tcPr>
            <w:tcW w:w="5089" w:type="dxa"/>
            <w:vAlign w:val="center"/>
          </w:tcPr>
          <w:p>
            <w:pPr>
              <w:widowControl/>
              <w:jc w:val="center"/>
              <w:rPr>
                <w:szCs w:val="21"/>
              </w:rPr>
            </w:pPr>
            <w:r>
              <w:rPr>
                <w:rFonts w:hint="eastAsia"/>
                <w:szCs w:val="21"/>
              </w:rPr>
              <w:t>名称</w:t>
            </w:r>
          </w:p>
        </w:tc>
        <w:tc>
          <w:tcPr>
            <w:tcW w:w="3096" w:type="dxa"/>
            <w:vAlign w:val="center"/>
          </w:tcPr>
          <w:p>
            <w:pPr>
              <w:widowControl/>
              <w:jc w:val="center"/>
              <w:rPr>
                <w:szCs w:val="21"/>
              </w:rPr>
            </w:pPr>
            <w:r>
              <w:rPr>
                <w:rFonts w:hint="eastAsia"/>
                <w:szCs w:val="21"/>
              </w:rPr>
              <w:t>金额（万元）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1</w:t>
            </w:r>
          </w:p>
        </w:tc>
        <w:tc>
          <w:tcPr>
            <w:tcW w:w="5089" w:type="dxa"/>
            <w:vAlign w:val="center"/>
          </w:tcPr>
          <w:p>
            <w:pPr>
              <w:widowControl/>
              <w:jc w:val="center"/>
              <w:rPr>
                <w:szCs w:val="21"/>
              </w:rPr>
            </w:pPr>
            <w:r>
              <w:rPr>
                <w:rFonts w:hint="eastAsia"/>
                <w:szCs w:val="21"/>
              </w:rPr>
              <w:t>三段式隔油沉淀池及排水沟</w:t>
            </w:r>
          </w:p>
        </w:tc>
        <w:tc>
          <w:tcPr>
            <w:tcW w:w="3096" w:type="dxa"/>
            <w:vAlign w:val="center"/>
          </w:tcPr>
          <w:p>
            <w:pPr>
              <w:widowControl/>
              <w:jc w:val="center"/>
              <w:rPr>
                <w:rFonts w:hint="default" w:eastAsia="宋体"/>
                <w:szCs w:val="21"/>
                <w:lang w:val="en-US" w:eastAsia="zh-CN"/>
              </w:rPr>
            </w:pPr>
            <w:r>
              <w:rPr>
                <w:rFonts w:hint="eastAsia"/>
                <w:szCs w:val="21"/>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2</w:t>
            </w:r>
          </w:p>
        </w:tc>
        <w:tc>
          <w:tcPr>
            <w:tcW w:w="5089" w:type="dxa"/>
            <w:vAlign w:val="center"/>
          </w:tcPr>
          <w:p>
            <w:pPr>
              <w:widowControl/>
              <w:jc w:val="center"/>
              <w:rPr>
                <w:szCs w:val="21"/>
              </w:rPr>
            </w:pPr>
            <w:r>
              <w:rPr>
                <w:rFonts w:hint="eastAsia"/>
                <w:szCs w:val="21"/>
              </w:rPr>
              <w:t>生化池</w:t>
            </w:r>
          </w:p>
        </w:tc>
        <w:tc>
          <w:tcPr>
            <w:tcW w:w="3096" w:type="dxa"/>
            <w:vAlign w:val="center"/>
          </w:tcPr>
          <w:p>
            <w:pPr>
              <w:widowControl/>
              <w:jc w:val="center"/>
              <w:rPr>
                <w:rFonts w:hint="default" w:eastAsia="宋体"/>
                <w:szCs w:val="21"/>
                <w:lang w:val="en-US" w:eastAsia="zh-CN"/>
              </w:rPr>
            </w:pPr>
            <w:r>
              <w:rPr>
                <w:rFonts w:hint="eastAsia"/>
                <w:szCs w:val="21"/>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3</w:t>
            </w:r>
          </w:p>
        </w:tc>
        <w:tc>
          <w:tcPr>
            <w:tcW w:w="5089" w:type="dxa"/>
            <w:vAlign w:val="center"/>
          </w:tcPr>
          <w:p>
            <w:pPr>
              <w:widowControl/>
              <w:jc w:val="center"/>
              <w:rPr>
                <w:szCs w:val="21"/>
              </w:rPr>
            </w:pPr>
            <w:r>
              <w:rPr>
                <w:rFonts w:hint="eastAsia"/>
                <w:szCs w:val="21"/>
              </w:rPr>
              <w:t>油气回收系统</w:t>
            </w:r>
          </w:p>
        </w:tc>
        <w:tc>
          <w:tcPr>
            <w:tcW w:w="3096" w:type="dxa"/>
            <w:vAlign w:val="center"/>
          </w:tcPr>
          <w:p>
            <w:pPr>
              <w:widowControl/>
              <w:jc w:val="center"/>
              <w:rPr>
                <w:rFonts w:hint="default" w:eastAsia="宋体"/>
                <w:szCs w:val="21"/>
                <w:lang w:val="en-US" w:eastAsia="zh-CN"/>
              </w:rPr>
            </w:pPr>
            <w:r>
              <w:rPr>
                <w:rFonts w:hint="eastAsia"/>
                <w:szCs w:val="21"/>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4</w:t>
            </w:r>
          </w:p>
        </w:tc>
        <w:tc>
          <w:tcPr>
            <w:tcW w:w="5089" w:type="dxa"/>
            <w:vAlign w:val="center"/>
          </w:tcPr>
          <w:p>
            <w:pPr>
              <w:widowControl/>
              <w:jc w:val="center"/>
              <w:rPr>
                <w:szCs w:val="21"/>
              </w:rPr>
            </w:pPr>
            <w:r>
              <w:rPr>
                <w:rFonts w:hint="eastAsia"/>
                <w:szCs w:val="21"/>
              </w:rPr>
              <w:t>固体废物收集桶及危废处理</w:t>
            </w:r>
          </w:p>
        </w:tc>
        <w:tc>
          <w:tcPr>
            <w:tcW w:w="3096" w:type="dxa"/>
            <w:vAlign w:val="center"/>
          </w:tcPr>
          <w:p>
            <w:pPr>
              <w:widowControl/>
              <w:jc w:val="center"/>
              <w:rPr>
                <w:rFonts w:hint="eastAsia" w:eastAsia="宋体"/>
                <w:szCs w:val="21"/>
                <w:lang w:eastAsia="zh-CN"/>
              </w:rPr>
            </w:pPr>
            <w:r>
              <w:rPr>
                <w:rFonts w:hint="eastAsia"/>
                <w:szCs w:val="21"/>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szCs w:val="21"/>
              </w:rPr>
            </w:pPr>
            <w:r>
              <w:rPr>
                <w:rFonts w:hint="eastAsia"/>
                <w:szCs w:val="21"/>
              </w:rPr>
              <w:t>5</w:t>
            </w:r>
          </w:p>
        </w:tc>
        <w:tc>
          <w:tcPr>
            <w:tcW w:w="5089" w:type="dxa"/>
            <w:vAlign w:val="center"/>
          </w:tcPr>
          <w:p>
            <w:pPr>
              <w:widowControl/>
              <w:jc w:val="center"/>
              <w:rPr>
                <w:szCs w:val="21"/>
              </w:rPr>
            </w:pPr>
            <w:r>
              <w:rPr>
                <w:rFonts w:hint="eastAsia"/>
                <w:szCs w:val="21"/>
              </w:rPr>
              <w:t>噪声防治</w:t>
            </w:r>
          </w:p>
        </w:tc>
        <w:tc>
          <w:tcPr>
            <w:tcW w:w="3096" w:type="dxa"/>
            <w:vAlign w:val="center"/>
          </w:tcPr>
          <w:p>
            <w:pPr>
              <w:widowControl/>
              <w:jc w:val="center"/>
              <w:rPr>
                <w:rFonts w:hint="default" w:eastAsia="宋体"/>
                <w:szCs w:val="21"/>
                <w:lang w:val="en-US" w:eastAsia="zh-CN"/>
              </w:rPr>
            </w:pPr>
            <w:r>
              <w:rPr>
                <w:rFonts w:hint="eastAsia"/>
                <w:szCs w:val="21"/>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jc w:val="center"/>
              <w:rPr>
                <w:rFonts w:hint="eastAsia" w:eastAsia="宋体"/>
                <w:szCs w:val="21"/>
                <w:lang w:val="en-US" w:eastAsia="zh-CN"/>
              </w:rPr>
            </w:pPr>
            <w:r>
              <w:rPr>
                <w:rFonts w:hint="eastAsia"/>
                <w:szCs w:val="21"/>
                <w:lang w:val="en-US" w:eastAsia="zh-CN"/>
              </w:rPr>
              <w:t>6</w:t>
            </w:r>
          </w:p>
        </w:tc>
        <w:tc>
          <w:tcPr>
            <w:tcW w:w="5089" w:type="dxa"/>
            <w:vAlign w:val="center"/>
          </w:tcPr>
          <w:p>
            <w:pPr>
              <w:widowControl/>
              <w:jc w:val="center"/>
              <w:rPr>
                <w:rFonts w:hint="eastAsia" w:eastAsia="宋体"/>
                <w:szCs w:val="21"/>
                <w:lang w:eastAsia="zh-CN"/>
              </w:rPr>
            </w:pPr>
            <w:r>
              <w:rPr>
                <w:rFonts w:hint="eastAsia"/>
                <w:szCs w:val="21"/>
                <w:lang w:eastAsia="zh-CN"/>
              </w:rPr>
              <w:t>绿化</w:t>
            </w:r>
          </w:p>
        </w:tc>
        <w:tc>
          <w:tcPr>
            <w:tcW w:w="3096" w:type="dxa"/>
            <w:vAlign w:val="center"/>
          </w:tcPr>
          <w:p>
            <w:pPr>
              <w:widowControl/>
              <w:jc w:val="center"/>
              <w:rPr>
                <w:rFonts w:hint="default"/>
                <w:szCs w:val="21"/>
                <w:lang w:val="en-US" w:eastAsia="zh-CN"/>
              </w:rPr>
            </w:pPr>
            <w:r>
              <w:rPr>
                <w:rFonts w:hint="eastAsia"/>
                <w:szCs w:val="21"/>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01" w:type="dxa"/>
            <w:vAlign w:val="center"/>
          </w:tcPr>
          <w:p>
            <w:pPr>
              <w:widowControl/>
              <w:tabs>
                <w:tab w:val="left" w:pos="630"/>
              </w:tabs>
              <w:jc w:val="center"/>
              <w:rPr>
                <w:szCs w:val="21"/>
              </w:rPr>
            </w:pPr>
            <w:r>
              <w:rPr>
                <w:rFonts w:hint="eastAsia"/>
                <w:szCs w:val="21"/>
              </w:rPr>
              <w:t>6</w:t>
            </w:r>
          </w:p>
        </w:tc>
        <w:tc>
          <w:tcPr>
            <w:tcW w:w="5089" w:type="dxa"/>
            <w:vAlign w:val="center"/>
          </w:tcPr>
          <w:p>
            <w:pPr>
              <w:widowControl/>
              <w:jc w:val="center"/>
              <w:rPr>
                <w:szCs w:val="21"/>
              </w:rPr>
            </w:pPr>
            <w:r>
              <w:rPr>
                <w:rFonts w:hint="eastAsia"/>
                <w:szCs w:val="21"/>
              </w:rPr>
              <w:t>合计</w:t>
            </w:r>
          </w:p>
        </w:tc>
        <w:tc>
          <w:tcPr>
            <w:tcW w:w="3096" w:type="dxa"/>
            <w:vAlign w:val="center"/>
          </w:tcPr>
          <w:p>
            <w:pPr>
              <w:widowControl/>
              <w:jc w:val="center"/>
              <w:rPr>
                <w:rFonts w:hint="default" w:eastAsia="宋体"/>
                <w:szCs w:val="21"/>
                <w:lang w:val="en-US" w:eastAsia="zh-CN"/>
              </w:rPr>
            </w:pPr>
            <w:r>
              <w:rPr>
                <w:rFonts w:hint="eastAsia"/>
                <w:szCs w:val="21"/>
                <w:lang w:val="en-US" w:eastAsia="zh-CN"/>
              </w:rPr>
              <w:t>35</w:t>
            </w:r>
          </w:p>
        </w:tc>
      </w:tr>
    </w:tbl>
    <w:p>
      <w:pPr>
        <w:spacing w:line="540" w:lineRule="exact"/>
        <w:ind w:firstLine="560" w:firstLineChars="200"/>
        <w:rPr>
          <w:bCs/>
          <w:color w:val="000000"/>
          <w:sz w:val="28"/>
          <w:szCs w:val="28"/>
        </w:rPr>
      </w:pPr>
    </w:p>
    <w:p>
      <w:pPr>
        <w:widowControl/>
        <w:jc w:val="left"/>
        <w:rPr>
          <w:bCs/>
          <w:color w:val="000000"/>
          <w:sz w:val="28"/>
          <w:szCs w:val="28"/>
        </w:rPr>
      </w:pPr>
      <w:r>
        <w:rPr>
          <w:bCs/>
          <w:color w:val="000000"/>
          <w:sz w:val="28"/>
          <w:szCs w:val="28"/>
        </w:rPr>
        <w:br w:type="page"/>
      </w:r>
    </w:p>
    <w:p>
      <w:pPr>
        <w:pStyle w:val="61"/>
        <w:spacing w:beforeLines="50"/>
        <w:rPr>
          <w:rFonts w:cs="Times New Roman"/>
          <w:sz w:val="36"/>
        </w:rPr>
      </w:pPr>
      <w:bookmarkStart w:id="75" w:name="_Toc362535749"/>
      <w:bookmarkStart w:id="76" w:name="_Toc305059566"/>
      <w:bookmarkStart w:id="77" w:name="_Toc361841101"/>
      <w:bookmarkStart w:id="78" w:name="_Toc341293110"/>
      <w:bookmarkStart w:id="79" w:name="_Toc332553920"/>
      <w:bookmarkStart w:id="80" w:name="_Toc341278425"/>
      <w:bookmarkStart w:id="81" w:name="_Toc321042419"/>
      <w:bookmarkStart w:id="82" w:name="_Toc361646653"/>
      <w:bookmarkStart w:id="83" w:name="_Toc341357474"/>
      <w:bookmarkStart w:id="84" w:name="_Toc341431727"/>
      <w:bookmarkStart w:id="85" w:name="_Toc418"/>
      <w:r>
        <w:rPr>
          <w:rFonts w:hint="eastAsia" w:cs="Times New Roman"/>
          <w:sz w:val="36"/>
        </w:rPr>
        <w:t>5</w:t>
      </w:r>
      <w:bookmarkEnd w:id="75"/>
      <w:bookmarkEnd w:id="76"/>
      <w:bookmarkEnd w:id="77"/>
      <w:bookmarkEnd w:id="78"/>
      <w:bookmarkEnd w:id="79"/>
      <w:bookmarkEnd w:id="80"/>
      <w:bookmarkEnd w:id="81"/>
      <w:bookmarkEnd w:id="82"/>
      <w:bookmarkEnd w:id="83"/>
      <w:bookmarkEnd w:id="84"/>
      <w:r>
        <w:rPr>
          <w:rFonts w:hint="eastAsia" w:cs="Times New Roman"/>
          <w:sz w:val="36"/>
        </w:rPr>
        <w:t>建设项目环评报告表的主要结论及审批部门审批决定</w:t>
      </w:r>
      <w:bookmarkEnd w:id="85"/>
    </w:p>
    <w:p>
      <w:pPr>
        <w:pStyle w:val="62"/>
        <w:rPr>
          <w:rFonts w:cs="Times New Roman"/>
          <w:sz w:val="32"/>
        </w:rPr>
      </w:pPr>
      <w:bookmarkStart w:id="86" w:name="_Toc361646654"/>
      <w:bookmarkStart w:id="87" w:name="_Toc341431728"/>
      <w:bookmarkStart w:id="88" w:name="_Toc321042420"/>
      <w:bookmarkStart w:id="89" w:name="_Toc341357475"/>
      <w:bookmarkStart w:id="90" w:name="_Toc362535750"/>
      <w:bookmarkStart w:id="91" w:name="_Toc341293111"/>
      <w:bookmarkStart w:id="92" w:name="_Toc341278426"/>
      <w:bookmarkStart w:id="93" w:name="_Toc305059567"/>
      <w:bookmarkStart w:id="94" w:name="_Toc332553921"/>
      <w:bookmarkStart w:id="95" w:name="_Toc361841102"/>
      <w:bookmarkStart w:id="96" w:name="_Toc9983"/>
      <w:r>
        <w:rPr>
          <w:rFonts w:hint="eastAsia" w:cs="Times New Roman"/>
          <w:sz w:val="32"/>
        </w:rPr>
        <w:t>5</w:t>
      </w:r>
      <w:r>
        <w:rPr>
          <w:rFonts w:cs="Times New Roman"/>
          <w:sz w:val="32"/>
        </w:rPr>
        <w:t xml:space="preserve">.1 </w:t>
      </w:r>
      <w:bookmarkEnd w:id="86"/>
      <w:bookmarkEnd w:id="87"/>
      <w:bookmarkEnd w:id="88"/>
      <w:bookmarkEnd w:id="89"/>
      <w:bookmarkEnd w:id="90"/>
      <w:bookmarkEnd w:id="91"/>
      <w:bookmarkEnd w:id="92"/>
      <w:bookmarkEnd w:id="93"/>
      <w:bookmarkEnd w:id="94"/>
      <w:bookmarkEnd w:id="95"/>
      <w:r>
        <w:rPr>
          <w:rFonts w:hint="eastAsia" w:cs="Times New Roman"/>
          <w:sz w:val="32"/>
        </w:rPr>
        <w:t>建设项目环评报告表的主要结论与建议</w:t>
      </w:r>
      <w:bookmarkEnd w:id="96"/>
    </w:p>
    <w:p>
      <w:pPr>
        <w:adjustRightInd w:val="0"/>
        <w:snapToGrid w:val="0"/>
        <w:spacing w:line="540" w:lineRule="exact"/>
        <w:rPr>
          <w:rFonts w:hint="eastAsia"/>
          <w:b/>
          <w:sz w:val="28"/>
          <w:szCs w:val="28"/>
          <w:lang w:val="en-IE" w:eastAsia="zh-CN"/>
        </w:rPr>
      </w:pPr>
      <w:r>
        <w:rPr>
          <w:b/>
          <w:sz w:val="28"/>
          <w:szCs w:val="28"/>
          <w:lang w:val="en-IE"/>
        </w:rPr>
        <w:t>5.1.1</w:t>
      </w:r>
      <w:r>
        <w:rPr>
          <w:rFonts w:hint="eastAsia"/>
          <w:b/>
          <w:sz w:val="28"/>
          <w:szCs w:val="28"/>
          <w:lang w:val="en-IE" w:eastAsia="zh-CN"/>
        </w:rPr>
        <w:t>项目概况</w:t>
      </w:r>
    </w:p>
    <w:p>
      <w:pPr>
        <w:adjustRightInd w:val="0"/>
        <w:snapToGrid w:val="0"/>
        <w:spacing w:line="540" w:lineRule="exact"/>
        <w:ind w:firstLine="480" w:firstLineChars="200"/>
        <w:rPr>
          <w:rFonts w:hint="eastAsia" w:eastAsiaTheme="minorEastAsia"/>
          <w:bCs/>
          <w:sz w:val="24"/>
          <w:szCs w:val="24"/>
        </w:rPr>
      </w:pPr>
      <w:r>
        <w:rPr>
          <w:rFonts w:hint="eastAsia"/>
          <w:sz w:val="24"/>
          <w:highlight w:val="none"/>
          <w:lang w:eastAsia="zh-CN"/>
        </w:rPr>
        <w:t>重庆渝顺投资有限公司顺洁加油站，</w:t>
      </w:r>
      <w:r>
        <w:rPr>
          <w:rFonts w:hint="eastAsia"/>
          <w:sz w:val="24"/>
          <w:highlight w:val="none"/>
          <w:lang w:val="en-US" w:eastAsia="zh-CN"/>
        </w:rPr>
        <w:t>地址位于重庆市江津区双福新区J05-18-1/03号地块。</w:t>
      </w:r>
      <w:r>
        <w:rPr>
          <w:rFonts w:hint="eastAsia" w:ascii="Times New Roman" w:hAnsi="宋体"/>
          <w:bCs/>
          <w:color w:val="auto"/>
          <w:sz w:val="24"/>
          <w:szCs w:val="24"/>
          <w:lang w:eastAsia="zh-CN"/>
        </w:rPr>
        <w:t>销售规模为 92#汽油</w:t>
      </w:r>
      <w:r>
        <w:rPr>
          <w:rFonts w:hint="eastAsia" w:ascii="Times New Roman" w:hAnsi="宋体"/>
          <w:bCs/>
          <w:color w:val="auto"/>
          <w:sz w:val="24"/>
          <w:szCs w:val="24"/>
          <w:lang w:val="en-US" w:eastAsia="zh-CN"/>
        </w:rPr>
        <w:t>4</w:t>
      </w:r>
      <w:r>
        <w:rPr>
          <w:rFonts w:hint="eastAsia" w:ascii="Times New Roman" w:hAnsi="宋体"/>
          <w:bCs/>
          <w:color w:val="auto"/>
          <w:sz w:val="24"/>
          <w:szCs w:val="24"/>
          <w:lang w:eastAsia="zh-CN"/>
        </w:rPr>
        <w:t xml:space="preserve"> t/d（</w:t>
      </w:r>
      <w:r>
        <w:rPr>
          <w:rFonts w:hint="eastAsia" w:ascii="Times New Roman" w:hAnsi="宋体"/>
          <w:bCs/>
          <w:color w:val="auto"/>
          <w:sz w:val="24"/>
          <w:szCs w:val="24"/>
          <w:lang w:val="en-US" w:eastAsia="zh-CN"/>
        </w:rPr>
        <w:t>1460</w:t>
      </w:r>
      <w:r>
        <w:rPr>
          <w:rFonts w:hint="eastAsia" w:ascii="Times New Roman" w:hAnsi="宋体"/>
          <w:bCs/>
          <w:color w:val="auto"/>
          <w:sz w:val="24"/>
          <w:szCs w:val="24"/>
          <w:lang w:eastAsia="zh-CN"/>
        </w:rPr>
        <w:t xml:space="preserve"> t/a）、95#汽油1t/d（365 t/a）、9</w:t>
      </w:r>
      <w:r>
        <w:rPr>
          <w:rFonts w:hint="eastAsia" w:ascii="Times New Roman" w:hAnsi="宋体"/>
          <w:bCs/>
          <w:color w:val="auto"/>
          <w:sz w:val="24"/>
          <w:szCs w:val="24"/>
          <w:lang w:val="en-US" w:eastAsia="zh-CN"/>
        </w:rPr>
        <w:t>8</w:t>
      </w:r>
      <w:r>
        <w:rPr>
          <w:rFonts w:hint="eastAsia" w:ascii="Times New Roman" w:hAnsi="宋体"/>
          <w:bCs/>
          <w:color w:val="auto"/>
          <w:sz w:val="24"/>
          <w:szCs w:val="24"/>
          <w:lang w:eastAsia="zh-CN"/>
        </w:rPr>
        <w:t>#汽油</w:t>
      </w:r>
      <w:r>
        <w:rPr>
          <w:rFonts w:hint="eastAsia" w:ascii="Times New Roman" w:hAnsi="宋体"/>
          <w:bCs/>
          <w:color w:val="auto"/>
          <w:sz w:val="24"/>
          <w:szCs w:val="24"/>
          <w:lang w:val="en-US" w:eastAsia="zh-CN"/>
        </w:rPr>
        <w:t>0.5</w:t>
      </w:r>
      <w:r>
        <w:rPr>
          <w:rFonts w:hint="eastAsia" w:ascii="Times New Roman" w:hAnsi="宋体"/>
          <w:bCs/>
          <w:color w:val="auto"/>
          <w:sz w:val="24"/>
          <w:szCs w:val="24"/>
          <w:lang w:eastAsia="zh-CN"/>
        </w:rPr>
        <w:t>t/d（</w:t>
      </w:r>
      <w:r>
        <w:rPr>
          <w:rFonts w:hint="eastAsia" w:ascii="Times New Roman" w:hAnsi="宋体"/>
          <w:bCs/>
          <w:color w:val="auto"/>
          <w:sz w:val="24"/>
          <w:szCs w:val="24"/>
          <w:lang w:val="en-US" w:eastAsia="zh-CN"/>
        </w:rPr>
        <w:t>182.5</w:t>
      </w:r>
      <w:r>
        <w:rPr>
          <w:rFonts w:hint="eastAsia" w:ascii="Times New Roman" w:hAnsi="宋体"/>
          <w:bCs/>
          <w:color w:val="auto"/>
          <w:sz w:val="24"/>
          <w:szCs w:val="24"/>
          <w:lang w:eastAsia="zh-CN"/>
        </w:rPr>
        <w:t>t/a）、0#柴油</w:t>
      </w:r>
      <w:r>
        <w:rPr>
          <w:rFonts w:hint="eastAsia" w:ascii="Times New Roman" w:hAnsi="宋体"/>
          <w:bCs/>
          <w:color w:val="auto"/>
          <w:sz w:val="24"/>
          <w:szCs w:val="24"/>
          <w:lang w:val="en-US" w:eastAsia="zh-CN"/>
        </w:rPr>
        <w:t>5.5</w:t>
      </w:r>
      <w:r>
        <w:rPr>
          <w:rFonts w:hint="eastAsia" w:ascii="Times New Roman" w:hAnsi="宋体"/>
          <w:bCs/>
          <w:color w:val="auto"/>
          <w:sz w:val="24"/>
          <w:szCs w:val="24"/>
          <w:lang w:eastAsia="zh-CN"/>
        </w:rPr>
        <w:t xml:space="preserve"> t/d（</w:t>
      </w:r>
      <w:r>
        <w:rPr>
          <w:rFonts w:hint="eastAsia" w:ascii="Times New Roman" w:hAnsi="宋体"/>
          <w:bCs/>
          <w:color w:val="auto"/>
          <w:sz w:val="24"/>
          <w:szCs w:val="24"/>
          <w:lang w:val="en-US" w:eastAsia="zh-CN"/>
        </w:rPr>
        <w:t>2007.5</w:t>
      </w:r>
      <w:r>
        <w:rPr>
          <w:rFonts w:hint="eastAsia" w:ascii="Times New Roman" w:hAnsi="宋体"/>
          <w:bCs/>
          <w:color w:val="auto"/>
          <w:sz w:val="24"/>
          <w:szCs w:val="24"/>
          <w:lang w:eastAsia="zh-CN"/>
        </w:rPr>
        <w:t xml:space="preserve"> t/a）。</w:t>
      </w:r>
      <w:r>
        <w:rPr>
          <w:rFonts w:hint="eastAsia" w:ascii="Times New Roman" w:hAnsi="宋体"/>
          <w:bCs/>
          <w:color w:val="000000"/>
          <w:sz w:val="24"/>
          <w:szCs w:val="24"/>
          <w:lang w:eastAsia="zh-CN"/>
        </w:rPr>
        <w:t>汽油、柴油运输由重庆龙禹石油有限公司从重庆大班油库用油罐车配送</w:t>
      </w:r>
      <w:r>
        <w:rPr>
          <w:rFonts w:hint="eastAsia" w:ascii="Times New Roman" w:hAnsi="宋体"/>
          <w:color w:val="000000"/>
          <w:sz w:val="24"/>
          <w:szCs w:val="24"/>
          <w:lang w:val="en-US" w:eastAsia="zh-CN"/>
        </w:rPr>
        <w:t>。</w:t>
      </w:r>
      <w:r>
        <w:rPr>
          <w:rFonts w:hint="eastAsia" w:ascii="Times New Roman" w:hAnsi="宋体"/>
          <w:bCs/>
          <w:color w:val="000000"/>
          <w:sz w:val="24"/>
          <w:szCs w:val="24"/>
          <w:lang w:val="en-US" w:eastAsia="zh-CN"/>
        </w:rPr>
        <w:t>项目设置1台箱变（箱变为800KVA），设置7个直流充电桩。同时项目设置1台隧道式洗车机为过往车辆提供洗车服务。</w:t>
      </w:r>
      <w:r>
        <w:rPr>
          <w:rFonts w:hint="eastAsia"/>
          <w:sz w:val="24"/>
          <w:highlight w:val="none"/>
          <w:lang w:val="en-US" w:eastAsia="zh-CN"/>
        </w:rPr>
        <w:t>现有员工10人。年工作365天，三班制。总投资3500万元，其中环保投资30万元</w:t>
      </w:r>
      <w:r>
        <w:rPr>
          <w:rFonts w:hint="eastAsia" w:eastAsiaTheme="minorEastAsia"/>
          <w:bCs/>
          <w:sz w:val="24"/>
          <w:szCs w:val="24"/>
          <w:lang w:eastAsia="zh-CN"/>
        </w:rPr>
        <w:t>。</w:t>
      </w:r>
    </w:p>
    <w:p>
      <w:pPr>
        <w:adjustRightInd w:val="0"/>
        <w:snapToGrid w:val="0"/>
        <w:spacing w:line="540" w:lineRule="exact"/>
        <w:rPr>
          <w:rFonts w:hint="eastAsia" w:ascii="Times New Roman" w:hAnsi="Times New Roman" w:eastAsia="宋体" w:cs="Times New Roman"/>
          <w:b/>
          <w:sz w:val="28"/>
          <w:szCs w:val="28"/>
          <w:lang w:val="en-IE" w:eastAsia="zh-CN"/>
        </w:rPr>
      </w:pPr>
      <w:bookmarkStart w:id="97" w:name="_Toc4606"/>
      <w:r>
        <w:rPr>
          <w:rFonts w:ascii="Times New Roman" w:hAnsi="Times New Roman" w:eastAsia="宋体" w:cs="Times New Roman"/>
          <w:b/>
          <w:sz w:val="28"/>
          <w:szCs w:val="28"/>
          <w:lang w:val="en-IE"/>
        </w:rPr>
        <w:t>5.1.</w:t>
      </w:r>
      <w:r>
        <w:rPr>
          <w:rFonts w:hint="eastAsia" w:ascii="Times New Roman" w:hAnsi="Times New Roman" w:eastAsia="宋体" w:cs="Times New Roman"/>
          <w:b/>
          <w:sz w:val="28"/>
          <w:szCs w:val="28"/>
          <w:lang w:val="en-US" w:eastAsia="zh-CN"/>
        </w:rPr>
        <w:t>2</w:t>
      </w:r>
      <w:r>
        <w:rPr>
          <w:rFonts w:hint="eastAsia" w:ascii="Times New Roman" w:hAnsi="Times New Roman" w:eastAsia="宋体" w:cs="Times New Roman"/>
          <w:b/>
          <w:sz w:val="28"/>
          <w:szCs w:val="28"/>
          <w:lang w:val="en-IE" w:eastAsia="zh-CN"/>
        </w:rPr>
        <w:t>环境质量现状</w:t>
      </w:r>
      <w:bookmarkEnd w:id="97"/>
    </w:p>
    <w:p>
      <w:pPr>
        <w:pStyle w:val="3"/>
        <w:spacing w:line="480" w:lineRule="auto"/>
        <w:rPr>
          <w:rFonts w:hint="default" w:ascii="Times New Roman" w:hAnsi="Times New Roman" w:eastAsia="宋体" w:cs="Times New Roman"/>
          <w:b w:val="0"/>
          <w:bCs w:val="0"/>
          <w:kern w:val="2"/>
          <w:sz w:val="24"/>
          <w:szCs w:val="24"/>
          <w:highlight w:val="none"/>
          <w:lang w:val="en-US" w:eastAsia="zh-CN" w:bidi="ar-SA"/>
        </w:rPr>
      </w:pPr>
      <w:bookmarkStart w:id="98" w:name="_Toc8505"/>
      <w:r>
        <w:rPr>
          <w:rFonts w:hint="eastAsia" w:ascii="Times New Roman" w:hAnsi="Times New Roman" w:eastAsia="宋体" w:cs="Times New Roman"/>
          <w:b w:val="0"/>
          <w:bCs w:val="0"/>
          <w:kern w:val="2"/>
          <w:sz w:val="24"/>
          <w:szCs w:val="24"/>
          <w:highlight w:val="none"/>
          <w:lang w:val="en-US" w:eastAsia="zh-CN" w:bidi="ar-SA"/>
        </w:rPr>
        <w:t>1、环境空气质量现状</w:t>
      </w:r>
      <w:bookmarkEnd w:id="98"/>
    </w:p>
    <w:p>
      <w:pPr>
        <w:pStyle w:val="36"/>
        <w:rPr>
          <w:rFonts w:hint="eastAsia"/>
          <w:lang w:val="en-US" w:eastAsia="zh-CN"/>
        </w:rPr>
      </w:pPr>
      <w:r>
        <w:rPr>
          <w:rFonts w:hint="eastAsia" w:ascii="Times New Roman" w:hAnsi="宋体"/>
          <w:b w:val="0"/>
          <w:bCs w:val="0"/>
          <w:color w:val="000000"/>
          <w:sz w:val="24"/>
          <w:szCs w:val="24"/>
        </w:rPr>
        <w:t>根据《重庆市环境空气质量功能区划分规定》（渝府发[2016]19号规定），本项目所在地环境空气功能区划为二类区，环境空气质量执行《环境空气质量标准》（GB3095-2012）中二级标准</w:t>
      </w:r>
      <w:r>
        <w:rPr>
          <w:rFonts w:hint="eastAsia" w:ascii="Times New Roman" w:hAnsi="宋体"/>
          <w:b w:val="0"/>
          <w:bCs w:val="0"/>
          <w:color w:val="000000"/>
          <w:sz w:val="24"/>
          <w:szCs w:val="24"/>
          <w:lang w:eastAsia="zh-CN"/>
        </w:rPr>
        <w:t>，非甲烷总烃参照执行河北省地方标准《环境空气质量非甲烷总烃限值》（DB13/1577-2012）二级标准要求</w:t>
      </w:r>
      <w:r>
        <w:rPr>
          <w:rFonts w:hint="eastAsia"/>
          <w:lang w:val="en-US" w:eastAsia="zh-CN"/>
        </w:rPr>
        <w:t>。根据重庆市生态环境局于2023年6月1日发布的《2022年重庆市生态环境状况公报》中江津区2022年重庆市江津区环境空气中细颗粒物（PM2.5）浓度超过国家环境空气质量二级标准，因此本项目所在评价区域为不达标区。</w:t>
      </w:r>
      <w:r>
        <w:rPr>
          <w:rFonts w:hint="eastAsia" w:ascii="Times New Roman" w:hAnsi="Times New Roman"/>
          <w:color w:val="000000"/>
          <w:sz w:val="24"/>
          <w:szCs w:val="24"/>
        </w:rPr>
        <w:t>委托</w:t>
      </w:r>
      <w:r>
        <w:rPr>
          <w:rFonts w:hint="eastAsia" w:ascii="Times New Roman" w:hAnsi="Times New Roman"/>
          <w:color w:val="000000"/>
          <w:sz w:val="24"/>
          <w:szCs w:val="24"/>
          <w:lang w:eastAsia="zh-CN"/>
        </w:rPr>
        <w:t>重庆厦美环保科技有限公司</w:t>
      </w:r>
      <w:r>
        <w:rPr>
          <w:rFonts w:hint="eastAsia" w:ascii="Times New Roman" w:hAnsi="Times New Roman"/>
          <w:color w:val="000000"/>
          <w:sz w:val="24"/>
          <w:szCs w:val="24"/>
        </w:rPr>
        <w:t>对项目区域非甲烷总烃现状浓度进行监测</w:t>
      </w:r>
      <w:r>
        <w:rPr>
          <w:rFonts w:hint="eastAsia" w:ascii="Times New Roman" w:hAnsi="Times New Roman"/>
          <w:color w:val="000000"/>
          <w:sz w:val="24"/>
          <w:szCs w:val="24"/>
          <w:lang w:eastAsia="zh-CN"/>
        </w:rPr>
        <w:t>，</w:t>
      </w:r>
      <w:r>
        <w:rPr>
          <w:rFonts w:hint="eastAsia"/>
          <w:lang w:val="en-US" w:eastAsia="zh-CN"/>
        </w:rPr>
        <w:t>项目所在区域环境空气中非甲烷总烃能满足河北省地方标准《环境空气质量 非甲烷总烃限值》（DB13/1577-2012）的二级标准，项目范围内环境空气质量良好。</w:t>
      </w:r>
    </w:p>
    <w:p>
      <w:pPr>
        <w:pStyle w:val="3"/>
        <w:spacing w:line="480" w:lineRule="auto"/>
        <w:rPr>
          <w:rFonts w:hint="eastAsia"/>
          <w:lang w:val="en-US" w:eastAsia="zh-CN"/>
        </w:rPr>
      </w:pPr>
      <w:bookmarkStart w:id="99" w:name="_Toc29259"/>
      <w:r>
        <w:rPr>
          <w:rFonts w:hint="eastAsia" w:ascii="Times New Roman" w:hAnsi="Times New Roman" w:eastAsia="宋体" w:cs="Times New Roman"/>
          <w:b w:val="0"/>
          <w:bCs w:val="0"/>
          <w:kern w:val="2"/>
          <w:sz w:val="24"/>
          <w:szCs w:val="24"/>
          <w:highlight w:val="none"/>
          <w:lang w:val="en-US" w:eastAsia="zh-CN" w:bidi="ar-SA"/>
        </w:rPr>
        <w:t>2、地表水质量现状</w:t>
      </w:r>
      <w:bookmarkEnd w:id="99"/>
    </w:p>
    <w:p>
      <w:pPr>
        <w:pStyle w:val="36"/>
        <w:rPr>
          <w:rFonts w:hint="eastAsia" w:eastAsia="宋体"/>
          <w:lang w:val="en-US" w:eastAsia="zh-CN"/>
        </w:rPr>
      </w:pPr>
      <w:r>
        <w:rPr>
          <w:rFonts w:hint="eastAsia"/>
          <w:lang w:val="en-US" w:eastAsia="zh-CN"/>
        </w:rPr>
        <w:t>本项目污水受纳水体为大溪河。根据《重庆市人民政府批转重庆市地表水环境功能类别调整方案的通知》（渝府发[2012]4 号）以及《重庆市环境保护局关于调整部分地表水域功能类别的通知》（渝环发[2009]110 号），大溪河取消水域功能，本环评按双福规划环评将大溪河参照Ⅲ类水域进行评价。本环评地表水质量现状评价执行《地表水环境质量标准》（GB3838-2002）中的Ⅲ类水域水质标准。</w:t>
      </w:r>
      <w:r>
        <w:rPr>
          <w:rFonts w:hint="eastAsia" w:ascii="Times New Roman" w:hAnsi="Times New Roman"/>
          <w:color w:val="000000"/>
          <w:sz w:val="24"/>
          <w:szCs w:val="24"/>
        </w:rPr>
        <w:t>《重庆江津工业园双福组团总体规划现状监测报告》（开创环（检）字[2022]第 HP176 号）中 D6 监测点和 D7 监测点的监测数据引用地面水监测断面中各指标监测结果均满足《地表水环境质量标准》（GB3838-2002）Ⅲ类水域水质标准限值要求，其中D7监测断面中BOD5含量超0.9，主要是由水中有机物质较多引起的</w:t>
      </w:r>
      <w:r>
        <w:rPr>
          <w:rFonts w:hint="eastAsia" w:ascii="Times New Roman" w:hAnsi="Times New Roman"/>
          <w:color w:val="000000"/>
          <w:sz w:val="24"/>
          <w:szCs w:val="24"/>
          <w:lang w:eastAsia="zh-CN"/>
        </w:rPr>
        <w:t>。</w:t>
      </w:r>
    </w:p>
    <w:p>
      <w:pPr>
        <w:pStyle w:val="36"/>
        <w:numPr>
          <w:ilvl w:val="0"/>
          <w:numId w:val="2"/>
        </w:numPr>
        <w:rPr>
          <w:rFonts w:hint="eastAsia"/>
          <w:lang w:val="en-US" w:eastAsia="zh-CN"/>
        </w:rPr>
      </w:pPr>
      <w:r>
        <w:rPr>
          <w:rFonts w:hint="eastAsia"/>
          <w:lang w:val="en-US" w:eastAsia="zh-CN"/>
        </w:rPr>
        <w:t>声环境质量现状</w:t>
      </w:r>
    </w:p>
    <w:p>
      <w:pPr>
        <w:pStyle w:val="36"/>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val="en-US" w:eastAsia="zh-CN"/>
        </w:rPr>
      </w:pPr>
      <w:r>
        <w:rPr>
          <w:rFonts w:hint="eastAsia"/>
          <w:lang w:val="en-US" w:eastAsia="zh-CN"/>
        </w:rPr>
        <w:t>根据《建设项目环境影响报告表编制技术指南（污染影响类）（试行）》相关要求：厂界外周边 50 米范围内存在声环境保护目标的建设项目，应监测保护目标声环境质量现状并评价达标情况。各点位应监测昼夜间噪声，监测时间不少于1天，项目夜间不生产则仅监测昼间噪声。结合本项目周边环境情况，项目站外周边 50 米范围内无声环境保护目标，因此本次评价不对声环境质量现状进行监测。</w:t>
      </w:r>
    </w:p>
    <w:p>
      <w:pPr>
        <w:pStyle w:val="36"/>
        <w:numPr>
          <w:ilvl w:val="0"/>
          <w:numId w:val="2"/>
        </w:numPr>
        <w:rPr>
          <w:rFonts w:hint="eastAsia"/>
          <w:lang w:val="en-US" w:eastAsia="zh-CN"/>
        </w:rPr>
      </w:pPr>
      <w:r>
        <w:rPr>
          <w:rFonts w:hint="eastAsia"/>
          <w:lang w:val="en-US" w:eastAsia="zh-CN"/>
        </w:rPr>
        <w:t>生态环境质量现状</w:t>
      </w:r>
    </w:p>
    <w:p>
      <w:pPr>
        <w:pStyle w:val="36"/>
        <w:rPr>
          <w:rFonts w:hint="eastAsia"/>
          <w:lang w:val="en-US" w:eastAsia="zh-CN"/>
        </w:rPr>
      </w:pPr>
      <w:r>
        <w:rPr>
          <w:rFonts w:hint="eastAsia" w:ascii="Times New Roman" w:hAnsi="宋体"/>
          <w:b w:val="0"/>
          <w:bCs w:val="0"/>
          <w:snapToGrid w:val="0"/>
          <w:color w:val="000000"/>
          <w:kern w:val="0"/>
          <w:sz w:val="24"/>
          <w:szCs w:val="24"/>
        </w:rPr>
        <w:t>本项目位于</w:t>
      </w:r>
      <w:r>
        <w:rPr>
          <w:rFonts w:hint="eastAsia" w:ascii="Times New Roman" w:hAnsi="宋体"/>
          <w:bCs/>
          <w:color w:val="000000"/>
          <w:sz w:val="24"/>
          <w:szCs w:val="24"/>
          <w:lang w:eastAsia="zh-CN"/>
        </w:rPr>
        <w:t>重庆市江津区双福新区J05-18-1/03号地块</w:t>
      </w:r>
      <w:r>
        <w:rPr>
          <w:rFonts w:hint="eastAsia" w:ascii="Times New Roman" w:hAnsi="宋体"/>
          <w:b w:val="0"/>
          <w:bCs w:val="0"/>
          <w:snapToGrid w:val="0"/>
          <w:color w:val="000000"/>
          <w:kern w:val="0"/>
          <w:sz w:val="24"/>
          <w:szCs w:val="24"/>
        </w:rPr>
        <w:t>，项目所在地及评价范围内不涉及国家公园、自然保护区、风景名胜区、世界文化和自然遗产地、海洋特别保护区、饮用水水源保护区等生态环境敏感区。因此，根据《建设项目环境影响报告表编制技术指南（污染影响类）》（试行），可不开展生态现状调查</w:t>
      </w:r>
      <w:r>
        <w:rPr>
          <w:rFonts w:hint="eastAsia"/>
          <w:lang w:val="en-US" w:eastAsia="zh-CN"/>
        </w:rPr>
        <w:t>。</w:t>
      </w:r>
    </w:p>
    <w:p>
      <w:pPr>
        <w:pStyle w:val="36"/>
        <w:numPr>
          <w:ilvl w:val="0"/>
          <w:numId w:val="2"/>
        </w:numPr>
        <w:rPr>
          <w:rFonts w:hint="eastAsia"/>
          <w:lang w:val="en-US" w:eastAsia="zh-CN"/>
        </w:rPr>
      </w:pPr>
      <w:r>
        <w:rPr>
          <w:rFonts w:hint="eastAsia"/>
          <w:lang w:val="en-US" w:eastAsia="zh-CN"/>
        </w:rPr>
        <w:t>电磁辐射</w:t>
      </w:r>
    </w:p>
    <w:p>
      <w:pPr>
        <w:keepLines w:val="0"/>
        <w:pageBreakBefore w:val="0"/>
        <w:kinsoku/>
        <w:wordWrap/>
        <w:topLinePunct w:val="0"/>
        <w:bidi w:val="0"/>
        <w:adjustRightInd w:val="0"/>
        <w:snapToGrid w:val="0"/>
        <w:spacing w:line="360" w:lineRule="auto"/>
        <w:ind w:firstLine="480" w:firstLineChars="200"/>
        <w:jc w:val="left"/>
        <w:rPr>
          <w:rFonts w:hint="eastAsia" w:ascii="Times New Roman" w:hAnsi="宋体"/>
          <w:b w:val="0"/>
          <w:bCs w:val="0"/>
          <w:snapToGrid w:val="0"/>
          <w:color w:val="000000"/>
          <w:kern w:val="0"/>
          <w:sz w:val="24"/>
          <w:szCs w:val="24"/>
          <w:lang w:val="en-US" w:eastAsia="zh-CN"/>
        </w:rPr>
      </w:pPr>
      <w:r>
        <w:rPr>
          <w:rFonts w:hint="eastAsia" w:ascii="Times New Roman" w:hAnsi="宋体"/>
          <w:b w:val="0"/>
          <w:bCs w:val="0"/>
          <w:snapToGrid w:val="0"/>
          <w:color w:val="000000"/>
          <w:kern w:val="0"/>
          <w:sz w:val="24"/>
          <w:szCs w:val="24"/>
          <w:lang w:val="en-US" w:eastAsia="zh-CN"/>
        </w:rPr>
        <w:t>拟建项目不属于新建或改建、扩建广播电台、差转台、电视塔台、卫星地球上行站、雷达等电磁辐射类项目，根据《建设项目环境影响报告表编制技术指南（污染影响类）》（试行），无需进行电磁辐现状监测与评价。</w:t>
      </w:r>
    </w:p>
    <w:p>
      <w:pPr>
        <w:pStyle w:val="36"/>
        <w:numPr>
          <w:ilvl w:val="0"/>
          <w:numId w:val="2"/>
        </w:numPr>
        <w:rPr>
          <w:rFonts w:hint="eastAsia" w:ascii="Times New Roman" w:hAnsi="Times New Roman" w:eastAsia="宋体" w:cs="宋体"/>
          <w:lang w:val="en-US" w:eastAsia="zh-CN"/>
        </w:rPr>
      </w:pPr>
      <w:r>
        <w:rPr>
          <w:rFonts w:hint="eastAsia" w:ascii="Times New Roman" w:hAnsi="Times New Roman" w:eastAsia="宋体" w:cs="宋体"/>
          <w:lang w:val="en-US" w:eastAsia="zh-CN"/>
        </w:rPr>
        <w:t>地下水环境</w:t>
      </w:r>
    </w:p>
    <w:p>
      <w:pPr>
        <w:pStyle w:val="36"/>
        <w:rPr>
          <w:rFonts w:hint="eastAsia" w:ascii="Times New Roman" w:hAnsi="宋体" w:eastAsia="宋体" w:cs="宋体"/>
          <w:b w:val="0"/>
          <w:bCs w:val="0"/>
          <w:snapToGrid w:val="0"/>
          <w:color w:val="000000"/>
          <w:kern w:val="0"/>
          <w:sz w:val="24"/>
          <w:szCs w:val="24"/>
          <w:lang w:val="en-US" w:eastAsia="zh-CN"/>
        </w:rPr>
      </w:pPr>
      <w:r>
        <w:rPr>
          <w:rFonts w:hint="eastAsia" w:ascii="Times New Roman" w:hAnsi="宋体" w:eastAsia="宋体" w:cs="宋体"/>
          <w:b w:val="0"/>
          <w:bCs w:val="0"/>
          <w:snapToGrid w:val="0"/>
          <w:color w:val="000000"/>
          <w:kern w:val="0"/>
          <w:sz w:val="24"/>
          <w:szCs w:val="24"/>
          <w:lang w:val="en-US" w:eastAsia="zh-CN"/>
        </w:rPr>
        <w:t>拟建项目涉及的地下水环境污染途径主要包括：①违规操作或自然灾害致使储罐区、加油区、卸油区各设施中的油品发生泄漏后渗入地下水；②设备设施，腐蚀、老化出现故障致使油品渗入地下影响地下水环境。因此，评价委托重庆厦美环保科技有限公司在拟建项目地块开展地下水环境质量现状调查以留做背景值。项目地块内地下水的监测因子均满足《地下水质量标准》（GBT14848-2017）中III 类标准要求，地下水中阳离子以钙、钠离子为主，阴离子以重碳酸盐为主。地下水监测因子中菌落总数占标率超0.9，主要是由于项目东侧农村区域农田使用的化肥和农药、人畜粪便等导致的。</w:t>
      </w:r>
    </w:p>
    <w:p>
      <w:pPr>
        <w:pStyle w:val="36"/>
        <w:numPr>
          <w:ilvl w:val="0"/>
          <w:numId w:val="2"/>
        </w:numPr>
        <w:rPr>
          <w:rFonts w:hint="eastAsia" w:ascii="Times New Roman" w:hAnsi="Times New Roman" w:eastAsia="宋体" w:cs="宋体"/>
          <w:lang w:val="en-US" w:eastAsia="zh-CN"/>
        </w:rPr>
      </w:pPr>
      <w:r>
        <w:rPr>
          <w:rFonts w:hint="eastAsia" w:ascii="Times New Roman" w:hAnsi="Times New Roman" w:eastAsia="宋体" w:cs="宋体"/>
          <w:lang w:val="en-US" w:eastAsia="zh-CN"/>
        </w:rPr>
        <w:t>土壤环境</w:t>
      </w:r>
    </w:p>
    <w:p>
      <w:pPr>
        <w:pStyle w:val="36"/>
        <w:rPr>
          <w:rFonts w:hint="eastAsia" w:ascii="Times New Roman" w:hAnsi="宋体" w:eastAsia="宋体" w:cs="宋体"/>
          <w:b w:val="0"/>
          <w:bCs w:val="0"/>
          <w:snapToGrid w:val="0"/>
          <w:color w:val="000000"/>
          <w:kern w:val="0"/>
          <w:sz w:val="24"/>
          <w:szCs w:val="24"/>
          <w:lang w:val="en-US" w:eastAsia="zh-CN"/>
        </w:rPr>
      </w:pPr>
      <w:r>
        <w:rPr>
          <w:rFonts w:hint="eastAsia" w:ascii="Times New Roman" w:hAnsi="宋体" w:eastAsia="宋体" w:cs="宋体"/>
          <w:b w:val="0"/>
          <w:bCs w:val="0"/>
          <w:snapToGrid w:val="0"/>
          <w:color w:val="000000"/>
          <w:kern w:val="0"/>
          <w:sz w:val="24"/>
          <w:szCs w:val="24"/>
        </w:rPr>
        <w:t>拟建项目为加油站建设项目，主要进行柴油、汽油销售，项目采用双层卧式</w:t>
      </w:r>
      <w:r>
        <w:rPr>
          <w:rFonts w:hint="eastAsia" w:ascii="Times New Roman" w:hAnsi="宋体" w:eastAsia="宋体" w:cs="宋体"/>
          <w:b w:val="0"/>
          <w:bCs w:val="0"/>
          <w:snapToGrid w:val="0"/>
          <w:color w:val="000000"/>
          <w:kern w:val="0"/>
          <w:sz w:val="24"/>
          <w:szCs w:val="24"/>
          <w:lang w:eastAsia="zh-CN"/>
        </w:rPr>
        <w:t>SF</w:t>
      </w:r>
      <w:r>
        <w:rPr>
          <w:rFonts w:hint="eastAsia" w:ascii="Times New Roman" w:hAnsi="宋体" w:eastAsia="宋体" w:cs="宋体"/>
          <w:b w:val="0"/>
          <w:bCs w:val="0"/>
          <w:snapToGrid w:val="0"/>
          <w:color w:val="000000"/>
          <w:kern w:val="0"/>
          <w:sz w:val="24"/>
          <w:szCs w:val="24"/>
        </w:rPr>
        <w:t>埋地油罐</w:t>
      </w:r>
      <w:r>
        <w:rPr>
          <w:rFonts w:hint="eastAsia" w:ascii="Times New Roman" w:hAnsi="宋体" w:eastAsia="宋体" w:cs="宋体"/>
          <w:b w:val="0"/>
          <w:bCs w:val="0"/>
          <w:snapToGrid w:val="0"/>
          <w:color w:val="000000"/>
          <w:kern w:val="0"/>
          <w:sz w:val="24"/>
          <w:szCs w:val="24"/>
          <w:lang w:val="en-US" w:eastAsia="zh-CN"/>
        </w:rPr>
        <w:t>+防渗罐池</w:t>
      </w:r>
      <w:r>
        <w:rPr>
          <w:rFonts w:hint="eastAsia" w:ascii="Times New Roman" w:hAnsi="宋体" w:eastAsia="宋体" w:cs="宋体"/>
          <w:b w:val="0"/>
          <w:bCs w:val="0"/>
          <w:snapToGrid w:val="0"/>
          <w:color w:val="000000"/>
          <w:kern w:val="0"/>
          <w:sz w:val="24"/>
          <w:szCs w:val="24"/>
        </w:rPr>
        <w:t>，且每个油罐均设置高液位报警装置，发生油品地面漫流、垂直入渗污染土壤的可能性极小。本评价委托</w:t>
      </w:r>
      <w:r>
        <w:rPr>
          <w:rFonts w:hint="eastAsia" w:ascii="Times New Roman" w:hAnsi="宋体" w:eastAsia="宋体" w:cs="宋体"/>
          <w:b w:val="0"/>
          <w:bCs w:val="0"/>
          <w:snapToGrid w:val="0"/>
          <w:color w:val="000000"/>
          <w:kern w:val="0"/>
          <w:sz w:val="24"/>
          <w:szCs w:val="24"/>
          <w:lang w:eastAsia="zh-CN"/>
        </w:rPr>
        <w:t>重庆厦美环保科技有限公司</w:t>
      </w:r>
      <w:r>
        <w:rPr>
          <w:rFonts w:hint="eastAsia" w:ascii="Times New Roman" w:hAnsi="宋体" w:eastAsia="宋体" w:cs="宋体"/>
          <w:b w:val="0"/>
          <w:bCs w:val="0"/>
          <w:snapToGrid w:val="0"/>
          <w:color w:val="000000"/>
          <w:kern w:val="0"/>
          <w:sz w:val="24"/>
          <w:szCs w:val="24"/>
        </w:rPr>
        <w:t>对项目地块土壤环境质量进行监测留作背景值</w:t>
      </w:r>
      <w:r>
        <w:rPr>
          <w:rFonts w:hint="eastAsia" w:ascii="Times New Roman" w:hAnsi="宋体" w:eastAsia="宋体" w:cs="宋体"/>
          <w:b w:val="0"/>
          <w:bCs w:val="0"/>
          <w:snapToGrid w:val="0"/>
          <w:color w:val="000000"/>
          <w:kern w:val="0"/>
          <w:sz w:val="24"/>
          <w:szCs w:val="24"/>
          <w:lang w:eastAsia="zh-CN"/>
        </w:rPr>
        <w:t>。</w:t>
      </w:r>
      <w:r>
        <w:rPr>
          <w:rFonts w:hint="eastAsia" w:ascii="Times New Roman" w:hAnsi="宋体" w:eastAsia="宋体" w:cs="宋体"/>
          <w:b w:val="0"/>
          <w:bCs w:val="0"/>
          <w:snapToGrid w:val="0"/>
          <w:color w:val="000000"/>
          <w:kern w:val="0"/>
          <w:sz w:val="24"/>
          <w:szCs w:val="24"/>
        </w:rPr>
        <w:t>土壤监测点所有监测因子的评价指数均小于 1，满足《土壤环境质量 建设用地土壤污染风险管控标准（试行）》（GB36600-2018)中第二类用地风险筛选值，表明拟建项目所在区域土壤本底环境状况良好</w:t>
      </w:r>
      <w:r>
        <w:rPr>
          <w:rFonts w:hint="eastAsia" w:ascii="Times New Roman" w:hAnsi="宋体" w:eastAsia="宋体" w:cs="宋体"/>
          <w:b w:val="0"/>
          <w:bCs w:val="0"/>
          <w:snapToGrid w:val="0"/>
          <w:color w:val="000000"/>
          <w:kern w:val="0"/>
          <w:sz w:val="24"/>
          <w:szCs w:val="24"/>
          <w:lang w:eastAsia="zh-CN"/>
        </w:rPr>
        <w:t>。</w:t>
      </w:r>
    </w:p>
    <w:p>
      <w:pPr>
        <w:adjustRightInd w:val="0"/>
        <w:snapToGrid w:val="0"/>
        <w:spacing w:line="540" w:lineRule="exact"/>
        <w:rPr>
          <w:rFonts w:hint="eastAsia"/>
          <w:b/>
          <w:sz w:val="28"/>
          <w:szCs w:val="28"/>
          <w:lang w:val="en-US" w:eastAsia="zh-CN"/>
        </w:rPr>
      </w:pPr>
      <w:bookmarkStart w:id="100" w:name="_Toc16252"/>
      <w:r>
        <w:rPr>
          <w:b/>
          <w:sz w:val="28"/>
          <w:szCs w:val="28"/>
          <w:lang w:val="en-IE"/>
        </w:rPr>
        <w:t>5.1.</w:t>
      </w:r>
      <w:r>
        <w:rPr>
          <w:rFonts w:hint="eastAsia"/>
          <w:b/>
          <w:sz w:val="28"/>
          <w:szCs w:val="28"/>
          <w:lang w:val="en-US" w:eastAsia="zh-CN"/>
        </w:rPr>
        <w:t>3</w:t>
      </w:r>
      <w:bookmarkEnd w:id="100"/>
      <w:r>
        <w:rPr>
          <w:rFonts w:hint="eastAsia"/>
          <w:b/>
          <w:sz w:val="28"/>
          <w:szCs w:val="28"/>
          <w:lang w:val="en-IE" w:eastAsia="zh-CN"/>
        </w:rPr>
        <w:t>环境影响和保护措施</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（1）废气</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项目废气主要为卸油废气、储存废气、机动车加油废气以及备用柴油发电机废气。汽车卸油过程中通过一次油气回收系统回收后运回油库进行油气回收处理，且卸油区设置油气回收阀；加油站采用埋地式储油罐，密闭型较好，油罐呼吸由机械呼吸阀排放，储油罐罐室内气温比较稳定，受大气环境稳定影响较小，延缓油品变质，油罐储存小呼吸蒸发损耗较小；加油过程油气设二次回收系统，经回收后进入油罐，并预留三次油气回收系统；备用柴油发电机使用频次少，污染物产生量少，且产生的废气经专用管道引至屋顶排放。</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（2）废水</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contextualSpacing/>
        <w:textAlignment w:val="auto"/>
        <w:rPr>
          <w:rFonts w:hint="default" w:ascii="Times New Roman" w:hAnsi="Times New Roman" w:cs="Times New Roman"/>
          <w:b w:val="0"/>
          <w:bCs w:val="0"/>
          <w:color w:val="000000"/>
          <w:sz w:val="24"/>
          <w:szCs w:val="24"/>
          <w:lang w:val="en-US" w:eastAsia="zh-CN"/>
        </w:rPr>
      </w:pPr>
      <w:r>
        <w:rPr>
          <w:rFonts w:hint="eastAsia" w:ascii="Times New Roman" w:hAnsi="Times New Roman" w:cs="Times New Roman"/>
          <w:b w:val="0"/>
          <w:bCs w:val="0"/>
          <w:color w:val="000000"/>
          <w:sz w:val="24"/>
          <w:szCs w:val="24"/>
          <w:lang w:eastAsia="zh-CN"/>
        </w:rPr>
        <w:t>本项目排水实行雨污分流制，初期雨水、地面冲洗废水、</w:t>
      </w:r>
      <w:r>
        <w:rPr>
          <w:rFonts w:hint="eastAsia" w:ascii="Times New Roman" w:hAnsi="Times New Roman" w:cs="Times New Roman"/>
          <w:b w:val="0"/>
          <w:bCs w:val="0"/>
          <w:color w:val="000000"/>
          <w:sz w:val="24"/>
          <w:szCs w:val="24"/>
          <w:lang w:val="en-US" w:eastAsia="zh-CN"/>
        </w:rPr>
        <w:t>洗车废水</w:t>
      </w:r>
      <w:r>
        <w:rPr>
          <w:rFonts w:hint="eastAsia" w:ascii="Times New Roman" w:hAnsi="Times New Roman" w:cs="Times New Roman"/>
          <w:b w:val="0"/>
          <w:bCs w:val="0"/>
          <w:color w:val="000000"/>
          <w:sz w:val="24"/>
          <w:szCs w:val="24"/>
          <w:lang w:eastAsia="zh-CN"/>
        </w:rPr>
        <w:t>经三段式水封隔油池处理，三段式水封隔油池位于场区</w:t>
      </w:r>
      <w:r>
        <w:rPr>
          <w:rFonts w:hint="eastAsia" w:ascii="Times New Roman" w:hAnsi="Times New Roman" w:cs="Times New Roman"/>
          <w:b w:val="0"/>
          <w:bCs w:val="0"/>
          <w:color w:val="000000"/>
          <w:sz w:val="24"/>
          <w:szCs w:val="24"/>
          <w:lang w:val="en-US" w:eastAsia="zh-CN"/>
        </w:rPr>
        <w:t>南</w:t>
      </w:r>
      <w:r>
        <w:rPr>
          <w:rFonts w:hint="eastAsia" w:ascii="Times New Roman" w:hAnsi="Times New Roman" w:cs="Times New Roman"/>
          <w:b w:val="0"/>
          <w:bCs w:val="0"/>
          <w:color w:val="000000"/>
          <w:sz w:val="24"/>
          <w:szCs w:val="24"/>
          <w:lang w:eastAsia="zh-CN"/>
        </w:rPr>
        <w:t>侧</w:t>
      </w:r>
      <w:r>
        <w:rPr>
          <w:rFonts w:hint="eastAsia" w:ascii="Times New Roman" w:hAnsi="Times New Roman" w:cs="Times New Roman"/>
          <w:b w:val="0"/>
          <w:bCs w:val="0"/>
          <w:color w:val="000000"/>
          <w:sz w:val="24"/>
          <w:szCs w:val="24"/>
          <w:lang w:val="en-US" w:eastAsia="zh-CN"/>
        </w:rPr>
        <w:t>绿化带下</w:t>
      </w:r>
      <w:r>
        <w:rPr>
          <w:rFonts w:hint="eastAsia" w:ascii="Times New Roman" w:hAnsi="Times New Roman" w:cs="Times New Roman"/>
          <w:b w:val="0"/>
          <w:bCs w:val="0"/>
          <w:color w:val="auto"/>
          <w:sz w:val="24"/>
          <w:szCs w:val="24"/>
          <w:lang w:eastAsia="zh-CN"/>
        </w:rPr>
        <w:t>，处理能力</w:t>
      </w:r>
      <w:r>
        <w:rPr>
          <w:rFonts w:hint="eastAsia" w:ascii="Times New Roman" w:hAnsi="Times New Roman" w:cs="Times New Roman"/>
          <w:b w:val="0"/>
          <w:bCs w:val="0"/>
          <w:color w:val="000000" w:themeColor="text1"/>
          <w:sz w:val="24"/>
          <w:szCs w:val="24"/>
          <w:lang w:val="en-US" w:eastAsia="zh-CN"/>
        </w:rPr>
        <w:t>15</w:t>
      </w:r>
      <w:r>
        <w:rPr>
          <w:rFonts w:hint="eastAsia" w:ascii="Times New Roman" w:hAnsi="Times New Roman" w:cs="Times New Roman"/>
          <w:b w:val="0"/>
          <w:bCs w:val="0"/>
          <w:color w:val="000000" w:themeColor="text1"/>
          <w:sz w:val="24"/>
          <w:szCs w:val="24"/>
          <w:lang w:eastAsia="zh-CN"/>
        </w:rPr>
        <w:t>m</w:t>
      </w:r>
      <w:r>
        <w:rPr>
          <w:rFonts w:hint="eastAsia" w:ascii="Times New Roman" w:hAnsi="Times New Roman" w:cs="Times New Roman"/>
          <w:b w:val="0"/>
          <w:bCs w:val="0"/>
          <w:color w:val="000000" w:themeColor="text1"/>
          <w:sz w:val="24"/>
          <w:szCs w:val="24"/>
          <w:vertAlign w:val="superscript"/>
          <w:lang w:eastAsia="zh-CN"/>
        </w:rPr>
        <w:t>3</w:t>
      </w:r>
      <w:r>
        <w:rPr>
          <w:rFonts w:hint="eastAsia" w:ascii="Times New Roman" w:hAnsi="Times New Roman" w:cs="Times New Roman"/>
          <w:b w:val="0"/>
          <w:bCs w:val="0"/>
          <w:color w:val="000000" w:themeColor="text1"/>
          <w:sz w:val="24"/>
          <w:szCs w:val="24"/>
          <w:lang w:eastAsia="zh-CN"/>
        </w:rPr>
        <w:t>/d；能满足初期含油雨水（</w:t>
      </w:r>
      <w:r>
        <w:rPr>
          <w:rFonts w:hint="eastAsia" w:ascii="Times New Roman" w:hAnsi="Times New Roman" w:cs="Times New Roman"/>
          <w:b w:val="0"/>
          <w:bCs w:val="0"/>
          <w:color w:val="000000" w:themeColor="text1"/>
          <w:sz w:val="24"/>
          <w:szCs w:val="24"/>
          <w:lang w:val="en-US" w:eastAsia="zh-CN"/>
        </w:rPr>
        <w:t>6.23</w:t>
      </w:r>
      <w:r>
        <w:rPr>
          <w:rFonts w:hint="eastAsia" w:ascii="Times New Roman" w:hAnsi="Times New Roman" w:cs="Times New Roman"/>
          <w:b w:val="0"/>
          <w:bCs w:val="0"/>
          <w:color w:val="000000" w:themeColor="text1"/>
          <w:sz w:val="24"/>
          <w:szCs w:val="24"/>
          <w:lang w:eastAsia="zh-CN"/>
        </w:rPr>
        <w:t>m</w:t>
      </w:r>
      <w:r>
        <w:rPr>
          <w:rFonts w:hint="eastAsia" w:ascii="Times New Roman" w:hAnsi="Times New Roman" w:cs="Times New Roman"/>
          <w:b w:val="0"/>
          <w:bCs w:val="0"/>
          <w:color w:val="000000" w:themeColor="text1"/>
          <w:sz w:val="24"/>
          <w:szCs w:val="24"/>
          <w:vertAlign w:val="superscript"/>
          <w:lang w:eastAsia="zh-CN"/>
        </w:rPr>
        <w:t>3</w:t>
      </w:r>
      <w:r>
        <w:rPr>
          <w:rFonts w:hint="eastAsia" w:ascii="Times New Roman" w:hAnsi="Times New Roman" w:cs="Times New Roman"/>
          <w:b w:val="0"/>
          <w:bCs w:val="0"/>
          <w:color w:val="000000" w:themeColor="text1"/>
          <w:sz w:val="24"/>
          <w:szCs w:val="24"/>
          <w:lang w:eastAsia="zh-CN"/>
        </w:rPr>
        <w:t>/次）、地面冲洗废水（</w:t>
      </w:r>
      <w:r>
        <w:rPr>
          <w:rFonts w:hint="eastAsia" w:ascii="Times New Roman" w:hAnsi="Times New Roman" w:cs="Times New Roman"/>
          <w:b w:val="0"/>
          <w:bCs w:val="0"/>
          <w:color w:val="000000" w:themeColor="text1"/>
          <w:sz w:val="24"/>
          <w:szCs w:val="24"/>
          <w:lang w:val="en-US" w:eastAsia="zh-CN"/>
        </w:rPr>
        <w:t>0.4</w:t>
      </w:r>
      <w:r>
        <w:rPr>
          <w:rFonts w:hint="eastAsia" w:ascii="Times New Roman" w:hAnsi="Times New Roman" w:cs="Times New Roman"/>
          <w:b w:val="0"/>
          <w:bCs w:val="0"/>
          <w:color w:val="000000" w:themeColor="text1"/>
          <w:sz w:val="24"/>
          <w:szCs w:val="24"/>
          <w:lang w:eastAsia="zh-CN"/>
        </w:rPr>
        <w:t>m</w:t>
      </w:r>
      <w:r>
        <w:rPr>
          <w:rFonts w:hint="eastAsia" w:ascii="Times New Roman" w:hAnsi="Times New Roman" w:cs="Times New Roman"/>
          <w:b w:val="0"/>
          <w:bCs w:val="0"/>
          <w:color w:val="000000" w:themeColor="text1"/>
          <w:sz w:val="24"/>
          <w:szCs w:val="24"/>
          <w:vertAlign w:val="superscript"/>
          <w:lang w:eastAsia="zh-CN"/>
        </w:rPr>
        <w:t>3</w:t>
      </w:r>
      <w:r>
        <w:rPr>
          <w:rFonts w:hint="eastAsia" w:ascii="Times New Roman" w:hAnsi="Times New Roman" w:cs="Times New Roman"/>
          <w:b w:val="0"/>
          <w:bCs w:val="0"/>
          <w:color w:val="000000" w:themeColor="text1"/>
          <w:sz w:val="24"/>
          <w:szCs w:val="24"/>
          <w:lang w:eastAsia="zh-CN"/>
        </w:rPr>
        <w:t>/d）和洗车废水（</w:t>
      </w:r>
      <w:r>
        <w:rPr>
          <w:rFonts w:hint="eastAsia" w:ascii="Times New Roman" w:hAnsi="Times New Roman" w:cs="Times New Roman"/>
          <w:b w:val="0"/>
          <w:bCs w:val="0"/>
          <w:color w:val="000000" w:themeColor="text1"/>
          <w:sz w:val="24"/>
          <w:szCs w:val="24"/>
          <w:lang w:val="en-US" w:eastAsia="zh-CN"/>
        </w:rPr>
        <w:t>8.1</w:t>
      </w:r>
      <w:r>
        <w:rPr>
          <w:rFonts w:hint="eastAsia" w:ascii="Times New Roman" w:hAnsi="Times New Roman" w:cs="Times New Roman"/>
          <w:b w:val="0"/>
          <w:bCs w:val="0"/>
          <w:color w:val="000000" w:themeColor="text1"/>
          <w:sz w:val="24"/>
          <w:szCs w:val="24"/>
          <w:lang w:eastAsia="zh-CN"/>
        </w:rPr>
        <w:t>m</w:t>
      </w:r>
      <w:r>
        <w:rPr>
          <w:rFonts w:hint="eastAsia" w:ascii="Times New Roman" w:hAnsi="Times New Roman" w:cs="Times New Roman"/>
          <w:b w:val="0"/>
          <w:bCs w:val="0"/>
          <w:color w:val="000000" w:themeColor="text1"/>
          <w:sz w:val="24"/>
          <w:szCs w:val="24"/>
          <w:vertAlign w:val="superscript"/>
          <w:lang w:eastAsia="zh-CN"/>
        </w:rPr>
        <w:t>3</w:t>
      </w:r>
      <w:r>
        <w:rPr>
          <w:rFonts w:hint="eastAsia" w:ascii="Times New Roman" w:hAnsi="Times New Roman" w:cs="Times New Roman"/>
          <w:b w:val="0"/>
          <w:bCs w:val="0"/>
          <w:color w:val="000000" w:themeColor="text1"/>
          <w:sz w:val="24"/>
          <w:szCs w:val="24"/>
          <w:lang w:eastAsia="zh-CN"/>
        </w:rPr>
        <w:t>/d）</w:t>
      </w:r>
      <w:r>
        <w:rPr>
          <w:rFonts w:hint="eastAsia" w:ascii="Times New Roman" w:hAnsi="Times New Roman" w:cs="Times New Roman"/>
          <w:b w:val="0"/>
          <w:bCs w:val="0"/>
          <w:color w:val="auto"/>
          <w:sz w:val="24"/>
          <w:szCs w:val="24"/>
          <w:lang w:eastAsia="zh-CN"/>
        </w:rPr>
        <w:t>的处</w:t>
      </w:r>
      <w:r>
        <w:rPr>
          <w:rFonts w:hint="eastAsia" w:ascii="Times New Roman" w:hAnsi="Times New Roman" w:cs="Times New Roman"/>
          <w:b w:val="0"/>
          <w:bCs w:val="0"/>
          <w:color w:val="000000"/>
          <w:sz w:val="24"/>
          <w:szCs w:val="24"/>
          <w:lang w:eastAsia="zh-CN"/>
        </w:rPr>
        <w:t>理需求。三段式水封隔油池能够有效处理中的COD、BOD</w:t>
      </w:r>
      <w:r>
        <w:rPr>
          <w:rFonts w:hint="eastAsia" w:ascii="Times New Roman" w:hAnsi="Times New Roman" w:cs="Times New Roman"/>
          <w:b w:val="0"/>
          <w:bCs w:val="0"/>
          <w:color w:val="000000"/>
          <w:sz w:val="24"/>
          <w:szCs w:val="24"/>
          <w:vertAlign w:val="subscript"/>
          <w:lang w:eastAsia="zh-CN"/>
        </w:rPr>
        <w:t>5</w:t>
      </w:r>
      <w:r>
        <w:rPr>
          <w:rFonts w:hint="eastAsia" w:ascii="Times New Roman" w:hAnsi="Times New Roman" w:cs="Times New Roman"/>
          <w:b w:val="0"/>
          <w:bCs w:val="0"/>
          <w:color w:val="000000"/>
          <w:sz w:val="24"/>
          <w:szCs w:val="24"/>
          <w:lang w:eastAsia="zh-CN"/>
        </w:rPr>
        <w:t>、SS、石油类等污染物，采取的废水处理工艺能使废水达标排放。</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contextualSpacing/>
        <w:textAlignment w:val="auto"/>
        <w:rPr>
          <w:rFonts w:hint="eastAsia" w:ascii="Times New Roman" w:hAnsi="Times New Roman" w:cs="Times New Roman"/>
          <w:b w:val="0"/>
          <w:bCs w:val="0"/>
          <w:color w:val="000000"/>
          <w:sz w:val="24"/>
          <w:szCs w:val="24"/>
          <w:lang w:eastAsia="zh-CN"/>
        </w:rPr>
      </w:pPr>
      <w:r>
        <w:rPr>
          <w:rFonts w:hint="eastAsia" w:ascii="Times New Roman" w:hAnsi="Times New Roman" w:cs="Times New Roman"/>
          <w:b w:val="0"/>
          <w:bCs w:val="0"/>
          <w:color w:val="000000"/>
          <w:sz w:val="24"/>
          <w:szCs w:val="24"/>
          <w:lang w:eastAsia="zh-CN"/>
        </w:rPr>
        <w:t>站房</w:t>
      </w:r>
      <w:r>
        <w:rPr>
          <w:rFonts w:hint="eastAsia" w:ascii="Times New Roman" w:hAnsi="Times New Roman" w:cs="Times New Roman"/>
          <w:b w:val="0"/>
          <w:bCs w:val="0"/>
          <w:color w:val="000000"/>
          <w:sz w:val="24"/>
          <w:szCs w:val="24"/>
          <w:lang w:val="en-US" w:eastAsia="zh-CN"/>
        </w:rPr>
        <w:t>北</w:t>
      </w:r>
      <w:r>
        <w:rPr>
          <w:rFonts w:hint="eastAsia" w:ascii="Times New Roman" w:hAnsi="Times New Roman" w:cs="Times New Roman"/>
          <w:b w:val="0"/>
          <w:bCs w:val="0"/>
          <w:color w:val="000000"/>
          <w:sz w:val="24"/>
          <w:szCs w:val="24"/>
          <w:lang w:eastAsia="zh-CN"/>
        </w:rPr>
        <w:t>侧设置生化池，处理能力</w:t>
      </w:r>
      <w:r>
        <w:rPr>
          <w:rFonts w:hint="eastAsia" w:ascii="Times New Roman" w:hAnsi="Times New Roman" w:cs="Times New Roman"/>
          <w:b w:val="0"/>
          <w:bCs w:val="0"/>
          <w:color w:val="000000"/>
          <w:sz w:val="24"/>
          <w:szCs w:val="24"/>
          <w:lang w:val="en-US" w:eastAsia="zh-CN"/>
        </w:rPr>
        <w:t>5</w:t>
      </w:r>
      <w:r>
        <w:rPr>
          <w:rFonts w:hint="eastAsia" w:ascii="Times New Roman" w:hAnsi="Times New Roman" w:cs="Times New Roman"/>
          <w:b w:val="0"/>
          <w:bCs w:val="0"/>
          <w:color w:val="000000"/>
          <w:sz w:val="24"/>
          <w:szCs w:val="24"/>
          <w:lang w:eastAsia="zh-CN"/>
        </w:rPr>
        <w:t>m</w:t>
      </w:r>
      <w:r>
        <w:rPr>
          <w:rFonts w:hint="eastAsia" w:ascii="Times New Roman" w:hAnsi="Times New Roman" w:cs="Times New Roman"/>
          <w:b w:val="0"/>
          <w:bCs w:val="0"/>
          <w:color w:val="000000"/>
          <w:sz w:val="24"/>
          <w:szCs w:val="24"/>
          <w:vertAlign w:val="superscript"/>
          <w:lang w:eastAsia="zh-CN"/>
        </w:rPr>
        <w:t>3</w:t>
      </w:r>
      <w:r>
        <w:rPr>
          <w:rFonts w:hint="eastAsia" w:ascii="Times New Roman" w:hAnsi="Times New Roman" w:cs="Times New Roman"/>
          <w:b w:val="0"/>
          <w:bCs w:val="0"/>
          <w:color w:val="000000"/>
          <w:sz w:val="24"/>
          <w:szCs w:val="24"/>
          <w:lang w:eastAsia="zh-CN"/>
        </w:rPr>
        <w:t>/d，用于员工和过往驾乘人员生活污水的处理。项目生活污水产生量为</w:t>
      </w:r>
      <w:r>
        <w:rPr>
          <w:rFonts w:hint="eastAsia" w:ascii="Times New Roman" w:hAnsi="Times New Roman" w:cs="Times New Roman"/>
          <w:b w:val="0"/>
          <w:bCs w:val="0"/>
          <w:color w:val="000000"/>
          <w:sz w:val="24"/>
          <w:szCs w:val="24"/>
          <w:lang w:val="en-US" w:eastAsia="zh-CN"/>
        </w:rPr>
        <w:t>2.7</w:t>
      </w:r>
      <w:r>
        <w:rPr>
          <w:rFonts w:hint="eastAsia" w:ascii="Times New Roman" w:hAnsi="Times New Roman" w:cs="Times New Roman"/>
          <w:b w:val="0"/>
          <w:bCs w:val="0"/>
          <w:color w:val="000000"/>
          <w:sz w:val="24"/>
          <w:szCs w:val="24"/>
          <w:lang w:eastAsia="zh-CN"/>
        </w:rPr>
        <w:t>m</w:t>
      </w:r>
      <w:r>
        <w:rPr>
          <w:rFonts w:hint="eastAsia" w:ascii="Times New Roman" w:hAnsi="Times New Roman" w:cs="Times New Roman"/>
          <w:b w:val="0"/>
          <w:bCs w:val="0"/>
          <w:color w:val="000000"/>
          <w:sz w:val="24"/>
          <w:szCs w:val="24"/>
          <w:vertAlign w:val="superscript"/>
          <w:lang w:eastAsia="zh-CN"/>
        </w:rPr>
        <w:t>3</w:t>
      </w:r>
      <w:r>
        <w:rPr>
          <w:rFonts w:hint="eastAsia" w:ascii="Times New Roman" w:hAnsi="Times New Roman" w:cs="Times New Roman"/>
          <w:b w:val="0"/>
          <w:bCs w:val="0"/>
          <w:color w:val="000000"/>
          <w:sz w:val="24"/>
          <w:szCs w:val="24"/>
          <w:lang w:eastAsia="zh-CN"/>
        </w:rPr>
        <w:t>/d，经生化池（处理规模</w:t>
      </w:r>
      <w:r>
        <w:rPr>
          <w:rFonts w:hint="eastAsia" w:ascii="Times New Roman" w:hAnsi="Times New Roman" w:cs="Times New Roman"/>
          <w:b w:val="0"/>
          <w:bCs w:val="0"/>
          <w:color w:val="000000"/>
          <w:sz w:val="24"/>
          <w:szCs w:val="24"/>
          <w:lang w:val="en-US" w:eastAsia="zh-CN"/>
        </w:rPr>
        <w:t>5</w:t>
      </w:r>
      <w:r>
        <w:rPr>
          <w:rFonts w:hint="eastAsia" w:ascii="Times New Roman" w:hAnsi="Times New Roman" w:cs="Times New Roman"/>
          <w:b w:val="0"/>
          <w:bCs w:val="0"/>
          <w:color w:val="000000"/>
          <w:sz w:val="24"/>
          <w:szCs w:val="24"/>
          <w:lang w:eastAsia="zh-CN"/>
        </w:rPr>
        <w:t>m</w:t>
      </w:r>
      <w:r>
        <w:rPr>
          <w:rFonts w:hint="eastAsia" w:ascii="Times New Roman" w:hAnsi="Times New Roman" w:cs="Times New Roman"/>
          <w:b w:val="0"/>
          <w:bCs w:val="0"/>
          <w:color w:val="000000"/>
          <w:sz w:val="24"/>
          <w:szCs w:val="24"/>
          <w:vertAlign w:val="superscript"/>
          <w:lang w:eastAsia="zh-CN"/>
        </w:rPr>
        <w:t>3</w:t>
      </w:r>
      <w:r>
        <w:rPr>
          <w:rFonts w:hint="eastAsia" w:ascii="Times New Roman" w:hAnsi="Times New Roman" w:cs="Times New Roman"/>
          <w:b w:val="0"/>
          <w:bCs w:val="0"/>
          <w:color w:val="000000"/>
          <w:sz w:val="24"/>
          <w:szCs w:val="24"/>
          <w:lang w:eastAsia="zh-CN"/>
        </w:rPr>
        <w:t>/d）处理达标后通过废水总排口排入市政污水管网。</w:t>
      </w:r>
    </w:p>
    <w:p>
      <w:pPr>
        <w:adjustRightInd w:val="0"/>
        <w:snapToGrid w:val="0"/>
        <w:spacing w:line="540" w:lineRule="exact"/>
        <w:ind w:firstLine="480" w:firstLineChars="200"/>
        <w:rPr>
          <w:rFonts w:hint="eastAsia" w:eastAsiaTheme="minorEastAsia"/>
          <w:bCs/>
          <w:sz w:val="24"/>
          <w:szCs w:val="24"/>
        </w:rPr>
      </w:pPr>
      <w:r>
        <w:rPr>
          <w:rFonts w:hint="eastAsia" w:ascii="Times New Roman" w:hAnsi="Times New Roman" w:cs="Times New Roman"/>
          <w:b w:val="0"/>
          <w:bCs w:val="0"/>
          <w:color w:val="000000"/>
          <w:sz w:val="24"/>
          <w:szCs w:val="24"/>
          <w:lang w:eastAsia="zh-CN"/>
        </w:rPr>
        <w:t>综上所述，地面冲洗废水、初期雨水、洗车废水经</w:t>
      </w:r>
      <w:r>
        <w:rPr>
          <w:rFonts w:hint="eastAsia" w:ascii="Times New Roman" w:hAnsi="Times New Roman" w:cs="Times New Roman"/>
          <w:b w:val="0"/>
          <w:bCs w:val="0"/>
          <w:color w:val="000000"/>
          <w:sz w:val="24"/>
          <w:szCs w:val="24"/>
          <w:lang w:val="en-US" w:eastAsia="zh-CN"/>
        </w:rPr>
        <w:t>三段式水封隔油池</w:t>
      </w:r>
      <w:r>
        <w:rPr>
          <w:rFonts w:hint="eastAsia" w:ascii="Times New Roman" w:hAnsi="Times New Roman" w:cs="Times New Roman"/>
          <w:b w:val="0"/>
          <w:bCs w:val="0"/>
          <w:color w:val="000000"/>
          <w:sz w:val="24"/>
          <w:szCs w:val="24"/>
          <w:lang w:eastAsia="zh-CN"/>
        </w:rPr>
        <w:t>处理达《污水综合排放标准》（GB8978-1996）三级标准后与经生化池处理达《污水综合排放标准》（GB8978-1996）三级标准后的生活污水一起通过同一排口进入</w:t>
      </w:r>
      <w:r>
        <w:rPr>
          <w:rFonts w:hint="eastAsia" w:ascii="Times New Roman" w:hAnsi="Times New Roman" w:cs="Times New Roman"/>
          <w:b w:val="0"/>
          <w:bCs w:val="0"/>
          <w:color w:val="000000"/>
          <w:sz w:val="24"/>
          <w:szCs w:val="24"/>
          <w:lang w:val="en-US" w:eastAsia="zh-CN"/>
        </w:rPr>
        <w:t>双福污水处理厂</w:t>
      </w:r>
      <w:r>
        <w:rPr>
          <w:rFonts w:hint="eastAsia" w:ascii="Times New Roman" w:hAnsi="Times New Roman" w:cs="Times New Roman"/>
          <w:b w:val="0"/>
          <w:bCs w:val="0"/>
          <w:color w:val="000000"/>
          <w:sz w:val="24"/>
          <w:szCs w:val="24"/>
          <w:lang w:eastAsia="zh-CN"/>
        </w:rPr>
        <w:t>深度处理达《城镇污水处理厂污染物排放标准》（GB18918-2002）一级</w:t>
      </w:r>
      <w:r>
        <w:rPr>
          <w:rFonts w:hint="eastAsia" w:ascii="Times New Roman" w:hAnsi="Times New Roman" w:cs="Times New Roman"/>
          <w:b w:val="0"/>
          <w:bCs w:val="0"/>
          <w:color w:val="000000"/>
          <w:sz w:val="24"/>
          <w:szCs w:val="24"/>
          <w:lang w:val="en-US" w:eastAsia="zh-CN"/>
        </w:rPr>
        <w:t>B</w:t>
      </w:r>
      <w:r>
        <w:rPr>
          <w:rFonts w:hint="eastAsia" w:ascii="Times New Roman" w:hAnsi="Times New Roman" w:cs="Times New Roman"/>
          <w:b w:val="0"/>
          <w:bCs w:val="0"/>
          <w:color w:val="000000"/>
          <w:sz w:val="24"/>
          <w:szCs w:val="24"/>
          <w:lang w:eastAsia="zh-CN"/>
        </w:rPr>
        <w:t>标后，排入大溪河，最终排入长江</w:t>
      </w:r>
      <w:r>
        <w:rPr>
          <w:rFonts w:hint="eastAsia" w:eastAsiaTheme="minorEastAsia"/>
          <w:bCs/>
          <w:sz w:val="24"/>
          <w:szCs w:val="24"/>
        </w:rPr>
        <w:t>。</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（3）噪声</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为减轻噪声对周边声环境的影响，项目采取的噪声防治措施如下：</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①在站区进站口设置减速标志和禁鸣标志，加强进站车辆的管理，防止对周边居民造成影响。</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②潜液泵、加油机等设备采取基础减震，加强维护和保养，避免因设备问题而引发突发性高噪声造成扰民影响。</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因此，项目运营期对声环境影响小，周边环境可接受。</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（4）固废</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项目固体废物包括生活垃圾、生化池污泥、便利店包装废物、危险废物。</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①清罐废物</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成品油储罐定期清理时，有少量清罐废物产生，主要由清罐废渣、含油清洗废液组成（统称为清罐废物）。根据调查，加油站平均5年清理一次，由有资质的专业清洗公司进行清洗，按照中华人民共和国石油天然气行业标准《储罐机械清洗作业规范》SY/T9996-2007，采用临时设置的管线，将回收系统、清洗系统、油水分离系统与清洗油罐及清洗油供给油罐与接收油罐连接在一起，通过设置在清洗油罐上的清洗机，喷射清洗油供给油罐，击碎溶解罐内淤渣，用回收系统回收罐内清罐产生的淤渣。油罐清洗含油废渣产生量约为0.5t/罐•次，本次评价按3个油罐每5年清洗一次油罐计，则含油废渣的产生量为1.5t/次，平均0.3t/a。根据《国家危险废物名录》，含油废渣属于危险废物（HW08，900-249-08），清罐废物用塑料桶盛装，转运均采用联单制管理，每次清罐废物收集后直接交具有危险废物处理资质的单位进行妥善处理，现场不暂存。</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②隔油池油泥、废油</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类比同类加油站，隔油池浮油定期清除，产生量（含水）约0.12t/a，属危险废物（HW08，900-210-08），收集在危废暂存柜，定期交有危废资质单位处理。</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③含油棉纱及手套、油水混合物</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加油机、管道等设备平均每个月检修一次，检修废物由含油废渣、清洗废液和含油棉纱、手套等构成。油水混合物由于含油类物质浓度较高，现场无法进行处理或回用，应与含油棉纱手套等一并作为危险废物进行处理。项目加油机等设备检修废物产生量约0.2t/a，其中油水混合物（HW09，900-007-09）产生量约 0.18t/a，含油棉纱（HW49，900-041-49）产生量约 0.02t/a，收集在危废暂存柜，定期交有危废资质单位处理。</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④生活垃圾</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项目劳动定员5人，年工作365d，按 0.5kg/人•d 计，则生活垃圾产生量约为0.91t/a，驾乘人员100人计算，按0.02kg/人•天计，生活垃圾约为 2kg/d，约0.73/a。合计约1.64t/a。分类收集后由当地环卫部门统一清运处置。</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⑤生化池污泥</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 xml:space="preserve">生化池使用期间产生污泥，其产生量约0.5t/a，由指定单位定期清掏并送城市生活垃圾填埋场处置。 </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⑥便利店包装废物</w:t>
      </w:r>
    </w:p>
    <w:p>
      <w:pPr>
        <w:adjustRightInd w:val="0"/>
        <w:snapToGrid w:val="0"/>
        <w:spacing w:line="540" w:lineRule="exact"/>
        <w:ind w:firstLine="480" w:firstLineChars="200"/>
        <w:rPr>
          <w:rFonts w:eastAsiaTheme="minorEastAsia"/>
          <w:bCs/>
          <w:sz w:val="28"/>
          <w:szCs w:val="28"/>
        </w:rPr>
      </w:pPr>
      <w:r>
        <w:rPr>
          <w:rFonts w:hint="eastAsia" w:eastAsiaTheme="minorEastAsia"/>
          <w:bCs/>
          <w:sz w:val="24"/>
          <w:szCs w:val="24"/>
        </w:rPr>
        <w:t>便利店商品废包装产生量约 0.5t/a，收集后外卖至物资回收单位。</w:t>
      </w:r>
      <w:r>
        <w:rPr>
          <w:rFonts w:hint="eastAsia" w:eastAsiaTheme="minorEastAsia"/>
          <w:bCs/>
          <w:sz w:val="28"/>
          <w:szCs w:val="28"/>
        </w:rPr>
        <w:t xml:space="preserve"> </w:t>
      </w:r>
    </w:p>
    <w:p>
      <w:pPr>
        <w:adjustRightInd w:val="0"/>
        <w:snapToGrid w:val="0"/>
        <w:spacing w:line="540" w:lineRule="exact"/>
        <w:rPr>
          <w:b/>
          <w:sz w:val="28"/>
          <w:szCs w:val="28"/>
          <w:lang w:val="en-IE"/>
        </w:rPr>
      </w:pPr>
      <w:r>
        <w:rPr>
          <w:b/>
          <w:sz w:val="28"/>
          <w:szCs w:val="28"/>
          <w:lang w:val="en-IE"/>
        </w:rPr>
        <w:t>5.1.</w:t>
      </w:r>
      <w:r>
        <w:rPr>
          <w:rFonts w:hint="eastAsia"/>
          <w:b/>
          <w:sz w:val="28"/>
          <w:szCs w:val="28"/>
          <w:lang w:val="en-US" w:eastAsia="zh-CN"/>
        </w:rPr>
        <w:t>4</w:t>
      </w:r>
      <w:r>
        <w:rPr>
          <w:rFonts w:hint="eastAsia"/>
          <w:b/>
          <w:sz w:val="28"/>
          <w:szCs w:val="28"/>
          <w:lang w:val="en-IE" w:eastAsia="zh-CN"/>
        </w:rPr>
        <w:t>综合结论</w:t>
      </w:r>
    </w:p>
    <w:p>
      <w:pPr>
        <w:adjustRightInd w:val="0"/>
        <w:snapToGrid w:val="0"/>
        <w:spacing w:line="540" w:lineRule="exact"/>
        <w:ind w:firstLine="480" w:firstLineChars="200"/>
        <w:rPr>
          <w:rFonts w:hint="eastAsia" w:eastAsiaTheme="minorEastAsia"/>
          <w:bCs/>
          <w:sz w:val="24"/>
          <w:szCs w:val="24"/>
          <w:lang w:eastAsia="zh-CN"/>
        </w:rPr>
      </w:pPr>
      <w:r>
        <w:rPr>
          <w:rFonts w:hint="eastAsia" w:eastAsiaTheme="minorEastAsia"/>
          <w:bCs/>
          <w:sz w:val="24"/>
          <w:szCs w:val="24"/>
          <w:lang w:eastAsia="zh-CN"/>
        </w:rPr>
        <w:t>综上所述，重庆渝顺投资有限公司建设的重庆渝顺投资有限公司顺洁加油站符合国家产业政策和用地规划。在采取相应有效的污染治理措施后，能实现污染物达标排放，对周边环境影响在可接受范围内。因此，从环保角度分析，本项目的建设是合理、可行的。</w:t>
      </w:r>
    </w:p>
    <w:p>
      <w:pPr>
        <w:pStyle w:val="62"/>
        <w:rPr>
          <w:rFonts w:hint="eastAsia" w:cs="Times New Roman"/>
          <w:sz w:val="32"/>
        </w:rPr>
      </w:pPr>
      <w:bookmarkStart w:id="101" w:name="_Toc341293112"/>
      <w:bookmarkStart w:id="102" w:name="_Toc332553922"/>
      <w:bookmarkStart w:id="103" w:name="_Toc341357476"/>
      <w:bookmarkStart w:id="104" w:name="_Toc341278427"/>
      <w:bookmarkStart w:id="105" w:name="_Toc305059568"/>
      <w:bookmarkStart w:id="106" w:name="_Toc321042421"/>
      <w:bookmarkStart w:id="107" w:name="_Toc341431729"/>
      <w:bookmarkStart w:id="108" w:name="_Toc964"/>
      <w:r>
        <w:rPr>
          <w:rFonts w:hint="eastAsia" w:cs="Times New Roman"/>
          <w:sz w:val="32"/>
        </w:rPr>
        <w:t>5.2 环评批复要求</w:t>
      </w:r>
      <w:bookmarkEnd w:id="101"/>
      <w:bookmarkEnd w:id="102"/>
      <w:bookmarkEnd w:id="103"/>
      <w:bookmarkEnd w:id="104"/>
      <w:bookmarkEnd w:id="105"/>
      <w:bookmarkEnd w:id="106"/>
      <w:bookmarkEnd w:id="107"/>
      <w:bookmarkEnd w:id="108"/>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你单位报送的重庆渝顺投资有限公司顺洁加油站（项目代码：2210-500356-04-01-696047）环评文件及相关报批申请材料收悉，经审查，符合我市建设项目环境影响评价文件告知承诺审批的相关要求。根据重庆长嵘环保科技有限公司（统一社会信用代码：91500227MA6094NX4M）编制的《重庆渝顺投资有限公司顺洁加油站环境影响报告书（表）》对该项目开展环境影响评价的结论，在全面落实报告书（表）提出的各项防治生态影响和环境污染措施、防范环境风险措施和你单位承诺的前提下，工程建设对环境的不利影响能够得到缓解和控制。我局原则同意该项目环境影响报告书（表）结论以及拟采取的环境保护措施。</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你单位应当严格落实该项目环境影响报告书（表）提出的防治生态影响和环境污染措施及防范环境风险措施，严格执行配套建设的环保设施与主体工程同时设计、同时施工、同时投产的环保“三同时”制度。项目竣工后，应按照相关规定开展环境保护验收。经验收合格后，项目方可正式投入生产或使用。</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项目的性质、规模、地点、采用的生产工艺或者防治污染措施发生重大变动的，你单位应当重新报批该项目的环境影响评价文件。项目的日常监督管理由重庆市江津区生态环境保护综合行政执法支队按照有关职责实施。</w:t>
      </w:r>
    </w:p>
    <w:p>
      <w:pPr>
        <w:adjustRightInd w:val="0"/>
        <w:snapToGrid w:val="0"/>
        <w:spacing w:line="540" w:lineRule="exact"/>
        <w:ind w:firstLine="480" w:firstLineChars="200"/>
        <w:rPr>
          <w:rFonts w:hint="eastAsia" w:eastAsiaTheme="minorEastAsia"/>
          <w:bCs/>
          <w:sz w:val="24"/>
          <w:szCs w:val="24"/>
        </w:rPr>
      </w:pPr>
      <w:r>
        <w:rPr>
          <w:rFonts w:hint="eastAsia" w:eastAsiaTheme="minorEastAsia"/>
          <w:bCs/>
          <w:sz w:val="24"/>
          <w:szCs w:val="24"/>
        </w:rPr>
        <w:t>此批准书生效时间为公示期满之日起自行生效（受理和拟审批决定同步公示，共计十个工作日）。生态环境行政主管部门如发现存在不符合告知承诺制情形、环评文件存在重大质量问题的或其他不能审批的情形，依法撤销审批决定，造成的一切法律后果和经济损失均由你单位承担。</w:t>
      </w:r>
    </w:p>
    <w:p>
      <w:pPr>
        <w:pStyle w:val="36"/>
        <w:rPr>
          <w:rFonts w:hint="default" w:eastAsiaTheme="minorEastAsia"/>
          <w:sz w:val="24"/>
          <w:szCs w:val="24"/>
          <w:lang w:val="en-US" w:eastAsia="zh-CN"/>
        </w:rPr>
        <w:sectPr>
          <w:headerReference r:id="rId3" w:type="default"/>
          <w:footerReference r:id="rId4" w:type="default"/>
          <w:pgSz w:w="11906" w:h="16838"/>
          <w:pgMar w:top="1701" w:right="1418" w:bottom="1701" w:left="1418" w:header="851" w:footer="992" w:gutter="0"/>
          <w:pgNumType w:start="1"/>
          <w:cols w:space="425" w:num="1"/>
          <w:docGrid w:type="lines" w:linePitch="312" w:charSpace="0"/>
        </w:sectPr>
      </w:pPr>
      <w:r>
        <w:rPr>
          <w:rFonts w:hint="eastAsia" w:eastAsiaTheme="minorEastAsia"/>
          <w:bCs/>
          <w:sz w:val="24"/>
          <w:szCs w:val="24"/>
          <w:lang w:eastAsia="zh-CN"/>
        </w:rPr>
        <w:t>详见附件</w:t>
      </w:r>
      <w:r>
        <w:rPr>
          <w:rFonts w:hint="eastAsia" w:eastAsiaTheme="minorEastAsia"/>
          <w:bCs/>
          <w:sz w:val="24"/>
          <w:szCs w:val="24"/>
          <w:lang w:val="en-US" w:eastAsia="zh-CN"/>
        </w:rPr>
        <w:t>1。</w:t>
      </w:r>
    </w:p>
    <w:p>
      <w:pPr>
        <w:pStyle w:val="61"/>
        <w:spacing w:line="360" w:lineRule="auto"/>
        <w:rPr>
          <w:rFonts w:cs="Times New Roman"/>
          <w:sz w:val="36"/>
        </w:rPr>
      </w:pPr>
      <w:bookmarkStart w:id="109" w:name="_Toc332553927"/>
      <w:bookmarkStart w:id="110" w:name="_Toc333588657"/>
      <w:bookmarkStart w:id="111" w:name="_Toc321042426"/>
      <w:bookmarkStart w:id="112" w:name="_Toc305059573"/>
      <w:bookmarkStart w:id="113" w:name="_Toc13690"/>
      <w:bookmarkStart w:id="114" w:name="_Toc333501116"/>
      <w:bookmarkStart w:id="115" w:name="_Toc332660949"/>
      <w:bookmarkStart w:id="116" w:name="_Toc333501405"/>
      <w:bookmarkStart w:id="117" w:name="_Toc312829620"/>
      <w:r>
        <w:rPr>
          <w:rFonts w:hint="eastAsia" w:cs="Times New Roman"/>
          <w:sz w:val="36"/>
        </w:rPr>
        <w:t>6验收执行</w:t>
      </w:r>
      <w:r>
        <w:rPr>
          <w:rFonts w:cs="Times New Roman"/>
          <w:sz w:val="36"/>
        </w:rPr>
        <w:t>标准</w:t>
      </w:r>
      <w:bookmarkEnd w:id="109"/>
      <w:bookmarkEnd w:id="110"/>
      <w:bookmarkEnd w:id="111"/>
      <w:bookmarkEnd w:id="112"/>
      <w:bookmarkEnd w:id="113"/>
      <w:bookmarkEnd w:id="114"/>
      <w:bookmarkEnd w:id="115"/>
      <w:bookmarkEnd w:id="116"/>
    </w:p>
    <w:p>
      <w:pPr>
        <w:pStyle w:val="62"/>
        <w:rPr>
          <w:rFonts w:cs="Times New Roman"/>
          <w:sz w:val="32"/>
        </w:rPr>
      </w:pPr>
      <w:bookmarkStart w:id="118" w:name="_Toc321042427"/>
      <w:bookmarkStart w:id="119" w:name="_Toc305059574"/>
      <w:bookmarkStart w:id="120" w:name="_Toc332553928"/>
      <w:bookmarkStart w:id="121" w:name="_Toc341357482"/>
      <w:bookmarkStart w:id="122" w:name="_Toc341431735"/>
      <w:bookmarkStart w:id="123" w:name="_Toc341278433"/>
      <w:bookmarkStart w:id="124" w:name="_Toc341293118"/>
      <w:bookmarkStart w:id="125" w:name="_Toc20835"/>
      <w:bookmarkStart w:id="126" w:name="_Toc333501120"/>
      <w:bookmarkStart w:id="127" w:name="_Toc333588661"/>
      <w:bookmarkStart w:id="128" w:name="_Toc333501409"/>
      <w:r>
        <w:rPr>
          <w:rFonts w:hint="eastAsia" w:cs="Times New Roman"/>
          <w:sz w:val="32"/>
        </w:rPr>
        <w:t>6</w:t>
      </w:r>
      <w:r>
        <w:rPr>
          <w:rFonts w:cs="Times New Roman"/>
          <w:sz w:val="32"/>
        </w:rPr>
        <w:t>.1 废</w:t>
      </w:r>
      <w:bookmarkEnd w:id="118"/>
      <w:bookmarkEnd w:id="119"/>
      <w:bookmarkEnd w:id="120"/>
      <w:r>
        <w:rPr>
          <w:rFonts w:cs="Times New Roman"/>
          <w:sz w:val="32"/>
        </w:rPr>
        <w:t>水</w:t>
      </w:r>
      <w:bookmarkEnd w:id="121"/>
      <w:bookmarkEnd w:id="122"/>
      <w:bookmarkEnd w:id="123"/>
      <w:bookmarkEnd w:id="124"/>
      <w:bookmarkEnd w:id="125"/>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sz w:val="24"/>
          <w:szCs w:val="24"/>
        </w:rPr>
      </w:pPr>
      <w:r>
        <w:rPr>
          <w:rFonts w:hint="eastAsia" w:ascii="Times New Roman" w:hAnsi="宋体"/>
          <w:color w:val="auto"/>
          <w:sz w:val="24"/>
          <w:szCs w:val="24"/>
          <w:lang w:eastAsia="zh-CN"/>
        </w:rPr>
        <w:t>项目地面冲洗废水、初期雨水、洗车废水经三段式水封隔油池处理达《污水综合排放标准》（GB8978-1996）三级标准后与经生化池处理达《污水综合排放标准》（GB8978-1996）三级标准后的生活污水一起通过同一排口进入市政污水管网再进入申明坝污水处理厂深度处理达《城镇污水处理厂污染物排放标准》（GB18918-2002）一级A标后，排入长江</w:t>
      </w:r>
      <w:r>
        <w:rPr>
          <w:rFonts w:ascii="Times New Roman" w:hAnsi="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4"/>
          <w:szCs w:val="24"/>
        </w:rPr>
      </w:pPr>
      <w:r>
        <w:rPr>
          <w:rFonts w:ascii="Times New Roman" w:hAnsi="宋体"/>
          <w:color w:val="auto"/>
          <w:sz w:val="24"/>
          <w:szCs w:val="24"/>
        </w:rPr>
        <w:t>表</w:t>
      </w:r>
      <w:r>
        <w:rPr>
          <w:rFonts w:hint="eastAsia" w:ascii="Times New Roman" w:hAnsi="Times New Roman"/>
          <w:color w:val="auto"/>
          <w:sz w:val="24"/>
          <w:szCs w:val="24"/>
          <w:lang w:val="en-US" w:eastAsia="zh-CN"/>
        </w:rPr>
        <w:t>6-1</w:t>
      </w:r>
      <w:r>
        <w:rPr>
          <w:rFonts w:ascii="Times New Roman" w:hAnsi="Times New Roman"/>
          <w:color w:val="auto"/>
          <w:sz w:val="24"/>
          <w:szCs w:val="24"/>
        </w:rPr>
        <w:t xml:space="preserve">  </w:t>
      </w:r>
      <w:r>
        <w:rPr>
          <w:rFonts w:ascii="Times New Roman" w:hAnsi="宋体"/>
          <w:color w:val="auto"/>
          <w:sz w:val="24"/>
          <w:szCs w:val="24"/>
        </w:rPr>
        <w:t>污水排放标准一览表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3"/>
        <w:gridCol w:w="940"/>
        <w:gridCol w:w="1045"/>
        <w:gridCol w:w="1034"/>
        <w:gridCol w:w="889"/>
        <w:gridCol w:w="1070"/>
        <w:gridCol w:w="1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宋体"/>
                <w:color w:val="auto"/>
                <w:sz w:val="21"/>
                <w:szCs w:val="21"/>
              </w:rPr>
              <w:t>执行标准</w:t>
            </w:r>
          </w:p>
        </w:tc>
        <w:tc>
          <w:tcPr>
            <w:tcW w:w="3263" w:type="pct"/>
            <w:gridSpan w:val="6"/>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宋体"/>
                <w:color w:val="auto"/>
                <w:sz w:val="21"/>
                <w:szCs w:val="21"/>
              </w:rPr>
            </w:pPr>
            <w:r>
              <w:rPr>
                <w:rFonts w:ascii="Times New Roman" w:hAnsi="宋体"/>
                <w:color w:val="auto"/>
                <w:sz w:val="21"/>
                <w:szCs w:val="21"/>
              </w:rPr>
              <w:t>标准值（</w:t>
            </w:r>
            <w:r>
              <w:rPr>
                <w:rFonts w:ascii="Times New Roman" w:hAnsi="Times New Roman"/>
                <w:color w:val="auto"/>
                <w:sz w:val="21"/>
                <w:szCs w:val="21"/>
              </w:rPr>
              <w:t>mg/L</w:t>
            </w:r>
            <w:r>
              <w:rPr>
                <w:rFonts w:ascii="Times New Roman" w:hAnsi="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p>
        </w:tc>
        <w:tc>
          <w:tcPr>
            <w:tcW w:w="50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textAlignment w:val="auto"/>
              <w:rPr>
                <w:color w:val="auto"/>
                <w:kern w:val="2"/>
                <w:sz w:val="21"/>
                <w:szCs w:val="21"/>
              </w:rPr>
            </w:pPr>
            <w:r>
              <w:rPr>
                <w:color w:val="auto"/>
                <w:kern w:val="2"/>
                <w:sz w:val="21"/>
                <w:szCs w:val="21"/>
              </w:rPr>
              <w:t>pH</w:t>
            </w:r>
          </w:p>
        </w:tc>
        <w:tc>
          <w:tcPr>
            <w:tcW w:w="563"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textAlignment w:val="auto"/>
              <w:rPr>
                <w:color w:val="auto"/>
                <w:kern w:val="2"/>
                <w:sz w:val="21"/>
                <w:szCs w:val="21"/>
              </w:rPr>
            </w:pPr>
            <w:r>
              <w:rPr>
                <w:color w:val="auto"/>
                <w:kern w:val="2"/>
                <w:sz w:val="21"/>
                <w:szCs w:val="21"/>
              </w:rPr>
              <w:t>COD</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2"/>
                <w:sz w:val="21"/>
                <w:szCs w:val="21"/>
              </w:rPr>
            </w:pPr>
            <w:r>
              <w:rPr>
                <w:rFonts w:ascii="Times New Roman" w:hAnsi="Times New Roman" w:cs="Times New Roman"/>
                <w:color w:val="auto"/>
                <w:sz w:val="21"/>
                <w:szCs w:val="21"/>
              </w:rPr>
              <w:t>BOD</w:t>
            </w:r>
            <w:r>
              <w:rPr>
                <w:rFonts w:ascii="Times New Roman" w:hAnsi="Times New Roman" w:cs="Times New Roman"/>
                <w:color w:val="auto"/>
                <w:sz w:val="21"/>
                <w:szCs w:val="21"/>
                <w:vertAlign w:val="subscript"/>
              </w:rPr>
              <w:t>5</w:t>
            </w: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SS</w:t>
            </w:r>
          </w:p>
        </w:tc>
        <w:tc>
          <w:tcPr>
            <w:tcW w:w="5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NH</w:t>
            </w:r>
            <w:r>
              <w:rPr>
                <w:rFonts w:ascii="Times New Roman" w:hAnsi="Times New Roman"/>
                <w:color w:val="auto"/>
                <w:sz w:val="21"/>
                <w:szCs w:val="21"/>
                <w:vertAlign w:val="subscript"/>
              </w:rPr>
              <w:t>3</w:t>
            </w:r>
            <w:r>
              <w:rPr>
                <w:rFonts w:ascii="Times New Roman" w:hAnsi="Times New Roman"/>
                <w:color w:val="auto"/>
                <w:sz w:val="21"/>
                <w:szCs w:val="21"/>
              </w:rPr>
              <w:t>-N</w:t>
            </w:r>
          </w:p>
        </w:tc>
        <w:tc>
          <w:tcPr>
            <w:tcW w:w="5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宋体"/>
                <w:color w:val="auto"/>
                <w:sz w:val="21"/>
                <w:szCs w:val="21"/>
              </w:rPr>
              <w:t>《污水综合排放标准》（</w:t>
            </w:r>
            <w:r>
              <w:rPr>
                <w:rFonts w:ascii="Times New Roman" w:hAnsi="Times New Roman"/>
                <w:color w:val="auto"/>
                <w:sz w:val="21"/>
                <w:szCs w:val="21"/>
              </w:rPr>
              <w:t>GB8978-1996</w:t>
            </w:r>
            <w:r>
              <w:rPr>
                <w:rFonts w:ascii="Times New Roman" w:hAnsi="宋体"/>
                <w:color w:val="auto"/>
                <w:sz w:val="21"/>
                <w:szCs w:val="21"/>
              </w:rPr>
              <w:t>）三级标准</w:t>
            </w:r>
          </w:p>
        </w:tc>
        <w:tc>
          <w:tcPr>
            <w:tcW w:w="506" w:type="pct"/>
            <w:tcBorders>
              <w:tl2br w:val="nil"/>
              <w:tr2bl w:val="nil"/>
            </w:tcBorders>
            <w:noWrap w:val="0"/>
            <w:vAlign w:val="center"/>
          </w:tcPr>
          <w:p>
            <w:pPr>
              <w:pStyle w:val="8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color w:val="auto"/>
                <w:kern w:val="2"/>
                <w:sz w:val="21"/>
                <w:szCs w:val="21"/>
              </w:rPr>
            </w:pPr>
            <w:r>
              <w:rPr>
                <w:color w:val="auto"/>
                <w:kern w:val="2"/>
                <w:sz w:val="21"/>
                <w:szCs w:val="21"/>
              </w:rPr>
              <w:t>6</w:t>
            </w:r>
            <w:r>
              <w:rPr>
                <w:rFonts w:hAnsi="宋体"/>
                <w:color w:val="auto"/>
                <w:kern w:val="2"/>
                <w:sz w:val="21"/>
                <w:szCs w:val="21"/>
              </w:rPr>
              <w:t>～</w:t>
            </w:r>
            <w:r>
              <w:rPr>
                <w:color w:val="auto"/>
                <w:kern w:val="2"/>
                <w:sz w:val="21"/>
                <w:szCs w:val="21"/>
              </w:rPr>
              <w:t>9</w:t>
            </w:r>
          </w:p>
        </w:tc>
        <w:tc>
          <w:tcPr>
            <w:tcW w:w="563" w:type="pct"/>
            <w:tcBorders>
              <w:tl2br w:val="nil"/>
              <w:tr2bl w:val="nil"/>
            </w:tcBorders>
            <w:noWrap w:val="0"/>
            <w:vAlign w:val="center"/>
          </w:tcPr>
          <w:p>
            <w:pPr>
              <w:pStyle w:val="8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color w:val="auto"/>
                <w:kern w:val="2"/>
                <w:sz w:val="21"/>
                <w:szCs w:val="21"/>
              </w:rPr>
            </w:pPr>
            <w:r>
              <w:rPr>
                <w:color w:val="auto"/>
                <w:kern w:val="2"/>
                <w:sz w:val="21"/>
                <w:szCs w:val="21"/>
              </w:rPr>
              <w:t>500</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2"/>
                <w:sz w:val="21"/>
                <w:szCs w:val="21"/>
              </w:rPr>
            </w:pPr>
            <w:r>
              <w:rPr>
                <w:rFonts w:ascii="Times New Roman" w:hAnsi="Times New Roman" w:cs="Times New Roman"/>
                <w:color w:val="auto"/>
                <w:sz w:val="21"/>
                <w:szCs w:val="21"/>
              </w:rPr>
              <w:t>300</w:t>
            </w:r>
          </w:p>
        </w:tc>
        <w:tc>
          <w:tcPr>
            <w:tcW w:w="479" w:type="pct"/>
            <w:tcBorders>
              <w:tl2br w:val="nil"/>
              <w:tr2bl w:val="nil"/>
            </w:tcBorders>
            <w:noWrap w:val="0"/>
            <w:vAlign w:val="center"/>
          </w:tcPr>
          <w:p>
            <w:pPr>
              <w:pStyle w:val="8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color w:val="auto"/>
                <w:kern w:val="2"/>
                <w:sz w:val="21"/>
                <w:szCs w:val="21"/>
              </w:rPr>
            </w:pPr>
            <w:r>
              <w:rPr>
                <w:color w:val="auto"/>
                <w:kern w:val="2"/>
                <w:sz w:val="21"/>
                <w:szCs w:val="21"/>
              </w:rPr>
              <w:t>400</w:t>
            </w:r>
          </w:p>
        </w:tc>
        <w:tc>
          <w:tcPr>
            <w:tcW w:w="576" w:type="pct"/>
            <w:tcBorders>
              <w:tl2br w:val="nil"/>
              <w:tr2bl w:val="nil"/>
            </w:tcBorders>
            <w:noWrap w:val="0"/>
            <w:vAlign w:val="center"/>
          </w:tcPr>
          <w:p>
            <w:pPr>
              <w:pStyle w:val="8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color w:val="auto"/>
                <w:kern w:val="2"/>
                <w:sz w:val="21"/>
                <w:szCs w:val="21"/>
              </w:rPr>
            </w:pPr>
            <w:r>
              <w:rPr>
                <w:color w:val="auto"/>
                <w:kern w:val="2"/>
                <w:sz w:val="21"/>
                <w:szCs w:val="21"/>
              </w:rPr>
              <w:t>45</w:t>
            </w:r>
            <w:r>
              <w:rPr>
                <w:rFonts w:hint="eastAsia" w:ascii="Times New Roman" w:hAnsi="Times New Roman"/>
                <w:color w:val="auto"/>
                <w:sz w:val="21"/>
                <w:szCs w:val="21"/>
              </w:rPr>
              <w:t>*</w:t>
            </w:r>
          </w:p>
        </w:tc>
        <w:tc>
          <w:tcPr>
            <w:tcW w:w="580" w:type="pct"/>
            <w:tcBorders>
              <w:tl2br w:val="nil"/>
              <w:tr2bl w:val="nil"/>
            </w:tcBorders>
            <w:noWrap w:val="0"/>
            <w:vAlign w:val="center"/>
          </w:tcPr>
          <w:p>
            <w:pPr>
              <w:pStyle w:val="8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eastAsia="宋体"/>
                <w:color w:val="auto"/>
                <w:kern w:val="2"/>
                <w:sz w:val="21"/>
                <w:szCs w:val="21"/>
                <w:lang w:val="en-US" w:eastAsia="zh-CN"/>
              </w:rPr>
            </w:pPr>
            <w:r>
              <w:rPr>
                <w:rFonts w:hint="eastAsia"/>
                <w:color w:val="auto"/>
                <w:kern w:val="2"/>
                <w:sz w:val="21"/>
                <w:szCs w:val="21"/>
                <w:lang w:val="en-US" w:eastAsia="zh-CN"/>
              </w:rPr>
              <w:t>20</w:t>
            </w:r>
          </w:p>
        </w:tc>
      </w:tr>
    </w:tbl>
    <w:p>
      <w:pPr>
        <w:spacing w:line="540" w:lineRule="exact"/>
        <w:ind w:firstLine="352" w:firstLineChars="196"/>
        <w:rPr>
          <w:sz w:val="18"/>
          <w:szCs w:val="18"/>
        </w:rPr>
      </w:pPr>
      <w:r>
        <w:rPr>
          <w:rFonts w:ascii="Times New Roman" w:hAnsi="宋体"/>
          <w:color w:val="auto"/>
          <w:sz w:val="18"/>
          <w:szCs w:val="18"/>
        </w:rPr>
        <w:t>注：</w:t>
      </w:r>
      <w:r>
        <w:rPr>
          <w:rFonts w:hint="eastAsia" w:ascii="Times New Roman" w:hAnsi="Times New Roman"/>
          <w:color w:val="auto"/>
          <w:sz w:val="18"/>
          <w:szCs w:val="18"/>
        </w:rPr>
        <w:t>*氨氮执行《污水排入城镇下水道水质标准》（GB/T31962-2015）</w:t>
      </w:r>
      <w:r>
        <w:rPr>
          <w:rFonts w:ascii="Times New Roman" w:hAnsi="宋体"/>
          <w:color w:val="auto"/>
          <w:sz w:val="18"/>
          <w:szCs w:val="18"/>
        </w:rPr>
        <w:t>。</w:t>
      </w:r>
    </w:p>
    <w:p>
      <w:pPr>
        <w:pStyle w:val="62"/>
        <w:rPr>
          <w:rFonts w:cs="Times New Roman"/>
          <w:sz w:val="32"/>
        </w:rPr>
      </w:pPr>
      <w:bookmarkStart w:id="129" w:name="_Toc59"/>
      <w:r>
        <w:rPr>
          <w:rFonts w:hint="eastAsia" w:cs="Times New Roman"/>
          <w:sz w:val="32"/>
        </w:rPr>
        <w:t>6</w:t>
      </w:r>
      <w:r>
        <w:rPr>
          <w:rFonts w:cs="Times New Roman"/>
          <w:sz w:val="32"/>
        </w:rPr>
        <w:t>.</w:t>
      </w:r>
      <w:r>
        <w:rPr>
          <w:rFonts w:hint="eastAsia" w:cs="Times New Roman"/>
          <w:sz w:val="32"/>
        </w:rPr>
        <w:t>2废气</w:t>
      </w:r>
      <w:bookmarkEnd w:id="12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kern w:val="0"/>
          <w:sz w:val="24"/>
          <w:szCs w:val="24"/>
        </w:rPr>
      </w:pPr>
      <w:bookmarkStart w:id="130" w:name="_Toc341431737"/>
      <w:bookmarkStart w:id="131" w:name="_Toc341278435"/>
      <w:bookmarkStart w:id="132" w:name="_Toc332553930"/>
      <w:bookmarkStart w:id="133" w:name="_Toc305059576"/>
      <w:bookmarkStart w:id="134" w:name="_Toc341293120"/>
      <w:bookmarkStart w:id="135" w:name="_Toc321042429"/>
      <w:bookmarkStart w:id="136" w:name="_Toc341357484"/>
      <w:r>
        <w:rPr>
          <w:rFonts w:hint="eastAsia"/>
          <w:color w:val="auto"/>
          <w:kern w:val="0"/>
          <w:sz w:val="24"/>
          <w:szCs w:val="24"/>
        </w:rPr>
        <w:t xml:space="preserve">厂界油气浓度无组织排放限值执行《加油站大气污染物排放标准》（GB20952-2020）中表 3 要求，详见表 </w:t>
      </w:r>
      <w:r>
        <w:rPr>
          <w:rFonts w:hint="eastAsia"/>
          <w:color w:val="auto"/>
          <w:kern w:val="0"/>
          <w:sz w:val="24"/>
          <w:szCs w:val="24"/>
          <w:lang w:val="en-US" w:eastAsia="zh-CN"/>
        </w:rPr>
        <w:t>6</w:t>
      </w:r>
      <w:r>
        <w:rPr>
          <w:rFonts w:hint="eastAsia"/>
          <w:color w:val="auto"/>
          <w:kern w:val="0"/>
          <w:sz w:val="24"/>
          <w:szCs w:val="24"/>
        </w:rPr>
        <w:t>-</w:t>
      </w:r>
      <w:r>
        <w:rPr>
          <w:rFonts w:hint="eastAsia"/>
          <w:color w:val="auto"/>
          <w:kern w:val="0"/>
          <w:sz w:val="24"/>
          <w:szCs w:val="24"/>
          <w:lang w:val="en-US" w:eastAsia="zh-CN"/>
        </w:rPr>
        <w:t>2</w:t>
      </w:r>
      <w:r>
        <w:rPr>
          <w:rFonts w:hint="eastAsia"/>
          <w:color w:val="auto"/>
          <w:kern w:val="0"/>
          <w:sz w:val="24"/>
          <w:szCs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0"/>
          <w:sz w:val="24"/>
          <w:szCs w:val="24"/>
        </w:rPr>
      </w:pPr>
      <w:r>
        <w:rPr>
          <w:rFonts w:hint="eastAsia"/>
          <w:color w:val="auto"/>
          <w:kern w:val="0"/>
          <w:sz w:val="24"/>
          <w:szCs w:val="24"/>
        </w:rPr>
        <w:t xml:space="preserve">表 </w:t>
      </w:r>
      <w:r>
        <w:rPr>
          <w:rFonts w:hint="eastAsia"/>
          <w:color w:val="auto"/>
          <w:kern w:val="0"/>
          <w:sz w:val="24"/>
          <w:szCs w:val="24"/>
          <w:lang w:val="en-US" w:eastAsia="zh-CN"/>
        </w:rPr>
        <w:t>6</w:t>
      </w:r>
      <w:r>
        <w:rPr>
          <w:rFonts w:hint="eastAsia"/>
          <w:color w:val="auto"/>
          <w:kern w:val="0"/>
          <w:sz w:val="24"/>
          <w:szCs w:val="24"/>
        </w:rPr>
        <w:t>-</w:t>
      </w:r>
      <w:r>
        <w:rPr>
          <w:rFonts w:hint="eastAsia"/>
          <w:color w:val="auto"/>
          <w:kern w:val="0"/>
          <w:sz w:val="24"/>
          <w:szCs w:val="24"/>
          <w:lang w:val="en-US" w:eastAsia="zh-CN"/>
        </w:rPr>
        <w:t>2</w:t>
      </w:r>
      <w:r>
        <w:rPr>
          <w:rFonts w:hint="eastAsia"/>
          <w:color w:val="auto"/>
          <w:kern w:val="0"/>
          <w:sz w:val="24"/>
          <w:szCs w:val="24"/>
        </w:rPr>
        <w:t xml:space="preserve"> 《加油站大气污染物排放标准》（GB20952-2020）</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3"/>
        <w:gridCol w:w="3154"/>
        <w:gridCol w:w="3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b/>
                <w:bCs/>
                <w:color w:val="auto"/>
                <w:sz w:val="21"/>
                <w:szCs w:val="21"/>
                <w:vertAlign w:val="baseline"/>
                <w:lang w:eastAsia="zh-CN"/>
              </w:rPr>
              <w:t>油气回收系统要求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 xml:space="preserve">类型  </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通入氮气流量</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最大压力限值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加油站油气回收管线液阻最大压力限值</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18L/min</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40Pa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28L/min</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90Pa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38L/min</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155Pa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加油站油气回收系统密闭性检测最小剩余压力限值</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最小剩余压力限值：301 Pa</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储罐油气空间：3785L</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受影响的加油枪数：1～6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 xml:space="preserve">加油油气回收系统的气液比 </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1.0≤～≤1.2</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符合技术评估报告给出的范围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油气处置装置的油气排放浓度（1 小时平均浓度值）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（预留三级回收系统）</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 xml:space="preserve">≤25g/m </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vertAlign w:val="baseline"/>
                <w:lang w:eastAsia="zh-CN"/>
              </w:rPr>
              <w:t>（标准状态）</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排放口距地平面高度（m）≧4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b/>
                <w:bCs/>
                <w:color w:val="auto"/>
                <w:sz w:val="21"/>
                <w:szCs w:val="21"/>
                <w:vertAlign w:val="baseline"/>
                <w:lang w:eastAsia="zh-CN"/>
              </w:rPr>
              <w:t>厂界油气浓度无组织排放要求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污染物</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无组织排放监控浓度限值</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限值含义</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(mg/m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 xml:space="preserve">非甲烷总烃 </w:t>
            </w:r>
          </w:p>
        </w:tc>
        <w:tc>
          <w:tcPr>
            <w:tcW w:w="16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监控点处 1 小时平均浓度值</w:t>
            </w:r>
          </w:p>
        </w:tc>
        <w:tc>
          <w:tcPr>
            <w:tcW w:w="1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4.0</w:t>
            </w:r>
          </w:p>
        </w:tc>
      </w:tr>
    </w:tbl>
    <w:p>
      <w:pPr>
        <w:pStyle w:val="62"/>
        <w:rPr>
          <w:rFonts w:cs="Times New Roman"/>
          <w:sz w:val="32"/>
        </w:rPr>
      </w:pPr>
      <w:bookmarkStart w:id="137" w:name="_Toc27371"/>
      <w:r>
        <w:rPr>
          <w:rFonts w:hint="eastAsia" w:cs="Times New Roman"/>
          <w:sz w:val="32"/>
        </w:rPr>
        <w:t>6</w:t>
      </w:r>
      <w:r>
        <w:rPr>
          <w:rFonts w:cs="Times New Roman"/>
          <w:sz w:val="32"/>
        </w:rPr>
        <w:t>.3 噪声</w:t>
      </w:r>
      <w:bookmarkEnd w:id="130"/>
      <w:bookmarkEnd w:id="131"/>
      <w:bookmarkEnd w:id="132"/>
      <w:bookmarkEnd w:id="133"/>
      <w:bookmarkEnd w:id="134"/>
      <w:bookmarkEnd w:id="135"/>
      <w:bookmarkEnd w:id="136"/>
      <w:bookmarkEnd w:id="137"/>
    </w:p>
    <w:p>
      <w:pPr>
        <w:keepNext w:val="0"/>
        <w:keepLines w:val="0"/>
        <w:pageBreakBefore w:val="0"/>
        <w:kinsoku/>
        <w:wordWrap/>
        <w:overflowPunct/>
        <w:topLinePunct w:val="0"/>
        <w:autoSpaceDE/>
        <w:autoSpaceDN/>
        <w:bidi w:val="0"/>
        <w:spacing w:line="360" w:lineRule="auto"/>
        <w:ind w:firstLine="480" w:firstLineChars="200"/>
        <w:contextualSpacing/>
        <w:textAlignment w:val="auto"/>
        <w:rPr>
          <w:rFonts w:ascii="Times New Roman" w:hAnsi="宋体"/>
          <w:color w:val="000000"/>
          <w:sz w:val="24"/>
          <w:szCs w:val="24"/>
        </w:rPr>
      </w:pPr>
      <w:bookmarkStart w:id="138" w:name="_Toc534643360"/>
      <w:bookmarkStart w:id="139" w:name="_Toc10440"/>
      <w:r>
        <w:rPr>
          <w:rFonts w:hint="eastAsia" w:ascii="Times New Roman" w:hAnsi="宋体"/>
          <w:color w:val="000000"/>
          <w:sz w:val="24"/>
          <w:szCs w:val="24"/>
        </w:rPr>
        <w:t>本项目</w:t>
      </w:r>
      <w:r>
        <w:rPr>
          <w:rFonts w:hint="eastAsia" w:ascii="Times New Roman" w:hAnsi="宋体"/>
          <w:color w:val="000000"/>
          <w:sz w:val="24"/>
          <w:szCs w:val="24"/>
          <w:lang w:val="en-US" w:eastAsia="zh-CN"/>
        </w:rPr>
        <w:t>东侧紧邻团结</w:t>
      </w:r>
      <w:r>
        <w:rPr>
          <w:rFonts w:hint="eastAsia" w:ascii="Times New Roman" w:hAnsi="宋体"/>
          <w:color w:val="000000"/>
          <w:sz w:val="24"/>
          <w:szCs w:val="24"/>
        </w:rPr>
        <w:t>大道，属于城市主、次干道，因此，本项目营运期</w:t>
      </w:r>
      <w:r>
        <w:rPr>
          <w:rFonts w:hint="eastAsia" w:ascii="Times New Roman" w:hAnsi="宋体"/>
          <w:color w:val="000000"/>
          <w:sz w:val="24"/>
          <w:szCs w:val="24"/>
          <w:lang w:val="en-US" w:eastAsia="zh-CN"/>
        </w:rPr>
        <w:t>东</w:t>
      </w:r>
      <w:r>
        <w:rPr>
          <w:rFonts w:hint="eastAsia" w:ascii="Times New Roman" w:hAnsi="宋体"/>
          <w:color w:val="000000"/>
          <w:sz w:val="24"/>
          <w:szCs w:val="24"/>
        </w:rPr>
        <w:t>侧噪声执行《工业企业厂界环境噪声排放标准》（GB12348-2008）中的 4 类排放标准，</w:t>
      </w:r>
      <w:r>
        <w:rPr>
          <w:rFonts w:hint="eastAsia" w:ascii="Times New Roman" w:hAnsi="宋体"/>
          <w:color w:val="000000"/>
          <w:sz w:val="24"/>
          <w:szCs w:val="24"/>
          <w:lang w:val="en-US" w:eastAsia="zh-CN"/>
        </w:rPr>
        <w:t>南侧、</w:t>
      </w:r>
      <w:r>
        <w:rPr>
          <w:rFonts w:hint="eastAsia" w:ascii="Times New Roman" w:hAnsi="宋体"/>
          <w:color w:val="000000"/>
          <w:sz w:val="24"/>
          <w:szCs w:val="24"/>
        </w:rPr>
        <w:t>北侧、</w:t>
      </w:r>
      <w:r>
        <w:rPr>
          <w:rFonts w:hint="eastAsia" w:ascii="Times New Roman" w:hAnsi="宋体"/>
          <w:color w:val="000000"/>
          <w:sz w:val="24"/>
          <w:szCs w:val="24"/>
          <w:lang w:val="en-US" w:eastAsia="zh-CN"/>
        </w:rPr>
        <w:t>西</w:t>
      </w:r>
      <w:r>
        <w:rPr>
          <w:rFonts w:hint="eastAsia" w:ascii="Times New Roman" w:hAnsi="宋体"/>
          <w:color w:val="000000"/>
          <w:sz w:val="24"/>
          <w:szCs w:val="24"/>
        </w:rPr>
        <w:t>侧噪声执行《工业企业厂界环境噪声排放标准》（GB12348-2008）中的 3 类排放标准</w:t>
      </w:r>
      <w:r>
        <w:rPr>
          <w:rFonts w:ascii="Times New Roman" w:hAnsi="宋体"/>
          <w:color w:val="000000"/>
          <w:sz w:val="24"/>
          <w:szCs w:val="24"/>
        </w:rPr>
        <w:t>。标准值详见表</w:t>
      </w:r>
      <w:r>
        <w:rPr>
          <w:rFonts w:hint="eastAsia" w:ascii="Times New Roman" w:hAnsi="Times New Roman"/>
          <w:color w:val="000000"/>
          <w:sz w:val="24"/>
          <w:szCs w:val="24"/>
          <w:lang w:val="en-US" w:eastAsia="zh-CN"/>
        </w:rPr>
        <w:t>6-3</w:t>
      </w:r>
      <w:r>
        <w:rPr>
          <w:rFonts w:ascii="Times New Roman" w:hAnsi="宋体"/>
          <w:color w:val="000000"/>
          <w:sz w:val="24"/>
          <w:szCs w:val="24"/>
        </w:rPr>
        <w:t>。</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ascii="Times New Roman" w:hAnsi="Times New Roman"/>
          <w:color w:val="000000"/>
          <w:sz w:val="24"/>
          <w:szCs w:val="24"/>
        </w:rPr>
      </w:pPr>
      <w:r>
        <w:rPr>
          <w:rFonts w:ascii="Times New Roman" w:hAnsi="宋体"/>
          <w:color w:val="000000"/>
          <w:sz w:val="24"/>
          <w:szCs w:val="24"/>
        </w:rPr>
        <w:t>表</w:t>
      </w:r>
      <w:r>
        <w:rPr>
          <w:rFonts w:hint="eastAsia" w:ascii="Times New Roman" w:hAnsi="Times New Roman"/>
          <w:color w:val="000000"/>
          <w:sz w:val="24"/>
          <w:szCs w:val="24"/>
          <w:lang w:val="en-US" w:eastAsia="zh-CN"/>
        </w:rPr>
        <w:t>6-3</w:t>
      </w:r>
      <w:r>
        <w:rPr>
          <w:rFonts w:hint="eastAsia" w:ascii="Times New Roman" w:hAnsi="宋体"/>
          <w:color w:val="000000"/>
          <w:sz w:val="24"/>
          <w:szCs w:val="24"/>
          <w:lang w:eastAsia="zh-CN"/>
        </w:rPr>
        <w:t>《工业企业厂界环境噪声排放标准》（GB12348-2008）</w:t>
      </w:r>
      <w:r>
        <w:rPr>
          <w:rFonts w:ascii="Times New Roman" w:hAnsi="Times New Roman"/>
          <w:color w:val="000000"/>
          <w:sz w:val="24"/>
          <w:szCs w:val="24"/>
        </w:rPr>
        <w:t xml:space="preserve"> </w:t>
      </w:r>
      <w:r>
        <w:rPr>
          <w:rFonts w:ascii="Times New Roman" w:hAnsi="宋体"/>
          <w:color w:val="000000"/>
          <w:sz w:val="24"/>
          <w:szCs w:val="24"/>
        </w:rPr>
        <w:t>单位：</w:t>
      </w:r>
      <w:r>
        <w:rPr>
          <w:rFonts w:ascii="Times New Roman" w:hAnsi="Times New Roman"/>
          <w:color w:val="000000"/>
          <w:sz w:val="24"/>
          <w:szCs w:val="24"/>
        </w:rPr>
        <w:t>dB</w:t>
      </w:r>
      <w:r>
        <w:rPr>
          <w:rFonts w:ascii="Times New Roman" w:hAnsi="宋体"/>
          <w:color w:val="000000"/>
          <w:sz w:val="24"/>
          <w:szCs w:val="24"/>
        </w:rPr>
        <w:t>（</w:t>
      </w:r>
      <w:r>
        <w:rPr>
          <w:rFonts w:ascii="Times New Roman" w:hAnsi="Times New Roman"/>
          <w:color w:val="000000"/>
          <w:sz w:val="24"/>
          <w:szCs w:val="24"/>
        </w:rPr>
        <w:t>A</w:t>
      </w:r>
      <w:r>
        <w:rPr>
          <w:rFonts w:ascii="Times New Roman" w:hAnsi="宋体"/>
          <w:color w:val="000000"/>
          <w:sz w:val="24"/>
          <w:szCs w:val="24"/>
        </w:rPr>
        <w:t>）</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6"/>
        <w:gridCol w:w="3115"/>
        <w:gridCol w:w="2331"/>
        <w:gridCol w:w="2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restart"/>
            <w:tcBorders>
              <w:tl2br w:val="nil"/>
              <w:tr2bl w:val="nil"/>
            </w:tcBorders>
            <w:noWrap w:val="0"/>
            <w:vAlign w:val="center"/>
          </w:tcPr>
          <w:p>
            <w:pPr>
              <w:pStyle w:val="11"/>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ascii="Times New Roman" w:hAnsi="宋体"/>
                <w:color w:val="000000"/>
                <w:sz w:val="21"/>
                <w:szCs w:val="21"/>
              </w:rPr>
              <w:t>类别</w:t>
            </w:r>
          </w:p>
        </w:tc>
        <w:tc>
          <w:tcPr>
            <w:tcW w:w="1677"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ascii="Times New Roman" w:hAnsi="宋体"/>
                <w:color w:val="000000"/>
                <w:sz w:val="21"/>
                <w:szCs w:val="21"/>
              </w:rPr>
              <w:t>适用范围</w:t>
            </w:r>
          </w:p>
        </w:tc>
        <w:tc>
          <w:tcPr>
            <w:tcW w:w="2661"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ascii="Times New Roman" w:hAnsi="宋体"/>
                <w:color w:val="000000"/>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tcBorders>
              <w:tl2br w:val="nil"/>
              <w:tr2bl w:val="nil"/>
            </w:tcBorders>
            <w:noWrap w:val="0"/>
            <w:vAlign w:val="center"/>
          </w:tcPr>
          <w:p>
            <w:pPr>
              <w:pStyle w:val="11"/>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p>
        </w:tc>
        <w:tc>
          <w:tcPr>
            <w:tcW w:w="1677"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p>
        </w:tc>
        <w:tc>
          <w:tcPr>
            <w:tcW w:w="125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ascii="Times New Roman" w:hAnsi="宋体"/>
                <w:color w:val="000000"/>
                <w:sz w:val="21"/>
                <w:szCs w:val="21"/>
              </w:rPr>
              <w:t>昼间</w:t>
            </w:r>
          </w:p>
        </w:tc>
        <w:tc>
          <w:tcPr>
            <w:tcW w:w="1406"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ascii="Times New Roman" w:hAnsi="宋体"/>
                <w:color w:val="00000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olor w:val="000000"/>
                <w:sz w:val="21"/>
                <w:szCs w:val="21"/>
              </w:rPr>
            </w:pPr>
            <w:r>
              <w:rPr>
                <w:rFonts w:hint="eastAsia" w:ascii="Times New Roman" w:hAnsi="Times New Roman"/>
                <w:color w:val="000000"/>
                <w:sz w:val="21"/>
                <w:szCs w:val="21"/>
                <w:lang w:val="en-US" w:eastAsia="zh-CN"/>
              </w:rPr>
              <w:t>3</w:t>
            </w:r>
            <w:r>
              <w:rPr>
                <w:rFonts w:ascii="Times New Roman" w:hAnsi="宋体"/>
                <w:color w:val="000000"/>
                <w:sz w:val="21"/>
                <w:szCs w:val="21"/>
              </w:rPr>
              <w:t>类</w:t>
            </w:r>
          </w:p>
        </w:tc>
        <w:tc>
          <w:tcPr>
            <w:tcW w:w="167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南侧、北侧、西侧厂界</w:t>
            </w:r>
          </w:p>
        </w:tc>
        <w:tc>
          <w:tcPr>
            <w:tcW w:w="125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000000"/>
                <w:spacing w:val="-2"/>
                <w:sz w:val="21"/>
                <w:szCs w:val="21"/>
                <w:lang w:val="en-US" w:eastAsia="zh-CN"/>
              </w:rPr>
            </w:pPr>
            <w:r>
              <w:rPr>
                <w:rFonts w:hint="eastAsia" w:ascii="Times New Roman" w:hAnsi="Times New Roman" w:eastAsia="宋体"/>
                <w:color w:val="000000"/>
                <w:spacing w:val="-2"/>
                <w:sz w:val="21"/>
                <w:szCs w:val="21"/>
                <w:lang w:val="en-US" w:eastAsia="zh-CN"/>
              </w:rPr>
              <w:t>65</w:t>
            </w:r>
          </w:p>
        </w:tc>
        <w:tc>
          <w:tcPr>
            <w:tcW w:w="1406"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000000"/>
                <w:sz w:val="21"/>
                <w:szCs w:val="21"/>
                <w:lang w:eastAsia="zh-CN"/>
              </w:rPr>
            </w:pPr>
            <w:r>
              <w:rPr>
                <w:rFonts w:hint="eastAsia" w:ascii="Times New Roman" w:hAnsi="Times New Roman"/>
                <w:color w:val="000000"/>
                <w:sz w:val="21"/>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lang w:val="en-US" w:eastAsia="zh-CN"/>
              </w:rPr>
            </w:pPr>
            <w:r>
              <w:rPr>
                <w:rFonts w:hint="eastAsia" w:ascii="Times New Roman" w:hAnsi="Times New Roman"/>
                <w:color w:val="000000"/>
                <w:sz w:val="21"/>
                <w:szCs w:val="21"/>
                <w:lang w:val="en-US" w:eastAsia="zh-CN"/>
              </w:rPr>
              <w:t>4类</w:t>
            </w:r>
          </w:p>
        </w:tc>
        <w:tc>
          <w:tcPr>
            <w:tcW w:w="167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东侧厂界</w:t>
            </w:r>
          </w:p>
        </w:tc>
        <w:tc>
          <w:tcPr>
            <w:tcW w:w="125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000000"/>
                <w:spacing w:val="-2"/>
                <w:sz w:val="21"/>
                <w:szCs w:val="21"/>
                <w:lang w:val="en-US" w:eastAsia="zh-CN"/>
              </w:rPr>
            </w:pPr>
            <w:r>
              <w:rPr>
                <w:rFonts w:hint="eastAsia" w:ascii="Times New Roman" w:hAnsi="Times New Roman" w:eastAsia="宋体"/>
                <w:color w:val="000000"/>
                <w:spacing w:val="-2"/>
                <w:sz w:val="21"/>
                <w:szCs w:val="21"/>
                <w:lang w:val="en-US" w:eastAsia="zh-CN"/>
              </w:rPr>
              <w:t>70</w:t>
            </w:r>
          </w:p>
        </w:tc>
        <w:tc>
          <w:tcPr>
            <w:tcW w:w="1406"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lang w:val="en-US" w:eastAsia="zh-CN"/>
              </w:rPr>
            </w:pPr>
            <w:r>
              <w:rPr>
                <w:rFonts w:hint="eastAsia" w:ascii="Times New Roman" w:hAnsi="Times New Roman"/>
                <w:color w:val="000000"/>
                <w:sz w:val="21"/>
                <w:szCs w:val="21"/>
                <w:lang w:val="en-US" w:eastAsia="zh-CN"/>
              </w:rPr>
              <w:t>55</w:t>
            </w:r>
          </w:p>
        </w:tc>
      </w:tr>
    </w:tbl>
    <w:p>
      <w:pPr>
        <w:pStyle w:val="62"/>
        <w:rPr>
          <w:rFonts w:hint="eastAsia" w:ascii="Times New Roman" w:hAnsi="Times New Roman" w:eastAsia="宋体" w:cs="Times New Roman"/>
          <w:sz w:val="32"/>
        </w:rPr>
      </w:pPr>
      <w:bookmarkStart w:id="140" w:name="_Toc2148"/>
      <w:r>
        <w:rPr>
          <w:rFonts w:hint="eastAsia" w:ascii="Times New Roman" w:hAnsi="Times New Roman" w:eastAsia="宋体" w:cs="Times New Roman"/>
          <w:sz w:val="32"/>
        </w:rPr>
        <w:t>6.</w:t>
      </w:r>
      <w:bookmarkEnd w:id="138"/>
      <w:r>
        <w:rPr>
          <w:rFonts w:hint="eastAsia" w:ascii="Times New Roman" w:hAnsi="Times New Roman" w:eastAsia="宋体" w:cs="Times New Roman"/>
          <w:sz w:val="32"/>
          <w:lang w:val="en-US" w:eastAsia="zh-CN"/>
        </w:rPr>
        <w:t>4</w:t>
      </w:r>
      <w:r>
        <w:rPr>
          <w:rFonts w:hint="eastAsia" w:ascii="Times New Roman" w:hAnsi="Times New Roman" w:eastAsia="宋体" w:cs="Times New Roman"/>
          <w:sz w:val="32"/>
        </w:rPr>
        <w:t>固体废物污染管控标准要求</w:t>
      </w:r>
      <w:bookmarkEnd w:id="139"/>
      <w:bookmarkEnd w:id="140"/>
    </w:p>
    <w:p>
      <w:pPr>
        <w:spacing w:line="54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rPr>
        <w:t>根据环评及批复要求，</w:t>
      </w:r>
      <w:r>
        <w:rPr>
          <w:rFonts w:hint="eastAsia" w:ascii="Times New Roman" w:hAnsi="Times New Roman" w:eastAsia="宋体" w:cs="Times New Roman"/>
          <w:sz w:val="24"/>
          <w:szCs w:val="24"/>
          <w:lang w:val="en-US" w:eastAsia="zh-CN"/>
        </w:rPr>
        <w:t>一般工业固体废物执行《一般工业固体废物贮存和填埋污染控制标准》（GB18599-2020），采用库房、包装工具（罐、桶、包装袋等）贮存一般工业固体废物过程的污染控制，其贮存过程应满足相应防渗漏、防雨淋、防扬尘等环境保护要求。危险废物执行《危险废物贮存污染控制标准》（GB18597-2023）和《危险废物收集贮存运输技术规范》（HJ2025-2012）以及《危险废物转移联单管理办法》（国家环境保护总局令第5号）中相关规定。</w:t>
      </w:r>
    </w:p>
    <w:p>
      <w:pPr>
        <w:sectPr>
          <w:pgSz w:w="11906" w:h="16838"/>
          <w:pgMar w:top="1701" w:right="1418" w:bottom="1701" w:left="1418" w:header="851" w:footer="992" w:gutter="0"/>
          <w:cols w:space="425" w:num="1"/>
          <w:docGrid w:type="lines" w:linePitch="312" w:charSpace="0"/>
        </w:sectPr>
      </w:pPr>
    </w:p>
    <w:p>
      <w:pPr>
        <w:pStyle w:val="61"/>
        <w:spacing w:beforeLines="50"/>
        <w:rPr>
          <w:rFonts w:cs="Times New Roman"/>
          <w:sz w:val="36"/>
        </w:rPr>
      </w:pPr>
      <w:bookmarkStart w:id="141" w:name="_Toc3530"/>
      <w:r>
        <w:rPr>
          <w:rFonts w:hint="eastAsia" w:cs="Times New Roman"/>
          <w:sz w:val="36"/>
        </w:rPr>
        <w:t>7</w:t>
      </w:r>
      <w:r>
        <w:rPr>
          <w:rFonts w:cs="Times New Roman"/>
          <w:sz w:val="36"/>
        </w:rPr>
        <w:t>验收监测内容</w:t>
      </w:r>
      <w:bookmarkEnd w:id="117"/>
      <w:bookmarkEnd w:id="126"/>
      <w:bookmarkEnd w:id="127"/>
      <w:bookmarkEnd w:id="128"/>
      <w:bookmarkEnd w:id="141"/>
    </w:p>
    <w:p>
      <w:pPr>
        <w:pStyle w:val="62"/>
        <w:rPr>
          <w:rFonts w:cs="Times New Roman"/>
          <w:sz w:val="32"/>
        </w:rPr>
      </w:pPr>
      <w:bookmarkStart w:id="142" w:name="_Toc16601"/>
      <w:r>
        <w:rPr>
          <w:rFonts w:hint="eastAsia" w:cs="Times New Roman"/>
          <w:sz w:val="32"/>
        </w:rPr>
        <w:t>7</w:t>
      </w:r>
      <w:r>
        <w:rPr>
          <w:rFonts w:cs="Times New Roman"/>
          <w:sz w:val="32"/>
        </w:rPr>
        <w:t xml:space="preserve">.1 </w:t>
      </w:r>
      <w:r>
        <w:rPr>
          <w:rFonts w:hint="eastAsia" w:cs="Times New Roman"/>
          <w:sz w:val="32"/>
        </w:rPr>
        <w:t>废水</w:t>
      </w:r>
      <w:bookmarkEnd w:id="142"/>
    </w:p>
    <w:p>
      <w:pPr>
        <w:spacing w:line="540" w:lineRule="exact"/>
        <w:ind w:firstLine="463" w:firstLineChars="192"/>
        <w:jc w:val="center"/>
        <w:rPr>
          <w:sz w:val="24"/>
          <w:szCs w:val="24"/>
        </w:rPr>
      </w:pPr>
      <w:r>
        <w:rPr>
          <w:rFonts w:hAnsiTheme="minorEastAsia" w:eastAsiaTheme="minorEastAsia"/>
          <w:b/>
          <w:sz w:val="24"/>
          <w:szCs w:val="24"/>
        </w:rPr>
        <w:t>表</w:t>
      </w:r>
      <w:r>
        <w:rPr>
          <w:rFonts w:hint="eastAsia" w:eastAsiaTheme="minorEastAsia"/>
          <w:b/>
          <w:sz w:val="24"/>
          <w:szCs w:val="24"/>
        </w:rPr>
        <w:t>7</w:t>
      </w:r>
      <w:r>
        <w:rPr>
          <w:rFonts w:eastAsiaTheme="minorEastAsia"/>
          <w:b/>
          <w:sz w:val="24"/>
          <w:szCs w:val="24"/>
        </w:rPr>
        <w:t xml:space="preserve">-1    </w:t>
      </w:r>
      <w:r>
        <w:rPr>
          <w:rFonts w:hAnsiTheme="minorEastAsia" w:eastAsiaTheme="minorEastAsia"/>
          <w:b/>
          <w:sz w:val="24"/>
          <w:szCs w:val="24"/>
        </w:rPr>
        <w:t>废水监测表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71"/>
        <w:gridCol w:w="2243"/>
        <w:gridCol w:w="2243"/>
        <w:gridCol w:w="1786"/>
        <w:gridCol w:w="19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7" w:type="pct"/>
            <w:noWrap w:val="0"/>
            <w:vAlign w:val="center"/>
          </w:tcPr>
          <w:p>
            <w:pPr>
              <w:pStyle w:val="42"/>
              <w:spacing w:line="240" w:lineRule="auto"/>
            </w:pPr>
            <w:r>
              <w:rPr>
                <w:rFonts w:hint="eastAsia"/>
              </w:rPr>
              <w:t>监测</w:t>
            </w:r>
            <w:r>
              <w:t>项目</w:t>
            </w:r>
          </w:p>
        </w:tc>
        <w:tc>
          <w:tcPr>
            <w:tcW w:w="1207" w:type="pct"/>
            <w:noWrap w:val="0"/>
            <w:vAlign w:val="center"/>
          </w:tcPr>
          <w:p>
            <w:pPr>
              <w:pStyle w:val="42"/>
              <w:spacing w:line="240" w:lineRule="auto"/>
            </w:pPr>
            <w:r>
              <w:rPr>
                <w:rFonts w:hint="eastAsia"/>
              </w:rPr>
              <w:t>监测点位</w:t>
            </w:r>
          </w:p>
        </w:tc>
        <w:tc>
          <w:tcPr>
            <w:tcW w:w="1207" w:type="pct"/>
            <w:tcBorders>
              <w:bottom w:val="single" w:color="auto" w:sz="4" w:space="0"/>
            </w:tcBorders>
            <w:noWrap w:val="0"/>
            <w:vAlign w:val="center"/>
          </w:tcPr>
          <w:p>
            <w:pPr>
              <w:pStyle w:val="42"/>
              <w:spacing w:line="240" w:lineRule="auto"/>
            </w:pPr>
            <w:r>
              <w:t>监测</w:t>
            </w:r>
            <w:r>
              <w:rPr>
                <w:rFonts w:hint="eastAsia"/>
              </w:rPr>
              <w:t>因子</w:t>
            </w:r>
          </w:p>
        </w:tc>
        <w:tc>
          <w:tcPr>
            <w:tcW w:w="961" w:type="pct"/>
            <w:tcBorders>
              <w:bottom w:val="single" w:color="auto" w:sz="4" w:space="0"/>
            </w:tcBorders>
            <w:noWrap w:val="0"/>
            <w:vAlign w:val="center"/>
          </w:tcPr>
          <w:p>
            <w:pPr>
              <w:pStyle w:val="42"/>
              <w:spacing w:line="240" w:lineRule="auto"/>
            </w:pPr>
            <w:r>
              <w:rPr>
                <w:rFonts w:hint="eastAsia"/>
              </w:rPr>
              <w:t>监测</w:t>
            </w:r>
            <w:r>
              <w:t>频次</w:t>
            </w:r>
          </w:p>
        </w:tc>
        <w:tc>
          <w:tcPr>
            <w:tcW w:w="1046" w:type="pct"/>
            <w:noWrap w:val="0"/>
            <w:vAlign w:val="top"/>
          </w:tcPr>
          <w:p>
            <w:pPr>
              <w:pStyle w:val="42"/>
              <w:spacing w:line="240" w:lineRule="auto"/>
              <w:rPr>
                <w:rFonts w:hint="eastAsia"/>
              </w:rPr>
            </w:pPr>
            <w:r>
              <w:rPr>
                <w:rFonts w:hint="eastAsia"/>
                <w:szCs w:val="21"/>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7" w:type="pct"/>
            <w:vMerge w:val="restart"/>
            <w:noWrap w:val="0"/>
            <w:vAlign w:val="center"/>
          </w:tcPr>
          <w:p>
            <w:pPr>
              <w:pStyle w:val="42"/>
              <w:jc w:val="center"/>
              <w:rPr>
                <w:rFonts w:hint="eastAsia"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废水</w:t>
            </w:r>
          </w:p>
        </w:tc>
        <w:tc>
          <w:tcPr>
            <w:tcW w:w="1207" w:type="pct"/>
            <w:noWrap w:val="0"/>
            <w:vAlign w:val="center"/>
          </w:tcPr>
          <w:p>
            <w:pPr>
              <w:pStyle w:val="42"/>
              <w:jc w:val="center"/>
              <w:rPr>
                <w:rFonts w:hint="eastAsia"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隔油池进水口（WS1）</w:t>
            </w:r>
          </w:p>
        </w:tc>
        <w:tc>
          <w:tcPr>
            <w:tcW w:w="1207" w:type="pct"/>
            <w:vMerge w:val="restart"/>
            <w:noWrap w:val="0"/>
            <w:vAlign w:val="center"/>
          </w:tcPr>
          <w:p>
            <w:pPr>
              <w:pStyle w:val="42"/>
              <w:jc w:val="center"/>
              <w:rPr>
                <w:rFonts w:hint="eastAsia" w:eastAsia="宋体"/>
                <w:snapToGrid w:val="0"/>
                <w:color w:val="000000"/>
                <w:kern w:val="24"/>
                <w:sz w:val="21"/>
                <w:szCs w:val="20"/>
                <w:lang w:val="en-US" w:eastAsia="zh-CN" w:bidi="ar-SA"/>
              </w:rPr>
            </w:pPr>
            <w:r>
              <w:rPr>
                <w:rFonts w:hint="default" w:eastAsia="宋体"/>
                <w:snapToGrid w:val="0"/>
                <w:color w:val="000000"/>
                <w:kern w:val="24"/>
                <w:sz w:val="21"/>
                <w:szCs w:val="20"/>
                <w:lang w:val="en-US" w:eastAsia="zh-CN" w:bidi="ar-SA"/>
              </w:rPr>
              <w:t>COD、BOD5、SS、NH3-N</w:t>
            </w:r>
            <w:r>
              <w:rPr>
                <w:rFonts w:hint="eastAsia" w:eastAsia="宋体"/>
                <w:snapToGrid w:val="0"/>
                <w:color w:val="000000"/>
                <w:kern w:val="24"/>
                <w:sz w:val="21"/>
                <w:szCs w:val="20"/>
                <w:lang w:val="en-US" w:eastAsia="zh-CN" w:bidi="ar-SA"/>
              </w:rPr>
              <w:t>、石油类</w:t>
            </w:r>
          </w:p>
        </w:tc>
        <w:tc>
          <w:tcPr>
            <w:tcW w:w="961" w:type="pct"/>
            <w:vMerge w:val="restart"/>
            <w:tcBorders>
              <w:top w:val="single" w:color="auto" w:sz="4" w:space="0"/>
            </w:tcBorders>
            <w:noWrap w:val="0"/>
            <w:vAlign w:val="center"/>
          </w:tcPr>
          <w:p>
            <w:pPr>
              <w:pStyle w:val="42"/>
              <w:jc w:val="center"/>
              <w:rPr>
                <w:rFonts w:hint="eastAsia"/>
                <w:snapToGrid w:val="0"/>
                <w:color w:val="000000"/>
                <w:kern w:val="24"/>
                <w:sz w:val="21"/>
                <w:szCs w:val="20"/>
                <w:lang w:val="en-US" w:eastAsia="zh-CN" w:bidi="ar-SA"/>
              </w:rPr>
            </w:pPr>
            <w:r>
              <w:rPr>
                <w:rFonts w:hint="eastAsia"/>
                <w:snapToGrid w:val="0"/>
                <w:color w:val="000000"/>
                <w:kern w:val="24"/>
                <w:sz w:val="21"/>
                <w:szCs w:val="20"/>
                <w:lang w:val="en-US" w:eastAsia="zh-CN" w:bidi="ar-SA"/>
              </w:rPr>
              <w:t>连续监测2天，每天采样4次</w:t>
            </w:r>
          </w:p>
        </w:tc>
        <w:tc>
          <w:tcPr>
            <w:tcW w:w="1046" w:type="pct"/>
            <w:vMerge w:val="restart"/>
            <w:tcBorders>
              <w:top w:val="single" w:color="auto" w:sz="4" w:space="0"/>
            </w:tcBorders>
            <w:noWrap w:val="0"/>
            <w:vAlign w:val="center"/>
          </w:tcPr>
          <w:p>
            <w:pPr>
              <w:pStyle w:val="42"/>
              <w:jc w:val="center"/>
              <w:rPr>
                <w:rFonts w:hint="eastAsia"/>
              </w:rPr>
            </w:pPr>
            <w:r>
              <w:rPr>
                <w:rFonts w:hint="default"/>
                <w:szCs w:val="21"/>
                <w:lang w:val="en-US" w:eastAsia="zh-CN"/>
              </w:rPr>
              <w:t>《污水综合排放标准》（GB8978-1996）三级标准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7" w:type="pct"/>
            <w:vMerge w:val="continue"/>
            <w:noWrap w:val="0"/>
            <w:vAlign w:val="center"/>
          </w:tcPr>
          <w:p>
            <w:pPr>
              <w:pStyle w:val="42"/>
              <w:spacing w:line="240" w:lineRule="auto"/>
              <w:jc w:val="center"/>
              <w:rPr>
                <w:rFonts w:hint="eastAsia"/>
                <w:lang w:val="en-US" w:eastAsia="zh-CN"/>
              </w:rPr>
            </w:pPr>
          </w:p>
        </w:tc>
        <w:tc>
          <w:tcPr>
            <w:tcW w:w="1207" w:type="pct"/>
            <w:noWrap w:val="0"/>
            <w:vAlign w:val="center"/>
          </w:tcPr>
          <w:p>
            <w:pPr>
              <w:pStyle w:val="42"/>
              <w:jc w:val="center"/>
              <w:rPr>
                <w:rFonts w:hint="eastAsia"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总排口</w:t>
            </w:r>
          </w:p>
          <w:p>
            <w:pPr>
              <w:pStyle w:val="42"/>
              <w:jc w:val="center"/>
              <w:rPr>
                <w:rFonts w:hint="eastAsia"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（WS2）</w:t>
            </w:r>
          </w:p>
        </w:tc>
        <w:tc>
          <w:tcPr>
            <w:tcW w:w="1207" w:type="pct"/>
            <w:vMerge w:val="continue"/>
            <w:noWrap w:val="0"/>
            <w:vAlign w:val="center"/>
          </w:tcPr>
          <w:p>
            <w:pPr>
              <w:pStyle w:val="42"/>
              <w:spacing w:line="240" w:lineRule="auto"/>
              <w:jc w:val="center"/>
              <w:rPr>
                <w:rFonts w:hint="default" w:ascii="Times New Roman" w:hAnsi="Times New Roman" w:cs="Times New Roman"/>
                <w:bCs/>
                <w:color w:val="auto"/>
                <w:sz w:val="21"/>
                <w:szCs w:val="21"/>
                <w:lang w:val="en-US" w:eastAsia="zh-CN"/>
              </w:rPr>
            </w:pPr>
          </w:p>
        </w:tc>
        <w:tc>
          <w:tcPr>
            <w:tcW w:w="961" w:type="pct"/>
            <w:vMerge w:val="continue"/>
            <w:noWrap w:val="0"/>
            <w:vAlign w:val="center"/>
          </w:tcPr>
          <w:p>
            <w:pPr>
              <w:pStyle w:val="42"/>
              <w:jc w:val="center"/>
              <w:rPr>
                <w:rFonts w:hint="eastAsia"/>
                <w:snapToGrid w:val="0"/>
                <w:color w:val="000000"/>
                <w:kern w:val="24"/>
                <w:sz w:val="21"/>
                <w:szCs w:val="20"/>
                <w:lang w:val="en-US" w:eastAsia="zh-CN" w:bidi="ar-SA"/>
              </w:rPr>
            </w:pPr>
          </w:p>
        </w:tc>
        <w:tc>
          <w:tcPr>
            <w:tcW w:w="1046" w:type="pct"/>
            <w:vMerge w:val="continue"/>
            <w:noWrap w:val="0"/>
            <w:vAlign w:val="center"/>
          </w:tcPr>
          <w:p>
            <w:pPr>
              <w:pStyle w:val="42"/>
              <w:jc w:val="center"/>
              <w:rPr>
                <w:rFonts w:hint="default"/>
                <w:szCs w:val="21"/>
                <w:lang w:val="en-US" w:eastAsia="zh-CN"/>
              </w:rPr>
            </w:pPr>
          </w:p>
        </w:tc>
      </w:tr>
    </w:tbl>
    <w:p>
      <w:pPr>
        <w:pStyle w:val="62"/>
        <w:rPr>
          <w:rFonts w:cs="Times New Roman"/>
          <w:sz w:val="32"/>
        </w:rPr>
      </w:pPr>
      <w:bookmarkStart w:id="143" w:name="_Toc2006"/>
      <w:r>
        <w:rPr>
          <w:rFonts w:hint="eastAsia" w:cs="Times New Roman"/>
          <w:sz w:val="32"/>
        </w:rPr>
        <w:t>7</w:t>
      </w:r>
      <w:r>
        <w:rPr>
          <w:rFonts w:cs="Times New Roman"/>
          <w:sz w:val="32"/>
        </w:rPr>
        <w:t>.</w:t>
      </w:r>
      <w:r>
        <w:rPr>
          <w:rFonts w:hint="eastAsia" w:cs="Times New Roman"/>
          <w:sz w:val="32"/>
        </w:rPr>
        <w:t>2废气</w:t>
      </w:r>
      <w:bookmarkEnd w:id="143"/>
    </w:p>
    <w:p>
      <w:pPr>
        <w:jc w:val="center"/>
        <w:rPr>
          <w:rFonts w:hAnsiTheme="minorEastAsia" w:eastAsiaTheme="minorEastAsia"/>
          <w:b/>
          <w:bCs/>
          <w:sz w:val="24"/>
          <w:szCs w:val="24"/>
        </w:rPr>
      </w:pPr>
      <w:r>
        <w:rPr>
          <w:rFonts w:hint="eastAsia" w:hAnsiTheme="minorEastAsia" w:eastAsiaTheme="minorEastAsia"/>
          <w:b/>
          <w:bCs/>
          <w:sz w:val="24"/>
          <w:szCs w:val="24"/>
        </w:rPr>
        <w:t>表7-2    废气监测表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2160"/>
        <w:gridCol w:w="1350"/>
        <w:gridCol w:w="1710"/>
        <w:gridCol w:w="2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03"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rFonts w:hint="eastAsia"/>
                <w:szCs w:val="21"/>
              </w:rPr>
              <w:t>监测</w:t>
            </w:r>
            <w:r>
              <w:rPr>
                <w:szCs w:val="21"/>
              </w:rPr>
              <w:t>项目</w:t>
            </w:r>
          </w:p>
        </w:tc>
        <w:tc>
          <w:tcPr>
            <w:tcW w:w="2160"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rFonts w:hint="eastAsia"/>
                <w:szCs w:val="21"/>
              </w:rPr>
              <w:t>监测点位</w:t>
            </w:r>
          </w:p>
        </w:tc>
        <w:tc>
          <w:tcPr>
            <w:tcW w:w="1350"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szCs w:val="21"/>
              </w:rPr>
              <w:t>监测</w:t>
            </w:r>
            <w:r>
              <w:rPr>
                <w:rFonts w:hint="eastAsia"/>
                <w:szCs w:val="21"/>
              </w:rPr>
              <w:t>因子</w:t>
            </w:r>
          </w:p>
        </w:tc>
        <w:tc>
          <w:tcPr>
            <w:tcW w:w="1710"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rFonts w:hint="eastAsia"/>
                <w:szCs w:val="21"/>
              </w:rPr>
              <w:t>监测</w:t>
            </w:r>
            <w:r>
              <w:rPr>
                <w:szCs w:val="21"/>
              </w:rPr>
              <w:t>频次</w:t>
            </w:r>
          </w:p>
        </w:tc>
        <w:tc>
          <w:tcPr>
            <w:tcW w:w="2956" w:type="dxa"/>
            <w:vAlign w:val="center"/>
          </w:tcPr>
          <w:p>
            <w:pPr>
              <w:pStyle w:val="42"/>
              <w:rPr>
                <w:rFonts w:hint="eastAsia"/>
                <w:szCs w:val="21"/>
              </w:rPr>
            </w:pPr>
            <w:r>
              <w:rPr>
                <w:rFonts w:hint="eastAsia"/>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03"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rFonts w:hint="eastAsia"/>
                <w:snapToGrid w:val="0"/>
                <w:color w:val="000000"/>
                <w:kern w:val="24"/>
                <w:sz w:val="21"/>
                <w:szCs w:val="20"/>
                <w:lang w:val="en-US" w:eastAsia="zh-CN" w:bidi="ar-SA"/>
              </w:rPr>
              <w:t>无组织排放废气</w:t>
            </w:r>
          </w:p>
        </w:tc>
        <w:tc>
          <w:tcPr>
            <w:tcW w:w="2160" w:type="dxa"/>
            <w:vAlign w:val="center"/>
          </w:tcPr>
          <w:p>
            <w:pPr>
              <w:pStyle w:val="42"/>
              <w:jc w:val="center"/>
              <w:rPr>
                <w:rFonts w:hint="default"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东侧厂界外约2米，高1.5米处（WQ1）</w:t>
            </w:r>
          </w:p>
        </w:tc>
        <w:tc>
          <w:tcPr>
            <w:tcW w:w="1350" w:type="dxa"/>
            <w:vAlign w:val="center"/>
          </w:tcPr>
          <w:p>
            <w:pPr>
              <w:pStyle w:val="42"/>
              <w:jc w:val="center"/>
              <w:rPr>
                <w:rFonts w:hint="eastAsia" w:eastAsia="宋体"/>
                <w:snapToGrid w:val="0"/>
                <w:color w:val="000000"/>
                <w:kern w:val="24"/>
                <w:sz w:val="21"/>
                <w:szCs w:val="20"/>
                <w:lang w:val="en-US" w:eastAsia="zh-CN" w:bidi="ar-SA"/>
              </w:rPr>
            </w:pPr>
            <w:r>
              <w:rPr>
                <w:rFonts w:hint="eastAsia" w:eastAsia="宋体"/>
                <w:snapToGrid w:val="0"/>
                <w:color w:val="000000"/>
                <w:kern w:val="24"/>
                <w:sz w:val="21"/>
                <w:szCs w:val="20"/>
                <w:lang w:val="en-US" w:eastAsia="zh-CN" w:bidi="ar-SA"/>
              </w:rPr>
              <w:t>非甲烷总烃</w:t>
            </w:r>
          </w:p>
        </w:tc>
        <w:tc>
          <w:tcPr>
            <w:tcW w:w="1710" w:type="dxa"/>
            <w:vAlign w:val="center"/>
          </w:tcPr>
          <w:p>
            <w:pPr>
              <w:pStyle w:val="42"/>
              <w:rPr>
                <w:rFonts w:ascii="Times New Roman" w:hAnsi="Times New Roman" w:eastAsia="宋体" w:cs="Times New Roman"/>
                <w:snapToGrid w:val="0"/>
                <w:color w:val="000000"/>
                <w:kern w:val="0"/>
                <w:sz w:val="21"/>
                <w:szCs w:val="20"/>
                <w:lang w:val="en-US" w:eastAsia="zh-CN" w:bidi="ar-SA"/>
              </w:rPr>
            </w:pPr>
            <w:r>
              <w:rPr>
                <w:rFonts w:hint="eastAsia"/>
                <w:snapToGrid w:val="0"/>
                <w:color w:val="000000"/>
                <w:kern w:val="24"/>
                <w:sz w:val="21"/>
                <w:szCs w:val="20"/>
                <w:lang w:val="en-US" w:eastAsia="zh-CN" w:bidi="ar-SA"/>
              </w:rPr>
              <w:t>连续2 天，每天监测3次</w:t>
            </w:r>
          </w:p>
        </w:tc>
        <w:tc>
          <w:tcPr>
            <w:tcW w:w="2956" w:type="dxa"/>
            <w:vAlign w:val="center"/>
          </w:tcPr>
          <w:p>
            <w:pPr>
              <w:pStyle w:val="87"/>
              <w:spacing w:line="260" w:lineRule="exact"/>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场界外：《加油站大气污染物排放标准》</w:t>
            </w:r>
            <w:r>
              <w:rPr>
                <w:rFonts w:hint="eastAsia" w:ascii="Times New Roman" w:hAnsi="Times New Roman" w:cs="Times New Roman"/>
                <w:color w:val="auto"/>
                <w:sz w:val="21"/>
                <w:szCs w:val="21"/>
                <w:lang w:eastAsia="zh-CN"/>
              </w:rPr>
              <w:t>（</w:t>
            </w:r>
            <w:r>
              <w:rPr>
                <w:rFonts w:hint="eastAsia" w:ascii="Times New Roman" w:hAnsi="Times New Roman" w:eastAsia="宋体" w:cs="Times New Roman"/>
                <w:color w:val="auto"/>
                <w:sz w:val="21"/>
                <w:szCs w:val="21"/>
                <w:lang w:eastAsia="zh-CN"/>
              </w:rPr>
              <w:t>GB20952-2020</w:t>
            </w:r>
            <w:r>
              <w:rPr>
                <w:rFonts w:hint="eastAsia" w:ascii="Times New Roman" w:hAnsi="Times New Roman" w:cs="Times New Roman"/>
                <w:color w:val="auto"/>
                <w:sz w:val="21"/>
                <w:szCs w:val="21"/>
                <w:lang w:eastAsia="zh-CN"/>
              </w:rPr>
              <w:t>）</w:t>
            </w:r>
            <w:r>
              <w:rPr>
                <w:rFonts w:hint="eastAsia" w:ascii="Times New Roman" w:hAnsi="Times New Roman" w:eastAsia="宋体" w:cs="Times New Roman"/>
                <w:color w:val="auto"/>
                <w:sz w:val="21"/>
                <w:szCs w:val="21"/>
                <w:lang w:eastAsia="zh-CN"/>
              </w:rPr>
              <w:t>；</w:t>
            </w:r>
          </w:p>
          <w:p>
            <w:pPr>
              <w:pStyle w:val="87"/>
              <w:spacing w:line="260" w:lineRule="exact"/>
              <w:ind w:firstLine="0" w:firstLineChars="0"/>
              <w:rPr>
                <w:rFonts w:hint="eastAsia"/>
                <w:snapToGrid w:val="0"/>
                <w:color w:val="000000"/>
                <w:kern w:val="24"/>
                <w:sz w:val="21"/>
                <w:szCs w:val="20"/>
                <w:lang w:val="en-US" w:eastAsia="zh-CN" w:bidi="ar-SA"/>
              </w:rPr>
            </w:pPr>
            <w:r>
              <w:rPr>
                <w:rFonts w:hint="eastAsia" w:ascii="Times New Roman" w:hAnsi="Times New Roman" w:eastAsia="宋体" w:cs="Times New Roman"/>
                <w:color w:val="auto"/>
                <w:sz w:val="21"/>
                <w:szCs w:val="21"/>
                <w:lang w:eastAsia="zh-CN"/>
              </w:rPr>
              <w:t>非甲烷总烃≤4.0mg/m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lang w:eastAsia="zh-CN"/>
              </w:rPr>
              <w:t>。</w:t>
            </w:r>
          </w:p>
        </w:tc>
      </w:tr>
    </w:tbl>
    <w:p>
      <w:pPr>
        <w:pStyle w:val="62"/>
        <w:rPr>
          <w:rFonts w:hint="eastAsia" w:eastAsia="宋体" w:cs="Times New Roman"/>
          <w:sz w:val="32"/>
          <w:lang w:eastAsia="zh-CN"/>
        </w:rPr>
      </w:pPr>
      <w:bookmarkStart w:id="144" w:name="_Toc21649"/>
      <w:r>
        <w:rPr>
          <w:rFonts w:hint="eastAsia" w:cs="Times New Roman"/>
          <w:sz w:val="32"/>
        </w:rPr>
        <w:t>7</w:t>
      </w:r>
      <w:r>
        <w:rPr>
          <w:rFonts w:cs="Times New Roman"/>
          <w:sz w:val="32"/>
        </w:rPr>
        <w:t>.</w:t>
      </w:r>
      <w:r>
        <w:rPr>
          <w:rFonts w:hint="eastAsia" w:cs="Times New Roman"/>
          <w:sz w:val="32"/>
        </w:rPr>
        <w:t>3</w:t>
      </w:r>
      <w:r>
        <w:rPr>
          <w:rFonts w:cs="Times New Roman"/>
          <w:sz w:val="32"/>
        </w:rPr>
        <w:t>噪</w:t>
      </w:r>
      <w:r>
        <w:rPr>
          <w:rFonts w:hint="eastAsia" w:cs="Times New Roman"/>
          <w:sz w:val="32"/>
          <w:lang w:eastAsia="zh-CN"/>
        </w:rPr>
        <w:t>声</w:t>
      </w:r>
      <w:bookmarkEnd w:id="144"/>
    </w:p>
    <w:p>
      <w:pPr>
        <w:spacing w:line="540" w:lineRule="exact"/>
        <w:ind w:firstLine="463" w:firstLineChars="192"/>
        <w:jc w:val="center"/>
        <w:rPr>
          <w:rFonts w:hAnsiTheme="minorEastAsia" w:eastAsiaTheme="minorEastAsia"/>
          <w:b/>
          <w:sz w:val="24"/>
          <w:szCs w:val="24"/>
        </w:rPr>
      </w:pPr>
      <w:r>
        <w:rPr>
          <w:rFonts w:hAnsiTheme="minorEastAsia" w:eastAsiaTheme="minorEastAsia"/>
          <w:b/>
          <w:sz w:val="24"/>
          <w:szCs w:val="24"/>
        </w:rPr>
        <w:t>表</w:t>
      </w:r>
      <w:r>
        <w:rPr>
          <w:rFonts w:hint="eastAsia" w:eastAsiaTheme="minorEastAsia"/>
          <w:b/>
          <w:sz w:val="24"/>
          <w:szCs w:val="24"/>
        </w:rPr>
        <w:t>7</w:t>
      </w:r>
      <w:r>
        <w:rPr>
          <w:rFonts w:eastAsiaTheme="minorEastAsia"/>
          <w:b/>
          <w:sz w:val="24"/>
          <w:szCs w:val="24"/>
        </w:rPr>
        <w:t>-</w:t>
      </w:r>
      <w:r>
        <w:rPr>
          <w:rFonts w:hint="eastAsia" w:eastAsiaTheme="minorEastAsia"/>
          <w:b/>
          <w:sz w:val="24"/>
          <w:szCs w:val="24"/>
        </w:rPr>
        <w:t>3</w:t>
      </w:r>
      <w:r>
        <w:rPr>
          <w:rFonts w:hAnsiTheme="minorEastAsia" w:eastAsiaTheme="minorEastAsia"/>
          <w:b/>
          <w:sz w:val="24"/>
          <w:szCs w:val="24"/>
        </w:rPr>
        <w:t>噪声监测表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905"/>
        <w:gridCol w:w="1716"/>
        <w:gridCol w:w="2253"/>
        <w:gridCol w:w="2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95" w:type="pc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ascii="Times New Roman" w:hAnsi="Times New Roman" w:eastAsia="宋体" w:cs="Times New Roman"/>
                <w:snapToGrid w:val="0"/>
                <w:color w:val="000000"/>
                <w:kern w:val="0"/>
                <w:sz w:val="21"/>
                <w:szCs w:val="20"/>
                <w:lang w:val="en-US" w:eastAsia="zh-CN" w:bidi="ar-SA"/>
              </w:rPr>
              <w:t>监测类别</w:t>
            </w:r>
          </w:p>
        </w:tc>
        <w:tc>
          <w:tcPr>
            <w:tcW w:w="1026" w:type="pc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ascii="Times New Roman" w:hAnsi="Times New Roman" w:eastAsia="宋体" w:cs="Times New Roman"/>
                <w:snapToGrid w:val="0"/>
                <w:color w:val="000000"/>
                <w:kern w:val="0"/>
                <w:sz w:val="21"/>
                <w:szCs w:val="20"/>
                <w:lang w:val="en-US" w:eastAsia="zh-CN" w:bidi="ar-SA"/>
              </w:rPr>
              <w:t>采样点编号</w:t>
            </w:r>
          </w:p>
        </w:tc>
        <w:tc>
          <w:tcPr>
            <w:tcW w:w="924" w:type="pc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ascii="Times New Roman" w:hAnsi="Times New Roman" w:eastAsia="宋体" w:cs="Times New Roman"/>
                <w:snapToGrid w:val="0"/>
                <w:color w:val="000000"/>
                <w:kern w:val="0"/>
                <w:sz w:val="21"/>
                <w:szCs w:val="20"/>
                <w:lang w:val="en-US" w:eastAsia="zh-CN" w:bidi="ar-SA"/>
              </w:rPr>
              <w:t>监测项目</w:t>
            </w:r>
          </w:p>
        </w:tc>
        <w:tc>
          <w:tcPr>
            <w:tcW w:w="1213" w:type="pc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ascii="Times New Roman" w:hAnsi="Times New Roman" w:eastAsia="宋体" w:cs="Times New Roman"/>
                <w:snapToGrid w:val="0"/>
                <w:color w:val="000000"/>
                <w:kern w:val="0"/>
                <w:sz w:val="21"/>
                <w:szCs w:val="20"/>
                <w:lang w:val="en-US" w:eastAsia="zh-CN" w:bidi="ar-SA"/>
              </w:rPr>
              <w:t>监测频次</w:t>
            </w:r>
          </w:p>
        </w:tc>
        <w:tc>
          <w:tcPr>
            <w:tcW w:w="1240" w:type="pc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hint="eastAsia"/>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95" w:type="pct"/>
            <w:vMerge w:val="restar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hint="eastAsia" w:ascii="Times New Roman" w:hAnsi="Times New Roman" w:eastAsia="宋体" w:cs="Times New Roman"/>
                <w:snapToGrid w:val="0"/>
                <w:color w:val="000000"/>
                <w:kern w:val="0"/>
                <w:sz w:val="21"/>
                <w:szCs w:val="20"/>
                <w:lang w:val="en-US" w:eastAsia="zh-CN" w:bidi="ar-SA"/>
              </w:rPr>
              <w:t>厂界</w:t>
            </w:r>
            <w:r>
              <w:rPr>
                <w:rFonts w:ascii="Times New Roman" w:hAnsi="Times New Roman" w:eastAsia="宋体" w:cs="Times New Roman"/>
                <w:snapToGrid w:val="0"/>
                <w:color w:val="000000"/>
                <w:kern w:val="0"/>
                <w:sz w:val="21"/>
                <w:szCs w:val="20"/>
                <w:lang w:val="en-US" w:eastAsia="zh-CN" w:bidi="ar-SA"/>
              </w:rPr>
              <w:t>噪声</w:t>
            </w:r>
          </w:p>
        </w:tc>
        <w:tc>
          <w:tcPr>
            <w:tcW w:w="1026" w:type="pct"/>
            <w:vAlign w:val="center"/>
          </w:tcPr>
          <w:p>
            <w:pPr>
              <w:pStyle w:val="42"/>
              <w:spacing w:line="240" w:lineRule="auto"/>
              <w:jc w:val="center"/>
              <w:rPr>
                <w:rFonts w:hint="eastAsia" w:ascii="Times New Roman" w:hAnsi="Times New Roman" w:eastAsia="宋体" w:cs="Times New Roman"/>
                <w:snapToGrid w:val="0"/>
                <w:color w:val="000000"/>
                <w:kern w:val="0"/>
                <w:sz w:val="21"/>
                <w:szCs w:val="20"/>
                <w:lang w:val="en-US" w:eastAsia="zh-CN" w:bidi="ar-SA"/>
              </w:rPr>
            </w:pPr>
            <w:r>
              <w:rPr>
                <w:rFonts w:hint="eastAsia" w:ascii="Times New Roman" w:hAnsi="Times New Roman" w:eastAsia="宋体" w:cs="Times New Roman"/>
                <w:snapToGrid w:val="0"/>
                <w:color w:val="000000"/>
                <w:kern w:val="0"/>
                <w:sz w:val="21"/>
                <w:szCs w:val="20"/>
                <w:lang w:val="en-US" w:eastAsia="zh-CN" w:bidi="ar-SA"/>
              </w:rPr>
              <w:t>东侧厂界外约1米处（ZS1）</w:t>
            </w:r>
          </w:p>
        </w:tc>
        <w:tc>
          <w:tcPr>
            <w:tcW w:w="924" w:type="pct"/>
            <w:vMerge w:val="restar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hint="eastAsia" w:cs="Times New Roman"/>
                <w:snapToGrid w:val="0"/>
                <w:color w:val="000000"/>
                <w:kern w:val="0"/>
                <w:sz w:val="21"/>
                <w:szCs w:val="20"/>
                <w:lang w:val="en-US" w:eastAsia="zh-CN" w:bidi="ar-SA"/>
              </w:rPr>
              <w:t>厂界噪声</w:t>
            </w:r>
          </w:p>
        </w:tc>
        <w:tc>
          <w:tcPr>
            <w:tcW w:w="1213" w:type="pct"/>
            <w:vMerge w:val="restar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hint="eastAsia" w:ascii="Times New Roman" w:hAnsi="Times New Roman" w:eastAsia="宋体" w:cs="Times New Roman"/>
                <w:snapToGrid w:val="0"/>
                <w:color w:val="000000"/>
                <w:kern w:val="0"/>
                <w:sz w:val="21"/>
                <w:szCs w:val="20"/>
                <w:lang w:val="en-US" w:eastAsia="zh-CN" w:bidi="ar-SA"/>
              </w:rPr>
              <w:t>连续监测</w:t>
            </w:r>
            <w:r>
              <w:rPr>
                <w:rFonts w:ascii="Times New Roman" w:hAnsi="Times New Roman" w:eastAsia="宋体" w:cs="Times New Roman"/>
                <w:snapToGrid w:val="0"/>
                <w:color w:val="000000"/>
                <w:kern w:val="0"/>
                <w:sz w:val="21"/>
                <w:szCs w:val="20"/>
                <w:lang w:val="en-US" w:eastAsia="zh-CN" w:bidi="ar-SA"/>
              </w:rPr>
              <w:t>2天，</w:t>
            </w:r>
            <w:r>
              <w:rPr>
                <w:rFonts w:hint="eastAsia" w:ascii="Times New Roman" w:hAnsi="Times New Roman" w:eastAsia="宋体" w:cs="Times New Roman"/>
                <w:snapToGrid w:val="0"/>
                <w:color w:val="000000"/>
                <w:kern w:val="0"/>
                <w:sz w:val="21"/>
                <w:szCs w:val="20"/>
                <w:lang w:val="en-US" w:eastAsia="zh-CN" w:bidi="ar-SA"/>
              </w:rPr>
              <w:t>每天</w:t>
            </w:r>
            <w:r>
              <w:rPr>
                <w:rFonts w:ascii="Times New Roman" w:hAnsi="Times New Roman" w:eastAsia="宋体" w:cs="Times New Roman"/>
                <w:snapToGrid w:val="0"/>
                <w:color w:val="000000"/>
                <w:kern w:val="0"/>
                <w:sz w:val="21"/>
                <w:szCs w:val="20"/>
                <w:lang w:val="en-US" w:eastAsia="zh-CN" w:bidi="ar-SA"/>
              </w:rPr>
              <w:t>昼、夜各</w:t>
            </w:r>
            <w:r>
              <w:rPr>
                <w:rFonts w:hint="eastAsia" w:ascii="Times New Roman" w:hAnsi="Times New Roman" w:eastAsia="宋体" w:cs="Times New Roman"/>
                <w:snapToGrid w:val="0"/>
                <w:color w:val="000000"/>
                <w:kern w:val="0"/>
                <w:sz w:val="21"/>
                <w:szCs w:val="20"/>
                <w:lang w:val="en-US" w:eastAsia="zh-CN" w:bidi="ar-SA"/>
              </w:rPr>
              <w:t>1</w:t>
            </w:r>
            <w:r>
              <w:rPr>
                <w:rFonts w:ascii="Times New Roman" w:hAnsi="Times New Roman" w:eastAsia="宋体" w:cs="Times New Roman"/>
                <w:snapToGrid w:val="0"/>
                <w:color w:val="000000"/>
                <w:kern w:val="0"/>
                <w:sz w:val="21"/>
                <w:szCs w:val="20"/>
                <w:lang w:val="en-US" w:eastAsia="zh-CN" w:bidi="ar-SA"/>
              </w:rPr>
              <w:t>次</w:t>
            </w:r>
          </w:p>
        </w:tc>
        <w:tc>
          <w:tcPr>
            <w:tcW w:w="1240" w:type="pct"/>
            <w:vMerge w:val="restart"/>
            <w:vAlign w:val="center"/>
          </w:tcPr>
          <w:p>
            <w:pPr>
              <w:pStyle w:val="42"/>
              <w:spacing w:line="240" w:lineRule="auto"/>
              <w:jc w:val="center"/>
              <w:rPr>
                <w:rFonts w:ascii="Times New Roman" w:hAnsi="Times New Roman" w:eastAsia="宋体" w:cs="Times New Roman"/>
                <w:snapToGrid w:val="0"/>
                <w:color w:val="000000"/>
                <w:kern w:val="0"/>
                <w:sz w:val="21"/>
                <w:szCs w:val="20"/>
                <w:lang w:val="en-US" w:eastAsia="zh-CN" w:bidi="ar-SA"/>
              </w:rPr>
            </w:pPr>
            <w:r>
              <w:rPr>
                <w:rFonts w:ascii="Times New Roman" w:hAnsi="Times New Roman" w:eastAsia="宋体" w:cs="Times New Roman"/>
                <w:snapToGrid w:val="0"/>
                <w:color w:val="000000"/>
                <w:kern w:val="0"/>
                <w:sz w:val="21"/>
                <w:szCs w:val="20"/>
                <w:lang w:val="en-US" w:eastAsia="zh-CN" w:bidi="ar-SA"/>
              </w:rPr>
              <w:t>《工业企业厂界环境噪声排放标准》（GB12348-2008）</w:t>
            </w:r>
            <w:r>
              <w:rPr>
                <w:rFonts w:hint="eastAsia" w:cs="Times New Roman"/>
                <w:snapToGrid w:val="0"/>
                <w:color w:val="000000"/>
                <w:kern w:val="0"/>
                <w:sz w:val="21"/>
                <w:szCs w:val="20"/>
                <w:lang w:val="en-US" w:eastAsia="zh-CN" w:bidi="ar-SA"/>
              </w:rPr>
              <w:t>3</w:t>
            </w:r>
            <w:r>
              <w:rPr>
                <w:rFonts w:ascii="Times New Roman" w:hAnsi="Times New Roman" w:eastAsia="宋体" w:cs="Times New Roman"/>
                <w:snapToGrid w:val="0"/>
                <w:color w:val="000000"/>
                <w:kern w:val="0"/>
                <w:sz w:val="21"/>
                <w:szCs w:val="20"/>
                <w:lang w:val="en-US" w:eastAsia="zh-CN" w:bidi="ar-SA"/>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95" w:type="pct"/>
            <w:vMerge w:val="continue"/>
            <w:vAlign w:val="center"/>
          </w:tcPr>
          <w:p>
            <w:pPr>
              <w:pStyle w:val="42"/>
              <w:spacing w:line="240" w:lineRule="exact"/>
              <w:rPr>
                <w:snapToGrid w:val="0"/>
                <w:kern w:val="0"/>
              </w:rPr>
            </w:pPr>
          </w:p>
        </w:tc>
        <w:tc>
          <w:tcPr>
            <w:tcW w:w="1026" w:type="pct"/>
            <w:vAlign w:val="center"/>
          </w:tcPr>
          <w:p>
            <w:pPr>
              <w:pStyle w:val="42"/>
              <w:spacing w:line="240" w:lineRule="auto"/>
              <w:jc w:val="center"/>
              <w:rPr>
                <w:rFonts w:hint="eastAsia" w:ascii="Times New Roman" w:hAnsi="Times New Roman" w:eastAsia="宋体" w:cs="Times New Roman"/>
                <w:snapToGrid w:val="0"/>
                <w:color w:val="000000"/>
                <w:kern w:val="0"/>
                <w:sz w:val="21"/>
                <w:szCs w:val="20"/>
                <w:lang w:val="en-US" w:eastAsia="zh-CN" w:bidi="ar-SA"/>
              </w:rPr>
            </w:pPr>
            <w:r>
              <w:rPr>
                <w:rFonts w:hint="eastAsia" w:ascii="Times New Roman" w:hAnsi="Times New Roman" w:eastAsia="宋体" w:cs="Times New Roman"/>
                <w:snapToGrid w:val="0"/>
                <w:color w:val="000000"/>
                <w:kern w:val="0"/>
                <w:sz w:val="21"/>
                <w:szCs w:val="20"/>
                <w:lang w:val="en-US" w:eastAsia="zh-CN" w:bidi="ar-SA"/>
              </w:rPr>
              <w:t>西南侧厂界外约1米处（ZS2）</w:t>
            </w:r>
          </w:p>
        </w:tc>
        <w:tc>
          <w:tcPr>
            <w:tcW w:w="924" w:type="pct"/>
            <w:vMerge w:val="continue"/>
            <w:vAlign w:val="center"/>
          </w:tcPr>
          <w:p>
            <w:pPr>
              <w:pStyle w:val="42"/>
              <w:spacing w:line="240" w:lineRule="exact"/>
              <w:rPr>
                <w:snapToGrid w:val="0"/>
                <w:kern w:val="0"/>
              </w:rPr>
            </w:pPr>
          </w:p>
        </w:tc>
        <w:tc>
          <w:tcPr>
            <w:tcW w:w="1213" w:type="pct"/>
            <w:vMerge w:val="continue"/>
            <w:vAlign w:val="center"/>
          </w:tcPr>
          <w:p>
            <w:pPr>
              <w:pStyle w:val="42"/>
              <w:rPr>
                <w:snapToGrid w:val="0"/>
                <w:kern w:val="0"/>
              </w:rPr>
            </w:pPr>
          </w:p>
        </w:tc>
        <w:tc>
          <w:tcPr>
            <w:tcW w:w="1240" w:type="pct"/>
            <w:vMerge w:val="continue"/>
            <w:vAlign w:val="center"/>
          </w:tcPr>
          <w:p>
            <w:pPr>
              <w:pStyle w:val="42"/>
              <w:rPr>
                <w:snapToGrid w:val="0"/>
                <w:kern w:val="0"/>
              </w:rPr>
            </w:pPr>
          </w:p>
        </w:tc>
      </w:tr>
    </w:tbl>
    <w:p>
      <w:pPr>
        <w:pStyle w:val="62"/>
        <w:jc w:val="center"/>
      </w:pPr>
      <w:bookmarkStart w:id="145" w:name="_Toc704"/>
      <w:r>
        <w:drawing>
          <wp:inline distT="0" distB="0" distL="114300" distR="114300">
            <wp:extent cx="4371975" cy="2209800"/>
            <wp:effectExtent l="0" t="0" r="9525"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7"/>
                    <a:stretch>
                      <a:fillRect/>
                    </a:stretch>
                  </pic:blipFill>
                  <pic:spPr>
                    <a:xfrm>
                      <a:off x="0" y="0"/>
                      <a:ext cx="4371975" cy="2209800"/>
                    </a:xfrm>
                    <a:prstGeom prst="rect">
                      <a:avLst/>
                    </a:prstGeom>
                    <a:noFill/>
                    <a:ln>
                      <a:noFill/>
                    </a:ln>
                  </pic:spPr>
                </pic:pic>
              </a:graphicData>
            </a:graphic>
          </wp:inline>
        </w:drawing>
      </w:r>
      <w:bookmarkEnd w:id="145"/>
    </w:p>
    <w:p>
      <w:pPr>
        <w:pStyle w:val="62"/>
        <w:spacing w:line="240" w:lineRule="auto"/>
        <w:jc w:val="center"/>
        <w:rPr>
          <w:rFonts w:hint="eastAsia" w:ascii="Times New Roman" w:hAnsi="Times New Roman" w:eastAsia="宋体" w:cs="Times New Roman"/>
          <w:color w:val="auto"/>
          <w:kern w:val="0"/>
          <w:sz w:val="24"/>
          <w:szCs w:val="24"/>
          <w:lang w:val="en-US" w:eastAsia="zh-CN" w:bidi="ar-SA"/>
        </w:rPr>
        <w:sectPr>
          <w:footerReference r:id="rId5" w:type="default"/>
          <w:pgSz w:w="11906" w:h="16838"/>
          <w:pgMar w:top="1701" w:right="1418" w:bottom="1701" w:left="1418" w:header="851" w:footer="992" w:gutter="0"/>
          <w:cols w:space="425" w:num="1"/>
          <w:docGrid w:type="lines" w:linePitch="312" w:charSpace="0"/>
        </w:sectPr>
      </w:pPr>
      <w:bookmarkStart w:id="146" w:name="_Toc3776"/>
      <w:r>
        <w:rPr>
          <w:rFonts w:hint="eastAsia" w:ascii="Times New Roman" w:hAnsi="Times New Roman" w:eastAsia="宋体" w:cs="Times New Roman"/>
          <w:color w:val="auto"/>
          <w:kern w:val="0"/>
          <w:sz w:val="24"/>
          <w:szCs w:val="24"/>
          <w:lang w:val="en-US" w:eastAsia="zh-CN" w:bidi="ar-SA"/>
        </w:rPr>
        <w:t>图7.1  监测点位图</w:t>
      </w:r>
      <w:bookmarkEnd w:id="146"/>
    </w:p>
    <w:p>
      <w:pPr>
        <w:pStyle w:val="61"/>
        <w:spacing w:beforeLines="50"/>
        <w:rPr>
          <w:rFonts w:hint="eastAsia" w:ascii="Times New Roman" w:hAnsi="Times New Roman" w:cs="Times New Roman"/>
          <w:sz w:val="36"/>
        </w:rPr>
      </w:pPr>
      <w:bookmarkStart w:id="147" w:name="_Toc27659"/>
      <w:bookmarkStart w:id="148" w:name="_Toc333588664"/>
      <w:bookmarkStart w:id="149" w:name="_Toc333501412"/>
      <w:bookmarkStart w:id="150" w:name="_Toc333501123"/>
      <w:bookmarkStart w:id="151" w:name="_Toc312829623"/>
      <w:r>
        <w:rPr>
          <w:rFonts w:hint="eastAsia" w:ascii="Times New Roman" w:hAnsi="Times New Roman" w:cs="Times New Roman"/>
          <w:sz w:val="36"/>
        </w:rPr>
        <w:t>8质量保证及质量控制</w:t>
      </w:r>
      <w:bookmarkEnd w:id="147"/>
      <w:bookmarkEnd w:id="148"/>
      <w:bookmarkEnd w:id="149"/>
      <w:bookmarkEnd w:id="150"/>
      <w:bookmarkEnd w:id="151"/>
    </w:p>
    <w:p>
      <w:pPr>
        <w:pStyle w:val="62"/>
        <w:spacing w:after="40"/>
        <w:rPr>
          <w:rFonts w:cs="Times New Roman"/>
          <w:color w:val="auto"/>
          <w:sz w:val="32"/>
        </w:rPr>
      </w:pPr>
      <w:bookmarkStart w:id="152" w:name="_Toc16762"/>
      <w:bookmarkStart w:id="153" w:name="_Toc333501124"/>
      <w:bookmarkStart w:id="154" w:name="_Toc333588665"/>
      <w:bookmarkStart w:id="155" w:name="_Toc312829624"/>
      <w:bookmarkStart w:id="156" w:name="_Toc333501413"/>
      <w:r>
        <w:rPr>
          <w:rFonts w:hint="eastAsia" w:cs="Times New Roman"/>
          <w:color w:val="auto"/>
          <w:sz w:val="32"/>
        </w:rPr>
        <w:t>8</w:t>
      </w:r>
      <w:r>
        <w:rPr>
          <w:rFonts w:cs="Times New Roman"/>
          <w:color w:val="auto"/>
          <w:sz w:val="32"/>
        </w:rPr>
        <w:t>.1 监测分析方法</w:t>
      </w:r>
      <w:bookmarkEnd w:id="152"/>
      <w:bookmarkEnd w:id="153"/>
      <w:bookmarkEnd w:id="154"/>
      <w:bookmarkEnd w:id="155"/>
      <w:bookmarkEnd w:id="156"/>
    </w:p>
    <w:p>
      <w:pPr>
        <w:spacing w:line="540" w:lineRule="exact"/>
        <w:ind w:firstLine="561"/>
        <w:rPr>
          <w:kern w:val="0"/>
          <w:sz w:val="24"/>
          <w:szCs w:val="24"/>
        </w:rPr>
      </w:pPr>
      <w:r>
        <w:rPr>
          <w:kern w:val="0"/>
          <w:sz w:val="24"/>
          <w:szCs w:val="24"/>
        </w:rPr>
        <w:t>按国家污染物排放标准、环境质量标准和环境监测技术规范要求，</w:t>
      </w:r>
      <w:r>
        <w:rPr>
          <w:rFonts w:hint="eastAsia"/>
          <w:kern w:val="0"/>
          <w:sz w:val="24"/>
          <w:szCs w:val="24"/>
        </w:rPr>
        <w:t>废水、无组织废气、噪声检测项目、检测方法来源</w:t>
      </w:r>
      <w:r>
        <w:rPr>
          <w:rFonts w:hint="eastAsia"/>
          <w:kern w:val="0"/>
          <w:sz w:val="24"/>
          <w:szCs w:val="24"/>
          <w:lang w:eastAsia="zh-CN"/>
        </w:rPr>
        <w:t>见</w:t>
      </w:r>
      <w:r>
        <w:rPr>
          <w:kern w:val="0"/>
          <w:sz w:val="24"/>
          <w:szCs w:val="24"/>
        </w:rPr>
        <w:t>表</w:t>
      </w:r>
      <w:r>
        <w:rPr>
          <w:rFonts w:hint="eastAsia"/>
          <w:kern w:val="0"/>
          <w:sz w:val="24"/>
          <w:szCs w:val="24"/>
        </w:rPr>
        <w:t>8</w:t>
      </w:r>
      <w:r>
        <w:rPr>
          <w:kern w:val="0"/>
          <w:sz w:val="24"/>
          <w:szCs w:val="24"/>
        </w:rPr>
        <w:t>-1。</w:t>
      </w:r>
    </w:p>
    <w:p>
      <w:pPr>
        <w:spacing w:line="540" w:lineRule="exact"/>
        <w:ind w:firstLine="463" w:firstLineChars="192"/>
        <w:jc w:val="center"/>
        <w:rPr>
          <w:rFonts w:hAnsiTheme="minorEastAsia" w:eastAsiaTheme="minorEastAsia"/>
          <w:b/>
          <w:sz w:val="24"/>
          <w:szCs w:val="24"/>
        </w:rPr>
      </w:pPr>
      <w:r>
        <w:rPr>
          <w:rFonts w:hAnsiTheme="minorEastAsia" w:eastAsiaTheme="minorEastAsia"/>
          <w:b/>
          <w:sz w:val="24"/>
          <w:szCs w:val="24"/>
        </w:rPr>
        <w:t>表</w:t>
      </w:r>
      <w:r>
        <w:rPr>
          <w:rFonts w:hint="eastAsia" w:hAnsiTheme="minorEastAsia" w:eastAsiaTheme="minorEastAsia"/>
          <w:b/>
          <w:sz w:val="24"/>
          <w:szCs w:val="24"/>
        </w:rPr>
        <w:t>8</w:t>
      </w:r>
      <w:r>
        <w:rPr>
          <w:rFonts w:hAnsiTheme="minorEastAsia" w:eastAsiaTheme="minorEastAsia"/>
          <w:b/>
          <w:sz w:val="24"/>
          <w:szCs w:val="24"/>
        </w:rPr>
        <w:t xml:space="preserve">-1   </w:t>
      </w:r>
      <w:r>
        <w:rPr>
          <w:rFonts w:hint="eastAsia" w:hAnsiTheme="minorEastAsia" w:eastAsiaTheme="minorEastAsia"/>
          <w:b/>
          <w:sz w:val="24"/>
          <w:szCs w:val="24"/>
        </w:rPr>
        <w:t>废水、无组织废气、噪声检测项目、检测方法来源</w:t>
      </w:r>
      <w:r>
        <w:rPr>
          <w:rFonts w:hAnsiTheme="minorEastAsia" w:eastAsiaTheme="minorEastAsia"/>
          <w:b/>
          <w:sz w:val="24"/>
          <w:szCs w:val="24"/>
        </w:rPr>
        <w:t>一览表</w:t>
      </w:r>
    </w:p>
    <w:tbl>
      <w:tblPr>
        <w:tblStyle w:val="26"/>
        <w:tblW w:w="4996"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141"/>
        <w:gridCol w:w="1452"/>
        <w:gridCol w:w="5182"/>
        <w:gridCol w:w="728"/>
        <w:gridCol w:w="77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615"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检测类别</w:t>
            </w:r>
          </w:p>
        </w:tc>
        <w:tc>
          <w:tcPr>
            <w:tcW w:w="782"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项目名称</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
                <w:kern w:val="0"/>
                <w:sz w:val="21"/>
                <w:szCs w:val="21"/>
                <w:lang w:val="en-US" w:eastAsia="zh-CN"/>
              </w:rPr>
            </w:pPr>
            <w:r>
              <w:rPr>
                <w:rFonts w:hint="default" w:ascii="Times New Roman" w:hAnsi="Times New Roman" w:eastAsia="宋体" w:cs="Times New Roman"/>
                <w:b/>
                <w:kern w:val="0"/>
                <w:sz w:val="21"/>
                <w:szCs w:val="21"/>
                <w:lang w:val="en-US" w:eastAsia="zh-CN"/>
              </w:rPr>
              <w:t>检测方法来源</w:t>
            </w:r>
          </w:p>
        </w:tc>
        <w:tc>
          <w:tcPr>
            <w:tcW w:w="810"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检出限及单位</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lang w:val="en-US" w:eastAsia="zh-CN"/>
              </w:rPr>
            </w:pPr>
            <w:r>
              <w:rPr>
                <w:rFonts w:hint="default" w:ascii="Times New Roman" w:hAnsi="Times New Roman" w:eastAsia="宋体" w:cs="Times New Roman"/>
                <w:bCs/>
                <w:kern w:val="0"/>
                <w:sz w:val="21"/>
                <w:szCs w:val="21"/>
                <w:lang w:val="en-US" w:eastAsia="zh-CN"/>
              </w:rPr>
              <w:t>废水</w:t>
            </w:r>
          </w:p>
        </w:tc>
        <w:tc>
          <w:tcPr>
            <w:tcW w:w="782"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s>
              <w:autoSpaceDE w:val="0"/>
              <w:autoSpaceDN w:val="0"/>
              <w:adjustRightInd w:val="0"/>
              <w:snapToGrid w:val="0"/>
              <w:spacing w:line="240" w:lineRule="exact"/>
              <w:jc w:val="center"/>
              <w:rPr>
                <w:rFonts w:hint="default" w:ascii="Times New Roman" w:hAnsi="Times New Roman" w:eastAsia="宋体" w:cs="Times New Roman"/>
                <w:bCs/>
                <w:kern w:val="0"/>
                <w:sz w:val="21"/>
                <w:szCs w:val="21"/>
                <w:highlight w:val="none"/>
              </w:rPr>
            </w:pPr>
            <w:r>
              <w:rPr>
                <w:rFonts w:hint="default" w:ascii="Times New Roman" w:hAnsi="Times New Roman" w:eastAsia="宋体" w:cs="Times New Roman"/>
                <w:color w:val="000000"/>
                <w:kern w:val="0"/>
                <w:sz w:val="21"/>
                <w:szCs w:val="21"/>
                <w:highlight w:val="none"/>
                <w:lang w:val="en-US" w:eastAsia="zh-CN"/>
              </w:rPr>
              <w:t>样品</w:t>
            </w:r>
            <w:r>
              <w:rPr>
                <w:rFonts w:hint="default" w:ascii="Times New Roman" w:hAnsi="Times New Roman" w:eastAsia="宋体" w:cs="Times New Roman"/>
                <w:color w:val="000000"/>
                <w:kern w:val="0"/>
                <w:sz w:val="21"/>
                <w:szCs w:val="21"/>
                <w:highlight w:val="none"/>
              </w:rPr>
              <w:t>采集</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 w:val="left" w:pos="1080"/>
                <w:tab w:val="left" w:pos="1440"/>
                <w:tab w:val="left" w:pos="1800"/>
                <w:tab w:val="left" w:pos="2160"/>
                <w:tab w:val="left" w:pos="2520"/>
              </w:tabs>
              <w:autoSpaceDE w:val="0"/>
              <w:autoSpaceDN w:val="0"/>
              <w:adjustRightInd w:val="0"/>
              <w:snapToGrid w:val="0"/>
              <w:spacing w:line="240" w:lineRule="exact"/>
              <w:jc w:val="center"/>
              <w:rPr>
                <w:rFonts w:hint="default" w:ascii="Times New Roman" w:hAnsi="Times New Roman" w:eastAsia="宋体" w:cs="Times New Roman"/>
                <w:bCs/>
                <w:kern w:val="0"/>
                <w:sz w:val="21"/>
                <w:szCs w:val="21"/>
                <w:lang w:val="en-US"/>
              </w:rPr>
            </w:pPr>
            <w:r>
              <w:rPr>
                <w:rFonts w:hint="default" w:ascii="Times New Roman" w:hAnsi="Times New Roman" w:eastAsia="宋体" w:cs="Times New Roman"/>
                <w:color w:val="auto"/>
                <w:kern w:val="0"/>
                <w:sz w:val="21"/>
                <w:szCs w:val="21"/>
                <w:highlight w:val="none"/>
                <w:lang w:val="en-US" w:eastAsia="zh-CN"/>
              </w:rPr>
              <w:t xml:space="preserve">污水监测技术规范 </w:t>
            </w:r>
            <w:r>
              <w:rPr>
                <w:rFonts w:hint="default" w:ascii="Times New Roman" w:hAnsi="Times New Roman" w:eastAsia="宋体" w:cs="Times New Roman"/>
                <w:bCs/>
                <w:color w:val="auto"/>
                <w:kern w:val="0"/>
                <w:sz w:val="21"/>
                <w:szCs w:val="21"/>
                <w:highlight w:val="none"/>
                <w:lang w:val="en-US" w:eastAsia="zh-CN"/>
              </w:rPr>
              <w:t>HJ 91.1-2019</w:t>
            </w:r>
          </w:p>
        </w:tc>
        <w:tc>
          <w:tcPr>
            <w:tcW w:w="392"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 w:val="left" w:pos="1080"/>
                <w:tab w:val="left" w:pos="1440"/>
                <w:tab w:val="left" w:pos="1800"/>
                <w:tab w:val="left" w:pos="2160"/>
              </w:tabs>
              <w:autoSpaceDE w:val="0"/>
              <w:autoSpaceDN w:val="0"/>
              <w:adjustRightInd w:val="0"/>
              <w:snapToGrid w:val="0"/>
              <w:spacing w:line="240" w:lineRule="exact"/>
              <w:jc w:val="center"/>
              <w:rPr>
                <w:rFonts w:hint="default" w:ascii="Times New Roman" w:hAnsi="Times New Roman" w:eastAsia="宋体" w:cs="Times New Roman"/>
                <w:bCs/>
                <w:kern w:val="0"/>
                <w:sz w:val="21"/>
                <w:szCs w:val="21"/>
                <w:lang w:val="en-US" w:eastAsia="zh-CN"/>
              </w:rPr>
            </w:pPr>
            <w:r>
              <w:rPr>
                <w:rFonts w:hint="default" w:ascii="Times New Roman" w:hAnsi="Times New Roman" w:eastAsia="宋体" w:cs="Times New Roman"/>
                <w:bCs/>
                <w:kern w:val="0"/>
                <w:sz w:val="21"/>
                <w:szCs w:val="21"/>
                <w:lang w:val="en-US" w:eastAsia="zh-CN"/>
              </w:rPr>
              <w:t>\</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Cs/>
                <w:kern w:val="0"/>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s>
              <w:autoSpaceDE w:val="0"/>
              <w:autoSpaceDN w:val="0"/>
              <w:adjustRightInd w:val="0"/>
              <w:spacing w:line="24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氨氮</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 w:val="left" w:pos="1080"/>
                <w:tab w:val="left" w:pos="1440"/>
                <w:tab w:val="left" w:pos="1800"/>
                <w:tab w:val="left" w:pos="2160"/>
                <w:tab w:val="left" w:pos="2520"/>
              </w:tabs>
              <w:autoSpaceDE w:val="0"/>
              <w:autoSpaceDN w:val="0"/>
              <w:adjustRightInd w:val="0"/>
              <w:spacing w:line="240" w:lineRule="exact"/>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rPr>
              <w:t xml:space="preserve">水质 氨氮的测定 </w:t>
            </w:r>
            <w:r>
              <w:rPr>
                <w:rFonts w:hint="default" w:ascii="Times New Roman" w:hAnsi="Times New Roman" w:eastAsia="宋体" w:cs="Times New Roman"/>
                <w:kern w:val="0"/>
                <w:sz w:val="21"/>
                <w:szCs w:val="21"/>
                <w:highlight w:val="none"/>
                <w:lang w:val="en-US" w:eastAsia="zh-CN"/>
              </w:rPr>
              <w:t>纳氏试剂分光光度法 HJ 535-2009</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highlight w:val="none"/>
                <w:lang w:val="en-US" w:eastAsia="zh-CN"/>
              </w:rPr>
              <w:t>0.025</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highlight w:val="none"/>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s>
              <w:autoSpaceDE w:val="0"/>
              <w:autoSpaceDN w:val="0"/>
              <w:adjustRightInd w:val="0"/>
              <w:spacing w:line="24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Cs/>
                <w:kern w:val="0"/>
                <w:sz w:val="21"/>
                <w:szCs w:val="21"/>
                <w:highlight w:val="none"/>
                <w:lang w:val="en-US" w:eastAsia="zh-CN"/>
              </w:rPr>
              <w:t>悬浮物</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rPr>
              <w:t>水质 悬浮物的测定 重量法</w:t>
            </w:r>
            <w:r>
              <w:rPr>
                <w:rFonts w:hint="default" w:ascii="Times New Roman" w:hAnsi="Times New Roman" w:eastAsia="宋体" w:cs="Times New Roman"/>
                <w:kern w:val="0"/>
                <w:sz w:val="21"/>
                <w:szCs w:val="21"/>
                <w:highlight w:val="none"/>
                <w:lang w:val="en-US" w:eastAsia="zh-CN"/>
              </w:rPr>
              <w:t xml:space="preserve"> </w:t>
            </w:r>
            <w:r>
              <w:rPr>
                <w:rFonts w:hint="default" w:ascii="Times New Roman" w:hAnsi="Times New Roman" w:eastAsia="宋体" w:cs="Times New Roman"/>
                <w:kern w:val="0"/>
                <w:sz w:val="21"/>
                <w:szCs w:val="21"/>
                <w:highlight w:val="none"/>
              </w:rPr>
              <w:t>GB/T</w:t>
            </w:r>
            <w:r>
              <w:rPr>
                <w:rFonts w:hint="default" w:ascii="Times New Roman" w:hAnsi="Times New Roman" w:eastAsia="宋体" w:cs="Times New Roman"/>
                <w:kern w:val="0"/>
                <w:sz w:val="21"/>
                <w:szCs w:val="21"/>
                <w:highlight w:val="none"/>
                <w:lang w:val="en-US" w:eastAsia="zh-CN"/>
              </w:rPr>
              <w:t xml:space="preserve"> </w:t>
            </w:r>
            <w:r>
              <w:rPr>
                <w:rFonts w:hint="default" w:ascii="Times New Roman" w:hAnsi="Times New Roman" w:eastAsia="宋体" w:cs="Times New Roman"/>
                <w:kern w:val="0"/>
                <w:sz w:val="21"/>
                <w:szCs w:val="21"/>
                <w:highlight w:val="none"/>
              </w:rPr>
              <w:t>11901-1989</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kern w:val="0"/>
                <w:sz w:val="21"/>
                <w:szCs w:val="21"/>
              </w:rPr>
              <w:t>4</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化学需氧量</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水质 化学需氧量的测定 重铬酸盐法</w:t>
            </w:r>
            <w:r>
              <w:rPr>
                <w:rFonts w:hint="default"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HJ</w:t>
            </w:r>
            <w:r>
              <w:rPr>
                <w:rFonts w:hint="default"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828-2017</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4</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石油类</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24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水质 石油类和动植物油类的测定 红外分光光度法</w:t>
            </w:r>
            <w:r>
              <w:rPr>
                <w:rFonts w:hint="default" w:ascii="Times New Roman" w:hAnsi="Times New Roman" w:eastAsia="宋体" w:cs="Times New Roman"/>
                <w:kern w:val="0"/>
                <w:sz w:val="21"/>
                <w:szCs w:val="21"/>
              </w:rPr>
              <w:tab/>
            </w:r>
            <w:r>
              <w:rPr>
                <w:rFonts w:hint="default" w:ascii="Times New Roman" w:hAnsi="Times New Roman" w:eastAsia="宋体" w:cs="Times New Roman"/>
                <w:kern w:val="0"/>
                <w:sz w:val="21"/>
                <w:szCs w:val="21"/>
              </w:rPr>
              <w:t xml:space="preserve"> HJ 637-2018</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0.06</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s>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五日生化需氧量</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tabs>
                <w:tab w:val="left" w:pos="360"/>
                <w:tab w:val="left" w:pos="720"/>
                <w:tab w:val="left" w:pos="1080"/>
                <w:tab w:val="left" w:pos="1440"/>
                <w:tab w:val="left" w:pos="1800"/>
                <w:tab w:val="left" w:pos="2160"/>
                <w:tab w:val="left" w:pos="2520"/>
              </w:tabs>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rPr>
              <w:t>水质 五日生化需氧量(BOD</w:t>
            </w:r>
            <w:r>
              <w:rPr>
                <w:rFonts w:hint="default" w:ascii="Times New Roman" w:hAnsi="Times New Roman" w:eastAsia="宋体" w:cs="Times New Roman"/>
                <w:kern w:val="0"/>
                <w:sz w:val="21"/>
                <w:szCs w:val="21"/>
                <w:vertAlign w:val="subscript"/>
              </w:rPr>
              <w:t>5</w:t>
            </w:r>
            <w:r>
              <w:rPr>
                <w:rFonts w:hint="default" w:ascii="Times New Roman" w:hAnsi="Times New Roman" w:eastAsia="宋体" w:cs="Times New Roman"/>
                <w:kern w:val="0"/>
                <w:sz w:val="21"/>
                <w:szCs w:val="21"/>
              </w:rPr>
              <w:t>)的测定</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稀释与接种法</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HJ</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505-2009</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0.5</w:t>
            </w:r>
          </w:p>
        </w:tc>
        <w:tc>
          <w:tcPr>
            <w:tcW w:w="418" w:type="pct"/>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 w:val="21"/>
                <w:szCs w:val="21"/>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lang w:val="en-US" w:eastAsia="zh-CN"/>
              </w:rPr>
            </w:pPr>
            <w:r>
              <w:rPr>
                <w:rFonts w:hint="default" w:ascii="Times New Roman" w:hAnsi="Times New Roman" w:eastAsia="宋体" w:cs="Times New Roman"/>
                <w:bCs/>
                <w:kern w:val="0"/>
                <w:sz w:val="21"/>
                <w:szCs w:val="21"/>
                <w:lang w:val="en-US" w:eastAsia="zh-CN"/>
              </w:rPr>
              <w:t>无组织废气</w:t>
            </w:r>
          </w:p>
        </w:tc>
        <w:tc>
          <w:tcPr>
            <w:tcW w:w="7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现场采集</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eastAsia="宋体" w:cs="Times New Roman"/>
                <w:bCs/>
                <w:kern w:val="0"/>
                <w:sz w:val="21"/>
                <w:szCs w:val="21"/>
                <w:highlight w:val="none"/>
                <w:lang w:val="en-US" w:eastAsia="zh-CN"/>
              </w:rPr>
              <w:t>大气污染物无组织排放监测技术导则 HJ/T 55-2000</w:t>
            </w:r>
          </w:p>
        </w:tc>
        <w:tc>
          <w:tcPr>
            <w:tcW w:w="392"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eastAsia="宋体" w:cs="Times New Roman"/>
                <w:bCs/>
                <w:kern w:val="0"/>
                <w:sz w:val="21"/>
                <w:szCs w:val="21"/>
                <w:highlight w:val="none"/>
                <w:lang w:val="en-US" w:eastAsia="zh-CN"/>
              </w:rPr>
              <w:t>\</w:t>
            </w:r>
          </w:p>
        </w:tc>
        <w:tc>
          <w:tcPr>
            <w:tcW w:w="41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bCs/>
                <w:kern w:val="0"/>
                <w:sz w:val="21"/>
                <w:szCs w:val="21"/>
                <w:highlight w:val="none"/>
              </w:rPr>
            </w:pPr>
            <w:r>
              <w:rPr>
                <w:rFonts w:hint="default" w:ascii="Times New Roman" w:hAnsi="Times New Roman" w:eastAsia="宋体" w:cs="Times New Roman"/>
                <w:bCs/>
                <w:kern w:val="0"/>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lang w:val="en-US" w:eastAsia="zh-CN"/>
              </w:rPr>
            </w:pPr>
          </w:p>
        </w:tc>
        <w:tc>
          <w:tcPr>
            <w:tcW w:w="7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非甲烷总烃</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eastAsia="宋体" w:cs="Times New Roman"/>
                <w:bCs/>
                <w:kern w:val="0"/>
                <w:sz w:val="21"/>
                <w:szCs w:val="21"/>
                <w:highlight w:val="none"/>
                <w:lang w:val="en-US" w:eastAsia="zh-CN"/>
              </w:rPr>
              <w:t xml:space="preserve">环境空气 </w:t>
            </w:r>
            <w:r>
              <w:rPr>
                <w:rFonts w:hint="default" w:ascii="Times New Roman" w:hAnsi="Times New Roman" w:eastAsia="宋体" w:cs="Times New Roman"/>
                <w:bCs/>
                <w:kern w:val="0"/>
                <w:sz w:val="21"/>
                <w:szCs w:val="21"/>
                <w:lang w:val="en-US" w:eastAsia="zh-CN"/>
              </w:rPr>
              <w:t>总烃、甲烷和非甲烷总烃的测定 直接进样-气相色谱法HJ 604-2017</w:t>
            </w:r>
          </w:p>
        </w:tc>
        <w:tc>
          <w:tcPr>
            <w:tcW w:w="3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eastAsia="宋体" w:cs="Times New Roman"/>
                <w:bCs/>
                <w:kern w:val="0"/>
                <w:sz w:val="21"/>
                <w:szCs w:val="21"/>
                <w:highlight w:val="none"/>
                <w:lang w:val="en-US" w:eastAsia="zh-CN"/>
              </w:rPr>
              <w:t>0.07</w:t>
            </w:r>
          </w:p>
        </w:tc>
        <w:tc>
          <w:tcPr>
            <w:tcW w:w="41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eastAsia="宋体" w:cs="Times New Roman"/>
                <w:bCs/>
                <w:kern w:val="0"/>
                <w:sz w:val="21"/>
                <w:szCs w:val="21"/>
                <w:highlight w:val="none"/>
                <w:lang w:val="en-US" w:eastAsia="zh-CN"/>
              </w:rPr>
              <w:t>mg/m</w:t>
            </w:r>
            <w:r>
              <w:rPr>
                <w:rFonts w:hint="default" w:ascii="Times New Roman" w:hAnsi="Times New Roman" w:eastAsia="宋体" w:cs="Times New Roman"/>
                <w:bCs/>
                <w:kern w:val="0"/>
                <w:sz w:val="21"/>
                <w:szCs w:val="21"/>
                <w:highlight w:val="none"/>
                <w:vertAlign w:val="superscript"/>
                <w:lang w:val="en-US" w:eastAsia="zh-CN"/>
              </w:rPr>
              <w:t>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lang w:val="en-US" w:eastAsia="zh-CN"/>
              </w:rPr>
              <w:t>噪声</w:t>
            </w:r>
          </w:p>
        </w:tc>
        <w:tc>
          <w:tcPr>
            <w:tcW w:w="7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工业企业厂界噪声</w:t>
            </w:r>
          </w:p>
        </w:tc>
        <w:tc>
          <w:tcPr>
            <w:tcW w:w="279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kern w:val="0"/>
                <w:sz w:val="21"/>
                <w:szCs w:val="21"/>
                <w:lang w:val="en-US" w:eastAsia="zh-CN" w:bidi="ar-SA"/>
              </w:rPr>
              <w:t>工业企业厂界环境噪声排放标准 GB 12348-2008</w:t>
            </w:r>
          </w:p>
        </w:tc>
        <w:tc>
          <w:tcPr>
            <w:tcW w:w="3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lang w:val="en-US" w:eastAsia="zh-CN"/>
              </w:rPr>
              <w:t>\</w:t>
            </w:r>
          </w:p>
        </w:tc>
        <w:tc>
          <w:tcPr>
            <w:tcW w:w="41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bidi w:val="0"/>
              <w:spacing w:line="240" w:lineRule="exact"/>
              <w:ind w:right="0" w:rightChars="0" w:firstLine="0" w:firstLineChars="0"/>
              <w:jc w:val="center"/>
              <w:textAlignment w:val="auto"/>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dB(A)</w:t>
            </w:r>
          </w:p>
        </w:tc>
      </w:tr>
    </w:tbl>
    <w:p>
      <w:pPr>
        <w:pStyle w:val="62"/>
        <w:spacing w:after="40"/>
        <w:rPr>
          <w:rFonts w:cs="Times New Roman"/>
          <w:sz w:val="32"/>
        </w:rPr>
      </w:pPr>
      <w:bookmarkStart w:id="157" w:name="_Toc26027"/>
      <w:r>
        <w:rPr>
          <w:rFonts w:hint="eastAsia" w:cs="Times New Roman"/>
          <w:sz w:val="32"/>
        </w:rPr>
        <w:t>8</w:t>
      </w:r>
      <w:r>
        <w:rPr>
          <w:rFonts w:cs="Times New Roman"/>
          <w:sz w:val="32"/>
        </w:rPr>
        <w:t xml:space="preserve">.2 </w:t>
      </w:r>
      <w:r>
        <w:rPr>
          <w:rFonts w:hint="eastAsia" w:cs="Times New Roman"/>
          <w:sz w:val="32"/>
        </w:rPr>
        <w:t>监测仪器</w:t>
      </w:r>
      <w:bookmarkEnd w:id="157"/>
    </w:p>
    <w:p>
      <w:pPr>
        <w:autoSpaceDE w:val="0"/>
        <w:autoSpaceDN w:val="0"/>
        <w:adjustRightInd w:val="0"/>
        <w:spacing w:line="540" w:lineRule="exact"/>
        <w:ind w:firstLine="480" w:firstLineChars="200"/>
        <w:jc w:val="left"/>
        <w:rPr>
          <w:color w:val="000000"/>
          <w:kern w:val="0"/>
          <w:sz w:val="24"/>
          <w:szCs w:val="24"/>
        </w:rPr>
      </w:pPr>
      <w:r>
        <w:rPr>
          <w:rFonts w:hint="eastAsia"/>
          <w:color w:val="000000"/>
          <w:kern w:val="0"/>
          <w:sz w:val="24"/>
          <w:szCs w:val="24"/>
        </w:rPr>
        <w:t>监测仪器使用见表8-2。</w:t>
      </w:r>
    </w:p>
    <w:p>
      <w:pPr>
        <w:spacing w:line="540" w:lineRule="exact"/>
        <w:ind w:firstLine="463" w:firstLineChars="192"/>
        <w:jc w:val="center"/>
        <w:rPr>
          <w:rFonts w:hAnsiTheme="minorEastAsia" w:eastAsiaTheme="minorEastAsia"/>
          <w:b/>
          <w:sz w:val="24"/>
          <w:szCs w:val="24"/>
        </w:rPr>
      </w:pPr>
      <w:r>
        <w:rPr>
          <w:rFonts w:hAnsiTheme="minorEastAsia" w:eastAsiaTheme="minorEastAsia"/>
          <w:b/>
          <w:sz w:val="24"/>
          <w:szCs w:val="24"/>
        </w:rPr>
        <w:t>表</w:t>
      </w:r>
      <w:r>
        <w:rPr>
          <w:rFonts w:hint="eastAsia" w:hAnsiTheme="minorEastAsia" w:eastAsiaTheme="minorEastAsia"/>
          <w:b/>
          <w:sz w:val="24"/>
          <w:szCs w:val="24"/>
        </w:rPr>
        <w:t>8</w:t>
      </w:r>
      <w:r>
        <w:rPr>
          <w:rFonts w:hAnsiTheme="minorEastAsia" w:eastAsiaTheme="minorEastAsia"/>
          <w:b/>
          <w:sz w:val="24"/>
          <w:szCs w:val="24"/>
        </w:rPr>
        <w:t>-</w:t>
      </w:r>
      <w:r>
        <w:rPr>
          <w:rFonts w:hint="eastAsia" w:hAnsiTheme="minorEastAsia" w:eastAsiaTheme="minorEastAsia"/>
          <w:b/>
          <w:sz w:val="24"/>
          <w:szCs w:val="24"/>
        </w:rPr>
        <w:t>2</w:t>
      </w:r>
      <w:r>
        <w:rPr>
          <w:rFonts w:hAnsiTheme="minorEastAsia" w:eastAsiaTheme="minorEastAsia"/>
          <w:b/>
          <w:sz w:val="24"/>
          <w:szCs w:val="24"/>
        </w:rPr>
        <w:t xml:space="preserve">    监测</w:t>
      </w:r>
      <w:r>
        <w:rPr>
          <w:rFonts w:hint="eastAsia" w:hAnsiTheme="minorEastAsia" w:eastAsiaTheme="minorEastAsia"/>
          <w:b/>
          <w:sz w:val="24"/>
          <w:szCs w:val="24"/>
        </w:rPr>
        <w:t>使用</w:t>
      </w:r>
      <w:r>
        <w:rPr>
          <w:rFonts w:hAnsiTheme="minorEastAsia" w:eastAsiaTheme="minorEastAsia"/>
          <w:b/>
          <w:sz w:val="24"/>
          <w:szCs w:val="24"/>
        </w:rPr>
        <w:t>仪器一览表</w:t>
      </w:r>
    </w:p>
    <w:tbl>
      <w:tblPr>
        <w:tblStyle w:val="78"/>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13"/>
        <w:gridCol w:w="1521"/>
        <w:gridCol w:w="4042"/>
        <w:gridCol w:w="239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b/>
                <w:bCs/>
                <w:kern w:val="0"/>
                <w:sz w:val="21"/>
                <w:szCs w:val="21"/>
                <w:highlight w:val="none"/>
                <w:lang w:val="en-US" w:eastAsia="zh-CN" w:bidi="ar-SA"/>
              </w:rPr>
              <w:t>检测类别</w:t>
            </w:r>
          </w:p>
        </w:tc>
        <w:tc>
          <w:tcPr>
            <w:tcW w:w="838" w:type="pct"/>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b/>
                <w:bCs/>
                <w:kern w:val="0"/>
                <w:sz w:val="21"/>
                <w:szCs w:val="21"/>
                <w:highlight w:val="none"/>
                <w:lang w:val="en-US" w:eastAsia="zh-CN" w:bidi="ar-SA"/>
              </w:rPr>
              <w:t>项目名称</w:t>
            </w:r>
          </w:p>
        </w:tc>
        <w:tc>
          <w:tcPr>
            <w:tcW w:w="2227" w:type="pct"/>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b/>
                <w:bCs/>
                <w:kern w:val="0"/>
                <w:sz w:val="21"/>
                <w:szCs w:val="21"/>
                <w:highlight w:val="none"/>
                <w:lang w:val="en-US" w:eastAsia="zh-CN" w:bidi="ar-SA"/>
              </w:rPr>
              <w:t>检测仪器名称及型号</w:t>
            </w:r>
          </w:p>
        </w:tc>
        <w:tc>
          <w:tcPr>
            <w:tcW w:w="1318" w:type="pct"/>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b/>
                <w:bCs/>
                <w:kern w:val="0"/>
                <w:sz w:val="21"/>
                <w:szCs w:val="21"/>
                <w:highlight w:val="none"/>
                <w:lang w:val="en-US" w:eastAsia="zh-CN" w:bidi="ar-SA"/>
              </w:rPr>
              <w:t>仪器编号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废水</w:t>
            </w: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石油类</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红外分光测油仪</w:t>
            </w:r>
            <w:r>
              <w:rPr>
                <w:rFonts w:hint="eastAsia" w:ascii="Times New Roman" w:hAnsi="Times New Roman" w:eastAsia="宋体" w:cs="Times New Roman"/>
                <w:kern w:val="0"/>
                <w:sz w:val="21"/>
                <w:szCs w:val="21"/>
                <w:highlight w:val="none"/>
                <w:lang w:val="en-US" w:eastAsia="zh-CN" w:bidi="ar-SA"/>
              </w:rPr>
              <w:t xml:space="preserve"> </w:t>
            </w:r>
            <w:r>
              <w:rPr>
                <w:rFonts w:hint="default" w:ascii="Times New Roman" w:hAnsi="Times New Roman" w:eastAsia="宋体" w:cs="Times New Roman"/>
                <w:kern w:val="0"/>
                <w:sz w:val="21"/>
                <w:szCs w:val="21"/>
                <w:highlight w:val="none"/>
                <w:lang w:val="en-US" w:eastAsia="zh-CN" w:bidi="ar-SA"/>
              </w:rPr>
              <w:t>O</w:t>
            </w:r>
            <w:r>
              <w:rPr>
                <w:rFonts w:hint="eastAsia" w:ascii="Times New Roman" w:hAnsi="Times New Roman" w:eastAsia="宋体" w:cs="Times New Roman"/>
                <w:kern w:val="0"/>
                <w:sz w:val="21"/>
                <w:szCs w:val="21"/>
                <w:highlight w:val="none"/>
                <w:lang w:val="en-US" w:eastAsia="zh-CN" w:bidi="ar-SA"/>
              </w:rPr>
              <w:t>i</w:t>
            </w:r>
            <w:r>
              <w:rPr>
                <w:rFonts w:hint="default" w:ascii="Times New Roman" w:hAnsi="Times New Roman" w:eastAsia="宋体" w:cs="Times New Roman"/>
                <w:kern w:val="0"/>
                <w:sz w:val="21"/>
                <w:szCs w:val="21"/>
                <w:highlight w:val="none"/>
                <w:lang w:val="en-US" w:eastAsia="zh-CN" w:bidi="ar-SA"/>
              </w:rPr>
              <w:t>L460</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111IIC18030087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氨氮</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可见分光光度计 722</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KJ1818040807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悬浮物</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电热鼓风干燥箱101-3AB</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电子</w:t>
            </w:r>
            <w:r>
              <w:rPr>
                <w:rFonts w:hint="default" w:ascii="Times New Roman" w:hAnsi="Times New Roman" w:eastAsia="宋体" w:cs="Times New Roman"/>
                <w:kern w:val="0"/>
                <w:sz w:val="21"/>
                <w:szCs w:val="21"/>
                <w:highlight w:val="none"/>
                <w:lang w:val="en-US" w:eastAsia="zh-CN" w:bidi="ar-SA"/>
              </w:rPr>
              <w:t>天平</w:t>
            </w:r>
            <w:r>
              <w:rPr>
                <w:rFonts w:hint="eastAsia" w:ascii="Times New Roman" w:hAnsi="Times New Roman" w:eastAsia="宋体" w:cs="Times New Roman"/>
                <w:kern w:val="0"/>
                <w:sz w:val="21"/>
                <w:szCs w:val="21"/>
                <w:highlight w:val="none"/>
                <w:lang w:val="en-US" w:eastAsia="zh-CN" w:bidi="ar-SA"/>
              </w:rPr>
              <w:t xml:space="preserve"> </w:t>
            </w:r>
            <w:r>
              <w:rPr>
                <w:rFonts w:hint="default" w:ascii="Times New Roman" w:hAnsi="Times New Roman" w:eastAsia="宋体" w:cs="Times New Roman"/>
                <w:kern w:val="0"/>
                <w:sz w:val="21"/>
                <w:szCs w:val="21"/>
                <w:highlight w:val="none"/>
                <w:lang w:val="en-US" w:eastAsia="zh-CN" w:bidi="ar-SA"/>
              </w:rPr>
              <w:t>ATY224</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180502</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D31890045</w:t>
            </w:r>
            <w:r>
              <w:rPr>
                <w:rFonts w:hint="eastAsia" w:ascii="Times New Roman" w:hAnsi="Times New Roman" w:eastAsia="宋体" w:cs="Times New Roman"/>
                <w:kern w:val="0"/>
                <w:sz w:val="21"/>
                <w:szCs w:val="21"/>
                <w:highlight w:val="none"/>
                <w:lang w:val="en-US" w:eastAsia="zh-CN" w:bidi="ar-SA"/>
              </w:rPr>
              <w:t>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化学需氧量</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 xml:space="preserve">滴定管 50mL </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ZHY50-1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五日生化需氧量</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多参数分析仪</w:t>
            </w:r>
            <w:r>
              <w:rPr>
                <w:rFonts w:hint="eastAsia" w:ascii="Times New Roman" w:hAnsi="Times New Roman" w:eastAsia="宋体" w:cs="Times New Roman"/>
                <w:kern w:val="0"/>
                <w:sz w:val="21"/>
                <w:szCs w:val="21"/>
                <w:highlight w:val="none"/>
                <w:lang w:val="en-US" w:eastAsia="zh-CN" w:bidi="ar-SA"/>
              </w:rPr>
              <w:t xml:space="preserve"> </w:t>
            </w:r>
            <w:r>
              <w:rPr>
                <w:rFonts w:hint="default" w:ascii="Times New Roman" w:hAnsi="Times New Roman" w:eastAsia="宋体" w:cs="Times New Roman"/>
                <w:kern w:val="0"/>
                <w:sz w:val="21"/>
                <w:szCs w:val="21"/>
                <w:highlight w:val="none"/>
                <w:lang w:val="en-US" w:eastAsia="zh-CN" w:bidi="ar-SA"/>
              </w:rPr>
              <w:t>DZS-708L</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生化培养箱</w:t>
            </w:r>
            <w:r>
              <w:rPr>
                <w:rFonts w:hint="eastAsia" w:ascii="Times New Roman" w:hAnsi="Times New Roman" w:eastAsia="宋体" w:cs="Times New Roman"/>
                <w:kern w:val="0"/>
                <w:sz w:val="21"/>
                <w:szCs w:val="21"/>
                <w:highlight w:val="none"/>
                <w:lang w:val="en-US" w:eastAsia="zh-CN" w:bidi="ar-SA"/>
              </w:rPr>
              <w:t xml:space="preserve"> SPX-250BE</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651200N</w:t>
            </w:r>
            <w:r>
              <w:rPr>
                <w:rFonts w:hint="eastAsia" w:ascii="Times New Roman" w:hAnsi="Times New Roman" w:eastAsia="宋体" w:cs="Times New Roman"/>
                <w:kern w:val="0"/>
                <w:sz w:val="21"/>
                <w:szCs w:val="21"/>
                <w:highlight w:val="none"/>
                <w:lang w:val="en-US" w:eastAsia="zh-CN" w:bidi="ar-SA"/>
              </w:rPr>
              <w:t>0002</w:t>
            </w:r>
            <w:r>
              <w:rPr>
                <w:rFonts w:hint="default" w:ascii="Times New Roman" w:hAnsi="Times New Roman" w:eastAsia="宋体" w:cs="Times New Roman"/>
                <w:kern w:val="0"/>
                <w:sz w:val="21"/>
                <w:szCs w:val="21"/>
                <w:highlight w:val="none"/>
                <w:lang w:val="en-US" w:eastAsia="zh-CN" w:bidi="ar-SA"/>
              </w:rPr>
              <w:t>080</w:t>
            </w:r>
            <w:r>
              <w:rPr>
                <w:rFonts w:hint="eastAsia" w:ascii="Times New Roman" w:hAnsi="Times New Roman" w:eastAsia="宋体" w:cs="Times New Roman"/>
                <w:kern w:val="0"/>
                <w:sz w:val="21"/>
                <w:szCs w:val="21"/>
                <w:highlight w:val="none"/>
                <w:lang w:val="en-US" w:eastAsia="zh-CN" w:bidi="ar-SA"/>
              </w:rPr>
              <w:t>0</w:t>
            </w:r>
            <w:r>
              <w:rPr>
                <w:rFonts w:hint="default" w:ascii="Times New Roman" w:hAnsi="Times New Roman" w:eastAsia="宋体" w:cs="Times New Roman"/>
                <w:kern w:val="0"/>
                <w:sz w:val="21"/>
                <w:szCs w:val="21"/>
                <w:highlight w:val="none"/>
                <w:lang w:val="en-US" w:eastAsia="zh-CN" w:bidi="ar-SA"/>
              </w:rPr>
              <w:t>05</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180610-11W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无组织废气</w:t>
            </w: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现场采集</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真空箱气袋采样器ZT-33D</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真空箱气袋采样器ZT-33D</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ZHY-XFZ-06</w:t>
            </w:r>
            <w:r>
              <w:rPr>
                <w:rFonts w:hint="eastAsia" w:ascii="Times New Roman" w:hAnsi="Times New Roman" w:eastAsia="宋体" w:cs="Times New Roman"/>
                <w:kern w:val="0"/>
                <w:sz w:val="21"/>
                <w:szCs w:val="21"/>
                <w:highlight w:val="none"/>
                <w:lang w:val="en-US" w:eastAsia="zh-CN" w:bidi="ar-SA"/>
              </w:rPr>
              <w:t>5</w:t>
            </w:r>
            <w:r>
              <w:rPr>
                <w:rFonts w:hint="default" w:ascii="Times New Roman" w:hAnsi="Times New Roman" w:eastAsia="宋体" w:cs="Times New Roman"/>
                <w:kern w:val="0"/>
                <w:sz w:val="21"/>
                <w:szCs w:val="21"/>
                <w:highlight w:val="none"/>
                <w:lang w:val="en-US" w:eastAsia="zh-CN" w:bidi="ar-SA"/>
              </w:rPr>
              <w:t>-ZKCY</w:t>
            </w:r>
          </w:p>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ZHY-XFZ-06</w:t>
            </w:r>
            <w:r>
              <w:rPr>
                <w:rFonts w:hint="eastAsia" w:ascii="Times New Roman" w:hAnsi="Times New Roman" w:eastAsia="宋体" w:cs="Times New Roman"/>
                <w:kern w:val="0"/>
                <w:sz w:val="21"/>
                <w:szCs w:val="21"/>
                <w:highlight w:val="none"/>
                <w:lang w:val="en-US" w:eastAsia="zh-CN" w:bidi="ar-SA"/>
              </w:rPr>
              <w:t>7</w:t>
            </w:r>
            <w:r>
              <w:rPr>
                <w:rFonts w:hint="default" w:ascii="Times New Roman" w:hAnsi="Times New Roman" w:eastAsia="宋体" w:cs="Times New Roman"/>
                <w:kern w:val="0"/>
                <w:sz w:val="21"/>
                <w:szCs w:val="21"/>
                <w:highlight w:val="none"/>
                <w:lang w:val="en-US" w:eastAsia="zh-CN" w:bidi="ar-SA"/>
              </w:rPr>
              <w:t>-ZKCY</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非甲烷总烃</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气相色谱仪 磐诺A91PLUS</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18041024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噪声</w:t>
            </w:r>
          </w:p>
        </w:tc>
        <w:tc>
          <w:tcPr>
            <w:tcW w:w="83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工业企业厂界噪声</w:t>
            </w:r>
          </w:p>
        </w:tc>
        <w:tc>
          <w:tcPr>
            <w:tcW w:w="222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多功能声级计AWA6228+</w:t>
            </w:r>
          </w:p>
        </w:tc>
        <w:tc>
          <w:tcPr>
            <w:tcW w:w="13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line="240" w:lineRule="exact"/>
              <w:ind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00314001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14" w:type="pct"/>
            <w:tcBorders>
              <w:top w:val="single" w:color="auto" w:sz="4" w:space="0"/>
            </w:tcBorders>
            <w:vAlign w:val="center"/>
          </w:tcPr>
          <w:p>
            <w:pPr>
              <w:autoSpaceDE w:val="0"/>
              <w:autoSpaceDN w:val="0"/>
              <w:adjustRightInd w:val="0"/>
              <w:snapToGrid w:val="0"/>
              <w:spacing w:line="280" w:lineRule="exact"/>
              <w:jc w:val="center"/>
              <w:rPr>
                <w:rFonts w:ascii="Times New Roman" w:hAnsi="Times New Roman" w:cs="Times New Roman" w:eastAsiaTheme="minorEastAsia"/>
                <w:color w:val="000000"/>
                <w:szCs w:val="21"/>
              </w:rPr>
            </w:pPr>
            <w:r>
              <w:rPr>
                <w:rFonts w:ascii="Times New Roman" w:hAnsi="Times New Roman" w:cs="Times New Roman" w:eastAsiaTheme="minorEastAsia"/>
                <w:color w:val="000000"/>
                <w:szCs w:val="21"/>
              </w:rPr>
              <w:t>备 注</w:t>
            </w:r>
          </w:p>
        </w:tc>
        <w:tc>
          <w:tcPr>
            <w:tcW w:w="4385" w:type="pct"/>
            <w:gridSpan w:val="3"/>
            <w:tcBorders>
              <w:top w:val="single" w:color="auto" w:sz="4" w:space="0"/>
            </w:tcBorders>
            <w:vAlign w:val="center"/>
          </w:tcPr>
          <w:p>
            <w:pPr>
              <w:autoSpaceDE w:val="0"/>
              <w:autoSpaceDN w:val="0"/>
              <w:adjustRightInd w:val="0"/>
              <w:snapToGrid w:val="0"/>
              <w:spacing w:line="280" w:lineRule="exact"/>
              <w:jc w:val="center"/>
              <w:rPr>
                <w:rFonts w:ascii="Times New Roman" w:hAnsi="Times New Roman" w:cs="Times New Roman" w:eastAsiaTheme="minorEastAsia"/>
                <w:color w:val="000000"/>
                <w:szCs w:val="21"/>
              </w:rPr>
            </w:pPr>
            <w:r>
              <w:rPr>
                <w:rFonts w:ascii="Times New Roman" w:hAnsi="Times New Roman" w:cs="Times New Roman" w:eastAsiaTheme="minorEastAsia"/>
                <w:color w:val="000000"/>
                <w:szCs w:val="21"/>
              </w:rPr>
              <w:t>仪器均在检定/校准有效期内使用。</w:t>
            </w:r>
          </w:p>
        </w:tc>
      </w:tr>
    </w:tbl>
    <w:p>
      <w:pPr>
        <w:pStyle w:val="62"/>
        <w:rPr>
          <w:rFonts w:cs="Times New Roman"/>
          <w:sz w:val="32"/>
        </w:rPr>
      </w:pPr>
      <w:bookmarkStart w:id="158" w:name="_Toc1612"/>
      <w:r>
        <w:rPr>
          <w:rFonts w:hint="eastAsia" w:cs="Times New Roman"/>
          <w:sz w:val="32"/>
        </w:rPr>
        <w:t>8</w:t>
      </w:r>
      <w:r>
        <w:rPr>
          <w:rFonts w:cs="Times New Roman"/>
          <w:sz w:val="32"/>
        </w:rPr>
        <w:t>.</w:t>
      </w:r>
      <w:r>
        <w:rPr>
          <w:rFonts w:hint="eastAsia" w:cs="Times New Roman"/>
          <w:sz w:val="32"/>
        </w:rPr>
        <w:t>3人员资质</w:t>
      </w:r>
      <w:bookmarkEnd w:id="158"/>
    </w:p>
    <w:p>
      <w:pPr>
        <w:autoSpaceDE w:val="0"/>
        <w:autoSpaceDN w:val="0"/>
        <w:adjustRightInd w:val="0"/>
        <w:spacing w:line="540" w:lineRule="exact"/>
        <w:ind w:firstLine="480" w:firstLineChars="200"/>
        <w:jc w:val="left"/>
        <w:rPr>
          <w:kern w:val="0"/>
          <w:sz w:val="28"/>
          <w:szCs w:val="28"/>
        </w:rPr>
      </w:pPr>
      <w:r>
        <w:rPr>
          <w:rFonts w:hint="eastAsia"/>
          <w:sz w:val="24"/>
          <w:szCs w:val="24"/>
        </w:rPr>
        <w:t>参与本次验收监测的现场采样及实验室分析的人员均</w:t>
      </w:r>
      <w:r>
        <w:rPr>
          <w:sz w:val="24"/>
          <w:szCs w:val="24"/>
        </w:rPr>
        <w:t>经考核合格</w:t>
      </w:r>
      <w:r>
        <w:rPr>
          <w:rFonts w:hint="eastAsia"/>
          <w:sz w:val="24"/>
          <w:szCs w:val="24"/>
        </w:rPr>
        <w:t>。</w:t>
      </w:r>
    </w:p>
    <w:p>
      <w:pPr>
        <w:pStyle w:val="62"/>
        <w:rPr>
          <w:rFonts w:cs="Times New Roman"/>
          <w:sz w:val="32"/>
        </w:rPr>
      </w:pPr>
      <w:bookmarkStart w:id="159" w:name="_Toc19648"/>
      <w:r>
        <w:rPr>
          <w:rFonts w:hint="eastAsia" w:cs="Times New Roman"/>
          <w:sz w:val="32"/>
        </w:rPr>
        <w:t>8</w:t>
      </w:r>
      <w:r>
        <w:rPr>
          <w:rFonts w:cs="Times New Roman"/>
          <w:sz w:val="32"/>
        </w:rPr>
        <w:t>.</w:t>
      </w:r>
      <w:r>
        <w:rPr>
          <w:rFonts w:hint="eastAsia" w:cs="Times New Roman"/>
          <w:sz w:val="32"/>
        </w:rPr>
        <w:t>4</w:t>
      </w:r>
      <w:r>
        <w:rPr>
          <w:rFonts w:cs="Times New Roman"/>
          <w:sz w:val="32"/>
        </w:rPr>
        <w:t>质量保证和质量控制</w:t>
      </w:r>
      <w:bookmarkEnd w:id="159"/>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建设项目竣工环境保护验收现场监测质量控制与质量保证按环发[2000]38号文附件和相关监测技术规范要求进行。</w:t>
      </w:r>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为了确保验收监测的环境样品的代表性，分析测试的准确性、精密性，监测报告的完整性，对验收监测的全过程（包括布点、采样、样品贮运、实验室分析、数据统计分析、报告编制和审核等）进行严格的质量控制。</w:t>
      </w:r>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1、严格按照验收监测方案要求开展监测工作</w:t>
      </w:r>
      <w:r>
        <w:rPr>
          <w:rFonts w:hint="eastAsia"/>
          <w:color w:val="000000"/>
          <w:kern w:val="0"/>
          <w:sz w:val="24"/>
          <w:szCs w:val="24"/>
        </w:rPr>
        <w:t>。</w:t>
      </w:r>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2、合理布设监测点，保证各监测点位布设的科学性和代表性</w:t>
      </w:r>
      <w:r>
        <w:rPr>
          <w:rFonts w:hint="eastAsia"/>
          <w:color w:val="000000"/>
          <w:kern w:val="0"/>
          <w:sz w:val="24"/>
          <w:szCs w:val="24"/>
        </w:rPr>
        <w:t>。</w:t>
      </w:r>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3、采样人员严格遵守采样操作规程，在生产设备和环保设施运行稳定条件下采样。同时，认真填写采样记录，注明采样工况，并按规定保存、运输样品，确保验收监测样品采集的代表性</w:t>
      </w:r>
      <w:r>
        <w:rPr>
          <w:rFonts w:hint="eastAsia"/>
          <w:color w:val="000000"/>
          <w:kern w:val="0"/>
          <w:sz w:val="24"/>
          <w:szCs w:val="24"/>
        </w:rPr>
        <w:t>。</w:t>
      </w:r>
    </w:p>
    <w:p>
      <w:pPr>
        <w:autoSpaceDE w:val="0"/>
        <w:autoSpaceDN w:val="0"/>
        <w:adjustRightInd w:val="0"/>
        <w:spacing w:line="540" w:lineRule="exact"/>
        <w:ind w:firstLine="480" w:firstLineChars="200"/>
        <w:jc w:val="left"/>
        <w:rPr>
          <w:color w:val="000000"/>
          <w:kern w:val="0"/>
          <w:sz w:val="24"/>
          <w:szCs w:val="24"/>
        </w:rPr>
      </w:pPr>
      <w:r>
        <w:rPr>
          <w:color w:val="000000"/>
          <w:kern w:val="0"/>
          <w:sz w:val="24"/>
          <w:szCs w:val="24"/>
        </w:rPr>
        <w:t>4、监测分析采用国家有关部门颁布的标准分析方法或推荐方法；监测人员经考核合格并持有上岗证，所有监测仪器、量具均经过计量部门检定合格并在有效期内使用</w:t>
      </w:r>
      <w:r>
        <w:rPr>
          <w:rFonts w:hint="eastAsia"/>
          <w:color w:val="000000"/>
          <w:kern w:val="0"/>
          <w:sz w:val="24"/>
          <w:szCs w:val="24"/>
        </w:rPr>
        <w:t>。</w:t>
      </w:r>
    </w:p>
    <w:p>
      <w:pPr>
        <w:autoSpaceDE w:val="0"/>
        <w:autoSpaceDN w:val="0"/>
        <w:adjustRightInd w:val="0"/>
        <w:spacing w:line="360" w:lineRule="auto"/>
        <w:ind w:firstLine="480" w:firstLineChars="200"/>
        <w:jc w:val="left"/>
        <w:rPr>
          <w:rFonts w:hAnsi="宋体"/>
          <w:color w:val="000000"/>
          <w:kern w:val="0"/>
          <w:sz w:val="24"/>
          <w:szCs w:val="24"/>
        </w:rPr>
      </w:pPr>
      <w:r>
        <w:rPr>
          <w:rFonts w:hint="eastAsia"/>
          <w:color w:val="000000"/>
          <w:kern w:val="0"/>
          <w:sz w:val="24"/>
          <w:szCs w:val="24"/>
        </w:rPr>
        <w:t>5</w:t>
      </w:r>
      <w:r>
        <w:rPr>
          <w:color w:val="000000"/>
          <w:kern w:val="0"/>
          <w:sz w:val="24"/>
          <w:szCs w:val="24"/>
        </w:rPr>
        <w:t>、</w:t>
      </w:r>
      <w:r>
        <w:rPr>
          <w:rFonts w:hAnsi="宋体"/>
          <w:color w:val="000000"/>
          <w:kern w:val="0"/>
          <w:sz w:val="24"/>
          <w:szCs w:val="24"/>
        </w:rPr>
        <w:t>水样、固体废物采集采用合适的器皿和保存措施，并采集不少于10%的平行样；实验室分析加测不少于10%的平行样；对可以得到标准/质控样品的监测因子，加测10%的标准/质控样品；对无标准/质控样品的监测因子，</w:t>
      </w:r>
      <w:r>
        <w:rPr>
          <w:rFonts w:hint="eastAsia" w:hAnsi="宋体"/>
          <w:color w:val="000000"/>
          <w:kern w:val="0"/>
          <w:sz w:val="24"/>
          <w:szCs w:val="24"/>
        </w:rPr>
        <w:t>在</w:t>
      </w:r>
      <w:r>
        <w:rPr>
          <w:rFonts w:hAnsi="宋体"/>
          <w:color w:val="000000"/>
          <w:kern w:val="0"/>
          <w:sz w:val="24"/>
          <w:szCs w:val="24"/>
        </w:rPr>
        <w:t>可进行加标回收测试的</w:t>
      </w:r>
      <w:r>
        <w:rPr>
          <w:rFonts w:hint="eastAsia" w:hAnsi="宋体"/>
          <w:color w:val="000000"/>
          <w:kern w:val="0"/>
          <w:sz w:val="24"/>
          <w:szCs w:val="24"/>
        </w:rPr>
        <w:t>时</w:t>
      </w:r>
      <w:r>
        <w:rPr>
          <w:rFonts w:hAnsi="宋体"/>
          <w:color w:val="000000"/>
          <w:kern w:val="0"/>
          <w:sz w:val="24"/>
          <w:szCs w:val="24"/>
        </w:rPr>
        <w:t>，加测10%加标回收样品，或采取其他质控措施。</w:t>
      </w:r>
    </w:p>
    <w:p>
      <w:pPr>
        <w:autoSpaceDE w:val="0"/>
        <w:autoSpaceDN w:val="0"/>
        <w:adjustRightInd w:val="0"/>
        <w:spacing w:line="360" w:lineRule="auto"/>
        <w:ind w:firstLine="480" w:firstLineChars="200"/>
        <w:jc w:val="left"/>
        <w:rPr>
          <w:rFonts w:hAnsi="宋体"/>
          <w:color w:val="000000"/>
          <w:kern w:val="0"/>
          <w:sz w:val="24"/>
          <w:szCs w:val="24"/>
        </w:rPr>
      </w:pPr>
      <w:r>
        <w:rPr>
          <w:rFonts w:hAnsi="宋体"/>
          <w:color w:val="000000"/>
          <w:kern w:val="0"/>
          <w:sz w:val="24"/>
          <w:szCs w:val="24"/>
        </w:rPr>
        <w:t>废气监测（分析）仪在测试前用标准气体和流量计进行校核（标定），测试时应保证其采样流量和气密性，并合理选择量程，使被测污染物浓度落在仪器测试量程的有效范围</w:t>
      </w:r>
      <w:r>
        <w:rPr>
          <w:rFonts w:hint="eastAsia" w:hAnsi="宋体"/>
          <w:color w:val="000000"/>
          <w:kern w:val="0"/>
          <w:sz w:val="24"/>
          <w:szCs w:val="24"/>
        </w:rPr>
        <w:t>，</w:t>
      </w:r>
      <w:r>
        <w:rPr>
          <w:rFonts w:hAnsi="宋体"/>
          <w:color w:val="000000"/>
          <w:kern w:val="0"/>
          <w:sz w:val="24"/>
          <w:szCs w:val="24"/>
        </w:rPr>
        <w:t>即仪器量程的30～70%之间，避免共存污染因子的交叉干扰。</w:t>
      </w:r>
    </w:p>
    <w:p>
      <w:pPr>
        <w:autoSpaceDE w:val="0"/>
        <w:autoSpaceDN w:val="0"/>
        <w:adjustRightInd w:val="0"/>
        <w:spacing w:line="540" w:lineRule="exact"/>
        <w:ind w:firstLine="480" w:firstLineChars="200"/>
        <w:jc w:val="left"/>
        <w:rPr>
          <w:color w:val="000000"/>
          <w:kern w:val="0"/>
          <w:sz w:val="24"/>
          <w:szCs w:val="24"/>
        </w:rPr>
      </w:pPr>
      <w:r>
        <w:rPr>
          <w:rFonts w:hAnsi="宋体"/>
          <w:color w:val="000000"/>
          <w:kern w:val="0"/>
          <w:sz w:val="24"/>
          <w:szCs w:val="24"/>
        </w:rPr>
        <w:t>声级计在测试前后用标准声源进行校准，测量前后仪器的灵敏度相差不大于0.5dB，若大于0.5dB</w:t>
      </w:r>
      <w:r>
        <w:rPr>
          <w:rFonts w:hint="eastAsia" w:hAnsi="宋体"/>
          <w:color w:val="000000"/>
          <w:kern w:val="0"/>
          <w:sz w:val="24"/>
          <w:szCs w:val="24"/>
        </w:rPr>
        <w:t>，</w:t>
      </w:r>
      <w:r>
        <w:rPr>
          <w:rFonts w:hAnsi="宋体"/>
          <w:color w:val="000000"/>
          <w:kern w:val="0"/>
          <w:sz w:val="24"/>
          <w:szCs w:val="24"/>
        </w:rPr>
        <w:t>则测试数据无效</w:t>
      </w:r>
      <w:r>
        <w:rPr>
          <w:rFonts w:hint="eastAsia"/>
          <w:color w:val="000000"/>
          <w:kern w:val="0"/>
          <w:sz w:val="24"/>
          <w:szCs w:val="24"/>
        </w:rPr>
        <w:t>。</w:t>
      </w:r>
    </w:p>
    <w:p>
      <w:pPr>
        <w:autoSpaceDE w:val="0"/>
        <w:autoSpaceDN w:val="0"/>
        <w:adjustRightInd w:val="0"/>
        <w:spacing w:line="540" w:lineRule="exact"/>
        <w:ind w:firstLine="480" w:firstLineChars="200"/>
        <w:jc w:val="left"/>
        <w:rPr>
          <w:kern w:val="0"/>
          <w:sz w:val="28"/>
          <w:szCs w:val="28"/>
        </w:rPr>
      </w:pPr>
      <w:r>
        <w:rPr>
          <w:rFonts w:hint="eastAsia"/>
          <w:color w:val="000000"/>
          <w:kern w:val="0"/>
          <w:sz w:val="24"/>
          <w:szCs w:val="24"/>
        </w:rPr>
        <w:t>6</w:t>
      </w:r>
      <w:r>
        <w:rPr>
          <w:color w:val="000000"/>
          <w:kern w:val="0"/>
          <w:sz w:val="24"/>
          <w:szCs w:val="24"/>
        </w:rPr>
        <w:t>、监测数据和监测报告严格实行</w:t>
      </w:r>
      <w:r>
        <w:rPr>
          <w:rFonts w:hint="eastAsia"/>
          <w:color w:val="000000"/>
          <w:kern w:val="0"/>
          <w:sz w:val="24"/>
          <w:szCs w:val="24"/>
        </w:rPr>
        <w:t>“</w:t>
      </w:r>
      <w:r>
        <w:rPr>
          <w:color w:val="000000"/>
          <w:kern w:val="0"/>
          <w:sz w:val="24"/>
          <w:szCs w:val="24"/>
        </w:rPr>
        <w:t>三级审核</w:t>
      </w:r>
      <w:r>
        <w:rPr>
          <w:rFonts w:hint="eastAsia"/>
          <w:color w:val="000000"/>
          <w:kern w:val="0"/>
          <w:sz w:val="24"/>
          <w:szCs w:val="24"/>
        </w:rPr>
        <w:t>”</w:t>
      </w:r>
      <w:r>
        <w:rPr>
          <w:color w:val="000000"/>
          <w:kern w:val="0"/>
          <w:sz w:val="24"/>
          <w:szCs w:val="24"/>
        </w:rPr>
        <w:t>制度。</w:t>
      </w:r>
    </w:p>
    <w:p>
      <w:pPr>
        <w:pStyle w:val="61"/>
        <w:rPr>
          <w:rFonts w:cs="Times New Roman"/>
          <w:sz w:val="36"/>
        </w:rPr>
        <w:sectPr>
          <w:footerReference r:id="rId6" w:type="default"/>
          <w:pgSz w:w="11906" w:h="16838"/>
          <w:pgMar w:top="1701" w:right="1418" w:bottom="1588" w:left="1418" w:header="851" w:footer="992" w:gutter="0"/>
          <w:cols w:space="425" w:num="1"/>
          <w:docGrid w:type="lines" w:linePitch="312" w:charSpace="0"/>
        </w:sectPr>
      </w:pPr>
      <w:bookmarkStart w:id="160" w:name="_Toc312829626"/>
      <w:bookmarkStart w:id="161" w:name="_Toc333501126"/>
      <w:bookmarkStart w:id="162" w:name="_Toc333501415"/>
      <w:bookmarkStart w:id="163" w:name="_Toc333588667"/>
    </w:p>
    <w:p>
      <w:pPr>
        <w:pStyle w:val="61"/>
        <w:spacing w:beforeLines="50"/>
        <w:rPr>
          <w:rFonts w:hint="eastAsia" w:ascii="Times New Roman" w:hAnsi="Times New Roman" w:cs="Times New Roman"/>
          <w:sz w:val="36"/>
        </w:rPr>
      </w:pPr>
      <w:bookmarkStart w:id="164" w:name="_Toc20624"/>
      <w:r>
        <w:rPr>
          <w:rFonts w:hint="eastAsia" w:ascii="Times New Roman" w:hAnsi="Times New Roman" w:cs="Times New Roman"/>
          <w:sz w:val="36"/>
        </w:rPr>
        <w:t>9</w:t>
      </w:r>
      <w:bookmarkStart w:id="165" w:name="_Toc279396329"/>
      <w:bookmarkStart w:id="166" w:name="_Toc279396510"/>
      <w:bookmarkStart w:id="167" w:name="_Toc307820542"/>
      <w:bookmarkStart w:id="168" w:name="_Toc307944460"/>
      <w:r>
        <w:rPr>
          <w:rFonts w:hint="eastAsia" w:ascii="Times New Roman" w:hAnsi="Times New Roman" w:cs="Times New Roman"/>
          <w:sz w:val="36"/>
        </w:rPr>
        <w:t>验收监测结果</w:t>
      </w:r>
      <w:bookmarkEnd w:id="165"/>
      <w:bookmarkEnd w:id="166"/>
      <w:bookmarkEnd w:id="167"/>
      <w:r>
        <w:rPr>
          <w:rFonts w:hint="eastAsia" w:ascii="Times New Roman" w:hAnsi="Times New Roman" w:cs="Times New Roman"/>
          <w:sz w:val="36"/>
        </w:rPr>
        <w:t>及分析</w:t>
      </w:r>
      <w:bookmarkEnd w:id="160"/>
      <w:bookmarkEnd w:id="161"/>
      <w:bookmarkEnd w:id="162"/>
      <w:bookmarkEnd w:id="163"/>
      <w:bookmarkEnd w:id="164"/>
      <w:bookmarkEnd w:id="168"/>
    </w:p>
    <w:p>
      <w:pPr>
        <w:spacing w:line="540" w:lineRule="exact"/>
        <w:ind w:firstLine="480" w:firstLineChars="200"/>
        <w:rPr>
          <w:sz w:val="24"/>
          <w:szCs w:val="24"/>
        </w:rPr>
      </w:pPr>
      <w:r>
        <w:rPr>
          <w:rFonts w:hint="eastAsia" w:hAnsi="宋体"/>
          <w:sz w:val="24"/>
          <w:szCs w:val="24"/>
          <w:lang w:eastAsia="zh-CN"/>
        </w:rPr>
        <w:t>重庆中环宇检测技术服务有限公司</w:t>
      </w:r>
      <w:r>
        <w:rPr>
          <w:rFonts w:hAnsi="宋体"/>
          <w:sz w:val="24"/>
          <w:szCs w:val="24"/>
        </w:rPr>
        <w:t>于</w:t>
      </w:r>
      <w:r>
        <w:rPr>
          <w:rFonts w:hint="eastAsia"/>
          <w:sz w:val="24"/>
          <w:szCs w:val="24"/>
          <w:lang w:eastAsia="zh-CN"/>
        </w:rPr>
        <w:t xml:space="preserve"> 202</w:t>
      </w:r>
      <w:r>
        <w:rPr>
          <w:rFonts w:hint="eastAsia"/>
          <w:sz w:val="24"/>
          <w:szCs w:val="24"/>
          <w:lang w:val="en-US" w:eastAsia="zh-CN"/>
        </w:rPr>
        <w:t>4</w:t>
      </w:r>
      <w:r>
        <w:rPr>
          <w:rFonts w:hint="eastAsia"/>
          <w:sz w:val="24"/>
          <w:szCs w:val="24"/>
          <w:lang w:eastAsia="zh-CN"/>
        </w:rPr>
        <w:t>年</w:t>
      </w:r>
      <w:r>
        <w:rPr>
          <w:rFonts w:hint="eastAsia"/>
          <w:sz w:val="24"/>
          <w:szCs w:val="24"/>
          <w:lang w:val="en-US" w:eastAsia="zh-CN"/>
        </w:rPr>
        <w:t>2</w:t>
      </w:r>
      <w:r>
        <w:rPr>
          <w:rFonts w:hint="eastAsia"/>
          <w:sz w:val="24"/>
          <w:szCs w:val="24"/>
          <w:lang w:eastAsia="zh-CN"/>
        </w:rPr>
        <w:t>月</w:t>
      </w:r>
      <w:r>
        <w:rPr>
          <w:rFonts w:hint="eastAsia"/>
          <w:sz w:val="24"/>
          <w:szCs w:val="24"/>
          <w:lang w:val="en-US" w:eastAsia="zh-CN"/>
        </w:rPr>
        <w:t>22</w:t>
      </w:r>
      <w:r>
        <w:rPr>
          <w:rFonts w:hint="eastAsia"/>
          <w:sz w:val="24"/>
          <w:szCs w:val="24"/>
          <w:lang w:eastAsia="zh-CN"/>
        </w:rPr>
        <w:t>日-</w:t>
      </w:r>
      <w:r>
        <w:rPr>
          <w:rFonts w:hint="eastAsia"/>
          <w:sz w:val="24"/>
          <w:szCs w:val="24"/>
          <w:lang w:val="en-US" w:eastAsia="zh-CN"/>
        </w:rPr>
        <w:t>23</w:t>
      </w:r>
      <w:r>
        <w:rPr>
          <w:rFonts w:hint="eastAsia"/>
          <w:sz w:val="24"/>
          <w:szCs w:val="24"/>
          <w:lang w:eastAsia="zh-CN"/>
        </w:rPr>
        <w:t>日</w:t>
      </w:r>
      <w:r>
        <w:rPr>
          <w:rFonts w:hAnsi="宋体"/>
          <w:sz w:val="24"/>
          <w:szCs w:val="24"/>
        </w:rPr>
        <w:t>按照</w:t>
      </w:r>
      <w:r>
        <w:rPr>
          <w:rFonts w:hint="eastAsia" w:hAnsi="宋体"/>
          <w:sz w:val="24"/>
          <w:szCs w:val="24"/>
          <w:lang w:eastAsia="zh-CN"/>
        </w:rPr>
        <w:t>重庆渝顺投资有限公司顺洁加油站</w:t>
      </w:r>
      <w:r>
        <w:rPr>
          <w:rFonts w:hAnsi="宋体"/>
          <w:sz w:val="24"/>
          <w:szCs w:val="24"/>
        </w:rPr>
        <w:t>验收监测方案对</w:t>
      </w:r>
      <w:r>
        <w:rPr>
          <w:rFonts w:hint="eastAsia" w:hAnsi="宋体"/>
          <w:sz w:val="24"/>
          <w:szCs w:val="24"/>
          <w:lang w:eastAsia="zh-CN"/>
        </w:rPr>
        <w:t>重庆渝顺投资有限公司顺洁加油站</w:t>
      </w:r>
      <w:r>
        <w:rPr>
          <w:rFonts w:hAnsi="宋体"/>
          <w:sz w:val="24"/>
          <w:szCs w:val="24"/>
        </w:rPr>
        <w:t>外排废水、废气及</w:t>
      </w:r>
      <w:r>
        <w:rPr>
          <w:rFonts w:hint="eastAsia" w:hAnsi="宋体"/>
          <w:sz w:val="24"/>
          <w:szCs w:val="24"/>
        </w:rPr>
        <w:t>厂界</w:t>
      </w:r>
      <w:r>
        <w:rPr>
          <w:rFonts w:hAnsi="宋体"/>
          <w:sz w:val="24"/>
          <w:szCs w:val="24"/>
        </w:rPr>
        <w:t>噪声</w:t>
      </w:r>
      <w:r>
        <w:rPr>
          <w:rFonts w:hAnsi="宋体"/>
          <w:bCs/>
          <w:sz w:val="24"/>
          <w:szCs w:val="24"/>
        </w:rPr>
        <w:t>实施了监测</w:t>
      </w:r>
      <w:r>
        <w:rPr>
          <w:rFonts w:hint="eastAsia" w:hAnsi="宋体"/>
          <w:bCs/>
          <w:sz w:val="24"/>
          <w:szCs w:val="24"/>
        </w:rPr>
        <w:t>，</w:t>
      </w:r>
      <w:r>
        <w:rPr>
          <w:rFonts w:hAnsi="宋体"/>
          <w:sz w:val="24"/>
          <w:szCs w:val="24"/>
        </w:rPr>
        <w:t>监测结果详见附件</w:t>
      </w:r>
      <w:r>
        <w:rPr>
          <w:rFonts w:hint="eastAsia"/>
          <w:sz w:val="24"/>
          <w:szCs w:val="24"/>
        </w:rPr>
        <w:t>2</w:t>
      </w:r>
      <w:r>
        <w:rPr>
          <w:rFonts w:hAnsi="宋体"/>
          <w:sz w:val="24"/>
          <w:szCs w:val="24"/>
        </w:rPr>
        <w:t>（</w:t>
      </w:r>
      <w:r>
        <w:rPr>
          <w:rFonts w:hint="eastAsia" w:hAnsi="宋体"/>
          <w:sz w:val="24"/>
          <w:szCs w:val="24"/>
          <w:lang w:eastAsia="zh-CN"/>
        </w:rPr>
        <w:t>中环宇检字（2024）第YS0002号</w:t>
      </w:r>
      <w:r>
        <w:rPr>
          <w:rFonts w:hAnsi="宋体"/>
          <w:sz w:val="24"/>
          <w:szCs w:val="24"/>
        </w:rPr>
        <w:t>）。</w:t>
      </w:r>
    </w:p>
    <w:p>
      <w:pPr>
        <w:pStyle w:val="62"/>
        <w:rPr>
          <w:rFonts w:cs="Times New Roman"/>
          <w:sz w:val="32"/>
        </w:rPr>
      </w:pPr>
      <w:bookmarkStart w:id="169" w:name="_Toc312829627"/>
      <w:bookmarkStart w:id="170" w:name="_Toc3848"/>
      <w:bookmarkStart w:id="171" w:name="_Toc333501127"/>
      <w:bookmarkStart w:id="172" w:name="_Toc307944461"/>
      <w:bookmarkStart w:id="173" w:name="_Toc307820543"/>
      <w:bookmarkStart w:id="174" w:name="_Toc333501416"/>
      <w:bookmarkStart w:id="175" w:name="_Toc333588668"/>
      <w:r>
        <w:rPr>
          <w:rFonts w:hint="eastAsia" w:cs="Times New Roman"/>
          <w:sz w:val="32"/>
        </w:rPr>
        <w:t>9</w:t>
      </w:r>
      <w:r>
        <w:rPr>
          <w:rFonts w:cs="Times New Roman"/>
          <w:sz w:val="32"/>
        </w:rPr>
        <w:t>.1 监测期间工况</w:t>
      </w:r>
      <w:bookmarkEnd w:id="169"/>
      <w:bookmarkEnd w:id="170"/>
      <w:bookmarkEnd w:id="171"/>
      <w:bookmarkEnd w:id="172"/>
      <w:bookmarkEnd w:id="173"/>
      <w:bookmarkEnd w:id="174"/>
      <w:bookmarkEnd w:id="175"/>
    </w:p>
    <w:p>
      <w:pPr>
        <w:pStyle w:val="15"/>
        <w:spacing w:line="54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检测期间，</w:t>
      </w:r>
      <w:r>
        <w:rPr>
          <w:rFonts w:hint="eastAsia" w:ascii="Times New Roman" w:hAnsi="Times New Roman" w:cs="Times New Roman"/>
          <w:sz w:val="24"/>
          <w:szCs w:val="24"/>
          <w:lang w:eastAsia="zh-CN"/>
        </w:rPr>
        <w:t>重庆渝顺投资有限公司顺洁加油站建设项目</w:t>
      </w:r>
      <w:r>
        <w:rPr>
          <w:rFonts w:hint="eastAsia" w:ascii="Times New Roman" w:hAnsi="Times New Roman" w:cs="Times New Roman"/>
          <w:sz w:val="24"/>
          <w:szCs w:val="24"/>
        </w:rPr>
        <w:t>正常</w:t>
      </w:r>
      <w:r>
        <w:rPr>
          <w:rFonts w:ascii="Times New Roman" w:hAnsi="Times New Roman" w:cs="Times New Roman"/>
          <w:sz w:val="24"/>
          <w:szCs w:val="24"/>
        </w:rPr>
        <w:t>运行。</w:t>
      </w:r>
    </w:p>
    <w:p>
      <w:pPr>
        <w:pStyle w:val="62"/>
        <w:rPr>
          <w:rFonts w:cs="Times New Roman"/>
          <w:sz w:val="32"/>
        </w:rPr>
      </w:pPr>
      <w:bookmarkStart w:id="176" w:name="_Toc312829628"/>
      <w:bookmarkStart w:id="177" w:name="_Toc279396511"/>
      <w:bookmarkStart w:id="178" w:name="_Toc333501128"/>
      <w:bookmarkStart w:id="179" w:name="_Toc279396330"/>
      <w:bookmarkStart w:id="180" w:name="_Toc333588669"/>
      <w:bookmarkStart w:id="181" w:name="_Toc333501417"/>
      <w:bookmarkStart w:id="182" w:name="_Toc307820544"/>
      <w:bookmarkStart w:id="183" w:name="_Toc307944462"/>
      <w:bookmarkStart w:id="184" w:name="_Toc18326"/>
      <w:r>
        <w:rPr>
          <w:rFonts w:hint="eastAsia" w:cs="Times New Roman"/>
          <w:sz w:val="32"/>
        </w:rPr>
        <w:t>9</w:t>
      </w:r>
      <w:r>
        <w:rPr>
          <w:rFonts w:cs="Times New Roman"/>
          <w:sz w:val="32"/>
        </w:rPr>
        <w:t xml:space="preserve">.2 </w:t>
      </w:r>
      <w:bookmarkEnd w:id="176"/>
      <w:bookmarkEnd w:id="177"/>
      <w:bookmarkEnd w:id="178"/>
      <w:bookmarkEnd w:id="179"/>
      <w:bookmarkEnd w:id="180"/>
      <w:bookmarkEnd w:id="181"/>
      <w:bookmarkEnd w:id="182"/>
      <w:bookmarkEnd w:id="183"/>
      <w:r>
        <w:rPr>
          <w:rFonts w:hint="eastAsia" w:cs="Times New Roman"/>
          <w:sz w:val="32"/>
        </w:rPr>
        <w:t>环境保护设施调试效果</w:t>
      </w:r>
      <w:bookmarkEnd w:id="184"/>
    </w:p>
    <w:p>
      <w:pPr>
        <w:spacing w:line="360" w:lineRule="auto"/>
        <w:rPr>
          <w:b/>
          <w:sz w:val="28"/>
          <w:szCs w:val="28"/>
        </w:rPr>
      </w:pPr>
      <w:r>
        <w:rPr>
          <w:rFonts w:hint="eastAsia"/>
          <w:b/>
          <w:sz w:val="28"/>
        </w:rPr>
        <w:t>9</w:t>
      </w:r>
      <w:r>
        <w:rPr>
          <w:b/>
          <w:sz w:val="28"/>
        </w:rPr>
        <w:t xml:space="preserve">.2.1 </w:t>
      </w:r>
      <w:r>
        <w:rPr>
          <w:rFonts w:hint="eastAsia"/>
          <w:b/>
          <w:sz w:val="28"/>
        </w:rPr>
        <w:t>废水</w:t>
      </w:r>
    </w:p>
    <w:p>
      <w:pPr>
        <w:spacing w:line="540" w:lineRule="exact"/>
        <w:ind w:firstLine="480" w:firstLineChars="200"/>
        <w:rPr>
          <w:rFonts w:hAnsi="宋体"/>
          <w:sz w:val="24"/>
          <w:szCs w:val="24"/>
        </w:rPr>
      </w:pPr>
      <w:bookmarkStart w:id="185" w:name="_Toc333588670"/>
      <w:bookmarkStart w:id="186" w:name="_Toc312829629"/>
      <w:bookmarkStart w:id="187" w:name="_Toc333501418"/>
      <w:bookmarkStart w:id="188" w:name="_Toc333501129"/>
      <w:r>
        <w:rPr>
          <w:rFonts w:hint="eastAsia" w:hAnsi="宋体"/>
          <w:sz w:val="24"/>
          <w:szCs w:val="24"/>
        </w:rPr>
        <w:t>废水监测结果详见表9-1。</w:t>
      </w:r>
    </w:p>
    <w:p>
      <w:pPr>
        <w:spacing w:line="500" w:lineRule="exact"/>
        <w:jc w:val="center"/>
        <w:rPr>
          <w:rFonts w:hAnsi="宋体"/>
          <w:b/>
          <w:sz w:val="24"/>
          <w:szCs w:val="24"/>
        </w:rPr>
      </w:pPr>
      <w:r>
        <w:rPr>
          <w:rFonts w:hAnsi="宋体"/>
          <w:b/>
          <w:sz w:val="24"/>
          <w:szCs w:val="24"/>
        </w:rPr>
        <w:t>表</w:t>
      </w:r>
      <w:r>
        <w:rPr>
          <w:rFonts w:hint="eastAsia"/>
          <w:b/>
          <w:sz w:val="24"/>
          <w:szCs w:val="24"/>
        </w:rPr>
        <w:t>9-1</w:t>
      </w:r>
      <w:r>
        <w:rPr>
          <w:rFonts w:hAnsi="宋体"/>
          <w:b/>
          <w:sz w:val="24"/>
          <w:szCs w:val="24"/>
        </w:rPr>
        <w:t>废水监测结果一览表</w:t>
      </w:r>
    </w:p>
    <w:p>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default" w:ascii="Times New Roman" w:hAnsi="Times New Roman" w:cs="Times New Roman"/>
          <w:kern w:val="0"/>
          <w:sz w:val="21"/>
          <w:szCs w:val="21"/>
          <w:highlight w:val="none"/>
          <w:lang w:val="en-US" w:eastAsia="zh-CN"/>
        </w:rPr>
      </w:pPr>
      <w:r>
        <w:rPr>
          <w:rFonts w:hint="default" w:ascii="Times New Roman" w:hAnsi="Times New Roman" w:cs="Times New Roman"/>
          <w:kern w:val="0"/>
          <w:sz w:val="21"/>
          <w:szCs w:val="21"/>
        </w:rPr>
        <w:pict>
          <v:shape id="_x0000_s2114" o:spid="_x0000_s2114" o:spt="202" type="#_x0000_t202" style="position:absolute;left:0pt;margin-left:33.15pt;margin-top:14.7pt;height:35.55pt;width:50.45pt;z-index:251660288;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结果</w:t>
                  </w:r>
                </w:p>
                <w:p>
                  <w:pPr>
                    <w:spacing w:line="200" w:lineRule="exact"/>
                    <w:rPr>
                      <w:rFonts w:hint="default" w:eastAsia="宋体"/>
                      <w:sz w:val="15"/>
                      <w:szCs w:val="15"/>
                      <w:lang w:val="en-US" w:eastAsia="zh-CN"/>
                    </w:rPr>
                  </w:pPr>
                  <w:r>
                    <w:rPr>
                      <w:rFonts w:hint="eastAsia"/>
                      <w:sz w:val="15"/>
                      <w:szCs w:val="15"/>
                      <w:lang w:val="en-US" w:eastAsia="zh-CN"/>
                    </w:rPr>
                    <w:t>及评价</w:t>
                  </w:r>
                </w:p>
                <w:p>
                  <w:pPr>
                    <w:spacing w:line="200" w:lineRule="exact"/>
                    <w:rPr>
                      <w:rFonts w:hint="default" w:eastAsia="宋体"/>
                      <w:sz w:val="15"/>
                      <w:szCs w:val="15"/>
                      <w:lang w:val="en-US" w:eastAsia="zh-CN"/>
                    </w:rPr>
                  </w:pPr>
                </w:p>
                <w:p>
                  <w:pPr>
                    <w:spacing w:line="200" w:lineRule="exact"/>
                    <w:ind w:firstLine="150" w:firstLineChars="100"/>
                    <w:rPr>
                      <w:sz w:val="15"/>
                      <w:szCs w:val="15"/>
                    </w:rPr>
                  </w:pPr>
                </w:p>
              </w:txbxContent>
            </v:textbox>
          </v:shape>
        </w:pict>
      </w:r>
      <w:r>
        <w:rPr>
          <w:rFonts w:hint="default" w:ascii="Times New Roman" w:hAnsi="Times New Roman" w:cs="Times New Roman"/>
          <w:kern w:val="0"/>
          <w:sz w:val="21"/>
          <w:szCs w:val="21"/>
        </w:rPr>
        <w:pict>
          <v:shape id="_x0000_s2115" o:spid="_x0000_s2115" o:spt="202" type="#_x0000_t202" style="position:absolute;left:0pt;margin-left:83.05pt;margin-top:16.2pt;height:29.45pt;width:34.4pt;z-index:251664384;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检测</w:t>
                  </w:r>
                </w:p>
                <w:p>
                  <w:pPr>
                    <w:spacing w:line="200" w:lineRule="exact"/>
                    <w:rPr>
                      <w:sz w:val="15"/>
                      <w:szCs w:val="15"/>
                    </w:rPr>
                  </w:pPr>
                  <w:r>
                    <w:rPr>
                      <w:rFonts w:hint="eastAsia"/>
                      <w:sz w:val="15"/>
                      <w:szCs w:val="15"/>
                    </w:rPr>
                    <w:t>项目</w:t>
                  </w:r>
                </w:p>
              </w:txbxContent>
            </v:textbox>
          </v:shape>
        </w:pict>
      </w:r>
      <w:r>
        <w:rPr>
          <w:rFonts w:hint="default" w:ascii="Times New Roman" w:hAnsi="Times New Roman" w:cs="Times New Roman"/>
          <w:kern w:val="0"/>
          <w:sz w:val="21"/>
          <w:szCs w:val="21"/>
          <w:lang w:val="en-US" w:eastAsia="zh-CN"/>
        </w:rPr>
        <w:t>采样日期</w:t>
      </w:r>
      <w:r>
        <w:rPr>
          <w:rFonts w:hint="default" w:ascii="Times New Roman" w:hAnsi="Times New Roman" w:cs="Times New Roman"/>
          <w:kern w:val="0"/>
          <w:sz w:val="21"/>
          <w:szCs w:val="21"/>
          <w:highlight w:val="none"/>
          <w:lang w:val="en-US" w:eastAsia="zh-CN"/>
        </w:rPr>
        <w:t>：</w:t>
      </w:r>
      <w:r>
        <w:rPr>
          <w:rFonts w:hint="eastAsia" w:ascii="Times New Roman" w:hAnsi="Times New Roman" w:cs="Times New Roman"/>
          <w:kern w:val="0"/>
          <w:sz w:val="21"/>
          <w:szCs w:val="21"/>
          <w:highlight w:val="none"/>
          <w:lang w:val="en-US" w:eastAsia="zh-CN"/>
        </w:rPr>
        <w:t>02月22日</w:t>
      </w:r>
    </w:p>
    <w:tbl>
      <w:tblPr>
        <w:tblStyle w:val="26"/>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50"/>
        <w:gridCol w:w="949"/>
        <w:gridCol w:w="1315"/>
        <w:gridCol w:w="1459"/>
        <w:gridCol w:w="1361"/>
        <w:gridCol w:w="1448"/>
        <w:gridCol w:w="139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8" w:type="pct"/>
            <w:gridSpan w:val="2"/>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pict>
                <v:line id="__TH_L33" o:spid="_x0000_s2117" o:spt="20" style="position:absolute;left:0pt;margin-left:-5.85pt;margin-top:9.65pt;height:23.4pt;width:114.8pt;z-index:251663360;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color w:val="000000"/>
                <w:kern w:val="0"/>
                <w:sz w:val="21"/>
                <w:szCs w:val="21"/>
              </w:rPr>
              <w:pict>
                <v:line id="__TH_L32" o:spid="_x0000_s2116" o:spt="20" style="position:absolute;left:0pt;margin-left:55.8pt;margin-top:0.75pt;height:32.65pt;width:54.15pt;z-index:251662336;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b/>
                <w:color w:val="000000"/>
                <w:kern w:val="0"/>
                <w:sz w:val="21"/>
                <w:szCs w:val="21"/>
              </w:rPr>
              <w:pict>
                <v:shape id="_x0000_s2118" o:spid="_x0000_s2118" o:spt="202" type="#_x0000_t202" style="position:absolute;left:0pt;margin-left:-10.45pt;margin-top:11.2pt;height:29.95pt;width:33.65pt;z-index:251661312;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color w:val="000000"/>
                            <w:sz w:val="15"/>
                            <w:szCs w:val="15"/>
                          </w:rPr>
                        </w:pPr>
                        <w:r>
                          <w:rPr>
                            <w:rFonts w:hint="eastAsia"/>
                            <w:color w:val="000000"/>
                            <w:sz w:val="15"/>
                            <w:szCs w:val="15"/>
                          </w:rPr>
                          <w:t>点位</w:t>
                        </w:r>
                      </w:p>
                      <w:p>
                        <w:pPr>
                          <w:spacing w:line="200" w:lineRule="exact"/>
                          <w:rPr>
                            <w:color w:val="000000"/>
                            <w:sz w:val="15"/>
                            <w:szCs w:val="15"/>
                          </w:rPr>
                        </w:pPr>
                        <w:r>
                          <w:rPr>
                            <w:rFonts w:hint="eastAsia"/>
                            <w:color w:val="000000"/>
                            <w:sz w:val="15"/>
                            <w:szCs w:val="15"/>
                          </w:rPr>
                          <w:t>名称</w:t>
                        </w:r>
                      </w:p>
                    </w:txbxContent>
                  </v:textbox>
                </v:shape>
              </w:pict>
            </w:r>
          </w:p>
        </w:tc>
        <w:tc>
          <w:tcPr>
            <w:tcW w:w="70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石油类</w:t>
            </w:r>
            <w:r>
              <w:rPr>
                <w:rFonts w:hint="default" w:ascii="Times New Roman" w:hAnsi="Times New Roman" w:cs="Times New Roman"/>
                <w:bCs/>
                <w:kern w:val="0"/>
                <w:sz w:val="21"/>
                <w:szCs w:val="21"/>
                <w:highlight w:val="none"/>
                <w:lang w:val="en-US" w:eastAsia="zh-CN"/>
              </w:rPr>
              <w:t>（mg/L）</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化学需氧量</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悬浮物</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五日生化需氧量</w:t>
            </w:r>
            <w:r>
              <w:rPr>
                <w:rFonts w:hint="default" w:ascii="Times New Roman" w:hAnsi="Times New Roman" w:cs="Times New Roman"/>
                <w:bCs/>
                <w:kern w:val="0"/>
                <w:sz w:val="21"/>
                <w:szCs w:val="21"/>
                <w:highlight w:val="none"/>
                <w:lang w:val="en-US" w:eastAsia="zh-CN"/>
              </w:rPr>
              <w:t>（mg/L）</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氨氮</w:t>
            </w:r>
          </w:p>
          <w:p>
            <w:pPr>
              <w:spacing w:line="240" w:lineRule="exact"/>
              <w:jc w:val="center"/>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kern w:val="0"/>
                <w:sz w:val="21"/>
                <w:szCs w:val="21"/>
                <w:highlight w:val="none"/>
                <w:vertAlign w:val="baseline"/>
                <w:lang w:val="en-US" w:eastAsia="zh-CN"/>
              </w:rPr>
            </w:pPr>
            <w:r>
              <w:rPr>
                <w:rFonts w:hint="eastAsia" w:ascii="Times New Roman" w:hAnsi="Times New Roman" w:eastAsia="宋体" w:cs="Times New Roman"/>
                <w:kern w:val="0"/>
                <w:sz w:val="21"/>
                <w:szCs w:val="21"/>
                <w:highlight w:val="none"/>
                <w:vertAlign w:val="baseline"/>
                <w:lang w:val="en-US" w:eastAsia="zh-CN"/>
              </w:rPr>
              <w:t>隔油池</w:t>
            </w:r>
          </w:p>
          <w:p>
            <w:pPr>
              <w:spacing w:line="240" w:lineRule="exact"/>
              <w:jc w:val="center"/>
              <w:rPr>
                <w:rFonts w:hint="default" w:ascii="Times New Roman" w:hAnsi="Times New Roman" w:cs="Times New Roman"/>
                <w:kern w:val="0"/>
                <w:sz w:val="21"/>
                <w:szCs w:val="21"/>
              </w:rPr>
            </w:pPr>
            <w:r>
              <w:rPr>
                <w:rFonts w:hint="eastAsia" w:ascii="Times New Roman" w:hAnsi="Times New Roman" w:eastAsia="宋体" w:cs="Times New Roman"/>
                <w:kern w:val="0"/>
                <w:sz w:val="21"/>
                <w:szCs w:val="21"/>
                <w:highlight w:val="none"/>
                <w:vertAlign w:val="baseline"/>
                <w:lang w:val="en-US" w:eastAsia="zh-CN"/>
              </w:rPr>
              <w:t>进水口（WS1）</w:t>
            </w: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第一次</w:t>
            </w:r>
          </w:p>
        </w:tc>
        <w:tc>
          <w:tcPr>
            <w:tcW w:w="70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97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53</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22.3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6.81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第二次</w:t>
            </w:r>
          </w:p>
        </w:tc>
        <w:tc>
          <w:tcPr>
            <w:tcW w:w="70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15.3</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105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43</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24.2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4.58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第三次</w:t>
            </w:r>
          </w:p>
        </w:tc>
        <w:tc>
          <w:tcPr>
            <w:tcW w:w="70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110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50</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25.3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第四次</w:t>
            </w:r>
          </w:p>
        </w:tc>
        <w:tc>
          <w:tcPr>
            <w:tcW w:w="708"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12.4</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95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34</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21.9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8.27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8"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平均值</w:t>
            </w:r>
          </w:p>
        </w:tc>
        <w:tc>
          <w:tcPr>
            <w:tcW w:w="70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14.4 </w:t>
            </w:r>
          </w:p>
        </w:tc>
        <w:tc>
          <w:tcPr>
            <w:tcW w:w="7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102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45 </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23.4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6.17 </w:t>
            </w:r>
          </w:p>
        </w:tc>
      </w:tr>
    </w:tbl>
    <w:p>
      <w:pPr>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default" w:ascii="Times New Roman" w:hAnsi="Times New Roman" w:cs="Times New Roman"/>
          <w:kern w:val="0"/>
          <w:sz w:val="21"/>
          <w:szCs w:val="21"/>
          <w:highlight w:val="none"/>
          <w:lang w:val="en-US" w:eastAsia="zh-CN"/>
        </w:rPr>
      </w:pPr>
      <w:r>
        <w:rPr>
          <w:rFonts w:hint="default" w:ascii="Times New Roman" w:hAnsi="Times New Roman" w:cs="Times New Roman"/>
          <w:kern w:val="0"/>
          <w:sz w:val="21"/>
          <w:szCs w:val="21"/>
        </w:rPr>
        <w:pict>
          <v:shape id="_x0000_s2120" o:spid="_x0000_s2120" o:spt="202" type="#_x0000_t202" style="position:absolute;left:0pt;margin-left:23.45pt;margin-top:18.35pt;height:28.05pt;width:55.7pt;z-index:251670528;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结果</w:t>
                  </w:r>
                </w:p>
                <w:p>
                  <w:pPr>
                    <w:spacing w:line="200" w:lineRule="exact"/>
                    <w:rPr>
                      <w:rFonts w:hint="default" w:eastAsia="宋体"/>
                      <w:sz w:val="15"/>
                      <w:szCs w:val="15"/>
                      <w:lang w:val="en-US" w:eastAsia="zh-CN"/>
                    </w:rPr>
                  </w:pPr>
                  <w:r>
                    <w:rPr>
                      <w:rFonts w:hint="eastAsia"/>
                      <w:sz w:val="15"/>
                      <w:szCs w:val="15"/>
                      <w:lang w:val="en-US" w:eastAsia="zh-CN"/>
                    </w:rPr>
                    <w:t>及评价</w:t>
                  </w:r>
                </w:p>
                <w:p>
                  <w:pPr>
                    <w:spacing w:line="200" w:lineRule="exact"/>
                    <w:rPr>
                      <w:rFonts w:hint="default" w:eastAsia="宋体"/>
                      <w:sz w:val="15"/>
                      <w:szCs w:val="15"/>
                      <w:lang w:val="en-US" w:eastAsia="zh-CN"/>
                    </w:rPr>
                  </w:pPr>
                </w:p>
                <w:p>
                  <w:pPr>
                    <w:spacing w:line="200" w:lineRule="exact"/>
                    <w:ind w:firstLine="150" w:firstLineChars="100"/>
                    <w:rPr>
                      <w:sz w:val="15"/>
                      <w:szCs w:val="15"/>
                    </w:rPr>
                  </w:pPr>
                </w:p>
              </w:txbxContent>
            </v:textbox>
          </v:shape>
        </w:pict>
      </w:r>
      <w:r>
        <w:rPr>
          <w:rFonts w:hint="default" w:ascii="Times New Roman" w:hAnsi="Times New Roman" w:cs="Times New Roman"/>
          <w:kern w:val="0"/>
          <w:sz w:val="21"/>
          <w:szCs w:val="21"/>
        </w:rPr>
        <w:pict>
          <v:shape id="_x0000_s2119" o:spid="_x0000_s2119" o:spt="202" type="#_x0000_t202" style="position:absolute;left:0pt;margin-left:80.2pt;margin-top:20.1pt;height:29.45pt;width:33.65pt;z-index:251674624;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检测</w:t>
                  </w:r>
                </w:p>
                <w:p>
                  <w:pPr>
                    <w:spacing w:line="200" w:lineRule="exact"/>
                    <w:rPr>
                      <w:sz w:val="15"/>
                      <w:szCs w:val="15"/>
                    </w:rPr>
                  </w:pPr>
                  <w:r>
                    <w:rPr>
                      <w:rFonts w:hint="eastAsia"/>
                      <w:sz w:val="15"/>
                      <w:szCs w:val="15"/>
                    </w:rPr>
                    <w:t>项目</w:t>
                  </w:r>
                </w:p>
              </w:txbxContent>
            </v:textbox>
          </v:shape>
        </w:pict>
      </w:r>
      <w:r>
        <w:rPr>
          <w:rFonts w:hint="default" w:ascii="Times New Roman" w:hAnsi="Times New Roman" w:cs="Times New Roman"/>
          <w:kern w:val="0"/>
          <w:sz w:val="21"/>
          <w:szCs w:val="21"/>
          <w:lang w:val="en-US" w:eastAsia="zh-CN"/>
        </w:rPr>
        <w:t>采样日期</w:t>
      </w:r>
      <w:r>
        <w:rPr>
          <w:rFonts w:hint="default" w:ascii="Times New Roman" w:hAnsi="Times New Roman" w:cs="Times New Roman"/>
          <w:kern w:val="0"/>
          <w:sz w:val="21"/>
          <w:szCs w:val="21"/>
          <w:highlight w:val="none"/>
          <w:lang w:val="en-US" w:eastAsia="zh-CN"/>
        </w:rPr>
        <w:t>：</w:t>
      </w:r>
      <w:r>
        <w:rPr>
          <w:rFonts w:hint="eastAsia" w:ascii="Times New Roman" w:hAnsi="Times New Roman" w:cs="Times New Roman"/>
          <w:kern w:val="0"/>
          <w:sz w:val="21"/>
          <w:szCs w:val="21"/>
          <w:highlight w:val="none"/>
          <w:lang w:val="en-US" w:eastAsia="zh-CN"/>
        </w:rPr>
        <w:t>02月22日</w:t>
      </w:r>
    </w:p>
    <w:tbl>
      <w:tblPr>
        <w:tblStyle w:val="26"/>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50"/>
        <w:gridCol w:w="947"/>
        <w:gridCol w:w="1316"/>
        <w:gridCol w:w="1459"/>
        <w:gridCol w:w="1361"/>
        <w:gridCol w:w="1448"/>
        <w:gridCol w:w="139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pict>
                <v:line id="_x0000_s2122" o:spid="_x0000_s2122" o:spt="20" style="position:absolute;left:0pt;margin-left:-2.15pt;margin-top:13.3pt;height:19.8pt;width:111.2pt;z-index:251673600;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color w:val="000000"/>
                <w:kern w:val="0"/>
                <w:sz w:val="21"/>
                <w:szCs w:val="21"/>
              </w:rPr>
              <w:pict>
                <v:line id="_x0000_s2121" o:spid="_x0000_s2121" o:spt="20" style="position:absolute;left:0pt;margin-left:48.35pt;margin-top:0pt;height:34.1pt;width:62.4pt;z-index:251672576;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b/>
                <w:color w:val="000000"/>
                <w:kern w:val="0"/>
                <w:sz w:val="21"/>
                <w:szCs w:val="21"/>
              </w:rPr>
              <w:pict>
                <v:shape id="_x0000_s2123" o:spid="_x0000_s2123" o:spt="202" type="#_x0000_t202" style="position:absolute;left:0pt;margin-left:-10.45pt;margin-top:11.2pt;height:29.95pt;width:33.65pt;z-index:251671552;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color w:val="000000"/>
                            <w:sz w:val="15"/>
                            <w:szCs w:val="15"/>
                          </w:rPr>
                        </w:pPr>
                        <w:r>
                          <w:rPr>
                            <w:rFonts w:hint="eastAsia"/>
                            <w:color w:val="000000"/>
                            <w:sz w:val="15"/>
                            <w:szCs w:val="15"/>
                          </w:rPr>
                          <w:t>点位</w:t>
                        </w:r>
                      </w:p>
                      <w:p>
                        <w:pPr>
                          <w:spacing w:line="200" w:lineRule="exact"/>
                          <w:rPr>
                            <w:color w:val="000000"/>
                            <w:sz w:val="15"/>
                            <w:szCs w:val="15"/>
                          </w:rPr>
                        </w:pPr>
                        <w:r>
                          <w:rPr>
                            <w:rFonts w:hint="eastAsia"/>
                            <w:color w:val="000000"/>
                            <w:sz w:val="15"/>
                            <w:szCs w:val="15"/>
                          </w:rPr>
                          <w:t>名称</w:t>
                        </w:r>
                      </w:p>
                    </w:txbxContent>
                  </v:textbox>
                </v:shape>
              </w:pic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石油类</w:t>
            </w:r>
            <w:r>
              <w:rPr>
                <w:rFonts w:hint="default" w:ascii="Times New Roman" w:hAnsi="Times New Roman" w:cs="Times New Roman"/>
                <w:bCs/>
                <w:kern w:val="0"/>
                <w:sz w:val="21"/>
                <w:szCs w:val="21"/>
                <w:highlight w:val="none"/>
                <w:lang w:val="en-US" w:eastAsia="zh-CN"/>
              </w:rPr>
              <w:t>（mg/L）</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化学需氧量</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悬浮物</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五日生化需氧量</w:t>
            </w:r>
            <w:r>
              <w:rPr>
                <w:rFonts w:hint="default" w:ascii="Times New Roman" w:hAnsi="Times New Roman" w:cs="Times New Roman"/>
                <w:bCs/>
                <w:kern w:val="0"/>
                <w:sz w:val="21"/>
                <w:szCs w:val="21"/>
                <w:highlight w:val="none"/>
                <w:lang w:val="en-US" w:eastAsia="zh-CN"/>
              </w:rPr>
              <w:t>（mg/L）</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氨氮</w:t>
            </w:r>
          </w:p>
          <w:p>
            <w:pPr>
              <w:spacing w:line="240" w:lineRule="exact"/>
              <w:jc w:val="center"/>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eastAsia" w:ascii="Times New Roman" w:hAnsi="Times New Roman" w:eastAsia="宋体" w:cs="Times New Roman"/>
                <w:kern w:val="0"/>
                <w:sz w:val="21"/>
                <w:szCs w:val="21"/>
                <w:highlight w:val="none"/>
                <w:vertAlign w:val="baseline"/>
                <w:lang w:val="en-US" w:eastAsia="zh-CN"/>
              </w:rPr>
              <w:t>总排口（WS2）</w:t>
            </w: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第一次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15.2</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103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52</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23.7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6.14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第二次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15.6</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106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51</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24.4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7.60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第三次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15.2</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116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52</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26.7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8.77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第四次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15.7</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101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57</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23.1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8.34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平均值</w:t>
            </w:r>
          </w:p>
        </w:tc>
        <w:tc>
          <w:tcPr>
            <w:tcW w:w="70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15.4 </w:t>
            </w:r>
          </w:p>
        </w:tc>
        <w:tc>
          <w:tcPr>
            <w:tcW w:w="7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110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53 </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25.3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7.71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eastAsia="zh-CN"/>
              </w:rPr>
            </w:pPr>
            <w:r>
              <w:rPr>
                <w:rFonts w:hint="eastAsia" w:ascii="Times New Roman" w:hAnsi="Times New Roman" w:cs="Times New Roman"/>
                <w:kern w:val="0"/>
                <w:sz w:val="21"/>
                <w:szCs w:val="21"/>
                <w:lang w:val="en-US" w:eastAsia="zh-CN"/>
              </w:rPr>
              <w:t>标准限值</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500</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400</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300</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eastAsia="zh-CN"/>
              </w:rPr>
            </w:pPr>
            <w:r>
              <w:rPr>
                <w:rFonts w:hint="eastAsia" w:ascii="Times New Roman" w:hAnsi="Times New Roman" w:cs="Times New Roman"/>
                <w:kern w:val="0"/>
                <w:sz w:val="21"/>
                <w:szCs w:val="21"/>
                <w:lang w:val="en-US" w:eastAsia="zh-CN"/>
              </w:rPr>
              <w:t>评价</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达标</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达标</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达标</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达标</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default" w:ascii="Times New Roman" w:hAnsi="Times New Roman" w:cs="Times New Roman"/>
          <w:kern w:val="0"/>
          <w:sz w:val="21"/>
          <w:szCs w:val="21"/>
          <w:highlight w:val="none"/>
          <w:lang w:val="en-US" w:eastAsia="zh-CN"/>
        </w:rPr>
      </w:pPr>
      <w:r>
        <w:rPr>
          <w:rFonts w:hint="default" w:ascii="Times New Roman" w:hAnsi="Times New Roman" w:cs="Times New Roman"/>
          <w:kern w:val="0"/>
          <w:sz w:val="21"/>
          <w:szCs w:val="21"/>
        </w:rPr>
        <w:pict>
          <v:shape id="_x0000_s2124" o:spid="_x0000_s2124" o:spt="202" type="#_x0000_t202" style="position:absolute;left:0pt;margin-left:80.65pt;margin-top:19.95pt;height:29.45pt;width:30.65pt;z-index:251666432;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检测</w:t>
                  </w:r>
                </w:p>
                <w:p>
                  <w:pPr>
                    <w:spacing w:line="200" w:lineRule="exact"/>
                    <w:rPr>
                      <w:sz w:val="15"/>
                      <w:szCs w:val="15"/>
                    </w:rPr>
                  </w:pPr>
                  <w:r>
                    <w:rPr>
                      <w:rFonts w:hint="eastAsia"/>
                      <w:sz w:val="15"/>
                      <w:szCs w:val="15"/>
                    </w:rPr>
                    <w:t>项目</w:t>
                  </w:r>
                </w:p>
              </w:txbxContent>
            </v:textbox>
          </v:shape>
        </w:pict>
      </w:r>
      <w:r>
        <w:rPr>
          <w:rFonts w:hint="default" w:ascii="Times New Roman" w:hAnsi="Times New Roman" w:cs="Times New Roman"/>
          <w:kern w:val="0"/>
          <w:sz w:val="21"/>
          <w:szCs w:val="21"/>
        </w:rPr>
        <w:pict>
          <v:shape id="_x0000_s2125" o:spid="_x0000_s2125" o:spt="202" type="#_x0000_t202" style="position:absolute;left:0pt;margin-left:25.3pt;margin-top:18.85pt;height:35.55pt;width:50.5pt;z-index:251665408;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sz w:val="15"/>
                      <w:szCs w:val="15"/>
                    </w:rPr>
                  </w:pPr>
                  <w:r>
                    <w:rPr>
                      <w:rFonts w:hint="eastAsia"/>
                      <w:sz w:val="15"/>
                      <w:szCs w:val="15"/>
                    </w:rPr>
                    <w:t>结果</w:t>
                  </w:r>
                </w:p>
                <w:p>
                  <w:pPr>
                    <w:spacing w:line="200" w:lineRule="exact"/>
                    <w:rPr>
                      <w:rFonts w:hint="default" w:eastAsia="宋体"/>
                      <w:sz w:val="15"/>
                      <w:szCs w:val="15"/>
                      <w:lang w:val="en-US" w:eastAsia="zh-CN"/>
                    </w:rPr>
                  </w:pPr>
                  <w:r>
                    <w:rPr>
                      <w:rFonts w:hint="eastAsia"/>
                      <w:sz w:val="15"/>
                      <w:szCs w:val="15"/>
                      <w:lang w:val="en-US" w:eastAsia="zh-CN"/>
                    </w:rPr>
                    <w:t>及评价</w:t>
                  </w:r>
                </w:p>
                <w:p>
                  <w:pPr>
                    <w:spacing w:line="200" w:lineRule="exact"/>
                    <w:rPr>
                      <w:rFonts w:hint="default" w:eastAsia="宋体"/>
                      <w:sz w:val="15"/>
                      <w:szCs w:val="15"/>
                      <w:lang w:val="en-US" w:eastAsia="zh-CN"/>
                    </w:rPr>
                  </w:pPr>
                </w:p>
                <w:p>
                  <w:pPr>
                    <w:spacing w:line="200" w:lineRule="exact"/>
                    <w:ind w:firstLine="150" w:firstLineChars="100"/>
                    <w:rPr>
                      <w:sz w:val="15"/>
                      <w:szCs w:val="15"/>
                    </w:rPr>
                  </w:pPr>
                </w:p>
              </w:txbxContent>
            </v:textbox>
          </v:shape>
        </w:pict>
      </w:r>
      <w:r>
        <w:rPr>
          <w:rFonts w:hint="default" w:ascii="Times New Roman" w:hAnsi="Times New Roman" w:cs="Times New Roman"/>
          <w:kern w:val="0"/>
          <w:sz w:val="21"/>
          <w:szCs w:val="21"/>
          <w:lang w:val="en-US" w:eastAsia="zh-CN"/>
        </w:rPr>
        <w:t>采样日期</w:t>
      </w:r>
      <w:r>
        <w:rPr>
          <w:rFonts w:hint="default" w:ascii="Times New Roman" w:hAnsi="Times New Roman" w:cs="Times New Roman"/>
          <w:kern w:val="0"/>
          <w:sz w:val="21"/>
          <w:szCs w:val="21"/>
          <w:highlight w:val="none"/>
          <w:lang w:val="en-US" w:eastAsia="zh-CN"/>
        </w:rPr>
        <w:t>：</w:t>
      </w:r>
      <w:r>
        <w:rPr>
          <w:rFonts w:hint="eastAsia" w:ascii="Times New Roman" w:hAnsi="Times New Roman" w:cs="Times New Roman"/>
          <w:kern w:val="0"/>
          <w:sz w:val="21"/>
          <w:szCs w:val="21"/>
          <w:highlight w:val="none"/>
          <w:lang w:val="en-US" w:eastAsia="zh-CN"/>
        </w:rPr>
        <w:t>02月23日</w:t>
      </w:r>
    </w:p>
    <w:tbl>
      <w:tblPr>
        <w:tblStyle w:val="26"/>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50"/>
        <w:gridCol w:w="947"/>
        <w:gridCol w:w="1316"/>
        <w:gridCol w:w="1459"/>
        <w:gridCol w:w="1361"/>
        <w:gridCol w:w="1448"/>
        <w:gridCol w:w="139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pict>
                <v:line id="_x0000_s2127" o:spid="_x0000_s2127" o:spt="20" style="position:absolute;left:0pt;margin-left:-4.4pt;margin-top:11.85pt;height:21.25pt;width:114.1pt;z-index:251669504;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color w:val="000000"/>
                <w:kern w:val="0"/>
                <w:sz w:val="21"/>
                <w:szCs w:val="21"/>
              </w:rPr>
              <w:pict>
                <v:line id="_x0000_s2126" o:spid="_x0000_s2126" o:spt="20" style="position:absolute;left:0pt;margin-left:48.35pt;margin-top:0pt;height:32.6pt;width:61.6pt;z-index:251668480;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b/>
                <w:color w:val="000000"/>
                <w:kern w:val="0"/>
                <w:sz w:val="21"/>
                <w:szCs w:val="21"/>
              </w:rPr>
              <w:pict>
                <v:shape id="_x0000_s2128" o:spid="_x0000_s2128" o:spt="202" type="#_x0000_t202" style="position:absolute;left:0pt;margin-left:-10.45pt;margin-top:11.2pt;height:29.95pt;width:33.65pt;z-index:251667456;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color w:val="000000"/>
                            <w:sz w:val="15"/>
                            <w:szCs w:val="15"/>
                          </w:rPr>
                        </w:pPr>
                        <w:r>
                          <w:rPr>
                            <w:rFonts w:hint="eastAsia"/>
                            <w:color w:val="000000"/>
                            <w:sz w:val="15"/>
                            <w:szCs w:val="15"/>
                          </w:rPr>
                          <w:t>点位</w:t>
                        </w:r>
                      </w:p>
                      <w:p>
                        <w:pPr>
                          <w:spacing w:line="200" w:lineRule="exact"/>
                          <w:rPr>
                            <w:color w:val="000000"/>
                            <w:sz w:val="15"/>
                            <w:szCs w:val="15"/>
                          </w:rPr>
                        </w:pPr>
                        <w:r>
                          <w:rPr>
                            <w:rFonts w:hint="eastAsia"/>
                            <w:color w:val="000000"/>
                            <w:sz w:val="15"/>
                            <w:szCs w:val="15"/>
                          </w:rPr>
                          <w:t>名称</w:t>
                        </w:r>
                      </w:p>
                    </w:txbxContent>
                  </v:textbox>
                </v:shape>
              </w:pic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石油类</w:t>
            </w:r>
            <w:r>
              <w:rPr>
                <w:rFonts w:hint="default" w:ascii="Times New Roman" w:hAnsi="Times New Roman" w:cs="Times New Roman"/>
                <w:bCs/>
                <w:kern w:val="0"/>
                <w:sz w:val="21"/>
                <w:szCs w:val="21"/>
                <w:highlight w:val="none"/>
                <w:lang w:val="en-US" w:eastAsia="zh-CN"/>
              </w:rPr>
              <w:t>（mg/L）</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化学需氧量</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悬浮物</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五日生化需氧量</w:t>
            </w:r>
            <w:r>
              <w:rPr>
                <w:rFonts w:hint="default" w:ascii="Times New Roman" w:hAnsi="Times New Roman" w:cs="Times New Roman"/>
                <w:bCs/>
                <w:kern w:val="0"/>
                <w:sz w:val="21"/>
                <w:szCs w:val="21"/>
                <w:highlight w:val="none"/>
                <w:lang w:val="en-US" w:eastAsia="zh-CN"/>
              </w:rPr>
              <w:t>（mg/L）</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氨氮</w:t>
            </w:r>
          </w:p>
          <w:p>
            <w:pPr>
              <w:spacing w:line="240" w:lineRule="exact"/>
              <w:jc w:val="center"/>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kern w:val="0"/>
                <w:sz w:val="21"/>
                <w:szCs w:val="21"/>
                <w:highlight w:val="none"/>
                <w:vertAlign w:val="baseline"/>
                <w:lang w:val="en-US" w:eastAsia="zh-CN"/>
              </w:rPr>
            </w:pPr>
            <w:r>
              <w:rPr>
                <w:rFonts w:hint="eastAsia" w:ascii="Times New Roman" w:hAnsi="Times New Roman" w:eastAsia="宋体" w:cs="Times New Roman"/>
                <w:kern w:val="0"/>
                <w:sz w:val="21"/>
                <w:szCs w:val="21"/>
                <w:highlight w:val="none"/>
                <w:vertAlign w:val="baseline"/>
                <w:lang w:val="en-US" w:eastAsia="zh-CN"/>
              </w:rPr>
              <w:t>隔油池</w:t>
            </w:r>
          </w:p>
          <w:p>
            <w:pPr>
              <w:spacing w:line="240" w:lineRule="exact"/>
              <w:jc w:val="center"/>
              <w:rPr>
                <w:rFonts w:hint="default" w:ascii="Times New Roman" w:hAnsi="Times New Roman" w:cs="Times New Roman"/>
                <w:kern w:val="0"/>
                <w:sz w:val="21"/>
                <w:szCs w:val="21"/>
              </w:rPr>
            </w:pPr>
            <w:r>
              <w:rPr>
                <w:rFonts w:hint="eastAsia" w:ascii="Times New Roman" w:hAnsi="Times New Roman" w:eastAsia="宋体" w:cs="Times New Roman"/>
                <w:kern w:val="0"/>
                <w:sz w:val="21"/>
                <w:szCs w:val="21"/>
                <w:highlight w:val="none"/>
                <w:vertAlign w:val="baseline"/>
                <w:lang w:val="en-US" w:eastAsia="zh-CN"/>
              </w:rPr>
              <w:t>进水口（WS1）</w:t>
            </w: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第一次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17.8</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28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35</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6.4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6.82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第二次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16.2</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30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28</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6.9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6.48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第三次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16.2</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29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33</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6.7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第四次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13.6</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28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37</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6.4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8.27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平均值</w:t>
            </w:r>
          </w:p>
        </w:tc>
        <w:tc>
          <w:tcPr>
            <w:tcW w:w="70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16.0 </w:t>
            </w:r>
          </w:p>
        </w:tc>
        <w:tc>
          <w:tcPr>
            <w:tcW w:w="7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29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33 </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eastAsia="宋体" w:cs="Times New Roman"/>
                <w:i w:val="0"/>
                <w:iCs w:val="0"/>
                <w:color w:val="000000"/>
                <w:kern w:val="0"/>
                <w:sz w:val="21"/>
                <w:szCs w:val="21"/>
                <w:u w:val="none"/>
                <w:lang w:val="en-US" w:eastAsia="zh-CN" w:bidi="ar"/>
              </w:rPr>
              <w:t>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6.65 </w:t>
            </w:r>
          </w:p>
        </w:tc>
      </w:tr>
    </w:tbl>
    <w:p>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default" w:ascii="Times New Roman" w:hAnsi="Times New Roman" w:cs="Times New Roman"/>
          <w:kern w:val="0"/>
          <w:sz w:val="21"/>
          <w:szCs w:val="21"/>
          <w:highlight w:val="none"/>
          <w:lang w:val="en-US" w:eastAsia="zh-CN"/>
        </w:rPr>
      </w:pPr>
      <w:r>
        <w:rPr>
          <w:rFonts w:hint="default" w:ascii="Times New Roman" w:hAnsi="Times New Roman" w:cs="Times New Roman"/>
          <w:kern w:val="0"/>
          <w:sz w:val="21"/>
          <w:szCs w:val="21"/>
        </w:rPr>
        <w:pict>
          <v:shape id="_x0000_s2129" o:spid="_x0000_s2129" o:spt="202" type="#_x0000_t202" style="position:absolute;left:0pt;margin-left:82.75pt;margin-top:16.4pt;height:29.45pt;width:33.65pt;z-index:251676672;mso-width-relative:page;mso-height-relative:page;" filled="f" stroked="f" coordsize="21600,21600">
            <v:path/>
            <v:fill on="f" focussize="0,0"/>
            <v:stroke on="f" weight="1.25pt"/>
            <v:imagedata o:title=""/>
            <o:lock v:ext="edit" aspectratio="f"/>
            <v:textbox>
              <w:txbxContent>
                <w:p>
                  <w:pPr>
                    <w:spacing w:line="200" w:lineRule="exact"/>
                    <w:rPr>
                      <w:rFonts w:hint="eastAsia"/>
                      <w:sz w:val="15"/>
                      <w:szCs w:val="15"/>
                    </w:rPr>
                  </w:pPr>
                  <w:r>
                    <w:rPr>
                      <w:rFonts w:hint="eastAsia"/>
                      <w:sz w:val="15"/>
                      <w:szCs w:val="15"/>
                    </w:rPr>
                    <w:t>检测</w:t>
                  </w:r>
                </w:p>
                <w:p>
                  <w:pPr>
                    <w:spacing w:line="200" w:lineRule="exact"/>
                    <w:rPr>
                      <w:sz w:val="15"/>
                      <w:szCs w:val="15"/>
                    </w:rPr>
                  </w:pPr>
                  <w:r>
                    <w:rPr>
                      <w:rFonts w:hint="eastAsia"/>
                      <w:sz w:val="15"/>
                      <w:szCs w:val="15"/>
                    </w:rPr>
                    <w:t>项目</w:t>
                  </w:r>
                </w:p>
              </w:txbxContent>
            </v:textbox>
          </v:shape>
        </w:pict>
      </w:r>
      <w:r>
        <w:rPr>
          <w:rFonts w:hint="default" w:ascii="Times New Roman" w:hAnsi="Times New Roman" w:cs="Times New Roman"/>
          <w:kern w:val="0"/>
          <w:sz w:val="21"/>
          <w:szCs w:val="21"/>
        </w:rPr>
        <w:pict>
          <v:shape id="_x0000_s2130" o:spid="_x0000_s2130" o:spt="202" type="#_x0000_t202" style="position:absolute;left:0pt;margin-left:24.2pt;margin-top:14.55pt;height:35.55pt;width:50.5pt;z-index:251675648;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sz w:val="15"/>
                      <w:szCs w:val="15"/>
                    </w:rPr>
                  </w:pPr>
                  <w:r>
                    <w:rPr>
                      <w:rFonts w:hint="eastAsia"/>
                      <w:sz w:val="15"/>
                      <w:szCs w:val="15"/>
                    </w:rPr>
                    <w:t>结果</w:t>
                  </w:r>
                </w:p>
                <w:p>
                  <w:pPr>
                    <w:spacing w:line="200" w:lineRule="exact"/>
                    <w:rPr>
                      <w:rFonts w:hint="default" w:eastAsia="宋体"/>
                      <w:sz w:val="15"/>
                      <w:szCs w:val="15"/>
                      <w:lang w:val="en-US" w:eastAsia="zh-CN"/>
                    </w:rPr>
                  </w:pPr>
                  <w:r>
                    <w:rPr>
                      <w:rFonts w:hint="eastAsia"/>
                      <w:sz w:val="15"/>
                      <w:szCs w:val="15"/>
                      <w:lang w:val="en-US" w:eastAsia="zh-CN"/>
                    </w:rPr>
                    <w:t>及评价</w:t>
                  </w:r>
                </w:p>
                <w:p>
                  <w:pPr>
                    <w:spacing w:line="200" w:lineRule="exact"/>
                    <w:rPr>
                      <w:rFonts w:hint="default" w:eastAsia="宋体"/>
                      <w:sz w:val="15"/>
                      <w:szCs w:val="15"/>
                      <w:lang w:val="en-US" w:eastAsia="zh-CN"/>
                    </w:rPr>
                  </w:pPr>
                </w:p>
                <w:p>
                  <w:pPr>
                    <w:spacing w:line="200" w:lineRule="exact"/>
                    <w:ind w:firstLine="150" w:firstLineChars="100"/>
                    <w:rPr>
                      <w:sz w:val="15"/>
                      <w:szCs w:val="15"/>
                    </w:rPr>
                  </w:pPr>
                </w:p>
              </w:txbxContent>
            </v:textbox>
          </v:shape>
        </w:pict>
      </w:r>
      <w:r>
        <w:rPr>
          <w:rFonts w:hint="default" w:ascii="Times New Roman" w:hAnsi="Times New Roman" w:cs="Times New Roman"/>
          <w:kern w:val="0"/>
          <w:sz w:val="21"/>
          <w:szCs w:val="21"/>
          <w:lang w:val="en-US" w:eastAsia="zh-CN"/>
        </w:rPr>
        <w:t>采样日期</w:t>
      </w:r>
      <w:r>
        <w:rPr>
          <w:rFonts w:hint="default" w:ascii="Times New Roman" w:hAnsi="Times New Roman" w:cs="Times New Roman"/>
          <w:kern w:val="0"/>
          <w:sz w:val="21"/>
          <w:szCs w:val="21"/>
          <w:highlight w:val="none"/>
          <w:lang w:val="en-US" w:eastAsia="zh-CN"/>
        </w:rPr>
        <w:t>：</w:t>
      </w:r>
      <w:r>
        <w:rPr>
          <w:rFonts w:hint="eastAsia" w:ascii="Times New Roman" w:hAnsi="Times New Roman" w:cs="Times New Roman"/>
          <w:kern w:val="0"/>
          <w:sz w:val="21"/>
          <w:szCs w:val="21"/>
          <w:highlight w:val="none"/>
          <w:lang w:val="en-US" w:eastAsia="zh-CN"/>
        </w:rPr>
        <w:t>02月23日</w:t>
      </w:r>
    </w:p>
    <w:tbl>
      <w:tblPr>
        <w:tblStyle w:val="26"/>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50"/>
        <w:gridCol w:w="947"/>
        <w:gridCol w:w="1316"/>
        <w:gridCol w:w="1459"/>
        <w:gridCol w:w="1361"/>
        <w:gridCol w:w="1448"/>
        <w:gridCol w:w="139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10"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pict>
                <v:line id="_x0000_s2131" o:spid="_x0000_s2131" o:spt="20" style="position:absolute;left:0pt;margin-left:55.85pt;margin-top:3.7pt;height:32.65pt;width:52.6pt;z-index:251678720;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color w:val="000000"/>
                <w:kern w:val="0"/>
                <w:sz w:val="21"/>
                <w:szCs w:val="21"/>
              </w:rPr>
              <w:pict>
                <v:line id="_x0000_s2132" o:spid="_x0000_s2132" o:spt="20" style="position:absolute;left:0pt;margin-left:-2.9pt;margin-top:11.85pt;height:25.65pt;width:113.4pt;z-index:251679744;mso-width-relative:page;mso-height-relative:page;" filled="f" stroked="t" coordsize="21600,21600">
                  <v:path arrowok="t"/>
                  <v:fill on="f" focussize="0,0"/>
                  <v:stroke weight="1pt" color="#000000"/>
                  <v:imagedata o:title=""/>
                  <o:lock v:ext="edit" aspectratio="f"/>
                </v:line>
              </w:pict>
            </w:r>
            <w:r>
              <w:rPr>
                <w:rFonts w:hint="default" w:ascii="Times New Roman" w:hAnsi="Times New Roman" w:cs="Times New Roman"/>
                <w:b/>
                <w:color w:val="000000"/>
                <w:kern w:val="0"/>
                <w:sz w:val="21"/>
                <w:szCs w:val="21"/>
              </w:rPr>
              <w:pict>
                <v:shape id="_x0000_s2133" o:spid="_x0000_s2133" o:spt="202" type="#_x0000_t202" style="position:absolute;left:0pt;margin-left:-10.45pt;margin-top:11.2pt;height:29.95pt;width:33.65pt;z-index:251677696;mso-width-relative:page;mso-height-relative:page;" filled="f" stroked="f" coordsize="21600,21600">
                  <v:path/>
                  <v:fill type="gradient" on="f" angle="90" focussize="0f,0f">
                    <o:fill type="gradientUnscaled" v:ext="backwardCompatible"/>
                  </v:fill>
                  <v:stroke on="f" weight="1.25pt" color="#739CC3"/>
                  <v:imagedata o:title=""/>
                  <o:lock v:ext="edit"/>
                  <v:textbox>
                    <w:txbxContent>
                      <w:p>
                        <w:pPr>
                          <w:spacing w:line="200" w:lineRule="exact"/>
                          <w:rPr>
                            <w:rFonts w:hint="eastAsia"/>
                            <w:color w:val="000000"/>
                            <w:sz w:val="15"/>
                            <w:szCs w:val="15"/>
                          </w:rPr>
                        </w:pPr>
                        <w:r>
                          <w:rPr>
                            <w:rFonts w:hint="eastAsia"/>
                            <w:color w:val="000000"/>
                            <w:sz w:val="15"/>
                            <w:szCs w:val="15"/>
                          </w:rPr>
                          <w:t>点位</w:t>
                        </w:r>
                      </w:p>
                      <w:p>
                        <w:pPr>
                          <w:spacing w:line="200" w:lineRule="exact"/>
                          <w:rPr>
                            <w:color w:val="000000"/>
                            <w:sz w:val="15"/>
                            <w:szCs w:val="15"/>
                          </w:rPr>
                        </w:pPr>
                        <w:r>
                          <w:rPr>
                            <w:rFonts w:hint="eastAsia"/>
                            <w:color w:val="000000"/>
                            <w:sz w:val="15"/>
                            <w:szCs w:val="15"/>
                          </w:rPr>
                          <w:t>名称</w:t>
                        </w:r>
                      </w:p>
                    </w:txbxContent>
                  </v:textbox>
                </v:shape>
              </w:pic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石油类</w:t>
            </w:r>
            <w:r>
              <w:rPr>
                <w:rFonts w:hint="default" w:ascii="Times New Roman" w:hAnsi="Times New Roman" w:cs="Times New Roman"/>
                <w:bCs/>
                <w:kern w:val="0"/>
                <w:sz w:val="21"/>
                <w:szCs w:val="21"/>
                <w:highlight w:val="none"/>
                <w:lang w:val="en-US" w:eastAsia="zh-CN"/>
              </w:rPr>
              <w:t>（mg/L）</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化学需氧量</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悬浮物</w:t>
            </w:r>
          </w:p>
          <w:p>
            <w:pPr>
              <w:spacing w:line="240" w:lineRule="exact"/>
              <w:jc w:val="center"/>
              <w:rPr>
                <w:rFonts w:hint="default" w:ascii="Times New Roman" w:hAnsi="Times New Roman"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五日生化需氧量</w:t>
            </w:r>
            <w:r>
              <w:rPr>
                <w:rFonts w:hint="default" w:ascii="Times New Roman" w:hAnsi="Times New Roman" w:cs="Times New Roman"/>
                <w:bCs/>
                <w:kern w:val="0"/>
                <w:sz w:val="21"/>
                <w:szCs w:val="21"/>
                <w:highlight w:val="none"/>
                <w:lang w:val="en-US" w:eastAsia="zh-CN"/>
              </w:rPr>
              <w:t>（mg/L）</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bCs/>
                <w:kern w:val="0"/>
                <w:sz w:val="21"/>
                <w:szCs w:val="21"/>
                <w:highlight w:val="none"/>
                <w:lang w:val="en-US" w:eastAsia="zh-CN"/>
              </w:rPr>
            </w:pPr>
            <w:r>
              <w:rPr>
                <w:rFonts w:hint="eastAsia" w:ascii="Times New Roman" w:hAnsi="Times New Roman" w:eastAsia="宋体" w:cs="Times New Roman"/>
                <w:bCs/>
                <w:kern w:val="0"/>
                <w:sz w:val="21"/>
                <w:szCs w:val="21"/>
                <w:highlight w:val="none"/>
                <w:lang w:val="en-US" w:eastAsia="zh-CN"/>
              </w:rPr>
              <w:t>氨氮</w:t>
            </w:r>
          </w:p>
          <w:p>
            <w:pPr>
              <w:spacing w:line="240" w:lineRule="exact"/>
              <w:jc w:val="center"/>
              <w:rPr>
                <w:rFonts w:hint="default" w:ascii="Times New Roman" w:hAnsi="Times New Roman" w:eastAsia="宋体" w:cs="Times New Roman"/>
                <w:bCs/>
                <w:kern w:val="0"/>
                <w:sz w:val="21"/>
                <w:szCs w:val="21"/>
                <w:highlight w:val="none"/>
                <w:lang w:val="en-US" w:eastAsia="zh-CN"/>
              </w:rPr>
            </w:pPr>
            <w:r>
              <w:rPr>
                <w:rFonts w:hint="default" w:ascii="Times New Roman" w:hAnsi="Times New Roman" w:cs="Times New Roman"/>
                <w:bCs/>
                <w:kern w:val="0"/>
                <w:sz w:val="21"/>
                <w:szCs w:val="21"/>
                <w:highlight w:val="none"/>
                <w:lang w:val="en-US" w:eastAsia="zh-CN"/>
              </w:rPr>
              <w:t>（mg/L）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727"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eastAsia" w:ascii="Times New Roman" w:hAnsi="Times New Roman" w:eastAsia="宋体" w:cs="Times New Roman"/>
                <w:kern w:val="0"/>
                <w:sz w:val="21"/>
                <w:szCs w:val="21"/>
                <w:highlight w:val="none"/>
                <w:vertAlign w:val="baseline"/>
                <w:lang w:val="en-US" w:eastAsia="zh-CN"/>
              </w:rPr>
              <w:t>总排口（WS2）</w:t>
            </w: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第一次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14.6</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29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51</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6.7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7.52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第二次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14.6</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32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51</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7.4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7.08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第三次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14.5</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30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46</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6.9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8.00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727"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p>
        </w:tc>
        <w:tc>
          <w:tcPr>
            <w:tcW w:w="51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第四次</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17.9</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31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49</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 xml:space="preserve">7.2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9.33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平均值</w:t>
            </w:r>
          </w:p>
        </w:tc>
        <w:tc>
          <w:tcPr>
            <w:tcW w:w="70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15.4 </w:t>
            </w:r>
          </w:p>
        </w:tc>
        <w:tc>
          <w:tcPr>
            <w:tcW w:w="7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31 </w:t>
            </w:r>
          </w:p>
        </w:tc>
        <w:tc>
          <w:tcPr>
            <w:tcW w:w="7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49 </w:t>
            </w:r>
          </w:p>
        </w:tc>
        <w:tc>
          <w:tcPr>
            <w:tcW w:w="7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7.1 </w:t>
            </w:r>
          </w:p>
        </w:tc>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7.98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eastAsia="zh-CN"/>
              </w:rPr>
            </w:pPr>
            <w:r>
              <w:rPr>
                <w:rFonts w:hint="eastAsia" w:ascii="Times New Roman" w:hAnsi="Times New Roman" w:cs="Times New Roman"/>
                <w:kern w:val="0"/>
                <w:sz w:val="21"/>
                <w:szCs w:val="21"/>
                <w:lang w:val="en-US" w:eastAsia="zh-CN"/>
              </w:rPr>
              <w:t>标准限值</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500</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400</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300</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2" w:hRule="atLeast"/>
          <w:jc w:val="center"/>
        </w:trPr>
        <w:tc>
          <w:tcPr>
            <w:tcW w:w="123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kern w:val="0"/>
                <w:sz w:val="21"/>
                <w:szCs w:val="21"/>
                <w:lang w:val="en-US" w:eastAsia="zh-CN"/>
              </w:rPr>
            </w:pPr>
            <w:r>
              <w:rPr>
                <w:rFonts w:hint="eastAsia" w:ascii="Times New Roman" w:hAnsi="Times New Roman" w:cs="Times New Roman"/>
                <w:kern w:val="0"/>
                <w:sz w:val="21"/>
                <w:szCs w:val="21"/>
                <w:lang w:val="en-US" w:eastAsia="zh-CN"/>
              </w:rPr>
              <w:t>评价</w:t>
            </w:r>
          </w:p>
        </w:tc>
        <w:tc>
          <w:tcPr>
            <w:tcW w:w="709"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达标</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达标</w:t>
            </w:r>
          </w:p>
        </w:tc>
        <w:tc>
          <w:tcPr>
            <w:tcW w:w="73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达标</w:t>
            </w:r>
          </w:p>
        </w:tc>
        <w:tc>
          <w:tcPr>
            <w:tcW w:w="780"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达标</w:t>
            </w:r>
          </w:p>
        </w:tc>
        <w:tc>
          <w:tcPr>
            <w:tcW w:w="753" w:type="pc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达标</w:t>
            </w:r>
          </w:p>
        </w:tc>
      </w:tr>
    </w:tbl>
    <w:p>
      <w:pPr>
        <w:spacing w:line="540" w:lineRule="exact"/>
        <w:ind w:firstLine="480" w:firstLineChars="200"/>
        <w:rPr>
          <w:rFonts w:hint="eastAsia"/>
          <w:b/>
          <w:sz w:val="28"/>
        </w:rPr>
      </w:pPr>
      <w:r>
        <w:rPr>
          <w:rFonts w:hint="eastAsia" w:hAnsi="宋体"/>
          <w:sz w:val="24"/>
          <w:szCs w:val="24"/>
        </w:rPr>
        <w:t>根据表9-1可知，</w:t>
      </w:r>
      <w:r>
        <w:rPr>
          <w:bCs/>
          <w:sz w:val="24"/>
          <w:szCs w:val="24"/>
        </w:rPr>
        <w:t>验收监测期间，</w:t>
      </w:r>
      <w:r>
        <w:rPr>
          <w:rFonts w:hint="eastAsia"/>
          <w:bCs/>
          <w:sz w:val="24"/>
          <w:szCs w:val="24"/>
          <w:lang w:eastAsia="zh-CN"/>
        </w:rPr>
        <w:t>重庆渝顺投资有限公司顺洁加油站</w:t>
      </w:r>
      <w:r>
        <w:rPr>
          <w:rFonts w:hint="eastAsia"/>
          <w:bCs/>
          <w:sz w:val="24"/>
          <w:szCs w:val="24"/>
        </w:rPr>
        <w:t>外排废水</w:t>
      </w:r>
      <w:r>
        <w:rPr>
          <w:rFonts w:hint="eastAsia"/>
          <w:sz w:val="24"/>
          <w:szCs w:val="24"/>
        </w:rPr>
        <w:t>CO</w:t>
      </w:r>
      <w:r>
        <w:rPr>
          <w:rFonts w:hint="eastAsia" w:ascii="Times New Roman" w:hAnsi="Times New Roman" w:cs="Times New Roman"/>
          <w:bCs/>
          <w:sz w:val="24"/>
          <w:szCs w:val="24"/>
        </w:rPr>
        <w:t>D、BOD</w:t>
      </w:r>
      <w:r>
        <w:rPr>
          <w:rFonts w:hint="eastAsia" w:ascii="Times New Roman" w:hAnsi="Times New Roman" w:cs="Times New Roman"/>
          <w:bCs/>
          <w:sz w:val="24"/>
          <w:szCs w:val="24"/>
          <w:vertAlign w:val="subscript"/>
        </w:rPr>
        <w:t>5</w:t>
      </w:r>
      <w:r>
        <w:rPr>
          <w:rFonts w:hint="eastAsia" w:ascii="Times New Roman" w:hAnsi="Times New Roman" w:cs="Times New Roman"/>
          <w:bCs/>
          <w:sz w:val="24"/>
          <w:szCs w:val="24"/>
        </w:rPr>
        <w:t>、SS、石油类排放浓度能够满足《污水综合排放标准》（</w:t>
      </w:r>
      <w:r>
        <w:rPr>
          <w:rFonts w:ascii="Times New Roman" w:hAnsi="Times New Roman" w:cs="Times New Roman"/>
          <w:bCs/>
          <w:sz w:val="24"/>
          <w:szCs w:val="24"/>
        </w:rPr>
        <w:t>GB8978-1996</w:t>
      </w:r>
      <w:r>
        <w:rPr>
          <w:rFonts w:hint="eastAsia" w:ascii="Times New Roman" w:hAnsi="Times New Roman" w:cs="Times New Roman"/>
          <w:bCs/>
          <w:sz w:val="24"/>
          <w:szCs w:val="24"/>
        </w:rPr>
        <w:t>）三级标准限值要求</w:t>
      </w:r>
      <w:r>
        <w:rPr>
          <w:rFonts w:hint="eastAsia" w:ascii="Times New Roman" w:hAnsi="Times New Roman" w:cs="Times New Roman"/>
          <w:bCs/>
          <w:sz w:val="24"/>
          <w:szCs w:val="24"/>
          <w:lang w:eastAsia="zh-CN"/>
        </w:rPr>
        <w:t>，</w:t>
      </w:r>
      <w:r>
        <w:rPr>
          <w:rFonts w:ascii="Times New Roman" w:hAnsi="Times New Roman" w:cs="Times New Roman"/>
          <w:bCs/>
          <w:sz w:val="24"/>
          <w:szCs w:val="24"/>
        </w:rPr>
        <w:t>氨氮</w:t>
      </w:r>
      <w:r>
        <w:rPr>
          <w:rFonts w:hint="eastAsia" w:ascii="Times New Roman" w:hAnsi="Times New Roman" w:cs="Times New Roman"/>
          <w:bCs/>
          <w:sz w:val="24"/>
          <w:szCs w:val="24"/>
          <w:lang w:eastAsia="zh-CN"/>
        </w:rPr>
        <w:t>满足</w:t>
      </w:r>
      <w:r>
        <w:rPr>
          <w:rFonts w:ascii="Times New Roman" w:hAnsi="Times New Roman" w:cs="Times New Roman"/>
          <w:bCs/>
          <w:sz w:val="24"/>
          <w:szCs w:val="24"/>
        </w:rPr>
        <w:t>《污水排入城镇下水道水质标准》（GB/T 31962-2015）表 1</w:t>
      </w:r>
      <w:r>
        <w:rPr>
          <w:rFonts w:hint="eastAsia" w:ascii="Times New Roman" w:hAnsi="Times New Roman" w:cs="Times New Roman"/>
          <w:bCs/>
          <w:sz w:val="24"/>
          <w:szCs w:val="24"/>
          <w:lang w:val="en-US" w:eastAsia="zh-CN"/>
        </w:rPr>
        <w:t>.</w:t>
      </w:r>
      <w:r>
        <w:rPr>
          <w:rFonts w:ascii="Times New Roman" w:hAnsi="Times New Roman" w:cs="Times New Roman"/>
          <w:bCs/>
          <w:sz w:val="24"/>
          <w:szCs w:val="24"/>
        </w:rPr>
        <w:t>B 级标准</w:t>
      </w:r>
      <w:r>
        <w:rPr>
          <w:rFonts w:hint="eastAsia" w:ascii="Times New Roman" w:hAnsi="Times New Roman" w:cs="Times New Roman"/>
          <w:bCs/>
          <w:sz w:val="24"/>
          <w:szCs w:val="24"/>
        </w:rPr>
        <w:t>。</w:t>
      </w:r>
    </w:p>
    <w:p>
      <w:pPr>
        <w:spacing w:beforeLines="50" w:line="360" w:lineRule="auto"/>
        <w:rPr>
          <w:b/>
          <w:sz w:val="28"/>
        </w:rPr>
      </w:pPr>
      <w:r>
        <w:rPr>
          <w:rFonts w:hint="eastAsia"/>
          <w:b/>
          <w:sz w:val="28"/>
        </w:rPr>
        <w:t>9</w:t>
      </w:r>
      <w:r>
        <w:rPr>
          <w:b/>
          <w:sz w:val="28"/>
        </w:rPr>
        <w:t xml:space="preserve">.2.2 </w:t>
      </w:r>
      <w:bookmarkEnd w:id="185"/>
      <w:bookmarkEnd w:id="186"/>
      <w:bookmarkEnd w:id="187"/>
      <w:bookmarkEnd w:id="188"/>
      <w:r>
        <w:rPr>
          <w:rFonts w:hint="eastAsia"/>
          <w:b/>
          <w:sz w:val="28"/>
        </w:rPr>
        <w:t>废气</w:t>
      </w:r>
    </w:p>
    <w:p>
      <w:pPr>
        <w:adjustRightInd w:val="0"/>
        <w:snapToGrid w:val="0"/>
        <w:spacing w:line="540" w:lineRule="exact"/>
        <w:ind w:firstLine="480" w:firstLineChars="200"/>
        <w:jc w:val="left"/>
        <w:rPr>
          <w:sz w:val="24"/>
          <w:szCs w:val="24"/>
        </w:rPr>
      </w:pPr>
      <w:r>
        <w:rPr>
          <w:rFonts w:hint="eastAsia"/>
          <w:sz w:val="24"/>
          <w:szCs w:val="24"/>
          <w:lang w:eastAsia="zh-CN"/>
        </w:rPr>
        <w:t>厂界</w:t>
      </w:r>
      <w:r>
        <w:rPr>
          <w:rFonts w:hint="eastAsia"/>
          <w:sz w:val="24"/>
          <w:szCs w:val="24"/>
        </w:rPr>
        <w:t>无组织排放废气监测结果详见表9-2。</w:t>
      </w:r>
    </w:p>
    <w:p>
      <w:pPr>
        <w:spacing w:line="500" w:lineRule="exact"/>
        <w:jc w:val="center"/>
        <w:rPr>
          <w:rFonts w:hint="eastAsia" w:hAnsi="宋体"/>
          <w:b/>
          <w:sz w:val="24"/>
          <w:szCs w:val="24"/>
        </w:rPr>
      </w:pPr>
      <w:r>
        <w:rPr>
          <w:rFonts w:hint="eastAsia" w:hAnsi="宋体"/>
          <w:b/>
          <w:sz w:val="24"/>
          <w:szCs w:val="24"/>
        </w:rPr>
        <w:t>表9-</w:t>
      </w:r>
      <w:r>
        <w:rPr>
          <w:rFonts w:hint="eastAsia"/>
          <w:b/>
          <w:sz w:val="24"/>
          <w:szCs w:val="24"/>
        </w:rPr>
        <w:t>2</w:t>
      </w:r>
      <w:r>
        <w:rPr>
          <w:rFonts w:hint="eastAsia"/>
          <w:b/>
          <w:sz w:val="24"/>
          <w:szCs w:val="24"/>
          <w:lang w:eastAsia="zh-CN"/>
        </w:rPr>
        <w:t>厂界</w:t>
      </w:r>
      <w:r>
        <w:rPr>
          <w:rFonts w:hint="eastAsia" w:hAnsi="宋体"/>
          <w:b/>
          <w:sz w:val="24"/>
          <w:szCs w:val="24"/>
        </w:rPr>
        <w:t>无组织排放废气监测结果一览表</w:t>
      </w:r>
    </w:p>
    <w:tbl>
      <w:tblPr>
        <w:tblStyle w:val="26"/>
        <w:tblW w:w="10023"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322"/>
        <w:gridCol w:w="1335"/>
        <w:gridCol w:w="2074"/>
        <w:gridCol w:w="982"/>
        <w:gridCol w:w="1010"/>
        <w:gridCol w:w="960"/>
        <w:gridCol w:w="880"/>
        <w:gridCol w:w="774"/>
        <w:gridCol w:w="68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4731" w:type="dxa"/>
            <w:gridSpan w:val="3"/>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b/>
                <w:bCs/>
                <w:kern w:val="0"/>
                <w:sz w:val="19"/>
                <w:szCs w:val="19"/>
              </w:rPr>
            </w:pPr>
            <w:r>
              <w:rPr>
                <w:rFonts w:hint="default" w:ascii="Times New Roman" w:hAnsi="Times New Roman" w:cs="Times New Roman"/>
                <w:b/>
                <w:bCs/>
                <w:kern w:val="0"/>
                <w:sz w:val="19"/>
                <w:szCs w:val="19"/>
              </w:rPr>
              <w:t>断面信息</w:t>
            </w:r>
          </w:p>
        </w:tc>
        <w:tc>
          <w:tcPr>
            <w:tcW w:w="5292" w:type="dxa"/>
            <w:gridSpan w:val="6"/>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b/>
                <w:bCs/>
                <w:kern w:val="0"/>
                <w:sz w:val="19"/>
                <w:szCs w:val="19"/>
              </w:rPr>
            </w:pPr>
            <w:r>
              <w:rPr>
                <w:rFonts w:hint="default" w:ascii="Times New Roman" w:hAnsi="Times New Roman" w:cs="Times New Roman"/>
                <w:b/>
                <w:bCs/>
                <w:kern w:val="0"/>
                <w:sz w:val="19"/>
                <w:szCs w:val="19"/>
              </w:rPr>
              <w:t>检测结果</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32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kern w:val="0"/>
                <w:sz w:val="21"/>
                <w:szCs w:val="21"/>
              </w:rPr>
            </w:pPr>
            <w:r>
              <w:rPr>
                <w:rFonts w:hint="default" w:ascii="Times New Roman" w:hAnsi="Times New Roman" w:cs="Times New Roman"/>
                <w:b/>
                <w:bCs/>
                <w:kern w:val="0"/>
                <w:sz w:val="21"/>
                <w:szCs w:val="21"/>
              </w:rPr>
              <w:t>检测项目</w:t>
            </w:r>
          </w:p>
        </w:tc>
        <w:tc>
          <w:tcPr>
            <w:tcW w:w="13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kern w:val="0"/>
                <w:sz w:val="21"/>
                <w:szCs w:val="21"/>
              </w:rPr>
            </w:pPr>
            <w:r>
              <w:rPr>
                <w:rFonts w:hint="default" w:ascii="Times New Roman" w:hAnsi="Times New Roman" w:cs="Times New Roman"/>
                <w:b/>
                <w:bCs/>
                <w:kern w:val="0"/>
                <w:sz w:val="21"/>
                <w:szCs w:val="21"/>
              </w:rPr>
              <w:t>采样日期</w:t>
            </w:r>
          </w:p>
        </w:tc>
        <w:tc>
          <w:tcPr>
            <w:tcW w:w="207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kern w:val="0"/>
                <w:sz w:val="21"/>
                <w:szCs w:val="21"/>
              </w:rPr>
            </w:pPr>
            <w:r>
              <w:rPr>
                <w:rFonts w:hint="default" w:ascii="Times New Roman" w:hAnsi="Times New Roman" w:cs="Times New Roman"/>
                <w:b/>
                <w:bCs/>
                <w:kern w:val="0"/>
                <w:sz w:val="21"/>
                <w:szCs w:val="21"/>
              </w:rPr>
              <w:t>点位名称</w:t>
            </w:r>
          </w:p>
        </w:tc>
        <w:tc>
          <w:tcPr>
            <w:tcW w:w="98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第一次</w:t>
            </w:r>
          </w:p>
        </w:tc>
        <w:tc>
          <w:tcPr>
            <w:tcW w:w="101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第二次</w:t>
            </w:r>
          </w:p>
        </w:tc>
        <w:tc>
          <w:tcPr>
            <w:tcW w:w="96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第三次</w:t>
            </w:r>
          </w:p>
        </w:tc>
        <w:tc>
          <w:tcPr>
            <w:tcW w:w="8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sz w:val="21"/>
                <w:szCs w:val="21"/>
              </w:rPr>
            </w:pPr>
            <w:r>
              <w:rPr>
                <w:rFonts w:hint="default" w:ascii="Times New Roman" w:hAnsi="Times New Roman" w:cs="Times New Roman"/>
                <w:b/>
                <w:bCs/>
                <w:kern w:val="0"/>
                <w:sz w:val="21"/>
                <w:szCs w:val="21"/>
              </w:rPr>
              <w:t>最大值</w:t>
            </w:r>
          </w:p>
        </w:tc>
        <w:tc>
          <w:tcPr>
            <w:tcW w:w="774" w:type="dxa"/>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标准</w:t>
            </w:r>
          </w:p>
          <w:p>
            <w:pPr>
              <w:spacing w:line="240" w:lineRule="exact"/>
              <w:jc w:val="center"/>
              <w:rPr>
                <w:rFonts w:hint="default" w:ascii="Times New Roman" w:hAnsi="Times New Roman" w:cs="Times New Roman"/>
                <w:b/>
                <w:bCs/>
                <w:kern w:val="0"/>
                <w:sz w:val="21"/>
                <w:szCs w:val="21"/>
              </w:rPr>
            </w:pPr>
            <w:r>
              <w:rPr>
                <w:rFonts w:hint="default" w:ascii="Times New Roman" w:hAnsi="Times New Roman" w:cs="Times New Roman"/>
                <w:b/>
                <w:kern w:val="0"/>
                <w:sz w:val="21"/>
                <w:szCs w:val="21"/>
              </w:rPr>
              <w:t>限值</w:t>
            </w:r>
          </w:p>
        </w:tc>
        <w:tc>
          <w:tcPr>
            <w:tcW w:w="686" w:type="dxa"/>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b/>
                <w:kern w:val="0"/>
                <w:sz w:val="21"/>
                <w:szCs w:val="21"/>
                <w:lang w:val="en-US" w:eastAsia="zh-CN"/>
              </w:rPr>
            </w:pPr>
            <w:r>
              <w:rPr>
                <w:rFonts w:hint="eastAsia" w:ascii="Times New Roman" w:hAnsi="Times New Roman" w:cs="Times New Roman"/>
                <w:b/>
                <w:kern w:val="0"/>
                <w:sz w:val="21"/>
                <w:szCs w:val="21"/>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22"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105" w:leftChars="-50" w:right="-105" w:rightChars="-50"/>
              <w:jc w:val="center"/>
              <w:textAlignment w:val="auto"/>
              <w:rPr>
                <w:rFonts w:hint="default" w:ascii="Times New Roman" w:hAnsi="Times New Roman" w:cs="Times New Roman"/>
                <w:kern w:val="0"/>
                <w:sz w:val="21"/>
                <w:szCs w:val="21"/>
                <w:highlight w:val="none"/>
              </w:rPr>
            </w:pPr>
            <w:r>
              <w:rPr>
                <w:rFonts w:hint="eastAsia" w:ascii="Times New Roman" w:hAnsi="Times New Roman" w:eastAsia="宋体" w:cs="Times New Roman"/>
                <w:sz w:val="21"/>
                <w:szCs w:val="21"/>
                <w:highlight w:val="none"/>
                <w:lang w:val="en-US" w:eastAsia="zh-CN"/>
              </w:rPr>
              <w:t>非甲烷总烃</w:t>
            </w:r>
            <w:r>
              <w:rPr>
                <w:rFonts w:hint="default" w:ascii="Times New Roman" w:hAnsi="Times New Roman" w:cs="Times New Roman"/>
                <w:kern w:val="0"/>
                <w:sz w:val="21"/>
                <w:szCs w:val="21"/>
                <w:highlight w:val="none"/>
              </w:rPr>
              <w:t>（mg/m</w:t>
            </w:r>
            <w:r>
              <w:rPr>
                <w:rFonts w:hint="default" w:ascii="Times New Roman" w:hAnsi="Times New Roman" w:cs="Times New Roman"/>
                <w:kern w:val="0"/>
                <w:sz w:val="21"/>
                <w:szCs w:val="21"/>
                <w:highlight w:val="none"/>
                <w:vertAlign w:val="superscript"/>
              </w:rPr>
              <w:t>3</w:t>
            </w:r>
            <w:r>
              <w:rPr>
                <w:rFonts w:hint="default" w:ascii="Times New Roman" w:hAnsi="Times New Roman" w:cs="Times New Roman"/>
                <w:kern w:val="0"/>
                <w:sz w:val="21"/>
                <w:szCs w:val="21"/>
                <w:highlight w:val="none"/>
              </w:rPr>
              <w:t>）</w:t>
            </w:r>
          </w:p>
        </w:tc>
        <w:tc>
          <w:tcPr>
            <w:tcW w:w="13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eastAsia"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02月22日</w:t>
            </w:r>
          </w:p>
        </w:tc>
        <w:tc>
          <w:tcPr>
            <w:tcW w:w="207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rPr>
              <w:t>东侧厂界外约2米，高1.5米处（WQ1）</w:t>
            </w:r>
          </w:p>
        </w:tc>
        <w:tc>
          <w:tcPr>
            <w:tcW w:w="98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0.64</w:t>
            </w:r>
          </w:p>
        </w:tc>
        <w:tc>
          <w:tcPr>
            <w:tcW w:w="101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0.59</w:t>
            </w:r>
          </w:p>
        </w:tc>
        <w:tc>
          <w:tcPr>
            <w:tcW w:w="96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0.54</w:t>
            </w:r>
          </w:p>
        </w:tc>
        <w:tc>
          <w:tcPr>
            <w:tcW w:w="8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0.64</w:t>
            </w:r>
          </w:p>
        </w:tc>
        <w:tc>
          <w:tcPr>
            <w:tcW w:w="774"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4.0</w:t>
            </w:r>
          </w:p>
        </w:tc>
        <w:tc>
          <w:tcPr>
            <w:tcW w:w="686"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22" w:type="dxa"/>
            <w:vMerge w:val="continue"/>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105" w:leftChars="-50" w:right="-105" w:rightChars="-50"/>
              <w:jc w:val="center"/>
              <w:textAlignment w:val="auto"/>
              <w:rPr>
                <w:rFonts w:hint="default" w:ascii="Times New Roman" w:hAnsi="Times New Roman" w:cs="Times New Roman"/>
                <w:kern w:val="0"/>
                <w:sz w:val="21"/>
                <w:szCs w:val="21"/>
                <w:highlight w:val="none"/>
              </w:rPr>
            </w:pPr>
          </w:p>
        </w:tc>
        <w:tc>
          <w:tcPr>
            <w:tcW w:w="1335" w:type="dxa"/>
            <w:tcBorders>
              <w:top w:val="single" w:color="auto" w:sz="4" w:space="0"/>
            </w:tcBorders>
            <w:noWrap w:val="0"/>
            <w:vAlign w:val="center"/>
          </w:tcPr>
          <w:p>
            <w:pPr>
              <w:adjustRightInd w:val="0"/>
              <w:snapToGrid w:val="0"/>
              <w:spacing w:line="240" w:lineRule="exact"/>
              <w:jc w:val="center"/>
              <w:rPr>
                <w:rFonts w:hint="eastAsia"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02月23日</w:t>
            </w:r>
          </w:p>
        </w:tc>
        <w:tc>
          <w:tcPr>
            <w:tcW w:w="2074" w:type="dxa"/>
            <w:vMerge w:val="continue"/>
            <w:tcBorders>
              <w:top w:val="single" w:color="auto" w:sz="4" w:space="0"/>
            </w:tcBorders>
            <w:noWrap w:val="0"/>
            <w:vAlign w:val="center"/>
          </w:tcPr>
          <w:p>
            <w:pPr>
              <w:spacing w:line="240" w:lineRule="exact"/>
              <w:jc w:val="center"/>
              <w:rPr>
                <w:rFonts w:hint="eastAsia" w:ascii="Times New Roman" w:hAnsi="Times New Roman" w:eastAsia="宋体" w:cs="Times New Roman"/>
                <w:kern w:val="0"/>
                <w:sz w:val="21"/>
                <w:szCs w:val="21"/>
                <w:highlight w:val="none"/>
                <w:lang w:val="en-US" w:eastAsia="zh-CN" w:bidi="ar-SA"/>
              </w:rPr>
            </w:pPr>
          </w:p>
        </w:tc>
        <w:tc>
          <w:tcPr>
            <w:tcW w:w="982" w:type="dxa"/>
            <w:tcBorders>
              <w:top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0.25</w:t>
            </w:r>
          </w:p>
        </w:tc>
        <w:tc>
          <w:tcPr>
            <w:tcW w:w="1010" w:type="dxa"/>
            <w:tcBorders>
              <w:top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0.40</w:t>
            </w:r>
          </w:p>
        </w:tc>
        <w:tc>
          <w:tcPr>
            <w:tcW w:w="960" w:type="dxa"/>
            <w:tcBorders>
              <w:top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0.28</w:t>
            </w:r>
          </w:p>
        </w:tc>
        <w:tc>
          <w:tcPr>
            <w:tcW w:w="880" w:type="dxa"/>
            <w:tcBorders>
              <w:top w:val="single" w:color="auto" w:sz="4" w:space="0"/>
            </w:tcBorders>
            <w:noWrap w:val="0"/>
            <w:vAlign w:val="center"/>
          </w:tcPr>
          <w:p>
            <w:pPr>
              <w:adjustRightInd w:val="0"/>
              <w:snapToGrid w:val="0"/>
              <w:spacing w:line="240" w:lineRule="exact"/>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0.40</w:t>
            </w:r>
          </w:p>
        </w:tc>
        <w:tc>
          <w:tcPr>
            <w:tcW w:w="774" w:type="dxa"/>
            <w:vMerge w:val="continue"/>
            <w:tcBorders>
              <w:top w:val="single" w:color="auto" w:sz="4" w:space="0"/>
              <w:right w:val="single" w:color="000000" w:sz="8" w:space="0"/>
            </w:tcBorders>
            <w:noWrap w:val="0"/>
            <w:vAlign w:val="center"/>
          </w:tcPr>
          <w:p>
            <w:pPr>
              <w:adjustRightInd w:val="0"/>
              <w:snapToGrid w:val="0"/>
              <w:spacing w:line="240" w:lineRule="exact"/>
              <w:jc w:val="center"/>
              <w:rPr>
                <w:rFonts w:hint="default" w:ascii="Times New Roman" w:hAnsi="Times New Roman" w:cs="Times New Roman"/>
                <w:sz w:val="17"/>
                <w:szCs w:val="17"/>
                <w:lang w:val="en-US" w:eastAsia="zh-CN"/>
              </w:rPr>
            </w:pPr>
          </w:p>
        </w:tc>
        <w:tc>
          <w:tcPr>
            <w:tcW w:w="686" w:type="dxa"/>
            <w:vMerge w:val="continue"/>
            <w:tcBorders>
              <w:top w:val="single" w:color="auto" w:sz="4" w:space="0"/>
              <w:left w:val="single" w:color="000000" w:sz="8" w:space="0"/>
              <w:right w:val="single" w:color="auto" w:sz="4" w:space="0"/>
            </w:tcBorders>
            <w:noWrap w:val="0"/>
            <w:vAlign w:val="center"/>
          </w:tcPr>
          <w:p>
            <w:pPr>
              <w:adjustRightInd w:val="0"/>
              <w:snapToGrid w:val="0"/>
              <w:spacing w:line="240" w:lineRule="exact"/>
              <w:jc w:val="center"/>
              <w:rPr>
                <w:rFonts w:hint="default" w:ascii="Times New Roman" w:hAnsi="Times New Roman" w:cs="Times New Roman"/>
                <w:sz w:val="17"/>
                <w:szCs w:val="17"/>
                <w:lang w:val="en-US" w:eastAsia="zh-CN"/>
              </w:rPr>
            </w:pPr>
          </w:p>
        </w:tc>
      </w:tr>
    </w:tbl>
    <w:p>
      <w:pPr>
        <w:adjustRightInd w:val="0"/>
        <w:snapToGrid w:val="0"/>
        <w:spacing w:line="540" w:lineRule="exact"/>
        <w:ind w:firstLine="480" w:firstLineChars="200"/>
        <w:jc w:val="left"/>
        <w:rPr>
          <w:bCs/>
          <w:sz w:val="28"/>
          <w:szCs w:val="28"/>
        </w:rPr>
      </w:pPr>
      <w:r>
        <w:rPr>
          <w:rFonts w:hint="eastAsia"/>
          <w:sz w:val="24"/>
          <w:szCs w:val="24"/>
        </w:rPr>
        <w:t>根据表9-2可知，</w:t>
      </w:r>
      <w:r>
        <w:rPr>
          <w:bCs/>
          <w:sz w:val="24"/>
          <w:szCs w:val="24"/>
        </w:rPr>
        <w:t>验收监测期间，</w:t>
      </w:r>
      <w:r>
        <w:rPr>
          <w:rFonts w:hint="eastAsia"/>
          <w:bCs/>
          <w:sz w:val="24"/>
          <w:szCs w:val="24"/>
          <w:lang w:eastAsia="zh-CN"/>
        </w:rPr>
        <w:t>重庆渝顺投资有限公司顺洁加油站厂界</w:t>
      </w:r>
      <w:r>
        <w:rPr>
          <w:rFonts w:hint="eastAsia"/>
          <w:sz w:val="24"/>
          <w:szCs w:val="24"/>
        </w:rPr>
        <w:t>无组织排放废气非甲烷总烃符合</w:t>
      </w:r>
      <w:r>
        <w:rPr>
          <w:spacing w:val="7"/>
          <w:sz w:val="24"/>
          <w:szCs w:val="24"/>
        </w:rPr>
        <w:t>《加油站大气污染物排放标准》（</w:t>
      </w:r>
      <w:r>
        <w:rPr>
          <w:sz w:val="24"/>
          <w:szCs w:val="24"/>
        </w:rPr>
        <w:t>GB</w:t>
      </w:r>
      <w:r>
        <w:rPr>
          <w:spacing w:val="7"/>
          <w:sz w:val="24"/>
          <w:szCs w:val="24"/>
        </w:rPr>
        <w:t xml:space="preserve"> 20952-2020）表</w:t>
      </w:r>
      <w:r>
        <w:rPr>
          <w:spacing w:val="-24"/>
          <w:sz w:val="24"/>
          <w:szCs w:val="24"/>
        </w:rPr>
        <w:t xml:space="preserve"> </w:t>
      </w:r>
      <w:r>
        <w:rPr>
          <w:spacing w:val="7"/>
          <w:sz w:val="24"/>
          <w:szCs w:val="24"/>
        </w:rPr>
        <w:t>3。</w:t>
      </w:r>
    </w:p>
    <w:p>
      <w:pPr>
        <w:adjustRightInd w:val="0"/>
        <w:snapToGrid w:val="0"/>
        <w:spacing w:line="540" w:lineRule="exact"/>
        <w:ind w:firstLine="562" w:firstLineChars="200"/>
        <w:jc w:val="left"/>
        <w:rPr>
          <w:sz w:val="28"/>
        </w:rPr>
      </w:pPr>
      <w:r>
        <w:rPr>
          <w:rFonts w:hint="eastAsia"/>
          <w:b/>
          <w:sz w:val="28"/>
        </w:rPr>
        <w:t>9</w:t>
      </w:r>
      <w:r>
        <w:rPr>
          <w:b/>
          <w:sz w:val="28"/>
        </w:rPr>
        <w:t>.2.</w:t>
      </w:r>
      <w:r>
        <w:rPr>
          <w:rFonts w:hint="eastAsia"/>
          <w:b/>
          <w:sz w:val="28"/>
        </w:rPr>
        <w:t>3噪声</w:t>
      </w:r>
    </w:p>
    <w:p>
      <w:pPr>
        <w:spacing w:line="500" w:lineRule="exact"/>
        <w:ind w:firstLine="420"/>
        <w:rPr>
          <w:sz w:val="24"/>
          <w:szCs w:val="24"/>
        </w:rPr>
      </w:pPr>
      <w:r>
        <w:rPr>
          <w:rFonts w:hint="eastAsia"/>
          <w:sz w:val="24"/>
          <w:szCs w:val="24"/>
        </w:rPr>
        <w:t>厂界噪声监测结果见表9-</w:t>
      </w:r>
      <w:r>
        <w:rPr>
          <w:rFonts w:hint="eastAsia"/>
          <w:sz w:val="24"/>
          <w:szCs w:val="24"/>
          <w:lang w:val="en-US" w:eastAsia="zh-CN"/>
        </w:rPr>
        <w:t>3</w:t>
      </w:r>
      <w:r>
        <w:rPr>
          <w:rFonts w:hint="eastAsia"/>
          <w:sz w:val="24"/>
          <w:szCs w:val="24"/>
        </w:rPr>
        <w:t>。</w:t>
      </w:r>
    </w:p>
    <w:p>
      <w:pPr>
        <w:spacing w:line="500" w:lineRule="exact"/>
        <w:jc w:val="center"/>
        <w:rPr>
          <w:rFonts w:hint="eastAsia"/>
          <w:b/>
          <w:sz w:val="24"/>
          <w:szCs w:val="24"/>
        </w:rPr>
      </w:pPr>
      <w:r>
        <w:rPr>
          <w:rFonts w:hint="eastAsia"/>
          <w:b/>
          <w:sz w:val="24"/>
          <w:szCs w:val="24"/>
        </w:rPr>
        <w:t>表9-</w:t>
      </w:r>
      <w:r>
        <w:rPr>
          <w:rFonts w:hint="eastAsia"/>
          <w:b/>
          <w:sz w:val="24"/>
          <w:szCs w:val="24"/>
          <w:lang w:val="en-US" w:eastAsia="zh-CN"/>
        </w:rPr>
        <w:t xml:space="preserve">3  </w:t>
      </w:r>
      <w:r>
        <w:rPr>
          <w:rFonts w:hint="eastAsia"/>
          <w:b/>
          <w:sz w:val="24"/>
          <w:szCs w:val="24"/>
        </w:rPr>
        <w:t>厂界噪声监测结果一览表</w:t>
      </w:r>
    </w:p>
    <w:p>
      <w:pPr>
        <w:jc w:val="center"/>
        <w:rPr>
          <w:rFonts w:hint="default" w:ascii="Times New Roman" w:hAnsi="Times New Roman" w:cs="Times New Roman"/>
          <w:b/>
          <w:kern w:val="0"/>
          <w:sz w:val="19"/>
          <w:szCs w:val="19"/>
        </w:rPr>
      </w:pPr>
      <w:r>
        <w:rPr>
          <w:rFonts w:hint="default" w:ascii="Times New Roman" w:hAnsi="Times New Roman" w:cs="Times New Roman"/>
          <w:b/>
          <w:kern w:val="0"/>
          <w:sz w:val="19"/>
          <w:szCs w:val="19"/>
        </w:rPr>
        <w:t xml:space="preserve">检测项目: </w:t>
      </w:r>
      <w:r>
        <w:rPr>
          <w:rFonts w:hint="default" w:ascii="Times New Roman" w:hAnsi="Times New Roman" w:cs="Times New Roman"/>
          <w:b/>
          <w:kern w:val="0"/>
          <w:sz w:val="19"/>
          <w:szCs w:val="19"/>
          <w:lang w:val="en-US" w:eastAsia="zh-CN"/>
        </w:rPr>
        <w:t>工业企业厂界噪声</w:t>
      </w:r>
      <w:r>
        <w:rPr>
          <w:rFonts w:hint="default" w:ascii="Times New Roman" w:hAnsi="Times New Roman" w:cs="Times New Roman"/>
          <w:b/>
          <w:kern w:val="0"/>
          <w:sz w:val="19"/>
          <w:szCs w:val="19"/>
        </w:rPr>
        <w:t xml:space="preserve">                              </w:t>
      </w:r>
      <w:r>
        <w:rPr>
          <w:rFonts w:hint="default" w:ascii="Times New Roman" w:hAnsi="Times New Roman" w:cs="Times New Roman"/>
          <w:b/>
          <w:kern w:val="0"/>
          <w:sz w:val="19"/>
          <w:szCs w:val="19"/>
          <w:lang w:val="en-US" w:eastAsia="zh-CN"/>
        </w:rPr>
        <w:t xml:space="preserve">        </w:t>
      </w:r>
      <w:r>
        <w:rPr>
          <w:rFonts w:hint="default" w:ascii="Times New Roman" w:hAnsi="Times New Roman" w:cs="Times New Roman"/>
          <w:b/>
          <w:kern w:val="0"/>
          <w:sz w:val="19"/>
          <w:szCs w:val="19"/>
        </w:rPr>
        <w:t xml:space="preserve">                    单位: dB（A）</w:t>
      </w:r>
    </w:p>
    <w:tbl>
      <w:tblPr>
        <w:tblStyle w:val="26"/>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67"/>
        <w:gridCol w:w="1989"/>
        <w:gridCol w:w="1287"/>
        <w:gridCol w:w="665"/>
        <w:gridCol w:w="665"/>
        <w:gridCol w:w="748"/>
        <w:gridCol w:w="1287"/>
        <w:gridCol w:w="657"/>
        <w:gridCol w:w="657"/>
        <w:gridCol w:w="66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387" w:type="pct"/>
            <w:vMerge w:val="restar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检测日期</w:t>
            </w:r>
          </w:p>
        </w:tc>
        <w:tc>
          <w:tcPr>
            <w:tcW w:w="1099" w:type="pct"/>
            <w:vMerge w:val="restar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测点</w:t>
            </w:r>
            <w:r>
              <w:rPr>
                <w:rFonts w:hint="default" w:ascii="Times New Roman" w:hAnsi="Times New Roman" w:cs="Times New Roman"/>
                <w:b/>
                <w:kern w:val="0"/>
                <w:sz w:val="21"/>
                <w:szCs w:val="21"/>
                <w:lang w:val="en-US" w:eastAsia="zh-CN"/>
              </w:rPr>
              <w:t>位置</w:t>
            </w:r>
          </w:p>
        </w:tc>
        <w:tc>
          <w:tcPr>
            <w:tcW w:w="1797" w:type="pct"/>
            <w:gridSpan w:val="4"/>
            <w:tcBorders>
              <w:right w:val="single" w:color="auto" w:sz="4" w:space="0"/>
            </w:tcBorders>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昼间</w:t>
            </w:r>
          </w:p>
        </w:tc>
        <w:tc>
          <w:tcPr>
            <w:tcW w:w="1715" w:type="pct"/>
            <w:gridSpan w:val="4"/>
            <w:tcBorders>
              <w:right w:val="nil"/>
            </w:tcBorders>
            <w:noWrap w:val="0"/>
            <w:vAlign w:val="center"/>
          </w:tcPr>
          <w:p>
            <w:pPr>
              <w:spacing w:line="240" w:lineRule="exact"/>
              <w:jc w:val="center"/>
              <w:rPr>
                <w:rFonts w:hint="default" w:ascii="Times New Roman" w:hAnsi="Times New Roman" w:cs="Times New Roman"/>
                <w:b/>
                <w:kern w:val="0"/>
                <w:sz w:val="21"/>
                <w:szCs w:val="21"/>
              </w:rPr>
            </w:pPr>
            <w:r>
              <w:rPr>
                <w:rFonts w:hint="eastAsia" w:ascii="Times New Roman" w:hAnsi="Times New Roman" w:cs="Times New Roman"/>
                <w:b/>
                <w:kern w:val="0"/>
                <w:sz w:val="21"/>
                <w:szCs w:val="21"/>
                <w:lang w:val="en-US" w:eastAsia="zh-CN"/>
              </w:rPr>
              <w:t>夜间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387" w:type="pct"/>
            <w:vMerge w:val="continue"/>
            <w:noWrap w:val="0"/>
            <w:vAlign w:val="center"/>
          </w:tcPr>
          <w:p>
            <w:pPr>
              <w:spacing w:line="240" w:lineRule="exact"/>
              <w:jc w:val="center"/>
              <w:rPr>
                <w:rFonts w:hint="default" w:ascii="Times New Roman" w:hAnsi="Times New Roman" w:cs="Times New Roman"/>
                <w:b/>
                <w:kern w:val="0"/>
                <w:sz w:val="21"/>
                <w:szCs w:val="21"/>
              </w:rPr>
            </w:pPr>
          </w:p>
        </w:tc>
        <w:tc>
          <w:tcPr>
            <w:tcW w:w="1099" w:type="pct"/>
            <w:vMerge w:val="continue"/>
            <w:noWrap w:val="0"/>
            <w:vAlign w:val="center"/>
          </w:tcPr>
          <w:p>
            <w:pPr>
              <w:spacing w:line="240" w:lineRule="exact"/>
              <w:jc w:val="center"/>
              <w:rPr>
                <w:rFonts w:hint="default" w:ascii="Times New Roman" w:hAnsi="Times New Roman" w:cs="Times New Roman"/>
                <w:b/>
                <w:kern w:val="0"/>
                <w:sz w:val="21"/>
                <w:szCs w:val="21"/>
              </w:rPr>
            </w:pPr>
          </w:p>
        </w:tc>
        <w:tc>
          <w:tcPr>
            <w:tcW w:w="595" w:type="pc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检测</w:t>
            </w:r>
          </w:p>
          <w:p>
            <w:pPr>
              <w:spacing w:line="240" w:lineRule="exact"/>
              <w:jc w:val="center"/>
              <w:rPr>
                <w:rFonts w:hint="default" w:ascii="Times New Roman" w:hAnsi="Times New Roman" w:cs="Times New Roman"/>
                <w:bCs/>
                <w:kern w:val="0"/>
                <w:sz w:val="21"/>
                <w:szCs w:val="21"/>
              </w:rPr>
            </w:pPr>
            <w:r>
              <w:rPr>
                <w:rFonts w:hint="default" w:ascii="Times New Roman" w:hAnsi="Times New Roman" w:cs="Times New Roman"/>
                <w:b/>
                <w:kern w:val="0"/>
                <w:sz w:val="21"/>
                <w:szCs w:val="21"/>
              </w:rPr>
              <w:t>起止时间</w:t>
            </w:r>
          </w:p>
        </w:tc>
        <w:tc>
          <w:tcPr>
            <w:tcW w:w="386" w:type="pc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检测</w:t>
            </w:r>
          </w:p>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结果</w:t>
            </w:r>
          </w:p>
        </w:tc>
        <w:tc>
          <w:tcPr>
            <w:tcW w:w="386" w:type="pct"/>
            <w:tcBorders>
              <w:right w:val="single" w:color="000000" w:sz="8" w:space="0"/>
            </w:tcBorders>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标准</w:t>
            </w:r>
          </w:p>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限值</w:t>
            </w:r>
          </w:p>
        </w:tc>
        <w:tc>
          <w:tcPr>
            <w:tcW w:w="428" w:type="pct"/>
            <w:tcBorders>
              <w:left w:val="single" w:color="000000" w:sz="8" w:space="0"/>
              <w:right w:val="single" w:color="auto" w:sz="4" w:space="0"/>
            </w:tcBorders>
            <w:noWrap w:val="0"/>
            <w:vAlign w:val="center"/>
          </w:tcPr>
          <w:p>
            <w:pPr>
              <w:spacing w:line="240" w:lineRule="exact"/>
              <w:jc w:val="center"/>
              <w:rPr>
                <w:rFonts w:hint="eastAsia" w:ascii="Times New Roman" w:hAnsi="Times New Roman" w:eastAsia="宋体" w:cs="Times New Roman"/>
                <w:b/>
                <w:kern w:val="0"/>
                <w:sz w:val="21"/>
                <w:szCs w:val="21"/>
                <w:lang w:val="en-US" w:eastAsia="zh-CN"/>
              </w:rPr>
            </w:pPr>
            <w:r>
              <w:rPr>
                <w:rFonts w:hint="eastAsia" w:ascii="Times New Roman" w:hAnsi="Times New Roman" w:cs="Times New Roman"/>
                <w:b/>
                <w:kern w:val="0"/>
                <w:sz w:val="21"/>
                <w:szCs w:val="21"/>
                <w:lang w:val="en-US" w:eastAsia="zh-CN"/>
              </w:rPr>
              <w:t>评价</w:t>
            </w:r>
          </w:p>
        </w:tc>
        <w:tc>
          <w:tcPr>
            <w:tcW w:w="570" w:type="pc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检测</w:t>
            </w:r>
          </w:p>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起止时间</w:t>
            </w:r>
          </w:p>
        </w:tc>
        <w:tc>
          <w:tcPr>
            <w:tcW w:w="381" w:type="pct"/>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检测</w:t>
            </w:r>
          </w:p>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结果</w:t>
            </w:r>
          </w:p>
        </w:tc>
        <w:tc>
          <w:tcPr>
            <w:tcW w:w="381" w:type="pct"/>
            <w:tcBorders>
              <w:right w:val="single" w:color="000000" w:sz="8" w:space="0"/>
            </w:tcBorders>
            <w:noWrap w:val="0"/>
            <w:vAlign w:val="center"/>
          </w:tcPr>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标准</w:t>
            </w:r>
          </w:p>
          <w:p>
            <w:pPr>
              <w:spacing w:line="24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限值</w:t>
            </w:r>
          </w:p>
        </w:tc>
        <w:tc>
          <w:tcPr>
            <w:tcW w:w="381" w:type="pct"/>
            <w:tcBorders>
              <w:left w:val="single" w:color="000000" w:sz="8" w:space="0"/>
              <w:right w:val="nil"/>
            </w:tcBorders>
            <w:noWrap w:val="0"/>
            <w:vAlign w:val="center"/>
          </w:tcPr>
          <w:p>
            <w:pPr>
              <w:spacing w:line="240" w:lineRule="exact"/>
              <w:jc w:val="center"/>
              <w:rPr>
                <w:rFonts w:hint="eastAsia" w:ascii="Times New Roman" w:hAnsi="Times New Roman" w:eastAsia="宋体" w:cs="Times New Roman"/>
                <w:b/>
                <w:kern w:val="0"/>
                <w:sz w:val="21"/>
                <w:szCs w:val="21"/>
                <w:lang w:val="en-US" w:eastAsia="zh-CN"/>
              </w:rPr>
            </w:pPr>
            <w:r>
              <w:rPr>
                <w:rFonts w:hint="eastAsia" w:ascii="Times New Roman" w:hAnsi="Times New Roman" w:cs="Times New Roman"/>
                <w:b/>
                <w:kern w:val="0"/>
                <w:sz w:val="21"/>
                <w:szCs w:val="21"/>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87" w:type="pct"/>
            <w:vMerge w:val="restart"/>
            <w:noWrap w:val="0"/>
            <w:vAlign w:val="center"/>
          </w:tcPr>
          <w:p>
            <w:pPr>
              <w:spacing w:line="240" w:lineRule="exact"/>
              <w:jc w:val="center"/>
              <w:rPr>
                <w:rFonts w:hint="default" w:ascii="Times New Roman" w:hAnsi="Times New Roman" w:cs="Times New Roman"/>
                <w:bCs/>
                <w:kern w:val="0"/>
                <w:sz w:val="21"/>
                <w:szCs w:val="21"/>
                <w:highlight w:val="none"/>
                <w:lang w:val="en-US"/>
              </w:rPr>
            </w:pPr>
            <w:r>
              <w:rPr>
                <w:rFonts w:hint="eastAsia" w:ascii="Times New Roman" w:hAnsi="Times New Roman" w:cs="Times New Roman"/>
                <w:kern w:val="0"/>
                <w:sz w:val="21"/>
                <w:szCs w:val="21"/>
                <w:highlight w:val="none"/>
                <w:lang w:val="en-US" w:eastAsia="zh-CN"/>
              </w:rPr>
              <w:t>02月22日</w:t>
            </w:r>
          </w:p>
        </w:tc>
        <w:tc>
          <w:tcPr>
            <w:tcW w:w="1099" w:type="pct"/>
            <w:noWrap w:val="0"/>
            <w:vAlign w:val="center"/>
          </w:tcPr>
          <w:p>
            <w:pPr>
              <w:spacing w:line="240" w:lineRule="exact"/>
              <w:jc w:val="center"/>
              <w:rPr>
                <w:rFonts w:hint="default" w:ascii="Times New Roman" w:hAnsi="Times New Roman" w:cs="Times New Roman"/>
                <w:bCs/>
                <w:strike/>
                <w:kern w:val="0"/>
                <w:sz w:val="21"/>
                <w:szCs w:val="21"/>
                <w:highlight w:val="none"/>
                <w:lang w:val="en-US"/>
              </w:rPr>
            </w:pPr>
            <w:r>
              <w:rPr>
                <w:rFonts w:hint="eastAsia" w:ascii="Times New Roman" w:hAnsi="Times New Roman" w:cs="Times New Roman"/>
                <w:kern w:val="0"/>
                <w:sz w:val="21"/>
                <w:szCs w:val="21"/>
                <w:highlight w:val="none"/>
                <w:lang w:val="en-US" w:eastAsia="zh-CN"/>
              </w:rPr>
              <w:t>东侧厂界外约1米处（</w:t>
            </w:r>
            <w:r>
              <w:rPr>
                <w:rFonts w:hint="eastAsia" w:ascii="Times New Roman" w:hAnsi="Times New Roman" w:cs="Times New Roman"/>
                <w:bCs/>
                <w:kern w:val="0"/>
                <w:sz w:val="21"/>
                <w:szCs w:val="21"/>
                <w:highlight w:val="none"/>
                <w:lang w:val="en-US" w:eastAsia="zh-CN"/>
              </w:rPr>
              <w:t>ZS1</w:t>
            </w:r>
            <w:r>
              <w:rPr>
                <w:rFonts w:hint="eastAsia" w:ascii="Times New Roman" w:hAnsi="Times New Roman" w:cs="Times New Roman"/>
                <w:kern w:val="0"/>
                <w:sz w:val="21"/>
                <w:szCs w:val="21"/>
                <w:highlight w:val="none"/>
                <w:lang w:val="en-US" w:eastAsia="zh-CN"/>
              </w:rPr>
              <w:t>）</w:t>
            </w:r>
          </w:p>
        </w:tc>
        <w:tc>
          <w:tcPr>
            <w:tcW w:w="595" w:type="pct"/>
            <w:tcBorders>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20:26~20:31</w:t>
            </w:r>
          </w:p>
        </w:tc>
        <w:tc>
          <w:tcPr>
            <w:tcW w:w="386" w:type="pct"/>
            <w:tcBorders>
              <w:left w:val="single" w:color="auto" w:sz="8" w:space="0"/>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56</w:t>
            </w:r>
          </w:p>
        </w:tc>
        <w:tc>
          <w:tcPr>
            <w:tcW w:w="386" w:type="pct"/>
            <w:vMerge w:val="restart"/>
            <w:tcBorders>
              <w:left w:val="single" w:color="auto" w:sz="8" w:space="0"/>
              <w:right w:val="single" w:color="auto" w:sz="8" w:space="0"/>
            </w:tcBorders>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65</w:t>
            </w:r>
          </w:p>
        </w:tc>
        <w:tc>
          <w:tcPr>
            <w:tcW w:w="428" w:type="pct"/>
            <w:vMerge w:val="restart"/>
            <w:tcBorders>
              <w:left w:val="single" w:color="auto" w:sz="8" w:space="0"/>
              <w:right w:val="single" w:color="auto" w:sz="8" w:space="0"/>
            </w:tcBorders>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达标</w:t>
            </w:r>
          </w:p>
        </w:tc>
        <w:tc>
          <w:tcPr>
            <w:tcW w:w="570" w:type="pct"/>
            <w:tcBorders>
              <w:left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22:05~22:10</w:t>
            </w:r>
          </w:p>
        </w:tc>
        <w:tc>
          <w:tcPr>
            <w:tcW w:w="381" w:type="pct"/>
            <w:tcBorders>
              <w:left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47</w:t>
            </w:r>
          </w:p>
        </w:tc>
        <w:tc>
          <w:tcPr>
            <w:tcW w:w="381" w:type="pct"/>
            <w:vMerge w:val="restart"/>
            <w:tcBorders>
              <w:left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55</w:t>
            </w:r>
          </w:p>
        </w:tc>
        <w:tc>
          <w:tcPr>
            <w:tcW w:w="381" w:type="pct"/>
            <w:vMerge w:val="restart"/>
            <w:tcBorders>
              <w:lef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87" w:type="pct"/>
            <w:vMerge w:val="continue"/>
            <w:shd w:val="clear" w:color="auto" w:fill="92D050"/>
            <w:noWrap w:val="0"/>
            <w:vAlign w:val="center"/>
          </w:tcPr>
          <w:p>
            <w:pPr>
              <w:spacing w:line="240" w:lineRule="exact"/>
              <w:jc w:val="center"/>
              <w:rPr>
                <w:rFonts w:hint="default" w:ascii="Times New Roman" w:hAnsi="Times New Roman" w:cs="Times New Roman"/>
                <w:kern w:val="0"/>
                <w:sz w:val="21"/>
                <w:szCs w:val="21"/>
                <w:highlight w:val="none"/>
                <w:lang w:val="en-US" w:eastAsia="zh-CN"/>
              </w:rPr>
            </w:pPr>
          </w:p>
        </w:tc>
        <w:tc>
          <w:tcPr>
            <w:tcW w:w="1099" w:type="pct"/>
            <w:shd w:val="clear" w:color="auto" w:fill="auto"/>
            <w:noWrap w:val="0"/>
            <w:vAlign w:val="center"/>
          </w:tcPr>
          <w:p>
            <w:pPr>
              <w:spacing w:line="240" w:lineRule="exact"/>
              <w:jc w:val="center"/>
              <w:rPr>
                <w:rFonts w:hint="default" w:ascii="Times New Roman" w:hAnsi="Times New Roman" w:eastAsia="宋体" w:cs="Times New Roman"/>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西南侧厂界外约1米处（</w:t>
            </w:r>
            <w:r>
              <w:rPr>
                <w:rFonts w:hint="eastAsia" w:ascii="Times New Roman" w:hAnsi="Times New Roman" w:cs="Times New Roman"/>
                <w:bCs/>
                <w:kern w:val="0"/>
                <w:sz w:val="21"/>
                <w:szCs w:val="21"/>
                <w:highlight w:val="none"/>
                <w:lang w:val="en-US" w:eastAsia="zh-CN"/>
              </w:rPr>
              <w:t>ZS2</w:t>
            </w:r>
            <w:r>
              <w:rPr>
                <w:rFonts w:hint="eastAsia" w:ascii="Times New Roman" w:hAnsi="Times New Roman" w:cs="Times New Roman"/>
                <w:kern w:val="0"/>
                <w:sz w:val="21"/>
                <w:szCs w:val="21"/>
                <w:highlight w:val="none"/>
                <w:lang w:val="en-US" w:eastAsia="zh-CN"/>
              </w:rPr>
              <w:t>）</w:t>
            </w:r>
          </w:p>
        </w:tc>
        <w:tc>
          <w:tcPr>
            <w:tcW w:w="595" w:type="pct"/>
            <w:tcBorders>
              <w:right w:val="single" w:color="auto" w:sz="8" w:space="0"/>
            </w:tcBorders>
            <w:shd w:val="clear" w:color="auto" w:fill="auto"/>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20:36~20:41</w:t>
            </w:r>
          </w:p>
        </w:tc>
        <w:tc>
          <w:tcPr>
            <w:tcW w:w="386" w:type="pct"/>
            <w:tcBorders>
              <w:left w:val="single" w:color="auto" w:sz="8" w:space="0"/>
              <w:right w:val="single" w:color="auto" w:sz="8" w:space="0"/>
            </w:tcBorders>
            <w:shd w:val="clear" w:color="auto" w:fill="auto"/>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52</w:t>
            </w:r>
          </w:p>
        </w:tc>
        <w:tc>
          <w:tcPr>
            <w:tcW w:w="386" w:type="pct"/>
            <w:vMerge w:val="continue"/>
            <w:tcBorders>
              <w:left w:val="single" w:color="auto" w:sz="8" w:space="0"/>
              <w:bottom w:val="single" w:color="000000" w:sz="8" w:space="0"/>
              <w:right w:val="single" w:color="auto" w:sz="8" w:space="0"/>
            </w:tcBorders>
            <w:shd w:val="clear" w:color="auto" w:fill="92D050"/>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p>
        </w:tc>
        <w:tc>
          <w:tcPr>
            <w:tcW w:w="428" w:type="pct"/>
            <w:vMerge w:val="continue"/>
            <w:tcBorders>
              <w:left w:val="single" w:color="auto" w:sz="8" w:space="0"/>
              <w:bottom w:val="single" w:color="000000" w:sz="8" w:space="0"/>
              <w:right w:val="single" w:color="auto" w:sz="8" w:space="0"/>
            </w:tcBorders>
            <w:shd w:val="clear" w:color="auto" w:fill="92D050"/>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p>
        </w:tc>
        <w:tc>
          <w:tcPr>
            <w:tcW w:w="570" w:type="pct"/>
            <w:tcBorders>
              <w:left w:val="single" w:color="auto" w:sz="8" w:space="0"/>
              <w:right w:val="single" w:color="auto" w:sz="8" w:space="0"/>
            </w:tcBorders>
            <w:shd w:val="clear" w:color="auto" w:fill="auto"/>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22:12~22:17</w:t>
            </w:r>
          </w:p>
        </w:tc>
        <w:tc>
          <w:tcPr>
            <w:tcW w:w="381" w:type="pct"/>
            <w:tcBorders>
              <w:left w:val="single" w:color="auto" w:sz="8" w:space="0"/>
              <w:right w:val="single" w:color="auto" w:sz="8" w:space="0"/>
            </w:tcBorders>
            <w:shd w:val="clear" w:color="auto" w:fill="auto"/>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45</w:t>
            </w:r>
          </w:p>
        </w:tc>
        <w:tc>
          <w:tcPr>
            <w:tcW w:w="381" w:type="pct"/>
            <w:vMerge w:val="continue"/>
            <w:tcBorders>
              <w:left w:val="single" w:color="auto" w:sz="8" w:space="0"/>
              <w:bottom w:val="single" w:color="000000" w:sz="8" w:space="0"/>
              <w:right w:val="single" w:color="auto" w:sz="8" w:space="0"/>
            </w:tcBorders>
            <w:shd w:val="clear" w:color="auto" w:fill="92D050"/>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p>
        </w:tc>
        <w:tc>
          <w:tcPr>
            <w:tcW w:w="381" w:type="pct"/>
            <w:vMerge w:val="continue"/>
            <w:tcBorders>
              <w:left w:val="single" w:color="auto" w:sz="8" w:space="0"/>
              <w:bottom w:val="single" w:color="000000" w:sz="8" w:space="0"/>
            </w:tcBorders>
            <w:shd w:val="clear" w:color="auto" w:fill="92D050"/>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87" w:type="pct"/>
            <w:vMerge w:val="restart"/>
            <w:noWrap w:val="0"/>
            <w:vAlign w:val="center"/>
          </w:tcPr>
          <w:p>
            <w:pPr>
              <w:spacing w:line="240" w:lineRule="exact"/>
              <w:jc w:val="center"/>
              <w:rPr>
                <w:rFonts w:hint="default" w:ascii="Times New Roman" w:hAnsi="Times New Roman" w:cs="Times New Roman"/>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02月23日</w:t>
            </w:r>
          </w:p>
        </w:tc>
        <w:tc>
          <w:tcPr>
            <w:tcW w:w="1099" w:type="pct"/>
            <w:noWrap w:val="0"/>
            <w:vAlign w:val="center"/>
          </w:tcPr>
          <w:p>
            <w:pPr>
              <w:spacing w:line="240" w:lineRule="exact"/>
              <w:jc w:val="center"/>
              <w:rPr>
                <w:rFonts w:hint="eastAsia" w:ascii="Times New Roman" w:hAnsi="Times New Roman" w:cs="Times New Roman"/>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东侧厂界外约1米处（</w:t>
            </w:r>
            <w:r>
              <w:rPr>
                <w:rFonts w:hint="eastAsia" w:ascii="Times New Roman" w:hAnsi="Times New Roman" w:cs="Times New Roman"/>
                <w:bCs/>
                <w:kern w:val="0"/>
                <w:sz w:val="21"/>
                <w:szCs w:val="21"/>
                <w:highlight w:val="none"/>
                <w:lang w:val="en-US" w:eastAsia="zh-CN"/>
              </w:rPr>
              <w:t>ZS1</w:t>
            </w:r>
            <w:r>
              <w:rPr>
                <w:rFonts w:hint="eastAsia" w:ascii="Times New Roman" w:hAnsi="Times New Roman" w:cs="Times New Roman"/>
                <w:kern w:val="0"/>
                <w:sz w:val="21"/>
                <w:szCs w:val="21"/>
                <w:highlight w:val="none"/>
                <w:lang w:val="en-US" w:eastAsia="zh-CN"/>
              </w:rPr>
              <w:t>）</w:t>
            </w:r>
          </w:p>
        </w:tc>
        <w:tc>
          <w:tcPr>
            <w:tcW w:w="595" w:type="pct"/>
            <w:tcBorders>
              <w:top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15:27~15:32</w:t>
            </w:r>
          </w:p>
        </w:tc>
        <w:tc>
          <w:tcPr>
            <w:tcW w:w="386"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64</w:t>
            </w:r>
          </w:p>
        </w:tc>
        <w:tc>
          <w:tcPr>
            <w:tcW w:w="386" w:type="pct"/>
            <w:vMerge w:val="restart"/>
            <w:tcBorders>
              <w:top w:val="single" w:color="000000" w:sz="8" w:space="0"/>
              <w:left w:val="single" w:color="auto" w:sz="8" w:space="0"/>
              <w:right w:val="single" w:color="auto" w:sz="8" w:space="0"/>
            </w:tcBorders>
            <w:noWrap w:val="0"/>
            <w:vAlign w:val="center"/>
          </w:tcPr>
          <w:p>
            <w:pPr>
              <w:spacing w:line="240" w:lineRule="exac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65</w:t>
            </w:r>
          </w:p>
        </w:tc>
        <w:tc>
          <w:tcPr>
            <w:tcW w:w="428" w:type="pct"/>
            <w:vMerge w:val="restart"/>
            <w:tcBorders>
              <w:top w:val="single" w:color="000000" w:sz="8" w:space="0"/>
              <w:left w:val="single" w:color="auto" w:sz="8" w:space="0"/>
              <w:right w:val="single" w:color="auto" w:sz="8" w:space="0"/>
            </w:tcBorders>
            <w:noWrap w:val="0"/>
            <w:vAlign w:val="center"/>
          </w:tcPr>
          <w:p>
            <w:pPr>
              <w:spacing w:line="240" w:lineRule="exac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达标</w:t>
            </w:r>
          </w:p>
        </w:tc>
        <w:tc>
          <w:tcPr>
            <w:tcW w:w="570"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22:11~22:16</w:t>
            </w:r>
          </w:p>
        </w:tc>
        <w:tc>
          <w:tcPr>
            <w:tcW w:w="381"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46</w:t>
            </w:r>
          </w:p>
        </w:tc>
        <w:tc>
          <w:tcPr>
            <w:tcW w:w="381" w:type="pct"/>
            <w:vMerge w:val="restart"/>
            <w:tcBorders>
              <w:top w:val="single" w:color="000000" w:sz="8" w:space="0"/>
              <w:left w:val="single" w:color="auto" w:sz="8" w:space="0"/>
              <w:right w:val="single" w:color="auto" w:sz="8" w:space="0"/>
            </w:tcBorders>
            <w:noWrap w:val="0"/>
            <w:vAlign w:val="center"/>
          </w:tcPr>
          <w:p>
            <w:pPr>
              <w:spacing w:line="240" w:lineRule="exact"/>
              <w:jc w:val="center"/>
              <w:rPr>
                <w:rFonts w:hint="eastAsia" w:ascii="Times New Roman" w:hAnsi="Times New Roman" w:cs="Times New Roman"/>
                <w:bCs/>
                <w:kern w:val="0"/>
                <w:sz w:val="21"/>
                <w:szCs w:val="21"/>
                <w:highlight w:val="none"/>
                <w:lang w:val="en-US" w:eastAsia="zh-CN" w:bidi="ar-SA"/>
              </w:rPr>
            </w:pPr>
            <w:r>
              <w:rPr>
                <w:rFonts w:hint="eastAsia" w:ascii="Times New Roman" w:hAnsi="Times New Roman" w:cs="Times New Roman"/>
                <w:bCs/>
                <w:kern w:val="0"/>
                <w:sz w:val="21"/>
                <w:szCs w:val="21"/>
                <w:highlight w:val="none"/>
                <w:lang w:val="en-US" w:eastAsia="zh-CN"/>
              </w:rPr>
              <w:t>55</w:t>
            </w:r>
          </w:p>
        </w:tc>
        <w:tc>
          <w:tcPr>
            <w:tcW w:w="381" w:type="pct"/>
            <w:vMerge w:val="restart"/>
            <w:tcBorders>
              <w:top w:val="single" w:color="000000" w:sz="8" w:space="0"/>
              <w:left w:val="single" w:color="auto" w:sz="8" w:space="0"/>
            </w:tcBorders>
            <w:noWrap w:val="0"/>
            <w:vAlign w:val="center"/>
          </w:tcPr>
          <w:p>
            <w:pPr>
              <w:spacing w:line="240" w:lineRule="exact"/>
              <w:jc w:val="center"/>
              <w:rPr>
                <w:rFonts w:hint="eastAsia" w:ascii="Times New Roman" w:hAnsi="Times New Roman" w:cs="Times New Roman"/>
                <w:bCs/>
                <w:kern w:val="0"/>
                <w:sz w:val="21"/>
                <w:szCs w:val="21"/>
                <w:highlight w:val="none"/>
                <w:lang w:val="en-US" w:eastAsia="zh-CN" w:bidi="ar-SA"/>
              </w:rPr>
            </w:pPr>
            <w:r>
              <w:rPr>
                <w:rFonts w:hint="eastAsia" w:ascii="Times New Roman" w:hAnsi="Times New Roman" w:cs="Times New Roman"/>
                <w:bCs/>
                <w:kern w:val="0"/>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87" w:type="pct"/>
            <w:vMerge w:val="continue"/>
            <w:noWrap w:val="0"/>
            <w:vAlign w:val="center"/>
          </w:tcPr>
          <w:p>
            <w:pPr>
              <w:spacing w:line="240" w:lineRule="exact"/>
              <w:jc w:val="center"/>
              <w:rPr>
                <w:rFonts w:hint="default" w:ascii="Times New Roman" w:hAnsi="Times New Roman" w:cs="Times New Roman"/>
                <w:kern w:val="0"/>
                <w:sz w:val="17"/>
                <w:szCs w:val="17"/>
                <w:highlight w:val="none"/>
                <w:lang w:val="en-US" w:eastAsia="zh-CN"/>
              </w:rPr>
            </w:pPr>
          </w:p>
        </w:tc>
        <w:tc>
          <w:tcPr>
            <w:tcW w:w="1099" w:type="pct"/>
            <w:noWrap w:val="0"/>
            <w:vAlign w:val="center"/>
          </w:tcPr>
          <w:p>
            <w:pPr>
              <w:spacing w:line="240" w:lineRule="exact"/>
              <w:jc w:val="center"/>
              <w:rPr>
                <w:rFonts w:hint="eastAsia" w:ascii="Times New Roman" w:hAnsi="Times New Roman" w:cs="Times New Roman"/>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西南侧厂界外约1米处（</w:t>
            </w:r>
            <w:r>
              <w:rPr>
                <w:rFonts w:hint="eastAsia" w:ascii="Times New Roman" w:hAnsi="Times New Roman" w:cs="Times New Roman"/>
                <w:bCs/>
                <w:kern w:val="0"/>
                <w:sz w:val="21"/>
                <w:szCs w:val="21"/>
                <w:highlight w:val="none"/>
                <w:lang w:val="en-US" w:eastAsia="zh-CN"/>
              </w:rPr>
              <w:t>ZS2</w:t>
            </w:r>
            <w:r>
              <w:rPr>
                <w:rFonts w:hint="eastAsia" w:ascii="Times New Roman" w:hAnsi="Times New Roman" w:cs="Times New Roman"/>
                <w:kern w:val="0"/>
                <w:sz w:val="21"/>
                <w:szCs w:val="21"/>
                <w:highlight w:val="none"/>
                <w:lang w:val="en-US" w:eastAsia="zh-CN"/>
              </w:rPr>
              <w:t>）</w:t>
            </w:r>
          </w:p>
        </w:tc>
        <w:tc>
          <w:tcPr>
            <w:tcW w:w="595" w:type="pct"/>
            <w:tcBorders>
              <w:top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15:37~15:42</w:t>
            </w:r>
          </w:p>
        </w:tc>
        <w:tc>
          <w:tcPr>
            <w:tcW w:w="386"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i w:val="0"/>
                <w:iCs w:val="0"/>
                <w:kern w:val="0"/>
                <w:sz w:val="21"/>
                <w:szCs w:val="21"/>
                <w:highlight w:val="none"/>
                <w:lang w:val="en-US" w:eastAsia="zh-CN"/>
              </w:rPr>
            </w:pPr>
            <w:r>
              <w:rPr>
                <w:rFonts w:hint="eastAsia" w:ascii="Times New Roman" w:hAnsi="Times New Roman" w:cs="Times New Roman"/>
                <w:bCs/>
                <w:i w:val="0"/>
                <w:iCs w:val="0"/>
                <w:kern w:val="0"/>
                <w:sz w:val="21"/>
                <w:szCs w:val="21"/>
                <w:highlight w:val="none"/>
                <w:lang w:val="en-US" w:eastAsia="zh-CN"/>
              </w:rPr>
              <w:t>61</w:t>
            </w:r>
          </w:p>
        </w:tc>
        <w:tc>
          <w:tcPr>
            <w:tcW w:w="386" w:type="pct"/>
            <w:vMerge w:val="continue"/>
            <w:tcBorders>
              <w:top w:val="single" w:color="000000" w:sz="8" w:space="0"/>
              <w:left w:val="single" w:color="auto" w:sz="8" w:space="0"/>
              <w:bottom w:val="single" w:color="000000" w:sz="8" w:space="0"/>
              <w:right w:val="single" w:color="auto" w:sz="8" w:space="0"/>
            </w:tcBorders>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p>
        </w:tc>
        <w:tc>
          <w:tcPr>
            <w:tcW w:w="428" w:type="pct"/>
            <w:vMerge w:val="continue"/>
            <w:tcBorders>
              <w:top w:val="single" w:color="000000" w:sz="8" w:space="0"/>
              <w:left w:val="single" w:color="auto" w:sz="8" w:space="0"/>
              <w:bottom w:val="single" w:color="000000" w:sz="8" w:space="0"/>
              <w:right w:val="single" w:color="auto" w:sz="8" w:space="0"/>
            </w:tcBorders>
            <w:noWrap w:val="0"/>
            <w:vAlign w:val="center"/>
          </w:tcPr>
          <w:p>
            <w:pPr>
              <w:spacing w:line="240" w:lineRule="exact"/>
              <w:jc w:val="center"/>
              <w:rPr>
                <w:rFonts w:hint="default" w:ascii="Times New Roman" w:hAnsi="Times New Roman" w:eastAsia="宋体" w:cs="Times New Roman"/>
                <w:sz w:val="21"/>
                <w:szCs w:val="21"/>
                <w:highlight w:val="none"/>
                <w:lang w:val="en-US" w:eastAsia="zh-CN"/>
              </w:rPr>
            </w:pPr>
          </w:p>
        </w:tc>
        <w:tc>
          <w:tcPr>
            <w:tcW w:w="570"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22:20~22:25</w:t>
            </w:r>
          </w:p>
        </w:tc>
        <w:tc>
          <w:tcPr>
            <w:tcW w:w="381" w:type="pct"/>
            <w:tcBorders>
              <w:top w:val="single" w:color="auto" w:sz="8" w:space="0"/>
              <w:left w:val="single" w:color="auto" w:sz="8" w:space="0"/>
              <w:bottom w:val="single" w:color="auto" w:sz="8" w:space="0"/>
              <w:right w:val="single" w:color="auto" w:sz="8" w:space="0"/>
            </w:tcBorders>
            <w:noWrap w:val="0"/>
            <w:vAlign w:val="center"/>
          </w:tcPr>
          <w:p>
            <w:pPr>
              <w:spacing w:line="240" w:lineRule="exact"/>
              <w:jc w:val="center"/>
              <w:rPr>
                <w:rFonts w:hint="default" w:ascii="Times New Roman" w:hAnsi="Times New Roman" w:cs="Times New Roman"/>
                <w:bCs/>
                <w:kern w:val="0"/>
                <w:sz w:val="21"/>
                <w:szCs w:val="21"/>
                <w:highlight w:val="none"/>
                <w:lang w:val="en-US" w:eastAsia="zh-CN"/>
              </w:rPr>
            </w:pPr>
            <w:r>
              <w:rPr>
                <w:rFonts w:hint="eastAsia" w:ascii="Times New Roman" w:hAnsi="Times New Roman" w:cs="Times New Roman"/>
                <w:bCs/>
                <w:kern w:val="0"/>
                <w:sz w:val="21"/>
                <w:szCs w:val="21"/>
                <w:highlight w:val="none"/>
                <w:lang w:val="en-US" w:eastAsia="zh-CN"/>
              </w:rPr>
              <w:t>43</w:t>
            </w:r>
          </w:p>
        </w:tc>
        <w:tc>
          <w:tcPr>
            <w:tcW w:w="381" w:type="pct"/>
            <w:vMerge w:val="continue"/>
            <w:tcBorders>
              <w:left w:val="single" w:color="auto" w:sz="8" w:space="0"/>
              <w:bottom w:val="single" w:color="auto" w:sz="8" w:space="0"/>
              <w:right w:val="single" w:color="auto" w:sz="8" w:space="0"/>
            </w:tcBorders>
            <w:noWrap w:val="0"/>
            <w:vAlign w:val="center"/>
          </w:tcPr>
          <w:p>
            <w:pPr>
              <w:spacing w:line="240" w:lineRule="exact"/>
              <w:jc w:val="center"/>
              <w:rPr>
                <w:rFonts w:hint="eastAsia" w:ascii="Times New Roman" w:hAnsi="Times New Roman" w:cs="Times New Roman"/>
                <w:bCs/>
                <w:kern w:val="0"/>
                <w:sz w:val="17"/>
                <w:szCs w:val="17"/>
                <w:highlight w:val="none"/>
                <w:lang w:val="en-US" w:eastAsia="zh-CN"/>
              </w:rPr>
            </w:pPr>
          </w:p>
        </w:tc>
        <w:tc>
          <w:tcPr>
            <w:tcW w:w="381" w:type="pct"/>
            <w:vMerge w:val="continue"/>
            <w:tcBorders>
              <w:left w:val="single" w:color="auto" w:sz="8" w:space="0"/>
            </w:tcBorders>
            <w:noWrap w:val="0"/>
            <w:vAlign w:val="center"/>
          </w:tcPr>
          <w:p>
            <w:pPr>
              <w:spacing w:line="240" w:lineRule="exact"/>
              <w:jc w:val="center"/>
              <w:rPr>
                <w:rFonts w:hint="eastAsia" w:ascii="Times New Roman" w:hAnsi="Times New Roman" w:cs="Times New Roman"/>
                <w:bCs/>
                <w:kern w:val="0"/>
                <w:sz w:val="17"/>
                <w:szCs w:val="17"/>
                <w:highlight w:val="none"/>
                <w:lang w:val="en-US" w:eastAsia="zh-CN"/>
              </w:rPr>
            </w:pPr>
          </w:p>
        </w:tc>
      </w:tr>
    </w:tbl>
    <w:p>
      <w:pPr>
        <w:spacing w:line="540" w:lineRule="exact"/>
        <w:ind w:firstLine="480" w:firstLineChars="200"/>
        <w:rPr>
          <w:sz w:val="24"/>
          <w:szCs w:val="24"/>
        </w:rPr>
      </w:pPr>
      <w:r>
        <w:rPr>
          <w:rFonts w:hint="eastAsia"/>
          <w:sz w:val="24"/>
          <w:szCs w:val="24"/>
        </w:rPr>
        <w:t>根据表9-</w:t>
      </w:r>
      <w:r>
        <w:rPr>
          <w:rFonts w:hint="eastAsia"/>
          <w:sz w:val="24"/>
          <w:szCs w:val="24"/>
          <w:lang w:val="en-US" w:eastAsia="zh-CN"/>
        </w:rPr>
        <w:t>3</w:t>
      </w:r>
      <w:r>
        <w:rPr>
          <w:rFonts w:hint="eastAsia"/>
          <w:sz w:val="24"/>
          <w:szCs w:val="24"/>
        </w:rPr>
        <w:t>可知，</w:t>
      </w:r>
      <w:r>
        <w:rPr>
          <w:bCs/>
          <w:sz w:val="24"/>
          <w:szCs w:val="24"/>
        </w:rPr>
        <w:t>验收监测期间</w:t>
      </w:r>
      <w:r>
        <w:rPr>
          <w:sz w:val="24"/>
          <w:szCs w:val="24"/>
        </w:rPr>
        <w:t>，</w:t>
      </w:r>
      <w:r>
        <w:rPr>
          <w:rFonts w:hint="eastAsia"/>
          <w:bCs/>
          <w:sz w:val="24"/>
          <w:szCs w:val="24"/>
          <w:lang w:eastAsia="zh-CN"/>
        </w:rPr>
        <w:t>重庆渝顺投资有限公司顺洁加油站</w:t>
      </w:r>
      <w:r>
        <w:rPr>
          <w:sz w:val="24"/>
          <w:szCs w:val="24"/>
        </w:rPr>
        <w:t>昼间</w:t>
      </w:r>
      <w:r>
        <w:rPr>
          <w:rFonts w:hint="eastAsia"/>
          <w:sz w:val="24"/>
          <w:szCs w:val="24"/>
        </w:rPr>
        <w:t>、</w:t>
      </w:r>
      <w:r>
        <w:rPr>
          <w:sz w:val="24"/>
          <w:szCs w:val="24"/>
        </w:rPr>
        <w:t>夜间外排厂界噪声符合《工业企业厂界环境噪声排放标准》（GB12348-2008）</w:t>
      </w:r>
      <w:r>
        <w:rPr>
          <w:rFonts w:hint="eastAsia"/>
          <w:sz w:val="24"/>
          <w:szCs w:val="24"/>
          <w:lang w:val="en-US" w:eastAsia="zh-CN"/>
        </w:rPr>
        <w:t>3</w:t>
      </w:r>
      <w:r>
        <w:rPr>
          <w:rFonts w:hint="eastAsia"/>
          <w:sz w:val="24"/>
          <w:szCs w:val="24"/>
        </w:rPr>
        <w:t>类</w:t>
      </w:r>
      <w:r>
        <w:rPr>
          <w:sz w:val="24"/>
          <w:szCs w:val="24"/>
        </w:rPr>
        <w:t>区标准。</w:t>
      </w:r>
    </w:p>
    <w:p>
      <w:pPr>
        <w:pStyle w:val="3"/>
        <w:tabs>
          <w:tab w:val="left" w:pos="541"/>
          <w:tab w:val="left" w:pos="576"/>
        </w:tabs>
      </w:pPr>
      <w:bookmarkStart w:id="189" w:name="_Toc3323"/>
      <w:bookmarkStart w:id="190" w:name="_Toc312829637"/>
      <w:bookmarkStart w:id="191" w:name="_Toc333501137"/>
      <w:bookmarkStart w:id="192" w:name="_Toc333501426"/>
      <w:bookmarkStart w:id="193" w:name="_Toc333588678"/>
      <w:r>
        <w:rPr>
          <w:rFonts w:hint="eastAsia" w:ascii="Times New Roman" w:hAnsi="Times New Roman"/>
          <w:lang w:val="en-US" w:eastAsia="zh-CN"/>
        </w:rPr>
        <w:t>9.3  污染物总量控制</w:t>
      </w:r>
      <w:bookmarkEnd w:id="189"/>
    </w:p>
    <w:p>
      <w:pPr>
        <w:pStyle w:val="1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000000" w:themeColor="text1"/>
          <w:kern w:val="0"/>
          <w:sz w:val="24"/>
          <w:szCs w:val="24"/>
          <w:highlight w:val="none"/>
          <w:lang w:val="en-US" w:eastAsia="zh-CN" w:bidi="ar-SA"/>
        </w:rPr>
      </w:pPr>
      <w:r>
        <w:rPr>
          <w:rFonts w:hint="eastAsia" w:ascii="Times New Roman" w:hAnsi="Times New Roman" w:eastAsia="宋体" w:cs="Times New Roman"/>
          <w:color w:val="000000" w:themeColor="text1"/>
          <w:kern w:val="0"/>
          <w:sz w:val="24"/>
          <w:szCs w:val="24"/>
          <w:highlight w:val="none"/>
          <w:lang w:val="en-US" w:eastAsia="zh-CN" w:bidi="ar-SA"/>
        </w:rPr>
        <w:t>实施污染物排放总量控制是污染控制的重要举措，污染物排放应在确保满足达标排放的前提下，同时满足区域的污染物排放总量控制目标</w:t>
      </w:r>
      <w:r>
        <w:rPr>
          <w:rFonts w:hint="eastAsia" w:ascii="Times New Roman" w:hAnsi="Times New Roman" w:cs="Times New Roman"/>
          <w:color w:val="000000" w:themeColor="text1"/>
          <w:kern w:val="0"/>
          <w:sz w:val="24"/>
          <w:szCs w:val="24"/>
          <w:highlight w:val="none"/>
          <w:lang w:val="en-US" w:eastAsia="zh-CN" w:bidi="ar-SA"/>
        </w:rPr>
        <w:t>。</w:t>
      </w:r>
    </w:p>
    <w:p>
      <w:pPr>
        <w:pStyle w:val="1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000000" w:themeColor="text1"/>
          <w:kern w:val="0"/>
          <w:sz w:val="24"/>
          <w:szCs w:val="24"/>
          <w:highlight w:val="none"/>
          <w:lang w:val="en-US" w:eastAsia="zh-CN" w:bidi="ar-SA"/>
        </w:rPr>
      </w:pPr>
      <w:r>
        <w:rPr>
          <w:rFonts w:hint="eastAsia" w:ascii="Times New Roman" w:hAnsi="Times New Roman" w:cs="Times New Roman"/>
          <w:color w:val="000000" w:themeColor="text1"/>
          <w:kern w:val="0"/>
          <w:sz w:val="24"/>
          <w:szCs w:val="24"/>
          <w:highlight w:val="none"/>
          <w:lang w:val="en-US" w:eastAsia="zh-CN" w:bidi="ar-SA"/>
        </w:rPr>
        <w:t>本项目污染物总量控制指标，COD：2.060t/a、NH3-N：0.044t/a，由验收实际监测数据可知，该项目总量控制指标实际排放量均在环保行政主管部门控制范围内，可以实现总量达标排放。</w:t>
      </w:r>
    </w:p>
    <w:p>
      <w:pPr>
        <w:widowControl/>
        <w:jc w:val="left"/>
        <w:rPr>
          <w:b/>
          <w:bCs/>
          <w:kern w:val="0"/>
          <w:sz w:val="36"/>
          <w:szCs w:val="20"/>
        </w:rPr>
      </w:pPr>
    </w:p>
    <w:p>
      <w:pPr>
        <w:widowControl/>
        <w:jc w:val="left"/>
        <w:rPr>
          <w:b/>
          <w:bCs/>
          <w:kern w:val="0"/>
          <w:sz w:val="36"/>
          <w:szCs w:val="20"/>
        </w:rPr>
      </w:pPr>
      <w:r>
        <w:rPr>
          <w:sz w:val="36"/>
        </w:rPr>
        <w:br w:type="page"/>
      </w:r>
    </w:p>
    <w:bookmarkEnd w:id="190"/>
    <w:bookmarkEnd w:id="191"/>
    <w:bookmarkEnd w:id="192"/>
    <w:bookmarkEnd w:id="193"/>
    <w:p>
      <w:pPr>
        <w:pStyle w:val="61"/>
        <w:spacing w:beforeLines="50"/>
        <w:rPr>
          <w:rFonts w:hint="eastAsia" w:ascii="Times New Roman" w:hAnsi="Times New Roman" w:cs="Times New Roman"/>
          <w:sz w:val="36"/>
        </w:rPr>
      </w:pPr>
      <w:bookmarkStart w:id="194" w:name="_Toc312829648"/>
      <w:bookmarkStart w:id="195" w:name="_Toc333588688"/>
      <w:bookmarkStart w:id="196" w:name="_Toc333501147"/>
      <w:bookmarkStart w:id="197" w:name="_Toc333501436"/>
      <w:bookmarkStart w:id="198" w:name="_Toc20176"/>
      <w:r>
        <w:rPr>
          <w:rFonts w:hint="eastAsia" w:ascii="Times New Roman" w:hAnsi="Times New Roman" w:cs="Times New Roman"/>
          <w:sz w:val="36"/>
        </w:rPr>
        <w:t>10 验收监测结论</w:t>
      </w:r>
      <w:bookmarkEnd w:id="194"/>
      <w:bookmarkEnd w:id="195"/>
      <w:bookmarkEnd w:id="196"/>
      <w:bookmarkEnd w:id="197"/>
      <w:bookmarkEnd w:id="198"/>
    </w:p>
    <w:p>
      <w:pPr>
        <w:spacing w:line="540" w:lineRule="exact"/>
        <w:ind w:firstLine="464" w:firstLineChars="200"/>
        <w:rPr>
          <w:bCs/>
          <w:spacing w:val="-4"/>
          <w:sz w:val="28"/>
          <w:szCs w:val="28"/>
        </w:rPr>
      </w:pPr>
      <w:r>
        <w:rPr>
          <w:rFonts w:hint="eastAsia"/>
          <w:spacing w:val="-4"/>
          <w:sz w:val="24"/>
          <w:szCs w:val="24"/>
          <w:lang w:eastAsia="zh-CN"/>
        </w:rPr>
        <w:t>重庆渝顺投资有限公司顺洁加油站</w:t>
      </w:r>
      <w:r>
        <w:rPr>
          <w:spacing w:val="-4"/>
          <w:sz w:val="24"/>
          <w:szCs w:val="24"/>
        </w:rPr>
        <w:t>项目</w:t>
      </w:r>
      <w:r>
        <w:rPr>
          <w:bCs/>
          <w:color w:val="000000"/>
          <w:spacing w:val="-4"/>
          <w:sz w:val="24"/>
          <w:szCs w:val="24"/>
        </w:rPr>
        <w:t>在建</w:t>
      </w:r>
      <w:r>
        <w:rPr>
          <w:spacing w:val="-4"/>
          <w:sz w:val="24"/>
          <w:szCs w:val="24"/>
        </w:rPr>
        <w:t>设过程</w:t>
      </w:r>
      <w:r>
        <w:rPr>
          <w:bCs/>
          <w:spacing w:val="-4"/>
          <w:sz w:val="24"/>
          <w:szCs w:val="24"/>
        </w:rPr>
        <w:t>中严格执行建设项目</w:t>
      </w:r>
      <w:r>
        <w:rPr>
          <w:rFonts w:hint="eastAsia"/>
          <w:bCs/>
          <w:spacing w:val="-4"/>
          <w:sz w:val="24"/>
          <w:szCs w:val="24"/>
          <w:lang w:eastAsia="zh-CN"/>
        </w:rPr>
        <w:t>“</w:t>
      </w:r>
      <w:r>
        <w:rPr>
          <w:bCs/>
          <w:spacing w:val="-4"/>
          <w:sz w:val="24"/>
          <w:szCs w:val="24"/>
        </w:rPr>
        <w:t>三同时</w:t>
      </w:r>
      <w:r>
        <w:rPr>
          <w:rFonts w:hint="eastAsia"/>
          <w:bCs/>
          <w:spacing w:val="-4"/>
          <w:sz w:val="24"/>
          <w:szCs w:val="24"/>
          <w:lang w:eastAsia="zh-CN"/>
        </w:rPr>
        <w:t>”</w:t>
      </w:r>
      <w:r>
        <w:rPr>
          <w:bCs/>
          <w:spacing w:val="-4"/>
          <w:sz w:val="24"/>
          <w:szCs w:val="24"/>
        </w:rPr>
        <w:t>环保政策，做到了环保设施与主体工程同时设计、同时施工、同时投入运行。</w:t>
      </w:r>
    </w:p>
    <w:p>
      <w:pPr>
        <w:pStyle w:val="62"/>
        <w:rPr>
          <w:rFonts w:cs="Times New Roman"/>
          <w:sz w:val="32"/>
        </w:rPr>
      </w:pPr>
      <w:bookmarkStart w:id="199" w:name="_Toc30128"/>
      <w:r>
        <w:rPr>
          <w:rFonts w:cs="Times New Roman"/>
          <w:sz w:val="32"/>
        </w:rPr>
        <w:t>10.1</w:t>
      </w:r>
      <w:r>
        <w:rPr>
          <w:rFonts w:hint="eastAsia" w:cs="Times New Roman"/>
          <w:sz w:val="32"/>
        </w:rPr>
        <w:t>环境保护设施调试效果</w:t>
      </w:r>
      <w:bookmarkEnd w:id="199"/>
    </w:p>
    <w:p>
      <w:pPr>
        <w:spacing w:line="540" w:lineRule="exact"/>
        <w:ind w:firstLine="480" w:firstLineChars="200"/>
        <w:rPr>
          <w:sz w:val="24"/>
          <w:szCs w:val="24"/>
        </w:rPr>
      </w:pPr>
      <w:r>
        <w:rPr>
          <w:sz w:val="24"/>
          <w:szCs w:val="24"/>
        </w:rPr>
        <w:t>1、废水</w:t>
      </w:r>
    </w:p>
    <w:p>
      <w:pPr>
        <w:adjustRightInd w:val="0"/>
        <w:snapToGrid w:val="0"/>
        <w:spacing w:line="540" w:lineRule="exact"/>
        <w:ind w:firstLine="480" w:firstLineChars="200"/>
        <w:rPr>
          <w:sz w:val="24"/>
          <w:szCs w:val="24"/>
        </w:rPr>
      </w:pPr>
      <w:r>
        <w:rPr>
          <w:bCs/>
          <w:sz w:val="24"/>
          <w:szCs w:val="24"/>
        </w:rPr>
        <w:t>验收监测期间，</w:t>
      </w:r>
      <w:r>
        <w:rPr>
          <w:rFonts w:hint="eastAsia"/>
          <w:bCs/>
          <w:sz w:val="24"/>
          <w:szCs w:val="24"/>
          <w:lang w:eastAsia="zh-CN"/>
        </w:rPr>
        <w:t>重庆渝顺投资有限公司顺洁加油站外排废水COD、BOD5、SS、石油类排放浓度能够满足《污水综合排放标准》（GB8978-1996）三级标准限值要求，氨氮满足《污水排入城镇下水道水质标准》（GB/T 31962-2015）表 1.B 级标准</w:t>
      </w:r>
      <w:r>
        <w:rPr>
          <w:rFonts w:hint="eastAsia"/>
          <w:sz w:val="24"/>
          <w:szCs w:val="24"/>
        </w:rPr>
        <w:t>。</w:t>
      </w:r>
    </w:p>
    <w:p>
      <w:pPr>
        <w:spacing w:line="540" w:lineRule="exact"/>
        <w:ind w:firstLine="480" w:firstLineChars="200"/>
        <w:rPr>
          <w:sz w:val="24"/>
          <w:szCs w:val="24"/>
        </w:rPr>
      </w:pPr>
      <w:r>
        <w:rPr>
          <w:sz w:val="24"/>
          <w:szCs w:val="24"/>
        </w:rPr>
        <w:t>2、废气</w:t>
      </w:r>
    </w:p>
    <w:p>
      <w:pPr>
        <w:spacing w:line="540" w:lineRule="exact"/>
        <w:ind w:firstLine="480" w:firstLineChars="200"/>
        <w:rPr>
          <w:sz w:val="24"/>
          <w:szCs w:val="24"/>
        </w:rPr>
      </w:pPr>
      <w:r>
        <w:rPr>
          <w:rFonts w:hint="eastAsia"/>
          <w:sz w:val="24"/>
          <w:szCs w:val="24"/>
        </w:rPr>
        <w:t>验收监测期间，</w:t>
      </w:r>
      <w:r>
        <w:rPr>
          <w:rFonts w:hint="eastAsia"/>
          <w:bCs/>
          <w:sz w:val="24"/>
          <w:szCs w:val="24"/>
          <w:lang w:eastAsia="zh-CN"/>
        </w:rPr>
        <w:t>重庆渝顺投资有限公司顺洁加油站厂界无组织排放废气非甲烷总烃符合《加油站大气污染物排放标准》（GB 20952-2020）表 3</w:t>
      </w:r>
      <w:r>
        <w:rPr>
          <w:rFonts w:hint="eastAsia"/>
          <w:bCs/>
          <w:sz w:val="24"/>
          <w:szCs w:val="24"/>
        </w:rPr>
        <w:t>。</w:t>
      </w:r>
    </w:p>
    <w:p>
      <w:pPr>
        <w:spacing w:line="540" w:lineRule="exact"/>
        <w:ind w:firstLine="480" w:firstLineChars="200"/>
        <w:rPr>
          <w:sz w:val="24"/>
          <w:szCs w:val="24"/>
        </w:rPr>
      </w:pPr>
      <w:r>
        <w:rPr>
          <w:sz w:val="24"/>
          <w:szCs w:val="24"/>
        </w:rPr>
        <w:t>3、噪声</w:t>
      </w:r>
    </w:p>
    <w:p>
      <w:pPr>
        <w:spacing w:line="540" w:lineRule="exact"/>
        <w:ind w:firstLine="480" w:firstLineChars="200"/>
        <w:rPr>
          <w:sz w:val="24"/>
          <w:szCs w:val="24"/>
        </w:rPr>
      </w:pPr>
      <w:r>
        <w:rPr>
          <w:rFonts w:hint="eastAsia"/>
          <w:sz w:val="24"/>
          <w:szCs w:val="24"/>
        </w:rPr>
        <w:t>验收监测期间，</w:t>
      </w:r>
      <w:r>
        <w:rPr>
          <w:rFonts w:hint="eastAsia"/>
          <w:bCs/>
          <w:sz w:val="24"/>
          <w:szCs w:val="24"/>
          <w:lang w:eastAsia="zh-CN"/>
        </w:rPr>
        <w:t>重庆渝顺投资有限公司顺洁加油站</w:t>
      </w:r>
      <w:r>
        <w:rPr>
          <w:rFonts w:hint="eastAsia"/>
          <w:sz w:val="24"/>
          <w:szCs w:val="24"/>
        </w:rPr>
        <w:t>昼间、夜间</w:t>
      </w:r>
      <w:r>
        <w:rPr>
          <w:sz w:val="24"/>
          <w:szCs w:val="24"/>
        </w:rPr>
        <w:t>外排厂界噪声符合《工业企业厂界环境噪声排放标准》（GB12348-2008）</w:t>
      </w:r>
      <w:r>
        <w:rPr>
          <w:rFonts w:hint="eastAsia"/>
          <w:sz w:val="24"/>
          <w:szCs w:val="24"/>
          <w:lang w:val="en-US" w:eastAsia="zh-CN"/>
        </w:rPr>
        <w:t>3</w:t>
      </w:r>
      <w:r>
        <w:rPr>
          <w:rFonts w:hint="eastAsia"/>
          <w:sz w:val="24"/>
          <w:szCs w:val="24"/>
        </w:rPr>
        <w:t>类</w:t>
      </w:r>
      <w:r>
        <w:rPr>
          <w:sz w:val="24"/>
          <w:szCs w:val="24"/>
        </w:rPr>
        <w:t>区标准。</w:t>
      </w:r>
    </w:p>
    <w:p>
      <w:pPr>
        <w:spacing w:line="540" w:lineRule="exact"/>
        <w:ind w:firstLine="480" w:firstLineChars="200"/>
        <w:rPr>
          <w:sz w:val="24"/>
          <w:szCs w:val="24"/>
        </w:rPr>
      </w:pPr>
      <w:r>
        <w:rPr>
          <w:sz w:val="24"/>
          <w:szCs w:val="24"/>
        </w:rPr>
        <w:t>4、固体废物</w:t>
      </w:r>
    </w:p>
    <w:p>
      <w:pPr>
        <w:adjustRightInd w:val="0"/>
        <w:snapToGrid w:val="0"/>
        <w:spacing w:line="540" w:lineRule="exact"/>
        <w:ind w:firstLine="480" w:firstLineChars="200"/>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lang w:eastAsia="zh-CN"/>
        </w:rPr>
        <w:t>本项目产生的固体废物包括包括生活垃圾、生化池污泥、便利店包装废物、危险废物。</w:t>
      </w:r>
    </w:p>
    <w:p>
      <w:pPr>
        <w:adjustRightInd w:val="0"/>
        <w:snapToGrid w:val="0"/>
        <w:spacing w:line="540" w:lineRule="exact"/>
        <w:ind w:firstLine="480" w:firstLineChars="200"/>
        <w:rPr>
          <w:bCs/>
          <w:sz w:val="24"/>
          <w:szCs w:val="24"/>
        </w:rPr>
      </w:pPr>
      <w:r>
        <w:rPr>
          <w:rFonts w:hint="eastAsia" w:asciiTheme="minorEastAsia" w:hAnsiTheme="minorEastAsia" w:eastAsiaTheme="minorEastAsia"/>
          <w:sz w:val="24"/>
          <w:szCs w:val="24"/>
          <w:lang w:eastAsia="zh-CN"/>
        </w:rPr>
        <w:t>油罐清洗废物、隔油池油泥、废油、含油棉纱及手套、油水混合物等危险废物暂存于铁桶内，定期交有危废资质单位处理；生活垃圾由环卫部门收集后处理，生化池污泥由由指定单位定期清掏并送城市生活垃圾填埋场处置</w:t>
      </w:r>
      <w:r>
        <w:rPr>
          <w:rFonts w:hint="eastAsia" w:asciiTheme="minorEastAsia" w:hAnsiTheme="minorEastAsia" w:eastAsiaTheme="minorEastAsia"/>
          <w:bCs/>
          <w:sz w:val="24"/>
          <w:szCs w:val="24"/>
        </w:rPr>
        <w:t>。</w:t>
      </w:r>
    </w:p>
    <w:p>
      <w:pPr>
        <w:spacing w:line="540" w:lineRule="exact"/>
        <w:ind w:firstLine="480" w:firstLineChars="200"/>
        <w:rPr>
          <w:sz w:val="24"/>
          <w:szCs w:val="24"/>
        </w:rPr>
      </w:pPr>
      <w:r>
        <w:rPr>
          <w:rFonts w:hint="eastAsia"/>
          <w:sz w:val="24"/>
          <w:szCs w:val="24"/>
        </w:rPr>
        <w:t>本项目</w:t>
      </w:r>
      <w:r>
        <w:rPr>
          <w:sz w:val="24"/>
          <w:szCs w:val="24"/>
        </w:rPr>
        <w:t>固体废物</w:t>
      </w:r>
      <w:r>
        <w:rPr>
          <w:rFonts w:hint="eastAsia"/>
          <w:sz w:val="24"/>
          <w:szCs w:val="24"/>
        </w:rPr>
        <w:t>处理措施落实了</w:t>
      </w:r>
      <w:r>
        <w:rPr>
          <w:sz w:val="24"/>
          <w:szCs w:val="24"/>
        </w:rPr>
        <w:t>环评报告</w:t>
      </w:r>
      <w:r>
        <w:rPr>
          <w:rFonts w:hint="eastAsia"/>
          <w:sz w:val="24"/>
          <w:szCs w:val="24"/>
          <w:lang w:eastAsia="zh-CN"/>
        </w:rPr>
        <w:t>表</w:t>
      </w:r>
      <w:r>
        <w:rPr>
          <w:sz w:val="24"/>
          <w:szCs w:val="24"/>
        </w:rPr>
        <w:t>及环评批复要求。</w:t>
      </w:r>
    </w:p>
    <w:p>
      <w:pPr>
        <w:numPr>
          <w:ilvl w:val="0"/>
          <w:numId w:val="3"/>
        </w:numPr>
        <w:spacing w:line="540" w:lineRule="exact"/>
        <w:ind w:firstLine="480" w:firstLineChars="200"/>
        <w:rPr>
          <w:rFonts w:hint="eastAsia"/>
          <w:sz w:val="24"/>
          <w:szCs w:val="24"/>
          <w:lang w:val="en-US" w:eastAsia="zh-CN"/>
        </w:rPr>
      </w:pPr>
      <w:r>
        <w:rPr>
          <w:rFonts w:hint="eastAsia"/>
          <w:sz w:val="24"/>
          <w:szCs w:val="24"/>
          <w:lang w:val="en-US" w:eastAsia="zh-CN"/>
        </w:rPr>
        <w:t>其他</w:t>
      </w:r>
    </w:p>
    <w:p>
      <w:pPr>
        <w:spacing w:line="540" w:lineRule="exact"/>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该项目主要从事</w:t>
      </w:r>
      <w:r>
        <w:rPr>
          <w:rFonts w:hint="eastAsia" w:ascii="Times New Roman" w:hAnsi="Times New Roman" w:eastAsia="宋体" w:cs="Times New Roman"/>
          <w:bCs/>
          <w:sz w:val="24"/>
          <w:szCs w:val="24"/>
          <w:lang w:eastAsia="zh-CN"/>
        </w:rPr>
        <w:t>机动车燃油零售项目</w:t>
      </w:r>
      <w:r>
        <w:rPr>
          <w:rFonts w:hint="eastAsia" w:ascii="Times New Roman" w:hAnsi="Times New Roman" w:eastAsia="宋体" w:cs="Times New Roman"/>
          <w:bCs/>
          <w:sz w:val="24"/>
          <w:szCs w:val="24"/>
          <w:lang w:val="en-US" w:eastAsia="zh-CN"/>
        </w:rPr>
        <w:t>，行业划分属于汽车、摩托车、零配件和燃料及其他动力销售 526，位于城市建成区的加油站，根据固定污染源排污许可证分类管理名录（2019 年版）的相关要求，属于简化管理，需要办理排污许可证。企业于2024年</w:t>
      </w:r>
      <w:r>
        <w:rPr>
          <w:rFonts w:hint="eastAsia" w:cs="Times New Roman"/>
          <w:bCs/>
          <w:sz w:val="24"/>
          <w:szCs w:val="24"/>
          <w:lang w:val="en-US" w:eastAsia="zh-CN"/>
        </w:rPr>
        <w:t>2</w:t>
      </w:r>
      <w:r>
        <w:rPr>
          <w:rFonts w:hint="eastAsia" w:ascii="Times New Roman" w:hAnsi="Times New Roman" w:eastAsia="宋体" w:cs="Times New Roman"/>
          <w:bCs/>
          <w:sz w:val="24"/>
          <w:szCs w:val="24"/>
          <w:lang w:val="en-US" w:eastAsia="zh-CN"/>
        </w:rPr>
        <w:t>月</w:t>
      </w:r>
      <w:r>
        <w:rPr>
          <w:rFonts w:hint="eastAsia" w:cs="Times New Roman"/>
          <w:bCs/>
          <w:sz w:val="24"/>
          <w:szCs w:val="24"/>
          <w:lang w:val="en-US" w:eastAsia="zh-CN"/>
        </w:rPr>
        <w:t>1</w:t>
      </w:r>
      <w:r>
        <w:rPr>
          <w:rFonts w:hint="eastAsia" w:ascii="Times New Roman" w:hAnsi="Times New Roman" w:eastAsia="宋体" w:cs="Times New Roman"/>
          <w:bCs/>
          <w:sz w:val="24"/>
          <w:szCs w:val="24"/>
          <w:lang w:val="en-US" w:eastAsia="zh-CN"/>
        </w:rPr>
        <w:t>日审批通过排污许可证。许可证编号：</w:t>
      </w:r>
      <w:r>
        <w:rPr>
          <w:rFonts w:hint="eastAsia" w:cs="Times New Roman"/>
          <w:bCs/>
          <w:sz w:val="24"/>
          <w:szCs w:val="24"/>
          <w:lang w:val="en-US" w:eastAsia="zh-CN"/>
        </w:rPr>
        <w:t>91500116MADAKQ640L001U</w:t>
      </w:r>
      <w:r>
        <w:rPr>
          <w:rFonts w:hint="eastAsia" w:ascii="Times New Roman" w:hAnsi="Times New Roman" w:eastAsia="宋体" w:cs="Times New Roman"/>
          <w:bCs/>
          <w:sz w:val="24"/>
          <w:szCs w:val="24"/>
          <w:lang w:val="en-US" w:eastAsia="zh-CN"/>
        </w:rPr>
        <w:t>。项目在建设及试生产期间没有居民投诉。</w:t>
      </w:r>
    </w:p>
    <w:p>
      <w:pPr>
        <w:pStyle w:val="62"/>
        <w:rPr>
          <w:rFonts w:cs="Times New Roman"/>
          <w:sz w:val="32"/>
        </w:rPr>
      </w:pPr>
      <w:bookmarkStart w:id="200" w:name="_Toc5285"/>
      <w:r>
        <w:rPr>
          <w:rFonts w:cs="Times New Roman"/>
          <w:sz w:val="32"/>
        </w:rPr>
        <w:t>10.</w:t>
      </w:r>
      <w:r>
        <w:rPr>
          <w:rFonts w:hint="eastAsia" w:cs="Times New Roman"/>
          <w:sz w:val="32"/>
        </w:rPr>
        <w:t>2</w:t>
      </w:r>
      <w:r>
        <w:rPr>
          <w:rFonts w:cs="Times New Roman"/>
          <w:sz w:val="32"/>
        </w:rPr>
        <w:t>环境风险措施检查结论</w:t>
      </w:r>
      <w:bookmarkEnd w:id="200"/>
    </w:p>
    <w:p>
      <w:pPr>
        <w:adjustRightInd w:val="0"/>
        <w:snapToGrid w:val="0"/>
        <w:spacing w:line="540" w:lineRule="exact"/>
        <w:ind w:firstLine="480" w:firstLineChars="200"/>
        <w:rPr>
          <w:rFonts w:hAnsiTheme="minorEastAsia" w:eastAsiaTheme="minorEastAsia"/>
          <w:bCs/>
          <w:sz w:val="28"/>
          <w:szCs w:val="28"/>
        </w:rPr>
      </w:pPr>
      <w:r>
        <w:rPr>
          <w:rFonts w:hint="eastAsia" w:asciiTheme="minorEastAsia" w:hAnsiTheme="minorEastAsia" w:eastAsiaTheme="minorEastAsia"/>
          <w:bCs/>
          <w:sz w:val="24"/>
          <w:szCs w:val="24"/>
        </w:rPr>
        <w:t>本项目编制了《突发环境事件应急预案》、《突发环境事件风险评估报告》确保事故发生时能够得到及时有效的处理。本项目油罐均为双层油罐，设置了液位仪和测漏仪，若油罐破裂，油品泄漏在罐内，不会外泄，同时终端会声音报警，罐池采用防渗钢筋混凝土整体浇筑，能有效防止事故的发生。本项目配</w:t>
      </w:r>
      <w:r>
        <w:rPr>
          <w:rFonts w:hAnsiTheme="minorEastAsia" w:eastAsiaTheme="minorEastAsia"/>
          <w:bCs/>
          <w:sz w:val="24"/>
          <w:szCs w:val="24"/>
        </w:rPr>
        <w:t>备应急物资与装备</w:t>
      </w:r>
      <w:r>
        <w:rPr>
          <w:rFonts w:hint="eastAsia" w:hAnsiTheme="minorEastAsia" w:eastAsiaTheme="minorEastAsia"/>
          <w:bCs/>
          <w:sz w:val="24"/>
          <w:szCs w:val="24"/>
        </w:rPr>
        <w:t>，事故发生时能够得到及时有效的处理。</w:t>
      </w:r>
    </w:p>
    <w:p>
      <w:pPr>
        <w:pStyle w:val="62"/>
        <w:rPr>
          <w:rFonts w:cs="Times New Roman"/>
          <w:sz w:val="32"/>
        </w:rPr>
      </w:pPr>
      <w:bookmarkStart w:id="201" w:name="_Toc13049"/>
      <w:r>
        <w:rPr>
          <w:rFonts w:cs="Times New Roman"/>
          <w:sz w:val="32"/>
        </w:rPr>
        <w:t>10.</w:t>
      </w:r>
      <w:r>
        <w:rPr>
          <w:rFonts w:hint="eastAsia" w:cs="Times New Roman"/>
          <w:sz w:val="32"/>
        </w:rPr>
        <w:t>3综合结论</w:t>
      </w:r>
      <w:bookmarkEnd w:id="201"/>
    </w:p>
    <w:p>
      <w:pPr>
        <w:adjustRightInd w:val="0"/>
        <w:snapToGrid w:val="0"/>
        <w:spacing w:line="540" w:lineRule="exact"/>
        <w:ind w:firstLine="480" w:firstLineChars="200"/>
        <w:rPr>
          <w:rFonts w:asciiTheme="minorEastAsia" w:hAnsiTheme="minorEastAsia" w:eastAsiaTheme="minorEastAsia"/>
          <w:bCs/>
          <w:sz w:val="28"/>
          <w:szCs w:val="28"/>
        </w:rPr>
      </w:pPr>
      <w:r>
        <w:rPr>
          <w:rFonts w:hint="eastAsia"/>
          <w:bCs/>
          <w:sz w:val="24"/>
          <w:szCs w:val="24"/>
          <w:lang w:eastAsia="zh-CN"/>
        </w:rPr>
        <w:t>重庆渝顺投资有限公司顺洁加油站</w:t>
      </w:r>
      <w:r>
        <w:rPr>
          <w:rFonts w:asciiTheme="minorEastAsia" w:hAnsiTheme="minorEastAsia" w:eastAsiaTheme="minorEastAsia"/>
          <w:bCs/>
          <w:sz w:val="24"/>
          <w:szCs w:val="24"/>
        </w:rPr>
        <w:t>建设前环境保护审查、审批手续完备，工程在设计、施工和营运过程中采取的污染防治措施有效，环境保护设施及其他措施已基本按批准的环境影响报告</w:t>
      </w:r>
      <w:r>
        <w:rPr>
          <w:rFonts w:hint="eastAsia" w:asciiTheme="minorEastAsia" w:hAnsiTheme="minorEastAsia" w:eastAsiaTheme="minorEastAsia"/>
          <w:bCs/>
          <w:sz w:val="24"/>
          <w:szCs w:val="24"/>
        </w:rPr>
        <w:t>表</w:t>
      </w:r>
      <w:r>
        <w:rPr>
          <w:rFonts w:asciiTheme="minorEastAsia" w:hAnsiTheme="minorEastAsia" w:eastAsiaTheme="minorEastAsia"/>
          <w:bCs/>
          <w:sz w:val="24"/>
          <w:szCs w:val="24"/>
        </w:rPr>
        <w:t>的要求落实，达到环评和环保局批复提出的环境保护和管理要求，</w:t>
      </w:r>
      <w:r>
        <w:rPr>
          <w:rFonts w:hint="eastAsia" w:asciiTheme="minorEastAsia" w:hAnsiTheme="minorEastAsia" w:eastAsiaTheme="minorEastAsia"/>
          <w:bCs/>
          <w:sz w:val="24"/>
          <w:szCs w:val="24"/>
        </w:rPr>
        <w:t>试运营期间</w:t>
      </w:r>
      <w:r>
        <w:rPr>
          <w:rFonts w:asciiTheme="minorEastAsia" w:hAnsiTheme="minorEastAsia" w:eastAsiaTheme="minorEastAsia"/>
          <w:bCs/>
          <w:sz w:val="24"/>
          <w:szCs w:val="24"/>
        </w:rPr>
        <w:t>无污染投诉</w:t>
      </w:r>
      <w:r>
        <w:rPr>
          <w:rFonts w:hint="eastAsia" w:asciiTheme="minorEastAsia" w:hAnsiTheme="minorEastAsia" w:eastAsiaTheme="minorEastAsia"/>
          <w:bCs/>
          <w:sz w:val="24"/>
          <w:szCs w:val="24"/>
        </w:rPr>
        <w:t>，建议通过本项目环境保护竣工验收。</w:t>
      </w:r>
    </w:p>
    <w:p>
      <w:pPr>
        <w:pStyle w:val="62"/>
        <w:rPr>
          <w:rFonts w:cs="Times New Roman"/>
          <w:sz w:val="32"/>
        </w:rPr>
      </w:pPr>
      <w:bookmarkStart w:id="202" w:name="_Toc1176"/>
      <w:r>
        <w:rPr>
          <w:rFonts w:cs="Times New Roman"/>
          <w:sz w:val="32"/>
        </w:rPr>
        <w:t>10.</w:t>
      </w:r>
      <w:r>
        <w:rPr>
          <w:rFonts w:hint="eastAsia" w:cs="Times New Roman"/>
          <w:sz w:val="32"/>
        </w:rPr>
        <w:t>4建议</w:t>
      </w:r>
      <w:bookmarkEnd w:id="202"/>
    </w:p>
    <w:p>
      <w:pPr>
        <w:adjustRightInd w:val="0"/>
        <w:snapToGrid w:val="0"/>
        <w:spacing w:line="540" w:lineRule="exact"/>
        <w:ind w:firstLine="480" w:firstLineChars="200"/>
        <w:rPr>
          <w:sz w:val="24"/>
          <w:szCs w:val="24"/>
        </w:rPr>
      </w:pPr>
      <w:r>
        <w:rPr>
          <w:sz w:val="24"/>
          <w:szCs w:val="24"/>
        </w:rPr>
        <w:t>（</w:t>
      </w:r>
      <w:r>
        <w:rPr>
          <w:rFonts w:hint="eastAsia"/>
          <w:sz w:val="24"/>
          <w:szCs w:val="24"/>
        </w:rPr>
        <w:t>1</w:t>
      </w:r>
      <w:r>
        <w:rPr>
          <w:sz w:val="24"/>
          <w:szCs w:val="24"/>
        </w:rPr>
        <w:t>）</w:t>
      </w:r>
      <w:r>
        <w:rPr>
          <w:rFonts w:hint="eastAsia"/>
          <w:sz w:val="24"/>
          <w:szCs w:val="24"/>
        </w:rPr>
        <w:t>加强厂区绿化，减少外环境对本项目的影响。</w:t>
      </w:r>
    </w:p>
    <w:p>
      <w:pPr>
        <w:adjustRightInd w:val="0"/>
        <w:snapToGrid w:val="0"/>
        <w:spacing w:line="540" w:lineRule="exact"/>
        <w:ind w:firstLine="480" w:firstLineChars="200"/>
        <w:rPr>
          <w:sz w:val="24"/>
          <w:szCs w:val="24"/>
        </w:rPr>
      </w:pPr>
      <w:r>
        <w:rPr>
          <w:rFonts w:hint="eastAsia"/>
          <w:sz w:val="24"/>
          <w:szCs w:val="24"/>
        </w:rPr>
        <w:t>（2）加强环保设施的运行管理和维护，确保环保设施处于良好运行状态，以保证污染治理设施的处理效果。</w:t>
      </w:r>
    </w:p>
    <w:p>
      <w:pPr>
        <w:adjustRightInd w:val="0"/>
        <w:snapToGrid w:val="0"/>
        <w:spacing w:line="540" w:lineRule="exact"/>
        <w:ind w:firstLine="480" w:firstLineChars="200"/>
        <w:rPr>
          <w:sz w:val="24"/>
          <w:szCs w:val="24"/>
        </w:rPr>
      </w:pPr>
      <w:r>
        <w:rPr>
          <w:rFonts w:hint="eastAsia"/>
          <w:sz w:val="24"/>
          <w:szCs w:val="24"/>
        </w:rPr>
        <w:t>（3）制定环境管理制度，提高工作人员的环境保护意识。</w:t>
      </w:r>
    </w:p>
    <w:p>
      <w:pPr>
        <w:adjustRightInd w:val="0"/>
        <w:snapToGrid w:val="0"/>
        <w:spacing w:line="540" w:lineRule="exact"/>
        <w:ind w:firstLine="480" w:firstLineChars="200"/>
        <w:rPr>
          <w:rFonts w:hint="eastAsia" w:eastAsia="宋体"/>
          <w:sz w:val="36"/>
          <w:lang w:eastAsia="zh-CN"/>
        </w:rPr>
        <w:sectPr>
          <w:pgSz w:w="11906" w:h="16838"/>
          <w:pgMar w:top="1701" w:right="1418" w:bottom="1701" w:left="1418" w:header="851" w:footer="992" w:gutter="0"/>
          <w:cols w:space="425" w:num="1"/>
          <w:docGrid w:type="lines" w:linePitch="312" w:charSpace="0"/>
        </w:sectPr>
      </w:pPr>
      <w:r>
        <w:rPr>
          <w:rFonts w:hint="eastAsia"/>
          <w:sz w:val="24"/>
          <w:szCs w:val="24"/>
        </w:rPr>
        <w:t>（4）做好危险废物的临时储存，严格执行</w:t>
      </w:r>
      <w:r>
        <w:rPr>
          <w:sz w:val="24"/>
          <w:szCs w:val="24"/>
        </w:rPr>
        <w:t>《危险废物贮存污染控制标准》（</w:t>
      </w:r>
      <w:r>
        <w:rPr>
          <w:rFonts w:hint="eastAsia"/>
          <w:sz w:val="24"/>
          <w:szCs w:val="24"/>
        </w:rPr>
        <w:t>GB18597-2023</w:t>
      </w:r>
      <w:r>
        <w:rPr>
          <w:sz w:val="24"/>
          <w:szCs w:val="24"/>
        </w:rPr>
        <w:t>）</w:t>
      </w:r>
      <w:r>
        <w:rPr>
          <w:rFonts w:hint="eastAsia"/>
          <w:sz w:val="24"/>
          <w:szCs w:val="24"/>
          <w:lang w:eastAsia="zh-CN"/>
        </w:rPr>
        <w:t>。</w:t>
      </w:r>
    </w:p>
    <w:p>
      <w:pPr>
        <w:widowControl/>
        <w:spacing w:line="360" w:lineRule="auto"/>
        <w:ind w:firstLine="560" w:firstLineChars="200"/>
        <w:rPr>
          <w:rFonts w:hint="eastAsia" w:ascii="Times New Roman" w:hAnsi="Times New Roman" w:eastAsia="宋体" w:cs="Times New Roman"/>
          <w:b/>
          <w:color w:val="auto"/>
          <w:sz w:val="28"/>
          <w:szCs w:val="22"/>
          <w:lang w:eastAsia="zh-CN"/>
        </w:rPr>
      </w:pPr>
      <w:r>
        <w:rPr>
          <w:rFonts w:hint="eastAsia" w:ascii="Times New Roman" w:hAnsi="Times New Roman" w:eastAsia="宋体" w:cs="Times New Roman"/>
          <w:b/>
          <w:color w:val="auto"/>
          <w:sz w:val="28"/>
          <w:szCs w:val="22"/>
          <w:lang w:eastAsia="zh-CN"/>
        </w:rPr>
        <w:t>附图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sz w:val="24"/>
          <w:szCs w:val="24"/>
        </w:rPr>
      </w:pPr>
      <w:r>
        <w:rPr>
          <w:bCs/>
          <w:sz w:val="24"/>
          <w:szCs w:val="24"/>
        </w:rPr>
        <w:t>附图1：项目地理位置图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sz w:val="24"/>
          <w:szCs w:val="24"/>
        </w:rPr>
      </w:pPr>
      <w:r>
        <w:rPr>
          <w:bCs/>
          <w:sz w:val="24"/>
          <w:szCs w:val="24"/>
        </w:rPr>
        <w:t>附图</w:t>
      </w:r>
      <w:r>
        <w:rPr>
          <w:rFonts w:hint="eastAsia"/>
          <w:bCs/>
          <w:sz w:val="24"/>
          <w:szCs w:val="24"/>
          <w:lang w:val="en-US" w:eastAsia="zh-CN"/>
        </w:rPr>
        <w:t>2</w:t>
      </w:r>
      <w:r>
        <w:rPr>
          <w:bCs/>
          <w:sz w:val="24"/>
          <w:szCs w:val="24"/>
        </w:rPr>
        <w:t>：项目</w:t>
      </w:r>
      <w:r>
        <w:rPr>
          <w:rFonts w:hint="eastAsia"/>
          <w:bCs/>
          <w:sz w:val="24"/>
          <w:szCs w:val="24"/>
        </w:rPr>
        <w:t>总平面布置图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sz w:val="24"/>
          <w:szCs w:val="24"/>
        </w:rPr>
      </w:pPr>
      <w:r>
        <w:rPr>
          <w:bCs/>
          <w:sz w:val="24"/>
          <w:szCs w:val="24"/>
        </w:rPr>
        <w:t>附图</w:t>
      </w:r>
      <w:r>
        <w:rPr>
          <w:rFonts w:hint="eastAsia"/>
          <w:bCs/>
          <w:sz w:val="24"/>
          <w:szCs w:val="24"/>
          <w:lang w:val="en-US" w:eastAsia="zh-CN"/>
        </w:rPr>
        <w:t>3</w:t>
      </w:r>
      <w:r>
        <w:rPr>
          <w:bCs/>
          <w:sz w:val="24"/>
          <w:szCs w:val="24"/>
        </w:rPr>
        <w:t>：</w:t>
      </w:r>
      <w:r>
        <w:rPr>
          <w:rFonts w:hint="eastAsia"/>
          <w:bCs/>
          <w:sz w:val="24"/>
          <w:szCs w:val="24"/>
        </w:rPr>
        <w:t>项目</w:t>
      </w:r>
      <w:r>
        <w:rPr>
          <w:rFonts w:hint="eastAsia"/>
          <w:bCs/>
          <w:sz w:val="24"/>
          <w:szCs w:val="24"/>
          <w:lang w:eastAsia="zh-CN"/>
        </w:rPr>
        <w:t>给排水</w:t>
      </w:r>
      <w:r>
        <w:rPr>
          <w:rFonts w:hint="eastAsia"/>
          <w:bCs/>
          <w:sz w:val="24"/>
          <w:szCs w:val="24"/>
        </w:rPr>
        <w:t xml:space="preserve">管网图 </w:t>
      </w:r>
    </w:p>
    <w:p>
      <w:pPr>
        <w:pStyle w:val="61"/>
        <w:rPr>
          <w:rFonts w:hint="eastAsia" w:cs="Times New Roman"/>
          <w:sz w:val="36"/>
          <w:lang w:eastAsia="zh-CN"/>
        </w:rPr>
      </w:pPr>
    </w:p>
    <w:p>
      <w:pPr>
        <w:widowControl/>
        <w:spacing w:line="360" w:lineRule="auto"/>
        <w:ind w:firstLine="560" w:firstLineChars="200"/>
        <w:rPr>
          <w:rFonts w:hint="eastAsia" w:ascii="Times New Roman" w:hAnsi="Times New Roman" w:eastAsia="宋体" w:cs="Times New Roman"/>
          <w:b/>
          <w:color w:val="auto"/>
          <w:sz w:val="28"/>
          <w:szCs w:val="22"/>
          <w:lang w:eastAsia="zh-CN"/>
        </w:rPr>
      </w:pPr>
      <w:r>
        <w:rPr>
          <w:rFonts w:hint="eastAsia" w:ascii="Times New Roman" w:hAnsi="Times New Roman" w:eastAsia="宋体" w:cs="Times New Roman"/>
          <w:b/>
          <w:color w:val="auto"/>
          <w:sz w:val="28"/>
          <w:szCs w:val="22"/>
          <w:lang w:eastAsia="zh-CN"/>
        </w:rPr>
        <w:t>附 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bCs/>
          <w:sz w:val="24"/>
          <w:szCs w:val="24"/>
          <w:lang w:val="en-US" w:eastAsia="zh-CN"/>
        </w:rPr>
      </w:pPr>
      <w:r>
        <w:rPr>
          <w:rFonts w:hint="eastAsia"/>
          <w:bCs/>
          <w:sz w:val="24"/>
          <w:szCs w:val="24"/>
        </w:rPr>
        <w:t>1、</w:t>
      </w:r>
      <w:r>
        <w:rPr>
          <w:bCs/>
          <w:sz w:val="24"/>
          <w:szCs w:val="24"/>
        </w:rPr>
        <w:t>重庆市</w:t>
      </w:r>
      <w:r>
        <w:rPr>
          <w:rFonts w:hint="eastAsia"/>
          <w:bCs/>
          <w:sz w:val="24"/>
          <w:szCs w:val="24"/>
          <w:lang w:eastAsia="zh-CN"/>
        </w:rPr>
        <w:t>江津区生态环境局（渝（津）环准[2023]141号）</w:t>
      </w:r>
      <w:r>
        <w:rPr>
          <w:bCs/>
          <w:sz w:val="24"/>
          <w:szCs w:val="24"/>
        </w:rPr>
        <w:t>《重庆市建设项目环境影响评价文件批准书》</w:t>
      </w:r>
      <w:r>
        <w:rPr>
          <w:rFonts w:hint="eastAsia"/>
          <w:bCs/>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eastAsia="zh-CN"/>
        </w:rPr>
      </w:pPr>
      <w:r>
        <w:rPr>
          <w:color w:val="000000" w:themeColor="text1"/>
          <w:sz w:val="24"/>
          <w:szCs w:val="24"/>
        </w:rPr>
        <w:t>2</w:t>
      </w:r>
      <w:r>
        <w:rPr>
          <w:rFonts w:hAnsi="宋体"/>
          <w:color w:val="000000" w:themeColor="text1"/>
          <w:sz w:val="24"/>
          <w:szCs w:val="24"/>
        </w:rPr>
        <w:t>、</w:t>
      </w:r>
      <w:r>
        <w:rPr>
          <w:rFonts w:hint="eastAsia"/>
          <w:b w:val="0"/>
          <w:bCs/>
          <w:color w:val="000000" w:themeColor="text1"/>
          <w:sz w:val="24"/>
          <w:szCs w:val="24"/>
          <w:lang w:val="en-US" w:eastAsia="zh-CN"/>
        </w:rPr>
        <w:t>重庆中环宇检测技术服务有限公司</w:t>
      </w:r>
      <w:r>
        <w:rPr>
          <w:b w:val="0"/>
          <w:bCs/>
          <w:color w:val="000000" w:themeColor="text1"/>
          <w:sz w:val="24"/>
          <w:szCs w:val="24"/>
        </w:rPr>
        <w:t>《</w:t>
      </w:r>
      <w:r>
        <w:rPr>
          <w:rFonts w:hint="eastAsia"/>
          <w:b w:val="0"/>
          <w:bCs/>
          <w:color w:val="000000" w:themeColor="text1"/>
          <w:sz w:val="24"/>
          <w:szCs w:val="24"/>
          <w:lang w:eastAsia="zh-CN"/>
        </w:rPr>
        <w:t>验收监</w:t>
      </w:r>
      <w:r>
        <w:rPr>
          <w:rFonts w:hint="eastAsia"/>
          <w:b w:val="0"/>
          <w:bCs/>
          <w:color w:val="000000" w:themeColor="text1"/>
          <w:sz w:val="24"/>
          <w:szCs w:val="24"/>
        </w:rPr>
        <w:t>测</w:t>
      </w:r>
      <w:r>
        <w:rPr>
          <w:b w:val="0"/>
          <w:bCs/>
          <w:color w:val="000000" w:themeColor="text1"/>
          <w:sz w:val="24"/>
          <w:szCs w:val="24"/>
        </w:rPr>
        <w:t>报告》（</w:t>
      </w:r>
      <w:r>
        <w:rPr>
          <w:rFonts w:hint="eastAsia"/>
          <w:b w:val="0"/>
          <w:bCs/>
          <w:color w:val="000000" w:themeColor="text1"/>
          <w:sz w:val="24"/>
          <w:szCs w:val="24"/>
          <w:lang w:eastAsia="zh-CN"/>
        </w:rPr>
        <w:t>中环宇检字（2024）第YS0002号</w:t>
      </w:r>
      <w:r>
        <w:rPr>
          <w:b w:val="0"/>
          <w:bCs/>
          <w:color w:val="000000" w:themeColor="text1"/>
          <w:sz w:val="24"/>
          <w:szCs w:val="24"/>
        </w:rPr>
        <w:t>）</w:t>
      </w:r>
      <w:r>
        <w:rPr>
          <w:rFonts w:hint="eastAsia"/>
          <w:b w:val="0"/>
          <w:bCs/>
          <w:color w:val="000000" w:themeColor="text1"/>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3、排污许可证</w:t>
      </w:r>
      <w:r>
        <w:rPr>
          <w:rFonts w:hint="eastAsia" w:cs="Times New Roman"/>
          <w:bCs/>
          <w:sz w:val="24"/>
          <w:szCs w:val="24"/>
          <w:lang w:val="en-US" w:eastAsia="zh-CN"/>
        </w:rPr>
        <w:t>91500116MADAKQ640L001U</w:t>
      </w:r>
      <w:r>
        <w:rPr>
          <w:rFonts w:hint="eastAsia" w:ascii="Times New Roman" w:hAnsi="Times New Roman" w:eastAsia="宋体" w:cs="Times New Roman"/>
          <w:bCs/>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val="en-US" w:eastAsia="zh-CN"/>
        </w:rPr>
      </w:pPr>
    </w:p>
    <w:p>
      <w:pPr>
        <w:widowControl/>
        <w:spacing w:line="360" w:lineRule="auto"/>
        <w:ind w:firstLine="560" w:firstLineChars="200"/>
        <w:rPr>
          <w:rFonts w:hint="eastAsia" w:ascii="Times New Roman" w:hAnsi="Times New Roman" w:eastAsia="宋体" w:cs="Times New Roman"/>
          <w:b/>
          <w:color w:val="auto"/>
          <w:sz w:val="28"/>
          <w:szCs w:val="22"/>
          <w:lang w:val="en-US" w:eastAsia="zh-CN"/>
        </w:rPr>
      </w:pPr>
      <w:r>
        <w:rPr>
          <w:rFonts w:hint="eastAsia" w:ascii="Times New Roman" w:hAnsi="Times New Roman" w:eastAsia="宋体" w:cs="Times New Roman"/>
          <w:b/>
          <w:color w:val="auto"/>
          <w:sz w:val="28"/>
          <w:szCs w:val="22"/>
          <w:lang w:val="en-US" w:eastAsia="zh-CN"/>
        </w:rPr>
        <w:t>附表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rPr>
      </w:pPr>
      <w:r>
        <w:rPr>
          <w:rFonts w:hint="eastAsia" w:ascii="Times New Roman" w:hAnsi="Times New Roman" w:eastAsia="宋体" w:cs="Times New Roman"/>
          <w:bCs/>
          <w:sz w:val="24"/>
          <w:szCs w:val="24"/>
        </w:rPr>
        <w:t>建设项目工程竣工环境保护“三同时”验收登记表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sz w:val="24"/>
          <w:szCs w:val="24"/>
          <w:lang w:val="en-US" w:eastAsia="zh-CN"/>
        </w:rPr>
        <w:sectPr>
          <w:pgSz w:w="11906" w:h="16838"/>
          <w:pgMar w:top="851" w:right="567" w:bottom="851" w:left="851" w:header="284" w:footer="284" w:gutter="0"/>
          <w:cols w:space="425" w:num="1"/>
          <w:docGrid w:type="linesAndChars" w:linePitch="312" w:charSpace="0"/>
        </w:sectPr>
      </w:pPr>
    </w:p>
    <w:p>
      <w:pPr>
        <w:spacing w:after="0" w:line="360" w:lineRule="auto"/>
        <w:jc w:val="center"/>
        <w:rPr>
          <w:rFonts w:eastAsia="黑体"/>
          <w:b/>
          <w:sz w:val="21"/>
          <w:szCs w:val="21"/>
        </w:rPr>
      </w:pPr>
      <w:r>
        <w:rPr>
          <w:rFonts w:eastAsia="黑体"/>
          <w:b/>
          <w:sz w:val="21"/>
          <w:szCs w:val="21"/>
        </w:rPr>
        <w:t>建设项目工程竣工环境保护“三同时”验收登记表</w:t>
      </w:r>
    </w:p>
    <w:p>
      <w:pPr>
        <w:spacing w:after="0" w:line="240" w:lineRule="auto"/>
        <w:ind w:firstLine="103" w:firstLineChars="49"/>
        <w:rPr>
          <w:rFonts w:ascii="宋体" w:hAnsi="宋体" w:eastAsia="宋体"/>
          <w:b/>
          <w:sz w:val="21"/>
          <w:szCs w:val="21"/>
        </w:rPr>
      </w:pPr>
      <w:r>
        <w:rPr>
          <w:rFonts w:ascii="宋体" w:hAnsi="宋体" w:eastAsia="宋体"/>
          <w:b/>
          <w:sz w:val="21"/>
          <w:szCs w:val="21"/>
        </w:rPr>
        <w:t>填表单位（盖章）</w:t>
      </w:r>
      <w:r>
        <w:rPr>
          <w:rFonts w:ascii="宋体" w:hAnsi="宋体" w:eastAsia="宋体"/>
          <w:b/>
          <w:kern w:val="2"/>
          <w:sz w:val="21"/>
          <w:szCs w:val="21"/>
        </w:rPr>
        <w:t>：</w:t>
      </w:r>
      <w:r>
        <w:rPr>
          <w:rFonts w:hint="eastAsia" w:ascii="宋体" w:hAnsi="宋体"/>
          <w:b/>
          <w:sz w:val="21"/>
          <w:szCs w:val="21"/>
          <w:lang w:eastAsia="zh-CN"/>
        </w:rPr>
        <w:t>重庆渝顺投资有限公司</w:t>
      </w:r>
      <w:r>
        <w:rPr>
          <w:rFonts w:ascii="宋体" w:hAnsi="宋体" w:eastAsia="宋体"/>
          <w:b/>
          <w:sz w:val="21"/>
          <w:szCs w:val="21"/>
        </w:rPr>
        <w:t xml:space="preserve">       填表人（签字）：         </w:t>
      </w:r>
      <w:r>
        <w:rPr>
          <w:rFonts w:hint="eastAsia" w:ascii="宋体" w:hAnsi="宋体" w:eastAsia="宋体"/>
          <w:b/>
          <w:sz w:val="21"/>
          <w:szCs w:val="21"/>
        </w:rPr>
        <w:t xml:space="preserve">  </w:t>
      </w:r>
      <w:r>
        <w:rPr>
          <w:rFonts w:ascii="宋体" w:hAnsi="宋体" w:eastAsia="宋体"/>
          <w:b/>
          <w:sz w:val="21"/>
          <w:szCs w:val="21"/>
        </w:rPr>
        <w:t xml:space="preserve">            项目经办人（签字）：</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168"/>
        <w:gridCol w:w="1110"/>
        <w:gridCol w:w="640"/>
        <w:gridCol w:w="774"/>
        <w:gridCol w:w="1117"/>
        <w:gridCol w:w="205"/>
        <w:gridCol w:w="641"/>
        <w:gridCol w:w="262"/>
        <w:gridCol w:w="768"/>
        <w:gridCol w:w="138"/>
        <w:gridCol w:w="199"/>
        <w:gridCol w:w="888"/>
        <w:gridCol w:w="912"/>
        <w:gridCol w:w="229"/>
        <w:gridCol w:w="1159"/>
        <w:gridCol w:w="503"/>
        <w:gridCol w:w="849"/>
        <w:gridCol w:w="1099"/>
        <w:gridCol w:w="656"/>
        <w:gridCol w:w="190"/>
        <w:gridCol w:w="352"/>
        <w:gridCol w:w="777"/>
        <w:gridCol w:w="434"/>
        <w:gridCol w:w="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restart"/>
            <w:noWrap w:val="0"/>
            <w:textDirection w:val="tbRlV"/>
            <w:vAlign w:val="center"/>
          </w:tcPr>
          <w:p>
            <w:pPr>
              <w:spacing w:after="0" w:line="240" w:lineRule="auto"/>
              <w:ind w:firstLine="1801" w:firstLineChars="1200"/>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建设项目</w:t>
            </w: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项目名称</w:t>
            </w:r>
          </w:p>
        </w:tc>
        <w:tc>
          <w:tcPr>
            <w:tcW w:w="1363" w:type="pct"/>
            <w:gridSpan w:val="8"/>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eastAsia="zh-CN"/>
              </w:rPr>
              <w:t>重庆渝顺投资有限公司</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项目代码</w:t>
            </w:r>
          </w:p>
        </w:tc>
        <w:tc>
          <w:tcPr>
            <w:tcW w:w="910" w:type="pct"/>
            <w:gridSpan w:val="4"/>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eastAsia="zh-CN"/>
              </w:rPr>
              <w:t>2210-500356-04-01-696047</w:t>
            </w:r>
          </w:p>
        </w:tc>
        <w:tc>
          <w:tcPr>
            <w:tcW w:w="365" w:type="pct"/>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b/>
                <w:bCs/>
                <w:kern w:val="2"/>
                <w:sz w:val="15"/>
                <w:szCs w:val="15"/>
                <w:lang w:val="en-US" w:eastAsia="zh-CN"/>
              </w:rPr>
              <w:t>建设地点</w:t>
            </w:r>
          </w:p>
        </w:tc>
        <w:tc>
          <w:tcPr>
            <w:tcW w:w="948" w:type="pct"/>
            <w:gridSpan w:val="6"/>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eastAsia="zh-CN"/>
              </w:rPr>
              <w:t>重庆市江津区双福新区J05-18-1/03号地块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行业类别（分类管理名录）</w:t>
            </w:r>
          </w:p>
        </w:tc>
        <w:tc>
          <w:tcPr>
            <w:tcW w:w="1363" w:type="pct"/>
            <w:gridSpan w:val="8"/>
            <w:noWrap w:val="0"/>
            <w:vAlign w:val="center"/>
          </w:tcPr>
          <w:p>
            <w:pPr>
              <w:spacing w:after="0" w:line="240" w:lineRule="auto"/>
              <w:rPr>
                <w:rFonts w:hint="eastAsia" w:ascii="Tahoma" w:hAnsi="Tahoma" w:eastAsia="微软雅黑" w:cs="Times New Roman"/>
                <w:kern w:val="2"/>
                <w:sz w:val="15"/>
                <w:szCs w:val="15"/>
                <w:lang w:eastAsia="zh-CN"/>
              </w:rPr>
            </w:pPr>
            <w:r>
              <w:rPr>
                <w:rFonts w:hint="default" w:ascii="Tahoma" w:hAnsi="Tahoma" w:eastAsia="微软雅黑" w:cs="Times New Roman"/>
                <w:kern w:val="2"/>
                <w:sz w:val="15"/>
                <w:szCs w:val="15"/>
                <w:lang w:eastAsia="zh-CN"/>
              </w:rPr>
              <w:t>F5265 机动车燃油零售</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建设性质</w:t>
            </w:r>
          </w:p>
        </w:tc>
        <w:tc>
          <w:tcPr>
            <w:tcW w:w="2224" w:type="pct"/>
            <w:gridSpan w:val="11"/>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eastAsia="zh-CN"/>
              </w:rPr>
              <w:t>☑新建  □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设计生产能力</w:t>
            </w:r>
          </w:p>
        </w:tc>
        <w:tc>
          <w:tcPr>
            <w:tcW w:w="1363" w:type="pct"/>
            <w:gridSpan w:val="8"/>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eastAsia="zh-CN"/>
              </w:rPr>
            </w:pPr>
            <w:r>
              <w:rPr>
                <w:rFonts w:hint="default" w:ascii="Tahoma" w:hAnsi="Tahoma" w:eastAsia="微软雅黑" w:cs="Times New Roman"/>
                <w:b w:val="0"/>
                <w:bCs/>
                <w:kern w:val="2"/>
                <w:sz w:val="15"/>
                <w:szCs w:val="15"/>
                <w:lang w:val="en-US" w:eastAsia="zh-CN"/>
              </w:rPr>
              <w:t>主要销售 92#汽油、95#汽油、98#汽油、0#柴油，预计销售规模为 92#汽油4 t/d（1460 t/a）、95#汽油1t/d（365 t/a）、98#汽油0.5t/d（182.5t/a）、0#柴油5.5 t/d（2007.5 t/a）。汽油、柴油运输由重庆龙禹石油有限公司从重庆大班油库用油罐车配送。项目设置1台箱变（箱变为800KVA），设置7个直流充电桩。同时项目设置1台隧道式洗车机为过往车辆提供洗车服务。</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实际生产能力</w:t>
            </w:r>
          </w:p>
        </w:tc>
        <w:tc>
          <w:tcPr>
            <w:tcW w:w="910" w:type="pct"/>
            <w:gridSpan w:val="4"/>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default" w:ascii="Tahoma" w:hAnsi="Tahoma" w:eastAsia="微软雅黑" w:cs="Times New Roman"/>
                <w:b w:val="0"/>
                <w:bCs/>
                <w:kern w:val="2"/>
                <w:sz w:val="15"/>
                <w:szCs w:val="15"/>
                <w:lang w:val="en-US" w:eastAsia="zh-CN"/>
              </w:rPr>
              <w:t>主要销售 92#汽油、95#汽油、98#汽油、0#柴油，预计销售规模为 92#汽油4 t/d（1460 t/a）、95#汽油1t/d（365 t/a）、98#汽油0.5t/d（182.5t/a）、0#柴油5.5 t/d（2007.5 t/a）。汽油、柴油运输由重庆龙禹石油有限公司从重庆大班油库用油罐车配送。项目设置1台箱变（箱变为800KVA），设置7个直流充电桩。同时项目设置1台隧道式洗车机为过往车辆提供洗车服务</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环评单位</w:t>
            </w:r>
          </w:p>
        </w:tc>
        <w:tc>
          <w:tcPr>
            <w:tcW w:w="730" w:type="pct"/>
            <w:gridSpan w:val="5"/>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val="en-US" w:eastAsia="zh-CN"/>
              </w:rPr>
              <w:t>重庆长嵘环保科技有限公司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环评文件审批机关</w:t>
            </w:r>
          </w:p>
        </w:tc>
        <w:tc>
          <w:tcPr>
            <w:tcW w:w="1363" w:type="pct"/>
            <w:gridSpan w:val="8"/>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eastAsia="zh-CN"/>
              </w:rPr>
            </w:pPr>
            <w:r>
              <w:rPr>
                <w:rFonts w:hint="eastAsia" w:ascii="Tahoma" w:hAnsi="Tahoma" w:eastAsia="微软雅黑" w:cs="Times New Roman"/>
                <w:b w:val="0"/>
                <w:bCs/>
                <w:kern w:val="2"/>
                <w:sz w:val="15"/>
                <w:szCs w:val="15"/>
                <w:lang w:eastAsia="zh-CN"/>
              </w:rPr>
              <w:t>江津区生态环境保护局</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审批文号</w:t>
            </w:r>
          </w:p>
        </w:tc>
        <w:tc>
          <w:tcPr>
            <w:tcW w:w="910" w:type="pct"/>
            <w:gridSpan w:val="4"/>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渝（津）环准[2023]141号</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环评文件类型</w:t>
            </w:r>
          </w:p>
        </w:tc>
        <w:tc>
          <w:tcPr>
            <w:tcW w:w="730" w:type="pct"/>
            <w:gridSpan w:val="5"/>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eastAsia="zh-CN"/>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开工日期</w:t>
            </w:r>
          </w:p>
        </w:tc>
        <w:tc>
          <w:tcPr>
            <w:tcW w:w="1363" w:type="pct"/>
            <w:gridSpan w:val="8"/>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eastAsia="zh-CN"/>
              </w:rPr>
              <w:t>20</w:t>
            </w:r>
            <w:r>
              <w:rPr>
                <w:rFonts w:hint="eastAsia" w:ascii="Tahoma" w:hAnsi="Tahoma" w:eastAsia="微软雅黑" w:cs="Times New Roman"/>
                <w:b w:val="0"/>
                <w:bCs/>
                <w:kern w:val="2"/>
                <w:sz w:val="15"/>
                <w:szCs w:val="15"/>
                <w:lang w:val="en-US" w:eastAsia="zh-CN"/>
              </w:rPr>
              <w:t>23</w:t>
            </w:r>
            <w:r>
              <w:rPr>
                <w:rFonts w:hint="eastAsia" w:ascii="Tahoma" w:hAnsi="Tahoma" w:eastAsia="微软雅黑" w:cs="Times New Roman"/>
                <w:b w:val="0"/>
                <w:bCs/>
                <w:kern w:val="2"/>
                <w:sz w:val="15"/>
                <w:szCs w:val="15"/>
                <w:lang w:eastAsia="zh-CN"/>
              </w:rPr>
              <w:t>.</w:t>
            </w:r>
            <w:r>
              <w:rPr>
                <w:rFonts w:hint="eastAsia" w:ascii="Tahoma" w:hAnsi="Tahoma" w:eastAsia="微软雅黑" w:cs="Times New Roman"/>
                <w:b w:val="0"/>
                <w:bCs/>
                <w:kern w:val="2"/>
                <w:sz w:val="15"/>
                <w:szCs w:val="15"/>
                <w:lang w:val="en-US" w:eastAsia="zh-CN"/>
              </w:rPr>
              <w:t>10</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竣工日期</w:t>
            </w:r>
          </w:p>
        </w:tc>
        <w:tc>
          <w:tcPr>
            <w:tcW w:w="910" w:type="pct"/>
            <w:gridSpan w:val="4"/>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2024.1</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排污许可证申领时间</w:t>
            </w:r>
          </w:p>
        </w:tc>
        <w:tc>
          <w:tcPr>
            <w:tcW w:w="730" w:type="pct"/>
            <w:gridSpan w:val="5"/>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2024.2.1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环保设施设计单位</w:t>
            </w:r>
          </w:p>
        </w:tc>
        <w:tc>
          <w:tcPr>
            <w:tcW w:w="1363" w:type="pct"/>
            <w:gridSpan w:val="8"/>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eastAsia="zh-CN"/>
              </w:rPr>
            </w:pPr>
            <w:r>
              <w:rPr>
                <w:rFonts w:hint="eastAsia" w:ascii="Tahoma" w:hAnsi="Tahoma" w:eastAsia="微软雅黑" w:cs="Times New Roman"/>
                <w:b w:val="0"/>
                <w:bCs/>
                <w:kern w:val="2"/>
                <w:sz w:val="15"/>
                <w:szCs w:val="15"/>
                <w:lang w:eastAsia="zh-CN"/>
              </w:rPr>
              <w:t>重庆渝顺投资有限公司</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环保设施施工单位</w:t>
            </w:r>
          </w:p>
        </w:tc>
        <w:tc>
          <w:tcPr>
            <w:tcW w:w="910" w:type="pct"/>
            <w:gridSpan w:val="4"/>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重庆渝顺投资有限公司</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本工程排污许可证编号</w:t>
            </w:r>
          </w:p>
        </w:tc>
        <w:tc>
          <w:tcPr>
            <w:tcW w:w="730" w:type="pct"/>
            <w:gridSpan w:val="5"/>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eastAsia="zh-CN"/>
              </w:rPr>
              <w:t>91500116MADAKQ640L001U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验收单位</w:t>
            </w:r>
          </w:p>
        </w:tc>
        <w:tc>
          <w:tcPr>
            <w:tcW w:w="1363" w:type="pct"/>
            <w:gridSpan w:val="8"/>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eastAsia="zh-CN"/>
              </w:rPr>
            </w:pPr>
            <w:r>
              <w:rPr>
                <w:rFonts w:hint="eastAsia" w:ascii="Tahoma" w:hAnsi="Tahoma" w:eastAsia="微软雅黑" w:cs="Times New Roman"/>
                <w:b w:val="0"/>
                <w:bCs/>
                <w:kern w:val="2"/>
                <w:sz w:val="15"/>
                <w:szCs w:val="15"/>
                <w:lang w:eastAsia="zh-CN"/>
              </w:rPr>
              <w:t>重庆渝顺投资有限公司</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环保设施监测单位</w:t>
            </w:r>
          </w:p>
        </w:tc>
        <w:tc>
          <w:tcPr>
            <w:tcW w:w="910" w:type="pct"/>
            <w:gridSpan w:val="4"/>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重庆中环宇检测技术服务有限公司</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验收监测时工况</w:t>
            </w:r>
          </w:p>
        </w:tc>
        <w:tc>
          <w:tcPr>
            <w:tcW w:w="730" w:type="pct"/>
            <w:gridSpan w:val="5"/>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投资总概算（万元）</w:t>
            </w:r>
          </w:p>
        </w:tc>
        <w:tc>
          <w:tcPr>
            <w:tcW w:w="1363" w:type="pct"/>
            <w:gridSpan w:val="8"/>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3500.00</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环保投资总概算（万元）</w:t>
            </w:r>
          </w:p>
        </w:tc>
        <w:tc>
          <w:tcPr>
            <w:tcW w:w="910" w:type="pct"/>
            <w:gridSpan w:val="4"/>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30.00</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所占比例（%）</w:t>
            </w:r>
          </w:p>
        </w:tc>
        <w:tc>
          <w:tcPr>
            <w:tcW w:w="730" w:type="pct"/>
            <w:gridSpan w:val="5"/>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实际总投资</w:t>
            </w:r>
          </w:p>
        </w:tc>
        <w:tc>
          <w:tcPr>
            <w:tcW w:w="1363" w:type="pct"/>
            <w:gridSpan w:val="8"/>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3500.00</w:t>
            </w:r>
          </w:p>
        </w:tc>
        <w:tc>
          <w:tcPr>
            <w:tcW w:w="598"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实际环保投资（万元）</w:t>
            </w:r>
          </w:p>
        </w:tc>
        <w:tc>
          <w:tcPr>
            <w:tcW w:w="910" w:type="pct"/>
            <w:gridSpan w:val="4"/>
            <w:noWrap w:val="0"/>
            <w:vAlign w:val="center"/>
          </w:tcPr>
          <w:p>
            <w:pPr>
              <w:widowControl/>
              <w:adjustRightInd w:val="0"/>
              <w:snapToGrid w:val="0"/>
              <w:spacing w:after="0" w:line="240" w:lineRule="auto"/>
              <w:jc w:val="left"/>
              <w:rPr>
                <w:rFonts w:hint="default"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35.00</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所占比例（%）</w:t>
            </w:r>
          </w:p>
        </w:tc>
        <w:tc>
          <w:tcPr>
            <w:tcW w:w="730" w:type="pct"/>
            <w:gridSpan w:val="5"/>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废水治理（万元）</w:t>
            </w:r>
          </w:p>
        </w:tc>
        <w:tc>
          <w:tcPr>
            <w:tcW w:w="257" w:type="pct"/>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14</w:t>
            </w:r>
          </w:p>
        </w:tc>
        <w:tc>
          <w:tcPr>
            <w:tcW w:w="439" w:type="pct"/>
            <w:gridSpan w:val="2"/>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b/>
                <w:bCs/>
                <w:kern w:val="2"/>
                <w:sz w:val="15"/>
                <w:szCs w:val="15"/>
              </w:rPr>
              <w:t>废气治理（万元）</w:t>
            </w:r>
          </w:p>
        </w:tc>
        <w:tc>
          <w:tcPr>
            <w:tcW w:w="213" w:type="pct"/>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10</w:t>
            </w:r>
          </w:p>
        </w:tc>
        <w:tc>
          <w:tcPr>
            <w:tcW w:w="453" w:type="pct"/>
            <w:gridSpan w:val="4"/>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b/>
                <w:bCs/>
                <w:kern w:val="2"/>
                <w:sz w:val="15"/>
                <w:szCs w:val="15"/>
              </w:rPr>
              <w:t>噪声治理（万元）</w:t>
            </w:r>
          </w:p>
        </w:tc>
        <w:tc>
          <w:tcPr>
            <w:tcW w:w="598" w:type="pct"/>
            <w:gridSpan w:val="2"/>
            <w:noWrap w:val="0"/>
            <w:vAlign w:val="center"/>
          </w:tcPr>
          <w:p>
            <w:pPr>
              <w:spacing w:after="0" w:line="240" w:lineRule="auto"/>
              <w:jc w:val="center"/>
              <w:rPr>
                <w:rFonts w:hint="default" w:ascii="Tahoma" w:hAnsi="Tahoma" w:eastAsia="微软雅黑" w:cs="Times New Roman"/>
                <w:kern w:val="2"/>
                <w:sz w:val="15"/>
                <w:szCs w:val="15"/>
                <w:lang w:val="en-US"/>
              </w:rPr>
            </w:pPr>
            <w:r>
              <w:rPr>
                <w:rFonts w:hint="eastAsia" w:ascii="Tahoma" w:hAnsi="Tahoma" w:eastAsia="微软雅黑" w:cs="Times New Roman"/>
                <w:kern w:val="2"/>
                <w:sz w:val="15"/>
                <w:szCs w:val="15"/>
                <w:lang w:val="en-US" w:eastAsia="zh-CN"/>
              </w:rPr>
              <w:t>5</w:t>
            </w:r>
          </w:p>
        </w:tc>
        <w:tc>
          <w:tcPr>
            <w:tcW w:w="628" w:type="pct"/>
            <w:gridSpan w:val="3"/>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固体废物治理（万元）</w:t>
            </w:r>
          </w:p>
        </w:tc>
        <w:tc>
          <w:tcPr>
            <w:tcW w:w="282" w:type="pct"/>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3</w:t>
            </w:r>
          </w:p>
        </w:tc>
        <w:tc>
          <w:tcPr>
            <w:tcW w:w="583" w:type="pct"/>
            <w:gridSpan w:val="2"/>
            <w:noWrap w:val="0"/>
            <w:vAlign w:val="center"/>
          </w:tcPr>
          <w:p>
            <w:pPr>
              <w:widowControl/>
              <w:adjustRightInd w:val="0"/>
              <w:snapToGrid w:val="0"/>
              <w:spacing w:after="0" w:line="240" w:lineRule="auto"/>
              <w:jc w:val="left"/>
              <w:rPr>
                <w:rFonts w:hint="eastAsia" w:ascii="Tahoma" w:hAnsi="Tahoma" w:eastAsia="微软雅黑" w:cs="Times New Roman"/>
                <w:b/>
                <w:kern w:val="2"/>
                <w:sz w:val="15"/>
                <w:szCs w:val="15"/>
                <w:lang w:eastAsia="zh-CN"/>
              </w:rPr>
            </w:pPr>
            <w:r>
              <w:rPr>
                <w:rFonts w:hint="eastAsia" w:ascii="Tahoma" w:hAnsi="Tahoma" w:eastAsia="微软雅黑" w:cs="Times New Roman"/>
                <w:b/>
                <w:kern w:val="2"/>
                <w:sz w:val="15"/>
                <w:szCs w:val="15"/>
                <w:lang w:eastAsia="zh-CN"/>
              </w:rPr>
              <w:t>绿化及生态（万元）</w:t>
            </w:r>
          </w:p>
        </w:tc>
        <w:tc>
          <w:tcPr>
            <w:tcW w:w="180" w:type="pct"/>
            <w:gridSpan w:val="2"/>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3</w:t>
            </w:r>
          </w:p>
        </w:tc>
        <w:tc>
          <w:tcPr>
            <w:tcW w:w="402" w:type="pct"/>
            <w:gridSpan w:val="2"/>
            <w:noWrap w:val="0"/>
            <w:vAlign w:val="center"/>
          </w:tcPr>
          <w:p>
            <w:pPr>
              <w:spacing w:after="0" w:line="240" w:lineRule="auto"/>
              <w:rPr>
                <w:rFonts w:hint="default" w:ascii="Tahoma" w:hAnsi="Tahoma" w:eastAsia="微软雅黑" w:cs="Times New Roman"/>
                <w:b/>
                <w:bCs/>
                <w:kern w:val="2"/>
                <w:sz w:val="15"/>
                <w:szCs w:val="15"/>
                <w:lang w:val="en-US" w:eastAsia="zh-CN"/>
              </w:rPr>
            </w:pPr>
            <w:r>
              <w:rPr>
                <w:rFonts w:hint="eastAsia" w:ascii="Tahoma" w:hAnsi="Tahoma" w:eastAsia="微软雅黑" w:cs="Times New Roman"/>
                <w:b/>
                <w:bCs/>
                <w:kern w:val="2"/>
                <w:sz w:val="15"/>
                <w:szCs w:val="15"/>
              </w:rPr>
              <w:t>其他（万元）</w:t>
            </w:r>
          </w:p>
        </w:tc>
        <w:tc>
          <w:tcPr>
            <w:tcW w:w="148" w:type="pct"/>
            <w:noWrap w:val="0"/>
            <w:vAlign w:val="center"/>
          </w:tcPr>
          <w:p>
            <w:pPr>
              <w:spacing w:after="0" w:line="240" w:lineRule="auto"/>
              <w:rPr>
                <w:rFonts w:hint="default" w:ascii="Tahoma" w:hAnsi="Tahoma" w:eastAsia="微软雅黑" w:cs="Times New Roman"/>
                <w:b/>
                <w:bCs/>
                <w:kern w:val="2"/>
                <w:sz w:val="15"/>
                <w:szCs w:val="15"/>
                <w:lang w:val="en-US" w:eastAsia="zh-CN"/>
              </w:rPr>
            </w:pPr>
            <w:r>
              <w:rPr>
                <w:rFonts w:hint="eastAsia" w:ascii="Tahoma" w:hAnsi="Tahoma" w:eastAsia="微软雅黑" w:cs="Times New Roman"/>
                <w:b w:val="0"/>
                <w:bCs w:val="0"/>
                <w:kern w:val="2"/>
                <w:sz w:val="15"/>
                <w:szCs w:val="15"/>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75" w:type="pct"/>
            <w:vMerge w:val="continue"/>
            <w:noWrap w:val="0"/>
            <w:vAlign w:val="center"/>
          </w:tcPr>
          <w:p>
            <w:pPr>
              <w:spacing w:after="0"/>
              <w:rPr>
                <w:kern w:val="2"/>
                <w:sz w:val="15"/>
                <w:szCs w:val="15"/>
              </w:rPr>
            </w:pPr>
          </w:p>
        </w:tc>
        <w:tc>
          <w:tcPr>
            <w:tcW w:w="638" w:type="pct"/>
            <w:gridSpan w:val="3"/>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新增废水处理设施能力</w:t>
            </w:r>
          </w:p>
        </w:tc>
        <w:tc>
          <w:tcPr>
            <w:tcW w:w="1363" w:type="pct"/>
            <w:gridSpan w:val="8"/>
            <w:noWrap w:val="0"/>
            <w:vAlign w:val="center"/>
          </w:tcPr>
          <w:p>
            <w:pPr>
              <w:spacing w:after="0" w:line="240" w:lineRule="auto"/>
              <w:rPr>
                <w:rFonts w:hint="default" w:ascii="Tahoma" w:hAnsi="Tahoma" w:eastAsia="微软雅黑" w:cs="Times New Roman"/>
                <w:b/>
                <w:kern w:val="2"/>
                <w:sz w:val="15"/>
                <w:szCs w:val="15"/>
                <w:lang w:val="en-US" w:eastAsia="zh-CN"/>
              </w:rPr>
            </w:pPr>
            <w:r>
              <w:rPr>
                <w:rFonts w:hint="eastAsia" w:ascii="Tahoma" w:hAnsi="Tahoma" w:eastAsia="微软雅黑" w:cs="Times New Roman"/>
                <w:b/>
                <w:kern w:val="2"/>
                <w:sz w:val="15"/>
                <w:szCs w:val="15"/>
                <w:lang w:val="en-US" w:eastAsia="zh-CN"/>
              </w:rPr>
              <w:t>/</w:t>
            </w:r>
          </w:p>
        </w:tc>
        <w:tc>
          <w:tcPr>
            <w:tcW w:w="598"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新增废气处理设施能力</w:t>
            </w:r>
          </w:p>
        </w:tc>
        <w:tc>
          <w:tcPr>
            <w:tcW w:w="910" w:type="pct"/>
            <w:gridSpan w:val="4"/>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w:t>
            </w:r>
          </w:p>
        </w:tc>
        <w:tc>
          <w:tcPr>
            <w:tcW w:w="583"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年平均工作时</w:t>
            </w:r>
          </w:p>
        </w:tc>
        <w:tc>
          <w:tcPr>
            <w:tcW w:w="730" w:type="pct"/>
            <w:gridSpan w:val="5"/>
            <w:noWrap w:val="0"/>
            <w:vAlign w:val="center"/>
          </w:tcPr>
          <w:p>
            <w:pPr>
              <w:spacing w:after="0" w:line="240" w:lineRule="auto"/>
              <w:rPr>
                <w:rFonts w:hint="default" w:ascii="Tahoma" w:hAnsi="Tahoma" w:eastAsia="微软雅黑" w:cs="Times New Roman"/>
                <w:b/>
                <w:kern w:val="2"/>
                <w:sz w:val="15"/>
                <w:szCs w:val="15"/>
                <w:lang w:val="en-US" w:eastAsia="zh-CN"/>
              </w:rPr>
            </w:pPr>
            <w:r>
              <w:rPr>
                <w:rFonts w:hint="eastAsia" w:ascii="Tahoma" w:hAnsi="Tahoma" w:eastAsia="微软雅黑" w:cs="Times New Roman"/>
                <w:b w:val="0"/>
                <w:bCs/>
                <w:kern w:val="2"/>
                <w:sz w:val="15"/>
                <w:szCs w:val="15"/>
                <w:lang w:val="en-US" w:eastAsia="zh-CN"/>
              </w:rPr>
              <w:t>8760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813" w:type="pct"/>
            <w:gridSpan w:val="4"/>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运营单位</w:t>
            </w:r>
          </w:p>
        </w:tc>
        <w:tc>
          <w:tcPr>
            <w:tcW w:w="1251" w:type="pct"/>
            <w:gridSpan w:val="6"/>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kern w:val="2"/>
                <w:sz w:val="15"/>
                <w:szCs w:val="15"/>
                <w:lang w:val="en-US" w:eastAsia="zh-CN"/>
              </w:rPr>
              <w:t>/</w:t>
            </w:r>
          </w:p>
        </w:tc>
        <w:tc>
          <w:tcPr>
            <w:tcW w:w="710" w:type="pct"/>
            <w:gridSpan w:val="4"/>
            <w:noWrap w:val="0"/>
            <w:vAlign w:val="center"/>
          </w:tcPr>
          <w:p>
            <w:pPr>
              <w:spacing w:after="0" w:line="240" w:lineRule="auto"/>
              <w:rPr>
                <w:rFonts w:hint="eastAsia" w:ascii="Tahoma" w:hAnsi="Tahoma" w:eastAsia="微软雅黑" w:cs="Times New Roman"/>
                <w:kern w:val="2"/>
                <w:sz w:val="15"/>
                <w:szCs w:val="15"/>
                <w:lang w:eastAsia="zh-CN"/>
              </w:rPr>
            </w:pPr>
            <w:r>
              <w:rPr>
                <w:rFonts w:hint="eastAsia" w:ascii="Tahoma" w:hAnsi="Tahoma" w:eastAsia="微软雅黑" w:cs="Times New Roman"/>
                <w:b/>
                <w:bCs/>
                <w:kern w:val="2"/>
                <w:sz w:val="15"/>
                <w:szCs w:val="15"/>
                <w:lang w:eastAsia="zh-CN"/>
              </w:rPr>
              <w:t>运营单位社会统一信用代码</w:t>
            </w:r>
          </w:p>
        </w:tc>
        <w:tc>
          <w:tcPr>
            <w:tcW w:w="910" w:type="pct"/>
            <w:gridSpan w:val="4"/>
            <w:noWrap w:val="0"/>
            <w:vAlign w:val="center"/>
          </w:tcPr>
          <w:p>
            <w:pPr>
              <w:spacing w:after="0" w:line="240" w:lineRule="auto"/>
              <w:rPr>
                <w:rFonts w:hint="eastAsia" w:ascii="Tahoma" w:hAnsi="Tahoma" w:eastAsia="微软雅黑" w:cs="Times New Roman"/>
                <w:kern w:val="2"/>
                <w:sz w:val="15"/>
                <w:szCs w:val="15"/>
                <w:lang w:val="en-US" w:eastAsia="zh-CN"/>
              </w:rPr>
            </w:pPr>
            <w:r>
              <w:rPr>
                <w:rFonts w:hint="eastAsia" w:ascii="Tahoma" w:hAnsi="Tahoma" w:eastAsia="微软雅黑" w:cs="Times New Roman"/>
                <w:kern w:val="2"/>
                <w:sz w:val="15"/>
                <w:szCs w:val="15"/>
                <w:lang w:val="en-US" w:eastAsia="zh-CN"/>
              </w:rPr>
              <w:t>/</w:t>
            </w:r>
          </w:p>
        </w:tc>
        <w:tc>
          <w:tcPr>
            <w:tcW w:w="583"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验收时间</w:t>
            </w:r>
          </w:p>
        </w:tc>
        <w:tc>
          <w:tcPr>
            <w:tcW w:w="730" w:type="pct"/>
            <w:gridSpan w:val="5"/>
            <w:noWrap w:val="0"/>
            <w:vAlign w:val="center"/>
          </w:tcPr>
          <w:p>
            <w:pPr>
              <w:spacing w:after="0" w:line="240" w:lineRule="auto"/>
              <w:rPr>
                <w:rFonts w:hint="default" w:ascii="Tahoma" w:hAnsi="Tahoma" w:eastAsia="微软雅黑" w:cs="Times New Roman"/>
                <w:kern w:val="2"/>
                <w:sz w:val="15"/>
                <w:szCs w:val="15"/>
                <w:lang w:val="en-US" w:eastAsia="zh-CN"/>
              </w:rPr>
            </w:pPr>
            <w:r>
              <w:rPr>
                <w:rFonts w:hint="eastAsia" w:ascii="Tahoma" w:hAnsi="Tahoma" w:eastAsia="微软雅黑" w:cs="Times New Roman"/>
                <w:kern w:val="2"/>
                <w:sz w:val="15"/>
                <w:szCs w:val="15"/>
              </w:rPr>
              <w:t>20</w:t>
            </w:r>
            <w:r>
              <w:rPr>
                <w:rFonts w:hint="eastAsia" w:ascii="Tahoma" w:hAnsi="Tahoma" w:eastAsia="微软雅黑" w:cs="Times New Roman"/>
                <w:kern w:val="2"/>
                <w:sz w:val="15"/>
                <w:szCs w:val="15"/>
                <w:lang w:val="en-US" w:eastAsia="zh-CN"/>
              </w:rPr>
              <w:t>24</w:t>
            </w:r>
            <w:r>
              <w:rPr>
                <w:rFonts w:hint="eastAsia" w:ascii="Tahoma" w:hAnsi="Tahoma" w:eastAsia="微软雅黑" w:cs="Times New Roman"/>
                <w:kern w:val="2"/>
                <w:sz w:val="15"/>
                <w:szCs w:val="15"/>
              </w:rPr>
              <w:t>.</w:t>
            </w:r>
            <w:r>
              <w:rPr>
                <w:rFonts w:hint="eastAsia" w:ascii="Tahoma" w:hAnsi="Tahoma" w:eastAsia="微软雅黑" w:cs="Times New Roman"/>
                <w:kern w:val="2"/>
                <w:sz w:val="15"/>
                <w:szCs w:val="15"/>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restart"/>
            <w:noWrap w:val="0"/>
            <w:vAlign w:val="center"/>
          </w:tcPr>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污染</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物排</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放达</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标与</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总量</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控制（工</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业建</w:t>
            </w:r>
          </w:p>
          <w:p>
            <w:pPr>
              <w:widowControl/>
              <w:adjustRightInd w:val="0"/>
              <w:snapToGrid w:val="0"/>
              <w:spacing w:after="0" w:line="240" w:lineRule="auto"/>
              <w:jc w:val="left"/>
              <w:rPr>
                <w:rFonts w:hint="eastAsia" w:ascii="Tahoma" w:hAnsi="Tahoma" w:eastAsia="微软雅黑" w:cs="Times New Roman"/>
                <w:b/>
                <w:bCs w:val="0"/>
                <w:kern w:val="2"/>
                <w:sz w:val="15"/>
                <w:szCs w:val="15"/>
                <w:lang w:val="en-US" w:eastAsia="zh-CN"/>
              </w:rPr>
            </w:pPr>
            <w:r>
              <w:rPr>
                <w:rFonts w:hint="eastAsia" w:ascii="Tahoma" w:hAnsi="Tahoma" w:eastAsia="微软雅黑" w:cs="Times New Roman"/>
                <w:b/>
                <w:bCs w:val="0"/>
                <w:kern w:val="2"/>
                <w:sz w:val="15"/>
                <w:szCs w:val="15"/>
                <w:lang w:val="en-US" w:eastAsia="zh-CN"/>
              </w:rPr>
              <w:t>设项</w:t>
            </w:r>
          </w:p>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bCs w:val="0"/>
                <w:kern w:val="2"/>
                <w:sz w:val="15"/>
                <w:szCs w:val="15"/>
                <w:lang w:val="en-US" w:eastAsia="zh-CN"/>
              </w:rPr>
              <w:t>目详填）</w:t>
            </w: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污染物</w:t>
            </w:r>
          </w:p>
        </w:tc>
        <w:tc>
          <w:tcPr>
            <w:tcW w:w="257" w:type="pct"/>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原有排</w:t>
            </w:r>
          </w:p>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放量(1)</w:t>
            </w:r>
          </w:p>
        </w:tc>
        <w:tc>
          <w:tcPr>
            <w:tcW w:w="371" w:type="pct"/>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本期工程实际排放浓度(2)</w:t>
            </w:r>
          </w:p>
        </w:tc>
        <w:tc>
          <w:tcPr>
            <w:tcW w:w="368" w:type="pct"/>
            <w:gridSpan w:val="3"/>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本期工程允许排放浓度(3)</w:t>
            </w:r>
          </w:p>
        </w:tc>
        <w:tc>
          <w:tcPr>
            <w:tcW w:w="301"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本期工程产生量(4)</w:t>
            </w:r>
          </w:p>
        </w:tc>
        <w:tc>
          <w:tcPr>
            <w:tcW w:w="361"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本期工程自身削减量(5)</w:t>
            </w:r>
          </w:p>
        </w:tc>
        <w:tc>
          <w:tcPr>
            <w:tcW w:w="379"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本期工程实际排放量(6)</w:t>
            </w:r>
          </w:p>
        </w:tc>
        <w:tc>
          <w:tcPr>
            <w:tcW w:w="385" w:type="pct"/>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本期工程核定排放总量(7)</w:t>
            </w:r>
          </w:p>
        </w:tc>
        <w:tc>
          <w:tcPr>
            <w:tcW w:w="449"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本期工程“以新带老”削减量(8)</w:t>
            </w:r>
          </w:p>
        </w:tc>
        <w:tc>
          <w:tcPr>
            <w:tcW w:w="365" w:type="pct"/>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全厂实际排放总量(9)</w:t>
            </w:r>
          </w:p>
        </w:tc>
        <w:tc>
          <w:tcPr>
            <w:tcW w:w="281"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全厂核定排放总量(10)</w:t>
            </w:r>
          </w:p>
        </w:tc>
        <w:tc>
          <w:tcPr>
            <w:tcW w:w="375"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区域平衡替代削减量(11)</w:t>
            </w:r>
          </w:p>
        </w:tc>
        <w:tc>
          <w:tcPr>
            <w:tcW w:w="292" w:type="pct"/>
            <w:gridSpan w:val="2"/>
            <w:noWrap w:val="0"/>
            <w:vAlign w:val="center"/>
          </w:tcPr>
          <w:p>
            <w:pPr>
              <w:widowControl/>
              <w:adjustRightInd w:val="0"/>
              <w:snapToGrid w:val="0"/>
              <w:spacing w:after="0" w:line="240" w:lineRule="auto"/>
              <w:jc w:val="left"/>
              <w:rPr>
                <w:rFonts w:hint="eastAsia" w:ascii="Tahoma" w:hAnsi="Tahoma" w:eastAsia="微软雅黑" w:cs="Times New Roman"/>
                <w:b w:val="0"/>
                <w:bCs/>
                <w:kern w:val="2"/>
                <w:sz w:val="15"/>
                <w:szCs w:val="15"/>
                <w:lang w:val="en-US" w:eastAsia="zh-CN"/>
              </w:rPr>
            </w:pPr>
            <w:r>
              <w:rPr>
                <w:rFonts w:hint="eastAsia" w:ascii="Tahoma" w:hAnsi="Tahoma" w:eastAsia="微软雅黑" w:cs="Times New Roman"/>
                <w:b w:val="0"/>
                <w:bCs/>
                <w:kern w:val="2"/>
                <w:sz w:val="15"/>
                <w:szCs w:val="15"/>
                <w:lang w:val="en-US" w:eastAsia="zh-CN"/>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废水</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化学需氧量</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氨氮</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石油类</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废气</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二氧化硫</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烟尘</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工业粉尘</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氮氧化物</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582" w:type="pct"/>
            <w:gridSpan w:val="2"/>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工业固体废物</w:t>
            </w: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369" w:type="pct"/>
            <w:vMerge w:val="restart"/>
            <w:noWrap w:val="0"/>
            <w:vAlign w:val="center"/>
          </w:tcPr>
          <w:p>
            <w:pPr>
              <w:spacing w:after="0" w:line="240" w:lineRule="auto"/>
              <w:rPr>
                <w:rFonts w:hint="eastAsia" w:ascii="Tahoma" w:hAnsi="Tahoma" w:eastAsia="微软雅黑" w:cs="Times New Roman"/>
                <w:b/>
                <w:kern w:val="2"/>
                <w:sz w:val="15"/>
                <w:szCs w:val="15"/>
              </w:rPr>
            </w:pPr>
            <w:r>
              <w:rPr>
                <w:rFonts w:hint="eastAsia" w:ascii="Tahoma" w:hAnsi="Tahoma" w:eastAsia="微软雅黑" w:cs="Times New Roman"/>
                <w:b/>
                <w:kern w:val="2"/>
                <w:sz w:val="15"/>
                <w:szCs w:val="15"/>
              </w:rPr>
              <w:t>与项目有关其他特征污染物</w:t>
            </w:r>
          </w:p>
        </w:tc>
        <w:tc>
          <w:tcPr>
            <w:tcW w:w="212" w:type="pct"/>
            <w:noWrap w:val="0"/>
            <w:vAlign w:val="center"/>
          </w:tcPr>
          <w:p>
            <w:pPr>
              <w:spacing w:after="0" w:line="240" w:lineRule="auto"/>
              <w:rPr>
                <w:rFonts w:hint="eastAsia" w:ascii="Tahoma" w:hAnsi="Tahoma" w:eastAsia="微软雅黑" w:cs="Times New Roman"/>
                <w:b/>
                <w:kern w:val="2"/>
                <w:sz w:val="15"/>
                <w:szCs w:val="15"/>
              </w:rPr>
            </w:pP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31" w:type="pct"/>
            <w:gridSpan w:val="2"/>
            <w:vMerge w:val="continue"/>
            <w:noWrap w:val="0"/>
            <w:vAlign w:val="center"/>
          </w:tcPr>
          <w:p>
            <w:pPr>
              <w:spacing w:after="0" w:line="240" w:lineRule="auto"/>
              <w:rPr>
                <w:rFonts w:hint="eastAsia" w:ascii="Tahoma" w:hAnsi="Tahoma" w:eastAsia="微软雅黑" w:cs="Times New Roman"/>
                <w:b/>
                <w:kern w:val="2"/>
                <w:sz w:val="15"/>
                <w:szCs w:val="15"/>
              </w:rPr>
            </w:pPr>
          </w:p>
        </w:tc>
        <w:tc>
          <w:tcPr>
            <w:tcW w:w="369" w:type="pct"/>
            <w:vMerge w:val="continue"/>
            <w:noWrap w:val="0"/>
            <w:vAlign w:val="center"/>
          </w:tcPr>
          <w:p>
            <w:pPr>
              <w:spacing w:after="0" w:line="240" w:lineRule="auto"/>
              <w:rPr>
                <w:rFonts w:hint="eastAsia" w:ascii="Tahoma" w:hAnsi="Tahoma" w:eastAsia="微软雅黑" w:cs="Times New Roman"/>
                <w:b/>
                <w:kern w:val="2"/>
                <w:sz w:val="15"/>
                <w:szCs w:val="15"/>
              </w:rPr>
            </w:pPr>
          </w:p>
        </w:tc>
        <w:tc>
          <w:tcPr>
            <w:tcW w:w="212" w:type="pct"/>
            <w:noWrap w:val="0"/>
            <w:vAlign w:val="center"/>
          </w:tcPr>
          <w:p>
            <w:pPr>
              <w:spacing w:after="0" w:line="240" w:lineRule="auto"/>
              <w:rPr>
                <w:rFonts w:hint="eastAsia" w:ascii="Tahoma" w:hAnsi="Tahoma" w:eastAsia="微软雅黑" w:cs="Times New Roman"/>
                <w:b/>
                <w:kern w:val="2"/>
                <w:sz w:val="15"/>
                <w:szCs w:val="15"/>
              </w:rPr>
            </w:pPr>
          </w:p>
        </w:tc>
        <w:tc>
          <w:tcPr>
            <w:tcW w:w="257" w:type="pct"/>
            <w:noWrap w:val="0"/>
            <w:vAlign w:val="center"/>
          </w:tcPr>
          <w:p>
            <w:pPr>
              <w:spacing w:after="0" w:line="240" w:lineRule="auto"/>
              <w:rPr>
                <w:rFonts w:hint="eastAsia" w:ascii="Tahoma" w:hAnsi="Tahoma" w:eastAsia="微软雅黑" w:cs="Times New Roman"/>
                <w:kern w:val="2"/>
                <w:sz w:val="15"/>
                <w:szCs w:val="15"/>
              </w:rPr>
            </w:pPr>
          </w:p>
        </w:tc>
        <w:tc>
          <w:tcPr>
            <w:tcW w:w="371" w:type="pct"/>
            <w:noWrap w:val="0"/>
            <w:vAlign w:val="center"/>
          </w:tcPr>
          <w:p>
            <w:pPr>
              <w:spacing w:after="0" w:line="240" w:lineRule="auto"/>
              <w:rPr>
                <w:rFonts w:hint="eastAsia" w:ascii="Tahoma" w:hAnsi="Tahoma" w:eastAsia="微软雅黑" w:cs="Times New Roman"/>
                <w:kern w:val="2"/>
                <w:sz w:val="15"/>
                <w:szCs w:val="15"/>
              </w:rPr>
            </w:pPr>
          </w:p>
        </w:tc>
        <w:tc>
          <w:tcPr>
            <w:tcW w:w="368" w:type="pct"/>
            <w:gridSpan w:val="3"/>
            <w:noWrap w:val="0"/>
            <w:vAlign w:val="center"/>
          </w:tcPr>
          <w:p>
            <w:pPr>
              <w:spacing w:after="0" w:line="240" w:lineRule="auto"/>
              <w:rPr>
                <w:rFonts w:hint="eastAsia" w:ascii="Tahoma" w:hAnsi="Tahoma" w:eastAsia="微软雅黑" w:cs="Times New Roman"/>
                <w:kern w:val="2"/>
                <w:sz w:val="15"/>
                <w:szCs w:val="15"/>
              </w:rPr>
            </w:pPr>
          </w:p>
        </w:tc>
        <w:tc>
          <w:tcPr>
            <w:tcW w:w="301" w:type="pct"/>
            <w:gridSpan w:val="2"/>
            <w:noWrap w:val="0"/>
            <w:vAlign w:val="center"/>
          </w:tcPr>
          <w:p>
            <w:pPr>
              <w:spacing w:after="0" w:line="240" w:lineRule="auto"/>
              <w:rPr>
                <w:rFonts w:hint="eastAsia" w:ascii="Tahoma" w:hAnsi="Tahoma" w:eastAsia="微软雅黑" w:cs="Times New Roman"/>
                <w:kern w:val="2"/>
                <w:sz w:val="15"/>
                <w:szCs w:val="15"/>
              </w:rPr>
            </w:pPr>
          </w:p>
        </w:tc>
        <w:tc>
          <w:tcPr>
            <w:tcW w:w="36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9" w:type="pct"/>
            <w:gridSpan w:val="2"/>
            <w:noWrap w:val="0"/>
            <w:vAlign w:val="center"/>
          </w:tcPr>
          <w:p>
            <w:pPr>
              <w:spacing w:after="0" w:line="240" w:lineRule="auto"/>
              <w:rPr>
                <w:rFonts w:hint="eastAsia" w:ascii="Tahoma" w:hAnsi="Tahoma" w:eastAsia="微软雅黑" w:cs="Times New Roman"/>
                <w:kern w:val="2"/>
                <w:sz w:val="15"/>
                <w:szCs w:val="15"/>
              </w:rPr>
            </w:pPr>
          </w:p>
        </w:tc>
        <w:tc>
          <w:tcPr>
            <w:tcW w:w="385" w:type="pct"/>
            <w:noWrap w:val="0"/>
            <w:vAlign w:val="center"/>
          </w:tcPr>
          <w:p>
            <w:pPr>
              <w:spacing w:after="0" w:line="240" w:lineRule="auto"/>
              <w:rPr>
                <w:rFonts w:hint="eastAsia" w:ascii="Tahoma" w:hAnsi="Tahoma" w:eastAsia="微软雅黑" w:cs="Times New Roman"/>
                <w:kern w:val="2"/>
                <w:sz w:val="15"/>
                <w:szCs w:val="15"/>
              </w:rPr>
            </w:pPr>
          </w:p>
        </w:tc>
        <w:tc>
          <w:tcPr>
            <w:tcW w:w="449" w:type="pct"/>
            <w:gridSpan w:val="2"/>
            <w:noWrap w:val="0"/>
            <w:vAlign w:val="center"/>
          </w:tcPr>
          <w:p>
            <w:pPr>
              <w:spacing w:after="0" w:line="240" w:lineRule="auto"/>
              <w:rPr>
                <w:rFonts w:hint="eastAsia" w:ascii="Tahoma" w:hAnsi="Tahoma" w:eastAsia="微软雅黑" w:cs="Times New Roman"/>
                <w:kern w:val="2"/>
                <w:sz w:val="15"/>
                <w:szCs w:val="15"/>
              </w:rPr>
            </w:pPr>
          </w:p>
        </w:tc>
        <w:tc>
          <w:tcPr>
            <w:tcW w:w="365" w:type="pct"/>
            <w:noWrap w:val="0"/>
            <w:vAlign w:val="center"/>
          </w:tcPr>
          <w:p>
            <w:pPr>
              <w:spacing w:after="0" w:line="240" w:lineRule="auto"/>
              <w:rPr>
                <w:rFonts w:hint="eastAsia" w:ascii="Tahoma" w:hAnsi="Tahoma" w:eastAsia="微软雅黑" w:cs="Times New Roman"/>
                <w:kern w:val="2"/>
                <w:sz w:val="15"/>
                <w:szCs w:val="15"/>
              </w:rPr>
            </w:pPr>
          </w:p>
        </w:tc>
        <w:tc>
          <w:tcPr>
            <w:tcW w:w="281" w:type="pct"/>
            <w:gridSpan w:val="2"/>
            <w:noWrap w:val="0"/>
            <w:vAlign w:val="center"/>
          </w:tcPr>
          <w:p>
            <w:pPr>
              <w:spacing w:after="0" w:line="240" w:lineRule="auto"/>
              <w:rPr>
                <w:rFonts w:hint="eastAsia" w:ascii="Tahoma" w:hAnsi="Tahoma" w:eastAsia="微软雅黑" w:cs="Times New Roman"/>
                <w:kern w:val="2"/>
                <w:sz w:val="15"/>
                <w:szCs w:val="15"/>
              </w:rPr>
            </w:pPr>
          </w:p>
        </w:tc>
        <w:tc>
          <w:tcPr>
            <w:tcW w:w="375" w:type="pct"/>
            <w:gridSpan w:val="2"/>
            <w:noWrap w:val="0"/>
            <w:vAlign w:val="center"/>
          </w:tcPr>
          <w:p>
            <w:pPr>
              <w:spacing w:after="0" w:line="240" w:lineRule="auto"/>
              <w:rPr>
                <w:rFonts w:hint="eastAsia" w:ascii="Tahoma" w:hAnsi="Tahoma" w:eastAsia="微软雅黑" w:cs="Times New Roman"/>
                <w:kern w:val="2"/>
                <w:sz w:val="15"/>
                <w:szCs w:val="15"/>
              </w:rPr>
            </w:pPr>
          </w:p>
        </w:tc>
        <w:tc>
          <w:tcPr>
            <w:tcW w:w="292" w:type="pct"/>
            <w:gridSpan w:val="2"/>
            <w:noWrap w:val="0"/>
            <w:vAlign w:val="center"/>
          </w:tcPr>
          <w:p>
            <w:pPr>
              <w:spacing w:after="0" w:line="240" w:lineRule="auto"/>
              <w:rPr>
                <w:rFonts w:hint="eastAsia" w:ascii="Tahoma" w:hAnsi="Tahoma" w:eastAsia="微软雅黑" w:cs="Times New Roman"/>
                <w:kern w:val="2"/>
                <w:sz w:val="15"/>
                <w:szCs w:val="15"/>
              </w:rPr>
            </w:pPr>
          </w:p>
        </w:tc>
      </w:tr>
    </w:tbl>
    <w:p>
      <w:pPr>
        <w:spacing w:after="0"/>
      </w:pPr>
      <w:r>
        <w:rPr>
          <w:b/>
          <w:sz w:val="15"/>
          <w:szCs w:val="15"/>
        </w:rPr>
        <w:t>注</w:t>
      </w:r>
      <w:r>
        <w:rPr>
          <w:sz w:val="15"/>
          <w:szCs w:val="15"/>
        </w:rPr>
        <w:t>：1、</w:t>
      </w:r>
      <w:r>
        <w:rPr>
          <w:spacing w:val="-4"/>
          <w:sz w:val="15"/>
          <w:szCs w:val="15"/>
        </w:rPr>
        <w:t>排放增减量：（+）表示增加，（-）表示减少。2、(12)=(6)-(8)-(11)，（9）= (4)-(5)-(8)- (11) +（1）。3、计量单位：废水排放量——万吨/年；废气排放量——万标立方米/年；工业固体废物排放</w:t>
      </w:r>
      <w:r>
        <w:rPr>
          <w:sz w:val="15"/>
          <w:szCs w:val="15"/>
        </w:rPr>
        <w:t>量——万吨/年；水污染物排放浓度——毫克/升</w:t>
      </w:r>
    </w:p>
    <w:p>
      <w:pPr>
        <w:tabs>
          <w:tab w:val="left" w:pos="4282"/>
        </w:tabs>
        <w:bidi w:val="0"/>
        <w:jc w:val="left"/>
        <w:rPr>
          <w:rFonts w:hint="eastAsia" w:eastAsia="宋体"/>
          <w:lang w:eastAsia="zh-CN"/>
        </w:rPr>
      </w:pPr>
    </w:p>
    <w:sectPr>
      <w:footerReference r:id="rId7" w:type="default"/>
      <w:pgSz w:w="16838" w:h="11906" w:orient="landscape"/>
      <w:pgMar w:top="1134" w:right="1440" w:bottom="1797" w:left="56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0000000000000000000"/>
    <w:charset w:val="86"/>
    <w:family w:val="auto"/>
    <w:pitch w:val="default"/>
    <w:sig w:usb0="00000000" w:usb1="00000000" w:usb2="00000010" w:usb3="00000000" w:csb0="00040000" w:csb1="00000000"/>
  </w:font>
  <w:font w:name="Arial Black">
    <w:panose1 w:val="020B0A04020102020204"/>
    <w:charset w:val="00"/>
    <w:family w:val="swiss"/>
    <w:pitch w:val="default"/>
    <w:sig w:usb0="00000287" w:usb1="00000000" w:usb2="00000000" w:usb3="00000000" w:csb0="2000009F" w:csb1="DFD70000"/>
  </w:font>
  <w:font w:name="仿宋_GB2312">
    <w:altName w:val="仿宋"/>
    <w:panose1 w:val="02010609030101010101"/>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Noto Sans Mono CJK JP Regular">
    <w:altName w:val="Arial"/>
    <w:panose1 w:val="00000000000000000000"/>
    <w:charset w:val="00"/>
    <w:family w:val="swiss"/>
    <w:pitch w:val="default"/>
    <w:sig w:usb0="00000000" w:usb1="00000000" w:usb2="00000000" w:usb3="00000000" w:csb0="00000001" w:csb1="00000000"/>
  </w:font>
  <w:font w:name="TimesNewRomanPSMT">
    <w:altName w:val="宋体"/>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 PAGE   \* MERGEFORMAT </w:instrText>
    </w:r>
    <w:r>
      <w:fldChar w:fldCharType="separate"/>
    </w:r>
    <w:r>
      <w:rPr>
        <w:lang w:val="zh-CN"/>
      </w:rPr>
      <w:t>1</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 PAGE   \* MERGEFORMAT </w:instrText>
    </w:r>
    <w:r>
      <w:fldChar w:fldCharType="separate"/>
    </w:r>
    <w:r>
      <w:rPr>
        <w:lang w:val="zh-CN"/>
      </w:rPr>
      <w:t>20</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 PAGE   \* MERGEFORMAT </w:instrText>
    </w:r>
    <w:r>
      <w:fldChar w:fldCharType="separate"/>
    </w:r>
    <w:r>
      <w:rPr>
        <w:lang w:val="zh-CN"/>
      </w:rPr>
      <w:t>26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9"/>
      <w:rPr>
        <w:rStyle w:val="30"/>
        <w:rFonts w:hint="eastAsia" w:eastAsia="宋体"/>
        <w:szCs w:val="21"/>
        <w:lang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jc w:val="right"/>
      <w:rPr>
        <w:i/>
        <w:sz w:val="10"/>
      </w:rPr>
    </w:pPr>
    <w:r>
      <w:rPr>
        <w:rFonts w:hint="eastAsia" w:ascii="宋体" w:hAnsi="宋体"/>
        <w:i/>
        <w:lang w:eastAsia="zh-CN"/>
      </w:rPr>
      <w:t>重庆渝顺投资有限公司顺洁加油站</w:t>
    </w:r>
    <w:r>
      <w:rPr>
        <w:rFonts w:hint="eastAsia" w:ascii="宋体" w:hAnsi="宋体"/>
        <w:i/>
      </w:rPr>
      <w:t>竣工环境保护验收监测报</w:t>
    </w:r>
    <w:r>
      <w:rPr>
        <w:rFonts w:hint="eastAsia"/>
        <w:i/>
      </w:rPr>
      <w:t>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2C25262"/>
    <w:multiLevelType w:val="singleLevel"/>
    <w:tmpl w:val="C2C25262"/>
    <w:lvl w:ilvl="0" w:tentative="0">
      <w:start w:val="3"/>
      <w:numFmt w:val="decimal"/>
      <w:suff w:val="nothing"/>
      <w:lvlText w:val="%1、"/>
      <w:lvlJc w:val="left"/>
    </w:lvl>
  </w:abstractNum>
  <w:abstractNum w:abstractNumId="1">
    <w:nsid w:val="E33CBE5F"/>
    <w:multiLevelType w:val="singleLevel"/>
    <w:tmpl w:val="E33CBE5F"/>
    <w:lvl w:ilvl="0" w:tentative="0">
      <w:start w:val="1"/>
      <w:numFmt w:val="bullet"/>
      <w:pStyle w:val="12"/>
      <w:lvlText w:val=""/>
      <w:lvlJc w:val="left"/>
      <w:pPr>
        <w:tabs>
          <w:tab w:val="left" w:pos="2040"/>
        </w:tabs>
        <w:ind w:left="2040" w:hanging="360"/>
      </w:pPr>
      <w:rPr>
        <w:rFonts w:hint="default" w:ascii="Wingdings" w:hAnsi="Wingdings"/>
      </w:rPr>
    </w:lvl>
  </w:abstractNum>
  <w:abstractNum w:abstractNumId="2">
    <w:nsid w:val="5AE195FA"/>
    <w:multiLevelType w:val="singleLevel"/>
    <w:tmpl w:val="5AE195FA"/>
    <w:lvl w:ilvl="0" w:tentative="0">
      <w:start w:val="5"/>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ZTVjZjM5M2FmNTBlYmZkZTU2MTk1ZDlhZWM5OWE2YjgifQ=="/>
  </w:docVars>
  <w:rsids>
    <w:rsidRoot w:val="00EF54D1"/>
    <w:rsid w:val="000007DF"/>
    <w:rsid w:val="00000A8B"/>
    <w:rsid w:val="00001725"/>
    <w:rsid w:val="00001768"/>
    <w:rsid w:val="00001802"/>
    <w:rsid w:val="00001BAD"/>
    <w:rsid w:val="0000219F"/>
    <w:rsid w:val="00002B5B"/>
    <w:rsid w:val="000032A0"/>
    <w:rsid w:val="000041DC"/>
    <w:rsid w:val="00006CF6"/>
    <w:rsid w:val="000102A0"/>
    <w:rsid w:val="00010391"/>
    <w:rsid w:val="00010D78"/>
    <w:rsid w:val="00010FE1"/>
    <w:rsid w:val="0001190F"/>
    <w:rsid w:val="000145BE"/>
    <w:rsid w:val="0001495E"/>
    <w:rsid w:val="00014D48"/>
    <w:rsid w:val="000151DB"/>
    <w:rsid w:val="0002611B"/>
    <w:rsid w:val="00032EC9"/>
    <w:rsid w:val="00033C7E"/>
    <w:rsid w:val="00034F24"/>
    <w:rsid w:val="00035461"/>
    <w:rsid w:val="00040A0A"/>
    <w:rsid w:val="00040AAD"/>
    <w:rsid w:val="00043A32"/>
    <w:rsid w:val="000443F9"/>
    <w:rsid w:val="00045DFA"/>
    <w:rsid w:val="00045E9E"/>
    <w:rsid w:val="00045F3F"/>
    <w:rsid w:val="00047CC9"/>
    <w:rsid w:val="0005129E"/>
    <w:rsid w:val="00053405"/>
    <w:rsid w:val="00053E8A"/>
    <w:rsid w:val="000547F4"/>
    <w:rsid w:val="00055253"/>
    <w:rsid w:val="00056330"/>
    <w:rsid w:val="0006120C"/>
    <w:rsid w:val="00061CDD"/>
    <w:rsid w:val="00062703"/>
    <w:rsid w:val="00063317"/>
    <w:rsid w:val="000648A3"/>
    <w:rsid w:val="000653B2"/>
    <w:rsid w:val="0006552C"/>
    <w:rsid w:val="00067013"/>
    <w:rsid w:val="00067BD1"/>
    <w:rsid w:val="00067F1F"/>
    <w:rsid w:val="000703BC"/>
    <w:rsid w:val="0007076C"/>
    <w:rsid w:val="00072915"/>
    <w:rsid w:val="0007315C"/>
    <w:rsid w:val="00073813"/>
    <w:rsid w:val="0007423A"/>
    <w:rsid w:val="00075F20"/>
    <w:rsid w:val="000765C1"/>
    <w:rsid w:val="000773EB"/>
    <w:rsid w:val="00077F8A"/>
    <w:rsid w:val="00080EE4"/>
    <w:rsid w:val="00081A06"/>
    <w:rsid w:val="0008228C"/>
    <w:rsid w:val="000858E7"/>
    <w:rsid w:val="00085CF5"/>
    <w:rsid w:val="00086165"/>
    <w:rsid w:val="00087C98"/>
    <w:rsid w:val="000902F1"/>
    <w:rsid w:val="0009084F"/>
    <w:rsid w:val="000914BC"/>
    <w:rsid w:val="0009270B"/>
    <w:rsid w:val="00092E33"/>
    <w:rsid w:val="000939CB"/>
    <w:rsid w:val="000939EC"/>
    <w:rsid w:val="000952EE"/>
    <w:rsid w:val="00096165"/>
    <w:rsid w:val="00097218"/>
    <w:rsid w:val="000973BF"/>
    <w:rsid w:val="000A13E8"/>
    <w:rsid w:val="000A18CB"/>
    <w:rsid w:val="000A36E1"/>
    <w:rsid w:val="000A3A38"/>
    <w:rsid w:val="000A5AB0"/>
    <w:rsid w:val="000A603F"/>
    <w:rsid w:val="000A6079"/>
    <w:rsid w:val="000A68F5"/>
    <w:rsid w:val="000A6AE0"/>
    <w:rsid w:val="000B0A63"/>
    <w:rsid w:val="000B171B"/>
    <w:rsid w:val="000B1E57"/>
    <w:rsid w:val="000B2D73"/>
    <w:rsid w:val="000B357E"/>
    <w:rsid w:val="000B3FFA"/>
    <w:rsid w:val="000B4935"/>
    <w:rsid w:val="000B4C82"/>
    <w:rsid w:val="000B69C0"/>
    <w:rsid w:val="000B7084"/>
    <w:rsid w:val="000B722D"/>
    <w:rsid w:val="000B732E"/>
    <w:rsid w:val="000B780B"/>
    <w:rsid w:val="000C04FB"/>
    <w:rsid w:val="000C06E3"/>
    <w:rsid w:val="000C0FCF"/>
    <w:rsid w:val="000C2E9B"/>
    <w:rsid w:val="000C384D"/>
    <w:rsid w:val="000C39EA"/>
    <w:rsid w:val="000C481D"/>
    <w:rsid w:val="000C4EA9"/>
    <w:rsid w:val="000C57BA"/>
    <w:rsid w:val="000D041F"/>
    <w:rsid w:val="000D0AA1"/>
    <w:rsid w:val="000D0CB0"/>
    <w:rsid w:val="000D0DA8"/>
    <w:rsid w:val="000D6618"/>
    <w:rsid w:val="000D69C2"/>
    <w:rsid w:val="000D71F8"/>
    <w:rsid w:val="000E3384"/>
    <w:rsid w:val="000E4139"/>
    <w:rsid w:val="000E500A"/>
    <w:rsid w:val="000E552A"/>
    <w:rsid w:val="000E6049"/>
    <w:rsid w:val="000E7268"/>
    <w:rsid w:val="000F08AD"/>
    <w:rsid w:val="000F0E19"/>
    <w:rsid w:val="000F2139"/>
    <w:rsid w:val="000F5A7E"/>
    <w:rsid w:val="001013A4"/>
    <w:rsid w:val="001019EF"/>
    <w:rsid w:val="00102549"/>
    <w:rsid w:val="00104CCC"/>
    <w:rsid w:val="00105006"/>
    <w:rsid w:val="001054F5"/>
    <w:rsid w:val="0010585A"/>
    <w:rsid w:val="00107825"/>
    <w:rsid w:val="0011085F"/>
    <w:rsid w:val="00111F89"/>
    <w:rsid w:val="0011432C"/>
    <w:rsid w:val="001143CA"/>
    <w:rsid w:val="001150FC"/>
    <w:rsid w:val="00116BB9"/>
    <w:rsid w:val="00117292"/>
    <w:rsid w:val="00117314"/>
    <w:rsid w:val="0012016F"/>
    <w:rsid w:val="001273D8"/>
    <w:rsid w:val="00127D6B"/>
    <w:rsid w:val="0013042A"/>
    <w:rsid w:val="0013109F"/>
    <w:rsid w:val="00131245"/>
    <w:rsid w:val="001315A7"/>
    <w:rsid w:val="00132BD6"/>
    <w:rsid w:val="00133F4E"/>
    <w:rsid w:val="001354B1"/>
    <w:rsid w:val="00137670"/>
    <w:rsid w:val="00141DEB"/>
    <w:rsid w:val="00143543"/>
    <w:rsid w:val="00146F20"/>
    <w:rsid w:val="001517DE"/>
    <w:rsid w:val="0015232E"/>
    <w:rsid w:val="00152C3C"/>
    <w:rsid w:val="00154A37"/>
    <w:rsid w:val="00157205"/>
    <w:rsid w:val="00163095"/>
    <w:rsid w:val="00165289"/>
    <w:rsid w:val="0016533E"/>
    <w:rsid w:val="001662FA"/>
    <w:rsid w:val="00166B19"/>
    <w:rsid w:val="0016707C"/>
    <w:rsid w:val="001676CC"/>
    <w:rsid w:val="0017011B"/>
    <w:rsid w:val="0017135B"/>
    <w:rsid w:val="00172AFE"/>
    <w:rsid w:val="00173DC6"/>
    <w:rsid w:val="00173E0E"/>
    <w:rsid w:val="00174349"/>
    <w:rsid w:val="001758C6"/>
    <w:rsid w:val="00176615"/>
    <w:rsid w:val="001768A5"/>
    <w:rsid w:val="00176D51"/>
    <w:rsid w:val="00177CDE"/>
    <w:rsid w:val="00181CF6"/>
    <w:rsid w:val="00181F17"/>
    <w:rsid w:val="00181FB7"/>
    <w:rsid w:val="00184204"/>
    <w:rsid w:val="00185041"/>
    <w:rsid w:val="0018537C"/>
    <w:rsid w:val="00186393"/>
    <w:rsid w:val="001919F0"/>
    <w:rsid w:val="00192509"/>
    <w:rsid w:val="00192A3A"/>
    <w:rsid w:val="00193ED7"/>
    <w:rsid w:val="00195711"/>
    <w:rsid w:val="001A0D1B"/>
    <w:rsid w:val="001A0D28"/>
    <w:rsid w:val="001A11EE"/>
    <w:rsid w:val="001A3335"/>
    <w:rsid w:val="001A40D6"/>
    <w:rsid w:val="001A5F55"/>
    <w:rsid w:val="001A7BCB"/>
    <w:rsid w:val="001B0735"/>
    <w:rsid w:val="001B0B27"/>
    <w:rsid w:val="001B1849"/>
    <w:rsid w:val="001B57A5"/>
    <w:rsid w:val="001B5AD3"/>
    <w:rsid w:val="001B797C"/>
    <w:rsid w:val="001C305B"/>
    <w:rsid w:val="001C3AD9"/>
    <w:rsid w:val="001C3BBC"/>
    <w:rsid w:val="001C485C"/>
    <w:rsid w:val="001C4A97"/>
    <w:rsid w:val="001C5481"/>
    <w:rsid w:val="001C63E9"/>
    <w:rsid w:val="001C6461"/>
    <w:rsid w:val="001D0192"/>
    <w:rsid w:val="001D02F0"/>
    <w:rsid w:val="001D0ABA"/>
    <w:rsid w:val="001D0FFD"/>
    <w:rsid w:val="001D1CCB"/>
    <w:rsid w:val="001D2728"/>
    <w:rsid w:val="001D2BE2"/>
    <w:rsid w:val="001D44E3"/>
    <w:rsid w:val="001D4C6B"/>
    <w:rsid w:val="001D4CBB"/>
    <w:rsid w:val="001D50DD"/>
    <w:rsid w:val="001D5CEB"/>
    <w:rsid w:val="001D5DA5"/>
    <w:rsid w:val="001D6BD1"/>
    <w:rsid w:val="001D72E0"/>
    <w:rsid w:val="001D75F3"/>
    <w:rsid w:val="001D7658"/>
    <w:rsid w:val="001D7E14"/>
    <w:rsid w:val="001E1760"/>
    <w:rsid w:val="001E24BA"/>
    <w:rsid w:val="001E34C7"/>
    <w:rsid w:val="001E34F1"/>
    <w:rsid w:val="001E3F20"/>
    <w:rsid w:val="001E50AA"/>
    <w:rsid w:val="001E6799"/>
    <w:rsid w:val="001F01C9"/>
    <w:rsid w:val="001F077F"/>
    <w:rsid w:val="001F1586"/>
    <w:rsid w:val="001F1BCA"/>
    <w:rsid w:val="001F2557"/>
    <w:rsid w:val="001F2D04"/>
    <w:rsid w:val="001F2D4A"/>
    <w:rsid w:val="001F30D6"/>
    <w:rsid w:val="001F5D9F"/>
    <w:rsid w:val="001F6F2D"/>
    <w:rsid w:val="001F7AF7"/>
    <w:rsid w:val="001F7CA8"/>
    <w:rsid w:val="0020033B"/>
    <w:rsid w:val="0020136D"/>
    <w:rsid w:val="00202821"/>
    <w:rsid w:val="00202A61"/>
    <w:rsid w:val="00203588"/>
    <w:rsid w:val="0020381B"/>
    <w:rsid w:val="002041DA"/>
    <w:rsid w:val="00204931"/>
    <w:rsid w:val="00206A23"/>
    <w:rsid w:val="002072AD"/>
    <w:rsid w:val="00210526"/>
    <w:rsid w:val="00210877"/>
    <w:rsid w:val="0021152C"/>
    <w:rsid w:val="002119FE"/>
    <w:rsid w:val="002144D3"/>
    <w:rsid w:val="0021456A"/>
    <w:rsid w:val="00214616"/>
    <w:rsid w:val="00215170"/>
    <w:rsid w:val="0021692F"/>
    <w:rsid w:val="00216BA1"/>
    <w:rsid w:val="00216D32"/>
    <w:rsid w:val="002178FF"/>
    <w:rsid w:val="00217E1E"/>
    <w:rsid w:val="00220F3E"/>
    <w:rsid w:val="00222517"/>
    <w:rsid w:val="00223C8C"/>
    <w:rsid w:val="00224684"/>
    <w:rsid w:val="00225180"/>
    <w:rsid w:val="002261D2"/>
    <w:rsid w:val="00227E7B"/>
    <w:rsid w:val="0023354F"/>
    <w:rsid w:val="00233D65"/>
    <w:rsid w:val="002367BD"/>
    <w:rsid w:val="00236C2C"/>
    <w:rsid w:val="0023717D"/>
    <w:rsid w:val="00237725"/>
    <w:rsid w:val="002378DB"/>
    <w:rsid w:val="00240417"/>
    <w:rsid w:val="00240581"/>
    <w:rsid w:val="002405E2"/>
    <w:rsid w:val="00240AAE"/>
    <w:rsid w:val="00242006"/>
    <w:rsid w:val="0024416A"/>
    <w:rsid w:val="002468D4"/>
    <w:rsid w:val="0024754E"/>
    <w:rsid w:val="00250282"/>
    <w:rsid w:val="00251288"/>
    <w:rsid w:val="002513A1"/>
    <w:rsid w:val="00252B5A"/>
    <w:rsid w:val="00253D85"/>
    <w:rsid w:val="00255C2C"/>
    <w:rsid w:val="0025677F"/>
    <w:rsid w:val="00257DED"/>
    <w:rsid w:val="00264550"/>
    <w:rsid w:val="00264A03"/>
    <w:rsid w:val="002668EF"/>
    <w:rsid w:val="00266B6C"/>
    <w:rsid w:val="00266DE7"/>
    <w:rsid w:val="00267E73"/>
    <w:rsid w:val="00267F18"/>
    <w:rsid w:val="002700F7"/>
    <w:rsid w:val="00271ADA"/>
    <w:rsid w:val="0027352F"/>
    <w:rsid w:val="00273A8B"/>
    <w:rsid w:val="002748FD"/>
    <w:rsid w:val="00276732"/>
    <w:rsid w:val="00281136"/>
    <w:rsid w:val="00281A2E"/>
    <w:rsid w:val="00282BA7"/>
    <w:rsid w:val="00282C9D"/>
    <w:rsid w:val="00284A57"/>
    <w:rsid w:val="00284A7B"/>
    <w:rsid w:val="0028585D"/>
    <w:rsid w:val="00286CCC"/>
    <w:rsid w:val="0029036B"/>
    <w:rsid w:val="002922DF"/>
    <w:rsid w:val="002932FB"/>
    <w:rsid w:val="00293311"/>
    <w:rsid w:val="002951C5"/>
    <w:rsid w:val="00297BB0"/>
    <w:rsid w:val="002A132C"/>
    <w:rsid w:val="002A2F9D"/>
    <w:rsid w:val="002A3256"/>
    <w:rsid w:val="002A569F"/>
    <w:rsid w:val="002B05E0"/>
    <w:rsid w:val="002B0B98"/>
    <w:rsid w:val="002B4269"/>
    <w:rsid w:val="002B7700"/>
    <w:rsid w:val="002C01B3"/>
    <w:rsid w:val="002C02F4"/>
    <w:rsid w:val="002C08E0"/>
    <w:rsid w:val="002C1E90"/>
    <w:rsid w:val="002C2498"/>
    <w:rsid w:val="002C2A80"/>
    <w:rsid w:val="002C3C4B"/>
    <w:rsid w:val="002C623D"/>
    <w:rsid w:val="002C64BE"/>
    <w:rsid w:val="002D1EF7"/>
    <w:rsid w:val="002D3546"/>
    <w:rsid w:val="002D35B7"/>
    <w:rsid w:val="002D3B37"/>
    <w:rsid w:val="002D3E07"/>
    <w:rsid w:val="002D5200"/>
    <w:rsid w:val="002D6107"/>
    <w:rsid w:val="002D780F"/>
    <w:rsid w:val="002E00D8"/>
    <w:rsid w:val="002E1A00"/>
    <w:rsid w:val="002E337A"/>
    <w:rsid w:val="002E5AD4"/>
    <w:rsid w:val="002E5D07"/>
    <w:rsid w:val="002E6669"/>
    <w:rsid w:val="002E7AC1"/>
    <w:rsid w:val="002F002F"/>
    <w:rsid w:val="002F02AD"/>
    <w:rsid w:val="002F2A2E"/>
    <w:rsid w:val="002F37CA"/>
    <w:rsid w:val="002F5527"/>
    <w:rsid w:val="002F7397"/>
    <w:rsid w:val="00300217"/>
    <w:rsid w:val="00301CD6"/>
    <w:rsid w:val="00302257"/>
    <w:rsid w:val="003023A7"/>
    <w:rsid w:val="00305A98"/>
    <w:rsid w:val="003072D6"/>
    <w:rsid w:val="003072FD"/>
    <w:rsid w:val="00310ECB"/>
    <w:rsid w:val="003118EF"/>
    <w:rsid w:val="003119C6"/>
    <w:rsid w:val="00312B86"/>
    <w:rsid w:val="00320C16"/>
    <w:rsid w:val="00321195"/>
    <w:rsid w:val="003240AB"/>
    <w:rsid w:val="003276AB"/>
    <w:rsid w:val="00330318"/>
    <w:rsid w:val="003325D3"/>
    <w:rsid w:val="00333A24"/>
    <w:rsid w:val="003343D1"/>
    <w:rsid w:val="00334A54"/>
    <w:rsid w:val="00334DFB"/>
    <w:rsid w:val="00336598"/>
    <w:rsid w:val="00336917"/>
    <w:rsid w:val="003379B6"/>
    <w:rsid w:val="0034021F"/>
    <w:rsid w:val="00340B68"/>
    <w:rsid w:val="00340C76"/>
    <w:rsid w:val="00341B2F"/>
    <w:rsid w:val="00342C6E"/>
    <w:rsid w:val="003431B0"/>
    <w:rsid w:val="003436FD"/>
    <w:rsid w:val="003443DD"/>
    <w:rsid w:val="00345905"/>
    <w:rsid w:val="00346227"/>
    <w:rsid w:val="00346EA3"/>
    <w:rsid w:val="00347043"/>
    <w:rsid w:val="00350959"/>
    <w:rsid w:val="00350CD9"/>
    <w:rsid w:val="00351B9C"/>
    <w:rsid w:val="0035245B"/>
    <w:rsid w:val="00353238"/>
    <w:rsid w:val="003548A0"/>
    <w:rsid w:val="00354A15"/>
    <w:rsid w:val="00357153"/>
    <w:rsid w:val="00357526"/>
    <w:rsid w:val="00360B0F"/>
    <w:rsid w:val="00362192"/>
    <w:rsid w:val="00362694"/>
    <w:rsid w:val="00362AA1"/>
    <w:rsid w:val="003637A7"/>
    <w:rsid w:val="00363ABD"/>
    <w:rsid w:val="00363C55"/>
    <w:rsid w:val="00363F88"/>
    <w:rsid w:val="00364413"/>
    <w:rsid w:val="00370814"/>
    <w:rsid w:val="003753A2"/>
    <w:rsid w:val="0037665B"/>
    <w:rsid w:val="00377CBE"/>
    <w:rsid w:val="00380880"/>
    <w:rsid w:val="00380E56"/>
    <w:rsid w:val="00380FA0"/>
    <w:rsid w:val="0038233A"/>
    <w:rsid w:val="00382752"/>
    <w:rsid w:val="0038498E"/>
    <w:rsid w:val="00384FD1"/>
    <w:rsid w:val="00385733"/>
    <w:rsid w:val="00385BA4"/>
    <w:rsid w:val="00385C15"/>
    <w:rsid w:val="003868B8"/>
    <w:rsid w:val="003872E6"/>
    <w:rsid w:val="00387623"/>
    <w:rsid w:val="003876D3"/>
    <w:rsid w:val="00391BE7"/>
    <w:rsid w:val="00391D6A"/>
    <w:rsid w:val="00393B05"/>
    <w:rsid w:val="00396083"/>
    <w:rsid w:val="003963CD"/>
    <w:rsid w:val="00397961"/>
    <w:rsid w:val="003A32DF"/>
    <w:rsid w:val="003A3ED7"/>
    <w:rsid w:val="003A4502"/>
    <w:rsid w:val="003A4BBE"/>
    <w:rsid w:val="003A4BE4"/>
    <w:rsid w:val="003A5598"/>
    <w:rsid w:val="003A6249"/>
    <w:rsid w:val="003A667A"/>
    <w:rsid w:val="003B0DFE"/>
    <w:rsid w:val="003B0E39"/>
    <w:rsid w:val="003B1737"/>
    <w:rsid w:val="003B2B24"/>
    <w:rsid w:val="003B3EF5"/>
    <w:rsid w:val="003B3F98"/>
    <w:rsid w:val="003B406D"/>
    <w:rsid w:val="003B48A0"/>
    <w:rsid w:val="003B5C80"/>
    <w:rsid w:val="003C0681"/>
    <w:rsid w:val="003C17D0"/>
    <w:rsid w:val="003C3ED3"/>
    <w:rsid w:val="003C44E1"/>
    <w:rsid w:val="003C56E0"/>
    <w:rsid w:val="003C6CF2"/>
    <w:rsid w:val="003C7DDA"/>
    <w:rsid w:val="003D03F6"/>
    <w:rsid w:val="003D1680"/>
    <w:rsid w:val="003D4248"/>
    <w:rsid w:val="003D5127"/>
    <w:rsid w:val="003D67E1"/>
    <w:rsid w:val="003E0467"/>
    <w:rsid w:val="003E0C47"/>
    <w:rsid w:val="003E1A87"/>
    <w:rsid w:val="003E2B2C"/>
    <w:rsid w:val="003E3C07"/>
    <w:rsid w:val="003E46FA"/>
    <w:rsid w:val="003E5D84"/>
    <w:rsid w:val="003E66A8"/>
    <w:rsid w:val="003E6ECE"/>
    <w:rsid w:val="003E7833"/>
    <w:rsid w:val="003E7CC3"/>
    <w:rsid w:val="003F0ED0"/>
    <w:rsid w:val="003F17C4"/>
    <w:rsid w:val="003F1B4F"/>
    <w:rsid w:val="003F24EF"/>
    <w:rsid w:val="003F2814"/>
    <w:rsid w:val="003F2848"/>
    <w:rsid w:val="003F2BB5"/>
    <w:rsid w:val="003F401B"/>
    <w:rsid w:val="003F42EB"/>
    <w:rsid w:val="003F5590"/>
    <w:rsid w:val="003F5834"/>
    <w:rsid w:val="003F6161"/>
    <w:rsid w:val="003F65BE"/>
    <w:rsid w:val="003F6EBD"/>
    <w:rsid w:val="004006C4"/>
    <w:rsid w:val="004009DE"/>
    <w:rsid w:val="00400FCF"/>
    <w:rsid w:val="004015B2"/>
    <w:rsid w:val="00402532"/>
    <w:rsid w:val="00402807"/>
    <w:rsid w:val="00404C6D"/>
    <w:rsid w:val="0040708E"/>
    <w:rsid w:val="0040748C"/>
    <w:rsid w:val="0040770E"/>
    <w:rsid w:val="00407738"/>
    <w:rsid w:val="00407C6A"/>
    <w:rsid w:val="004107EF"/>
    <w:rsid w:val="00411DB4"/>
    <w:rsid w:val="00413A45"/>
    <w:rsid w:val="004157EE"/>
    <w:rsid w:val="004166C9"/>
    <w:rsid w:val="004175A2"/>
    <w:rsid w:val="0042090F"/>
    <w:rsid w:val="0042117E"/>
    <w:rsid w:val="004227FF"/>
    <w:rsid w:val="00422D0D"/>
    <w:rsid w:val="00423498"/>
    <w:rsid w:val="0042485A"/>
    <w:rsid w:val="00424ABA"/>
    <w:rsid w:val="00427884"/>
    <w:rsid w:val="00432A4B"/>
    <w:rsid w:val="00435F55"/>
    <w:rsid w:val="00441402"/>
    <w:rsid w:val="00442B09"/>
    <w:rsid w:val="0044515E"/>
    <w:rsid w:val="00445272"/>
    <w:rsid w:val="0044534B"/>
    <w:rsid w:val="00445E80"/>
    <w:rsid w:val="0044634E"/>
    <w:rsid w:val="004474C9"/>
    <w:rsid w:val="004476EB"/>
    <w:rsid w:val="00450153"/>
    <w:rsid w:val="00450713"/>
    <w:rsid w:val="00456C2D"/>
    <w:rsid w:val="00456FD4"/>
    <w:rsid w:val="00457630"/>
    <w:rsid w:val="00460626"/>
    <w:rsid w:val="0046157C"/>
    <w:rsid w:val="00461769"/>
    <w:rsid w:val="004619A9"/>
    <w:rsid w:val="00462218"/>
    <w:rsid w:val="00462E01"/>
    <w:rsid w:val="00466C75"/>
    <w:rsid w:val="00466FA7"/>
    <w:rsid w:val="004673B9"/>
    <w:rsid w:val="00467786"/>
    <w:rsid w:val="0047092C"/>
    <w:rsid w:val="00471352"/>
    <w:rsid w:val="0047327D"/>
    <w:rsid w:val="004750BC"/>
    <w:rsid w:val="00477FBB"/>
    <w:rsid w:val="00481ABA"/>
    <w:rsid w:val="00481C84"/>
    <w:rsid w:val="00481D8A"/>
    <w:rsid w:val="0048464D"/>
    <w:rsid w:val="00484C8F"/>
    <w:rsid w:val="004866BC"/>
    <w:rsid w:val="00487072"/>
    <w:rsid w:val="00487A4D"/>
    <w:rsid w:val="00493712"/>
    <w:rsid w:val="004952C6"/>
    <w:rsid w:val="0049562D"/>
    <w:rsid w:val="004974EC"/>
    <w:rsid w:val="004A0733"/>
    <w:rsid w:val="004A1524"/>
    <w:rsid w:val="004A1ACC"/>
    <w:rsid w:val="004A260E"/>
    <w:rsid w:val="004A2DFF"/>
    <w:rsid w:val="004A46EE"/>
    <w:rsid w:val="004A5611"/>
    <w:rsid w:val="004A6A0F"/>
    <w:rsid w:val="004A6A52"/>
    <w:rsid w:val="004A7F80"/>
    <w:rsid w:val="004B29F1"/>
    <w:rsid w:val="004B3B81"/>
    <w:rsid w:val="004B53DB"/>
    <w:rsid w:val="004B5A50"/>
    <w:rsid w:val="004B608A"/>
    <w:rsid w:val="004B7F6C"/>
    <w:rsid w:val="004C0E0C"/>
    <w:rsid w:val="004C0F13"/>
    <w:rsid w:val="004C305F"/>
    <w:rsid w:val="004C38D4"/>
    <w:rsid w:val="004C4DD4"/>
    <w:rsid w:val="004C69C2"/>
    <w:rsid w:val="004C7940"/>
    <w:rsid w:val="004D12F7"/>
    <w:rsid w:val="004D3EAD"/>
    <w:rsid w:val="004D4818"/>
    <w:rsid w:val="004D49E8"/>
    <w:rsid w:val="004D4E37"/>
    <w:rsid w:val="004D5440"/>
    <w:rsid w:val="004D56AC"/>
    <w:rsid w:val="004D6B0B"/>
    <w:rsid w:val="004D6F39"/>
    <w:rsid w:val="004D7EB5"/>
    <w:rsid w:val="004E2FC0"/>
    <w:rsid w:val="004E4172"/>
    <w:rsid w:val="004E530C"/>
    <w:rsid w:val="004E588C"/>
    <w:rsid w:val="004E5EEC"/>
    <w:rsid w:val="004E7BD0"/>
    <w:rsid w:val="004F172A"/>
    <w:rsid w:val="004F223C"/>
    <w:rsid w:val="004F36BD"/>
    <w:rsid w:val="004F3BA6"/>
    <w:rsid w:val="004F6842"/>
    <w:rsid w:val="0050004D"/>
    <w:rsid w:val="005024F4"/>
    <w:rsid w:val="005032F6"/>
    <w:rsid w:val="005056D2"/>
    <w:rsid w:val="00505EC9"/>
    <w:rsid w:val="005060CB"/>
    <w:rsid w:val="0050614D"/>
    <w:rsid w:val="00507F4B"/>
    <w:rsid w:val="005105E1"/>
    <w:rsid w:val="00510CE6"/>
    <w:rsid w:val="0051120A"/>
    <w:rsid w:val="005130CD"/>
    <w:rsid w:val="00513AAE"/>
    <w:rsid w:val="00515537"/>
    <w:rsid w:val="005161AC"/>
    <w:rsid w:val="00516674"/>
    <w:rsid w:val="0052084F"/>
    <w:rsid w:val="00521AC1"/>
    <w:rsid w:val="00522575"/>
    <w:rsid w:val="00522C15"/>
    <w:rsid w:val="00523E4A"/>
    <w:rsid w:val="005243F1"/>
    <w:rsid w:val="005245D8"/>
    <w:rsid w:val="00525152"/>
    <w:rsid w:val="00530375"/>
    <w:rsid w:val="00531635"/>
    <w:rsid w:val="00531A13"/>
    <w:rsid w:val="00531F94"/>
    <w:rsid w:val="005328FA"/>
    <w:rsid w:val="00532DCF"/>
    <w:rsid w:val="00533C0A"/>
    <w:rsid w:val="00533C3B"/>
    <w:rsid w:val="00533E8A"/>
    <w:rsid w:val="00534192"/>
    <w:rsid w:val="005341E1"/>
    <w:rsid w:val="00535739"/>
    <w:rsid w:val="0053696B"/>
    <w:rsid w:val="00541459"/>
    <w:rsid w:val="00541AB5"/>
    <w:rsid w:val="00542695"/>
    <w:rsid w:val="00543C55"/>
    <w:rsid w:val="0054631A"/>
    <w:rsid w:val="00546F94"/>
    <w:rsid w:val="00547E3B"/>
    <w:rsid w:val="00547F03"/>
    <w:rsid w:val="005502AD"/>
    <w:rsid w:val="00550571"/>
    <w:rsid w:val="00551231"/>
    <w:rsid w:val="0055285F"/>
    <w:rsid w:val="00552EDA"/>
    <w:rsid w:val="00556597"/>
    <w:rsid w:val="00557C32"/>
    <w:rsid w:val="005621C2"/>
    <w:rsid w:val="00562ACF"/>
    <w:rsid w:val="00564891"/>
    <w:rsid w:val="0056495E"/>
    <w:rsid w:val="00564E60"/>
    <w:rsid w:val="00565573"/>
    <w:rsid w:val="00565F72"/>
    <w:rsid w:val="005660FB"/>
    <w:rsid w:val="00570B94"/>
    <w:rsid w:val="00570E1B"/>
    <w:rsid w:val="00570F26"/>
    <w:rsid w:val="0057158C"/>
    <w:rsid w:val="00572198"/>
    <w:rsid w:val="00572F7E"/>
    <w:rsid w:val="00573587"/>
    <w:rsid w:val="005737A9"/>
    <w:rsid w:val="0057470A"/>
    <w:rsid w:val="00574F48"/>
    <w:rsid w:val="005757C2"/>
    <w:rsid w:val="005758BE"/>
    <w:rsid w:val="00580A9C"/>
    <w:rsid w:val="00580FB1"/>
    <w:rsid w:val="00582288"/>
    <w:rsid w:val="00582661"/>
    <w:rsid w:val="0058274B"/>
    <w:rsid w:val="00582C73"/>
    <w:rsid w:val="00582FA4"/>
    <w:rsid w:val="00583271"/>
    <w:rsid w:val="00584197"/>
    <w:rsid w:val="005844FF"/>
    <w:rsid w:val="00585503"/>
    <w:rsid w:val="00585988"/>
    <w:rsid w:val="00585DCB"/>
    <w:rsid w:val="00585DCC"/>
    <w:rsid w:val="005864DE"/>
    <w:rsid w:val="00586C4C"/>
    <w:rsid w:val="00587CC3"/>
    <w:rsid w:val="00592FE4"/>
    <w:rsid w:val="00593BBB"/>
    <w:rsid w:val="005946F4"/>
    <w:rsid w:val="00595EC6"/>
    <w:rsid w:val="00596443"/>
    <w:rsid w:val="005A318C"/>
    <w:rsid w:val="005A5449"/>
    <w:rsid w:val="005A581D"/>
    <w:rsid w:val="005A67A6"/>
    <w:rsid w:val="005A7DF7"/>
    <w:rsid w:val="005B05CF"/>
    <w:rsid w:val="005B1AC3"/>
    <w:rsid w:val="005B20D9"/>
    <w:rsid w:val="005B217C"/>
    <w:rsid w:val="005B2A5C"/>
    <w:rsid w:val="005B3CB4"/>
    <w:rsid w:val="005B3F05"/>
    <w:rsid w:val="005B4729"/>
    <w:rsid w:val="005B76D4"/>
    <w:rsid w:val="005B7C24"/>
    <w:rsid w:val="005C1B54"/>
    <w:rsid w:val="005C1BC0"/>
    <w:rsid w:val="005C2FB9"/>
    <w:rsid w:val="005C3D22"/>
    <w:rsid w:val="005C3FBD"/>
    <w:rsid w:val="005C5FC9"/>
    <w:rsid w:val="005C61AD"/>
    <w:rsid w:val="005C61D8"/>
    <w:rsid w:val="005C69BF"/>
    <w:rsid w:val="005C75FD"/>
    <w:rsid w:val="005C7F26"/>
    <w:rsid w:val="005D0287"/>
    <w:rsid w:val="005D2666"/>
    <w:rsid w:val="005D2DF5"/>
    <w:rsid w:val="005D6787"/>
    <w:rsid w:val="005D722A"/>
    <w:rsid w:val="005D7302"/>
    <w:rsid w:val="005D73A0"/>
    <w:rsid w:val="005E19B4"/>
    <w:rsid w:val="005E287D"/>
    <w:rsid w:val="005E41B1"/>
    <w:rsid w:val="005E4A02"/>
    <w:rsid w:val="005E50C6"/>
    <w:rsid w:val="005E61C1"/>
    <w:rsid w:val="005E668F"/>
    <w:rsid w:val="005E6742"/>
    <w:rsid w:val="005E6E20"/>
    <w:rsid w:val="005E6F88"/>
    <w:rsid w:val="005E77E9"/>
    <w:rsid w:val="005F0604"/>
    <w:rsid w:val="005F0891"/>
    <w:rsid w:val="005F11E1"/>
    <w:rsid w:val="005F1AA3"/>
    <w:rsid w:val="005F2399"/>
    <w:rsid w:val="005F2B84"/>
    <w:rsid w:val="005F331C"/>
    <w:rsid w:val="005F35B1"/>
    <w:rsid w:val="005F4A7E"/>
    <w:rsid w:val="005F4D2D"/>
    <w:rsid w:val="005F5AB8"/>
    <w:rsid w:val="005F64D9"/>
    <w:rsid w:val="005F6A1D"/>
    <w:rsid w:val="005F72C6"/>
    <w:rsid w:val="005F7BE9"/>
    <w:rsid w:val="00602262"/>
    <w:rsid w:val="00602318"/>
    <w:rsid w:val="00603B21"/>
    <w:rsid w:val="00603CBF"/>
    <w:rsid w:val="00603E8E"/>
    <w:rsid w:val="006041CA"/>
    <w:rsid w:val="00605393"/>
    <w:rsid w:val="00606D3A"/>
    <w:rsid w:val="00606FF7"/>
    <w:rsid w:val="006074BE"/>
    <w:rsid w:val="00607E4A"/>
    <w:rsid w:val="006116D9"/>
    <w:rsid w:val="00611D85"/>
    <w:rsid w:val="0061204D"/>
    <w:rsid w:val="00613108"/>
    <w:rsid w:val="0061327C"/>
    <w:rsid w:val="00613CE7"/>
    <w:rsid w:val="00614DDF"/>
    <w:rsid w:val="00615D07"/>
    <w:rsid w:val="0061635B"/>
    <w:rsid w:val="006167F3"/>
    <w:rsid w:val="00616993"/>
    <w:rsid w:val="00616EA4"/>
    <w:rsid w:val="006174CC"/>
    <w:rsid w:val="00621184"/>
    <w:rsid w:val="00621F2C"/>
    <w:rsid w:val="00626C5B"/>
    <w:rsid w:val="00627DF7"/>
    <w:rsid w:val="00630826"/>
    <w:rsid w:val="00632DB2"/>
    <w:rsid w:val="00632E40"/>
    <w:rsid w:val="0063487F"/>
    <w:rsid w:val="00635629"/>
    <w:rsid w:val="006357A2"/>
    <w:rsid w:val="00637635"/>
    <w:rsid w:val="006379A1"/>
    <w:rsid w:val="00637EF5"/>
    <w:rsid w:val="006416A4"/>
    <w:rsid w:val="00643007"/>
    <w:rsid w:val="00643F91"/>
    <w:rsid w:val="00644727"/>
    <w:rsid w:val="006473EA"/>
    <w:rsid w:val="006475E5"/>
    <w:rsid w:val="006476EF"/>
    <w:rsid w:val="006505D7"/>
    <w:rsid w:val="0065072C"/>
    <w:rsid w:val="00650796"/>
    <w:rsid w:val="00652223"/>
    <w:rsid w:val="00652254"/>
    <w:rsid w:val="0065286B"/>
    <w:rsid w:val="00652CE0"/>
    <w:rsid w:val="00653965"/>
    <w:rsid w:val="00653B3E"/>
    <w:rsid w:val="00655518"/>
    <w:rsid w:val="006555B8"/>
    <w:rsid w:val="00657E2D"/>
    <w:rsid w:val="0066030A"/>
    <w:rsid w:val="006640FC"/>
    <w:rsid w:val="006650A4"/>
    <w:rsid w:val="0066626C"/>
    <w:rsid w:val="0066638D"/>
    <w:rsid w:val="006665CD"/>
    <w:rsid w:val="00666E56"/>
    <w:rsid w:val="00670031"/>
    <w:rsid w:val="006714E0"/>
    <w:rsid w:val="00673754"/>
    <w:rsid w:val="0067483F"/>
    <w:rsid w:val="0067705D"/>
    <w:rsid w:val="00677107"/>
    <w:rsid w:val="00680320"/>
    <w:rsid w:val="006823E9"/>
    <w:rsid w:val="00684E2E"/>
    <w:rsid w:val="00685728"/>
    <w:rsid w:val="00685E0F"/>
    <w:rsid w:val="00686A90"/>
    <w:rsid w:val="0068754F"/>
    <w:rsid w:val="00690D6E"/>
    <w:rsid w:val="00690DD8"/>
    <w:rsid w:val="006925D6"/>
    <w:rsid w:val="00692FBD"/>
    <w:rsid w:val="00696A43"/>
    <w:rsid w:val="006971AA"/>
    <w:rsid w:val="006978BD"/>
    <w:rsid w:val="006A01F7"/>
    <w:rsid w:val="006A06A5"/>
    <w:rsid w:val="006A0E80"/>
    <w:rsid w:val="006A2D8E"/>
    <w:rsid w:val="006A510E"/>
    <w:rsid w:val="006A56D7"/>
    <w:rsid w:val="006A6A8A"/>
    <w:rsid w:val="006A6D34"/>
    <w:rsid w:val="006A72A0"/>
    <w:rsid w:val="006B0650"/>
    <w:rsid w:val="006B0D54"/>
    <w:rsid w:val="006B236D"/>
    <w:rsid w:val="006B3F77"/>
    <w:rsid w:val="006B40DF"/>
    <w:rsid w:val="006B46C0"/>
    <w:rsid w:val="006B72F6"/>
    <w:rsid w:val="006C1047"/>
    <w:rsid w:val="006C178F"/>
    <w:rsid w:val="006C1D88"/>
    <w:rsid w:val="006C1EF3"/>
    <w:rsid w:val="006C22CE"/>
    <w:rsid w:val="006C257D"/>
    <w:rsid w:val="006C28AA"/>
    <w:rsid w:val="006C2D12"/>
    <w:rsid w:val="006C2D1C"/>
    <w:rsid w:val="006C3D86"/>
    <w:rsid w:val="006C5151"/>
    <w:rsid w:val="006C6068"/>
    <w:rsid w:val="006C6590"/>
    <w:rsid w:val="006C660D"/>
    <w:rsid w:val="006C6E94"/>
    <w:rsid w:val="006C7309"/>
    <w:rsid w:val="006C77F2"/>
    <w:rsid w:val="006D00D6"/>
    <w:rsid w:val="006D20F0"/>
    <w:rsid w:val="006D2B7A"/>
    <w:rsid w:val="006D3AEF"/>
    <w:rsid w:val="006D41CC"/>
    <w:rsid w:val="006D5073"/>
    <w:rsid w:val="006D6FEA"/>
    <w:rsid w:val="006E082F"/>
    <w:rsid w:val="006E0B98"/>
    <w:rsid w:val="006E0F86"/>
    <w:rsid w:val="006E163A"/>
    <w:rsid w:val="006E1A77"/>
    <w:rsid w:val="006E45C7"/>
    <w:rsid w:val="006E47E2"/>
    <w:rsid w:val="006E4F6A"/>
    <w:rsid w:val="006E508F"/>
    <w:rsid w:val="006E529B"/>
    <w:rsid w:val="006E5907"/>
    <w:rsid w:val="006E5B7E"/>
    <w:rsid w:val="006E5F28"/>
    <w:rsid w:val="006E74F1"/>
    <w:rsid w:val="006F26E8"/>
    <w:rsid w:val="006F2885"/>
    <w:rsid w:val="006F3E4D"/>
    <w:rsid w:val="006F50AD"/>
    <w:rsid w:val="006F657F"/>
    <w:rsid w:val="0070038C"/>
    <w:rsid w:val="007005A1"/>
    <w:rsid w:val="00700E62"/>
    <w:rsid w:val="00703B6E"/>
    <w:rsid w:val="00705A5F"/>
    <w:rsid w:val="00710A9D"/>
    <w:rsid w:val="00711B30"/>
    <w:rsid w:val="00714128"/>
    <w:rsid w:val="007141BE"/>
    <w:rsid w:val="0071452F"/>
    <w:rsid w:val="00714872"/>
    <w:rsid w:val="00716273"/>
    <w:rsid w:val="00721ABB"/>
    <w:rsid w:val="00722A4E"/>
    <w:rsid w:val="00722AC9"/>
    <w:rsid w:val="00722DC2"/>
    <w:rsid w:val="0072409C"/>
    <w:rsid w:val="007246F8"/>
    <w:rsid w:val="007251AA"/>
    <w:rsid w:val="007257F8"/>
    <w:rsid w:val="00725963"/>
    <w:rsid w:val="00725977"/>
    <w:rsid w:val="00725BE8"/>
    <w:rsid w:val="0072651D"/>
    <w:rsid w:val="007309BE"/>
    <w:rsid w:val="00731A0F"/>
    <w:rsid w:val="007327A6"/>
    <w:rsid w:val="007332DD"/>
    <w:rsid w:val="00734567"/>
    <w:rsid w:val="00735B0A"/>
    <w:rsid w:val="00735DC4"/>
    <w:rsid w:val="00736296"/>
    <w:rsid w:val="007363DE"/>
    <w:rsid w:val="00736634"/>
    <w:rsid w:val="0073677E"/>
    <w:rsid w:val="00737C9B"/>
    <w:rsid w:val="00744E02"/>
    <w:rsid w:val="00745CD1"/>
    <w:rsid w:val="00750529"/>
    <w:rsid w:val="007513B7"/>
    <w:rsid w:val="00751D4E"/>
    <w:rsid w:val="00752B44"/>
    <w:rsid w:val="00753316"/>
    <w:rsid w:val="00753C84"/>
    <w:rsid w:val="007541A2"/>
    <w:rsid w:val="00755726"/>
    <w:rsid w:val="00755857"/>
    <w:rsid w:val="00756713"/>
    <w:rsid w:val="007574BA"/>
    <w:rsid w:val="00760021"/>
    <w:rsid w:val="007602F5"/>
    <w:rsid w:val="007612CB"/>
    <w:rsid w:val="007616B4"/>
    <w:rsid w:val="00761F27"/>
    <w:rsid w:val="00761F51"/>
    <w:rsid w:val="00762041"/>
    <w:rsid w:val="00762375"/>
    <w:rsid w:val="00762D00"/>
    <w:rsid w:val="007638E3"/>
    <w:rsid w:val="0076495E"/>
    <w:rsid w:val="00764C25"/>
    <w:rsid w:val="00765C85"/>
    <w:rsid w:val="00767C6A"/>
    <w:rsid w:val="007713BB"/>
    <w:rsid w:val="00771802"/>
    <w:rsid w:val="007731EF"/>
    <w:rsid w:val="007735F7"/>
    <w:rsid w:val="00773BC7"/>
    <w:rsid w:val="00774894"/>
    <w:rsid w:val="00775145"/>
    <w:rsid w:val="00780A0E"/>
    <w:rsid w:val="007814FF"/>
    <w:rsid w:val="00781A10"/>
    <w:rsid w:val="00782E8E"/>
    <w:rsid w:val="00784B5F"/>
    <w:rsid w:val="00784C9B"/>
    <w:rsid w:val="00785E42"/>
    <w:rsid w:val="00786422"/>
    <w:rsid w:val="007867F8"/>
    <w:rsid w:val="007874C0"/>
    <w:rsid w:val="00787B03"/>
    <w:rsid w:val="007901B0"/>
    <w:rsid w:val="00791265"/>
    <w:rsid w:val="007915EB"/>
    <w:rsid w:val="0079195F"/>
    <w:rsid w:val="00791FAB"/>
    <w:rsid w:val="00792098"/>
    <w:rsid w:val="0079339F"/>
    <w:rsid w:val="0079473B"/>
    <w:rsid w:val="007966DF"/>
    <w:rsid w:val="007969E4"/>
    <w:rsid w:val="007A045D"/>
    <w:rsid w:val="007A04D1"/>
    <w:rsid w:val="007A1A63"/>
    <w:rsid w:val="007A4270"/>
    <w:rsid w:val="007A550B"/>
    <w:rsid w:val="007A58CC"/>
    <w:rsid w:val="007A6946"/>
    <w:rsid w:val="007A6BC9"/>
    <w:rsid w:val="007A6C6D"/>
    <w:rsid w:val="007B0468"/>
    <w:rsid w:val="007B0486"/>
    <w:rsid w:val="007B259C"/>
    <w:rsid w:val="007B269D"/>
    <w:rsid w:val="007B2BE3"/>
    <w:rsid w:val="007B3534"/>
    <w:rsid w:val="007B38DA"/>
    <w:rsid w:val="007B436D"/>
    <w:rsid w:val="007B5283"/>
    <w:rsid w:val="007B54A8"/>
    <w:rsid w:val="007B58FD"/>
    <w:rsid w:val="007B64DE"/>
    <w:rsid w:val="007B7107"/>
    <w:rsid w:val="007B72EE"/>
    <w:rsid w:val="007B7AB2"/>
    <w:rsid w:val="007B7BE1"/>
    <w:rsid w:val="007C3692"/>
    <w:rsid w:val="007C3741"/>
    <w:rsid w:val="007C463B"/>
    <w:rsid w:val="007C5051"/>
    <w:rsid w:val="007C66E6"/>
    <w:rsid w:val="007C6A29"/>
    <w:rsid w:val="007C7927"/>
    <w:rsid w:val="007D01D3"/>
    <w:rsid w:val="007D0544"/>
    <w:rsid w:val="007D0CA5"/>
    <w:rsid w:val="007D1071"/>
    <w:rsid w:val="007D12B3"/>
    <w:rsid w:val="007D1BD1"/>
    <w:rsid w:val="007D23B0"/>
    <w:rsid w:val="007D49DD"/>
    <w:rsid w:val="007D545A"/>
    <w:rsid w:val="007D5FDD"/>
    <w:rsid w:val="007D62D8"/>
    <w:rsid w:val="007D691C"/>
    <w:rsid w:val="007D7666"/>
    <w:rsid w:val="007D7E15"/>
    <w:rsid w:val="007E021B"/>
    <w:rsid w:val="007E25E2"/>
    <w:rsid w:val="007E3232"/>
    <w:rsid w:val="007E3795"/>
    <w:rsid w:val="007E61DA"/>
    <w:rsid w:val="007E6340"/>
    <w:rsid w:val="007E64F3"/>
    <w:rsid w:val="007E6CA7"/>
    <w:rsid w:val="007E7601"/>
    <w:rsid w:val="007F0151"/>
    <w:rsid w:val="007F0282"/>
    <w:rsid w:val="007F177F"/>
    <w:rsid w:val="007F1A0F"/>
    <w:rsid w:val="007F23D9"/>
    <w:rsid w:val="007F2428"/>
    <w:rsid w:val="007F39BB"/>
    <w:rsid w:val="007F6F65"/>
    <w:rsid w:val="00800747"/>
    <w:rsid w:val="00802BA3"/>
    <w:rsid w:val="008042D1"/>
    <w:rsid w:val="00804D11"/>
    <w:rsid w:val="008050FC"/>
    <w:rsid w:val="0080551A"/>
    <w:rsid w:val="00805734"/>
    <w:rsid w:val="008061B5"/>
    <w:rsid w:val="00807C9E"/>
    <w:rsid w:val="00807F63"/>
    <w:rsid w:val="00810C80"/>
    <w:rsid w:val="008112F7"/>
    <w:rsid w:val="008119EC"/>
    <w:rsid w:val="00812183"/>
    <w:rsid w:val="0081245A"/>
    <w:rsid w:val="00812816"/>
    <w:rsid w:val="00812A46"/>
    <w:rsid w:val="00813EB2"/>
    <w:rsid w:val="00814479"/>
    <w:rsid w:val="00814909"/>
    <w:rsid w:val="0081795B"/>
    <w:rsid w:val="0082023C"/>
    <w:rsid w:val="00820D17"/>
    <w:rsid w:val="008214BE"/>
    <w:rsid w:val="00821E0A"/>
    <w:rsid w:val="008221E7"/>
    <w:rsid w:val="00822ADB"/>
    <w:rsid w:val="0082376A"/>
    <w:rsid w:val="00823E64"/>
    <w:rsid w:val="008240AE"/>
    <w:rsid w:val="0082427D"/>
    <w:rsid w:val="00825849"/>
    <w:rsid w:val="00825BA8"/>
    <w:rsid w:val="00825F8A"/>
    <w:rsid w:val="008260C0"/>
    <w:rsid w:val="00831C1D"/>
    <w:rsid w:val="00831FF7"/>
    <w:rsid w:val="00833AF8"/>
    <w:rsid w:val="00834B8B"/>
    <w:rsid w:val="00836323"/>
    <w:rsid w:val="00836527"/>
    <w:rsid w:val="00836BDA"/>
    <w:rsid w:val="00841D77"/>
    <w:rsid w:val="00843F3F"/>
    <w:rsid w:val="00844B6D"/>
    <w:rsid w:val="00844DAF"/>
    <w:rsid w:val="00845B62"/>
    <w:rsid w:val="00845FE5"/>
    <w:rsid w:val="008502AF"/>
    <w:rsid w:val="00851D62"/>
    <w:rsid w:val="008522DB"/>
    <w:rsid w:val="008536AF"/>
    <w:rsid w:val="00853E67"/>
    <w:rsid w:val="00855F3A"/>
    <w:rsid w:val="00857ABB"/>
    <w:rsid w:val="00857C52"/>
    <w:rsid w:val="0086056D"/>
    <w:rsid w:val="00861887"/>
    <w:rsid w:val="00864AA8"/>
    <w:rsid w:val="00865A27"/>
    <w:rsid w:val="008674E2"/>
    <w:rsid w:val="008675AD"/>
    <w:rsid w:val="008710DA"/>
    <w:rsid w:val="00873B52"/>
    <w:rsid w:val="00873BEA"/>
    <w:rsid w:val="00874878"/>
    <w:rsid w:val="008748FC"/>
    <w:rsid w:val="00874DCD"/>
    <w:rsid w:val="00876E3C"/>
    <w:rsid w:val="00880294"/>
    <w:rsid w:val="00880297"/>
    <w:rsid w:val="0088103A"/>
    <w:rsid w:val="00881CBF"/>
    <w:rsid w:val="00881D49"/>
    <w:rsid w:val="00881EA0"/>
    <w:rsid w:val="00883086"/>
    <w:rsid w:val="00883902"/>
    <w:rsid w:val="00883D4F"/>
    <w:rsid w:val="00884375"/>
    <w:rsid w:val="008846A1"/>
    <w:rsid w:val="00884DB6"/>
    <w:rsid w:val="00886B80"/>
    <w:rsid w:val="00887C86"/>
    <w:rsid w:val="008911A5"/>
    <w:rsid w:val="008918D9"/>
    <w:rsid w:val="00891AF9"/>
    <w:rsid w:val="00892248"/>
    <w:rsid w:val="00893935"/>
    <w:rsid w:val="00893990"/>
    <w:rsid w:val="00894375"/>
    <w:rsid w:val="008954B6"/>
    <w:rsid w:val="008959FB"/>
    <w:rsid w:val="00896586"/>
    <w:rsid w:val="008A1216"/>
    <w:rsid w:val="008A1F0E"/>
    <w:rsid w:val="008A4564"/>
    <w:rsid w:val="008A60B9"/>
    <w:rsid w:val="008A6DE7"/>
    <w:rsid w:val="008A7F92"/>
    <w:rsid w:val="008B07AD"/>
    <w:rsid w:val="008B2294"/>
    <w:rsid w:val="008B23D7"/>
    <w:rsid w:val="008B258A"/>
    <w:rsid w:val="008B2688"/>
    <w:rsid w:val="008B33C7"/>
    <w:rsid w:val="008B3C9F"/>
    <w:rsid w:val="008B60E3"/>
    <w:rsid w:val="008B6E81"/>
    <w:rsid w:val="008C01C4"/>
    <w:rsid w:val="008C08A2"/>
    <w:rsid w:val="008C0B4A"/>
    <w:rsid w:val="008C1B59"/>
    <w:rsid w:val="008C2098"/>
    <w:rsid w:val="008C2D4E"/>
    <w:rsid w:val="008C2E71"/>
    <w:rsid w:val="008C3AA9"/>
    <w:rsid w:val="008C5583"/>
    <w:rsid w:val="008C56A3"/>
    <w:rsid w:val="008C6507"/>
    <w:rsid w:val="008C7C50"/>
    <w:rsid w:val="008D2825"/>
    <w:rsid w:val="008D3B2D"/>
    <w:rsid w:val="008D4C20"/>
    <w:rsid w:val="008D4D0C"/>
    <w:rsid w:val="008D61FA"/>
    <w:rsid w:val="008D7A9A"/>
    <w:rsid w:val="008D7CCF"/>
    <w:rsid w:val="008E0481"/>
    <w:rsid w:val="008E25A8"/>
    <w:rsid w:val="008E3F3E"/>
    <w:rsid w:val="008E46A8"/>
    <w:rsid w:val="008E4C4F"/>
    <w:rsid w:val="008E6055"/>
    <w:rsid w:val="008F1B43"/>
    <w:rsid w:val="008F1F5B"/>
    <w:rsid w:val="008F3D76"/>
    <w:rsid w:val="008F3FDD"/>
    <w:rsid w:val="008F5754"/>
    <w:rsid w:val="008F597C"/>
    <w:rsid w:val="008F5EA6"/>
    <w:rsid w:val="008F7535"/>
    <w:rsid w:val="008F7E0B"/>
    <w:rsid w:val="009000FE"/>
    <w:rsid w:val="00900330"/>
    <w:rsid w:val="00900B4D"/>
    <w:rsid w:val="00900C4D"/>
    <w:rsid w:val="00901A6E"/>
    <w:rsid w:val="0090427A"/>
    <w:rsid w:val="00904372"/>
    <w:rsid w:val="00904E3E"/>
    <w:rsid w:val="0090564A"/>
    <w:rsid w:val="00905D85"/>
    <w:rsid w:val="00906535"/>
    <w:rsid w:val="00906D4C"/>
    <w:rsid w:val="00907C4B"/>
    <w:rsid w:val="00911300"/>
    <w:rsid w:val="00912456"/>
    <w:rsid w:val="00912EC6"/>
    <w:rsid w:val="00913B96"/>
    <w:rsid w:val="009153C5"/>
    <w:rsid w:val="00915801"/>
    <w:rsid w:val="0091660B"/>
    <w:rsid w:val="009212D5"/>
    <w:rsid w:val="00921706"/>
    <w:rsid w:val="009230DD"/>
    <w:rsid w:val="0092370D"/>
    <w:rsid w:val="00923833"/>
    <w:rsid w:val="00923C43"/>
    <w:rsid w:val="00923D21"/>
    <w:rsid w:val="00924CF0"/>
    <w:rsid w:val="00925200"/>
    <w:rsid w:val="00925B7A"/>
    <w:rsid w:val="0092656D"/>
    <w:rsid w:val="00927308"/>
    <w:rsid w:val="009274D3"/>
    <w:rsid w:val="00927EAF"/>
    <w:rsid w:val="00930806"/>
    <w:rsid w:val="009309C0"/>
    <w:rsid w:val="00930F9D"/>
    <w:rsid w:val="00930FAF"/>
    <w:rsid w:val="00931BB2"/>
    <w:rsid w:val="00933E92"/>
    <w:rsid w:val="0093437C"/>
    <w:rsid w:val="0093508D"/>
    <w:rsid w:val="00935C19"/>
    <w:rsid w:val="009378C5"/>
    <w:rsid w:val="009405D4"/>
    <w:rsid w:val="009421AC"/>
    <w:rsid w:val="0094414E"/>
    <w:rsid w:val="00944B1E"/>
    <w:rsid w:val="00944E41"/>
    <w:rsid w:val="009452B7"/>
    <w:rsid w:val="00945438"/>
    <w:rsid w:val="009478B1"/>
    <w:rsid w:val="00950006"/>
    <w:rsid w:val="0095011F"/>
    <w:rsid w:val="0095088E"/>
    <w:rsid w:val="009508B3"/>
    <w:rsid w:val="009542EC"/>
    <w:rsid w:val="0095475F"/>
    <w:rsid w:val="0095488C"/>
    <w:rsid w:val="00954C86"/>
    <w:rsid w:val="00956C38"/>
    <w:rsid w:val="00957A69"/>
    <w:rsid w:val="00963131"/>
    <w:rsid w:val="009633F1"/>
    <w:rsid w:val="009643CD"/>
    <w:rsid w:val="00964537"/>
    <w:rsid w:val="0096469C"/>
    <w:rsid w:val="009652C3"/>
    <w:rsid w:val="00965389"/>
    <w:rsid w:val="00965651"/>
    <w:rsid w:val="009664A4"/>
    <w:rsid w:val="00966DD4"/>
    <w:rsid w:val="00967799"/>
    <w:rsid w:val="00967FBB"/>
    <w:rsid w:val="009702C6"/>
    <w:rsid w:val="00970804"/>
    <w:rsid w:val="0097273C"/>
    <w:rsid w:val="00972CAE"/>
    <w:rsid w:val="00976BF4"/>
    <w:rsid w:val="00981C91"/>
    <w:rsid w:val="00982317"/>
    <w:rsid w:val="0098235E"/>
    <w:rsid w:val="00982B5B"/>
    <w:rsid w:val="009832D9"/>
    <w:rsid w:val="00984712"/>
    <w:rsid w:val="00985BAC"/>
    <w:rsid w:val="009915CB"/>
    <w:rsid w:val="00992452"/>
    <w:rsid w:val="0099258B"/>
    <w:rsid w:val="009940FA"/>
    <w:rsid w:val="00995A40"/>
    <w:rsid w:val="00997796"/>
    <w:rsid w:val="00997907"/>
    <w:rsid w:val="00997EC0"/>
    <w:rsid w:val="009A07EE"/>
    <w:rsid w:val="009A1293"/>
    <w:rsid w:val="009A1B31"/>
    <w:rsid w:val="009A1D31"/>
    <w:rsid w:val="009A2A9A"/>
    <w:rsid w:val="009A3C16"/>
    <w:rsid w:val="009A53E5"/>
    <w:rsid w:val="009A5A4C"/>
    <w:rsid w:val="009A6AAA"/>
    <w:rsid w:val="009A6FCD"/>
    <w:rsid w:val="009A6FF1"/>
    <w:rsid w:val="009A7514"/>
    <w:rsid w:val="009A7B0D"/>
    <w:rsid w:val="009A7F0F"/>
    <w:rsid w:val="009B21E1"/>
    <w:rsid w:val="009B299F"/>
    <w:rsid w:val="009B29ED"/>
    <w:rsid w:val="009B2ED2"/>
    <w:rsid w:val="009B4EB7"/>
    <w:rsid w:val="009B5A02"/>
    <w:rsid w:val="009B6664"/>
    <w:rsid w:val="009B6E16"/>
    <w:rsid w:val="009C1B78"/>
    <w:rsid w:val="009C2A90"/>
    <w:rsid w:val="009C40DB"/>
    <w:rsid w:val="009C5E4E"/>
    <w:rsid w:val="009C5F43"/>
    <w:rsid w:val="009C6358"/>
    <w:rsid w:val="009D036B"/>
    <w:rsid w:val="009D1DB7"/>
    <w:rsid w:val="009D20EA"/>
    <w:rsid w:val="009D27B7"/>
    <w:rsid w:val="009D29A2"/>
    <w:rsid w:val="009D398C"/>
    <w:rsid w:val="009D4187"/>
    <w:rsid w:val="009D4380"/>
    <w:rsid w:val="009D4406"/>
    <w:rsid w:val="009D44A9"/>
    <w:rsid w:val="009D4F56"/>
    <w:rsid w:val="009D5944"/>
    <w:rsid w:val="009D6B8D"/>
    <w:rsid w:val="009D6DA6"/>
    <w:rsid w:val="009D7668"/>
    <w:rsid w:val="009D7B3B"/>
    <w:rsid w:val="009E0037"/>
    <w:rsid w:val="009E0834"/>
    <w:rsid w:val="009E0C69"/>
    <w:rsid w:val="009E1478"/>
    <w:rsid w:val="009E385D"/>
    <w:rsid w:val="009E3C8F"/>
    <w:rsid w:val="009E4698"/>
    <w:rsid w:val="009E4C78"/>
    <w:rsid w:val="009E5B71"/>
    <w:rsid w:val="009E6806"/>
    <w:rsid w:val="009F10EF"/>
    <w:rsid w:val="009F2242"/>
    <w:rsid w:val="009F2602"/>
    <w:rsid w:val="009F2D84"/>
    <w:rsid w:val="009F4461"/>
    <w:rsid w:val="009F45F6"/>
    <w:rsid w:val="009F489A"/>
    <w:rsid w:val="009F6831"/>
    <w:rsid w:val="009F77DD"/>
    <w:rsid w:val="009F7E18"/>
    <w:rsid w:val="00A0073B"/>
    <w:rsid w:val="00A00A7F"/>
    <w:rsid w:val="00A00E79"/>
    <w:rsid w:val="00A02E3E"/>
    <w:rsid w:val="00A043A4"/>
    <w:rsid w:val="00A067EC"/>
    <w:rsid w:val="00A075DF"/>
    <w:rsid w:val="00A0767B"/>
    <w:rsid w:val="00A109F8"/>
    <w:rsid w:val="00A109FC"/>
    <w:rsid w:val="00A10E78"/>
    <w:rsid w:val="00A1211F"/>
    <w:rsid w:val="00A1350C"/>
    <w:rsid w:val="00A13616"/>
    <w:rsid w:val="00A137D8"/>
    <w:rsid w:val="00A13EE2"/>
    <w:rsid w:val="00A1496B"/>
    <w:rsid w:val="00A174D7"/>
    <w:rsid w:val="00A2192E"/>
    <w:rsid w:val="00A2197F"/>
    <w:rsid w:val="00A21985"/>
    <w:rsid w:val="00A2251E"/>
    <w:rsid w:val="00A23105"/>
    <w:rsid w:val="00A23471"/>
    <w:rsid w:val="00A23DF1"/>
    <w:rsid w:val="00A25280"/>
    <w:rsid w:val="00A2570B"/>
    <w:rsid w:val="00A26A50"/>
    <w:rsid w:val="00A3064A"/>
    <w:rsid w:val="00A31315"/>
    <w:rsid w:val="00A31891"/>
    <w:rsid w:val="00A32055"/>
    <w:rsid w:val="00A32DEA"/>
    <w:rsid w:val="00A32ED5"/>
    <w:rsid w:val="00A336E6"/>
    <w:rsid w:val="00A347E5"/>
    <w:rsid w:val="00A34A86"/>
    <w:rsid w:val="00A353F3"/>
    <w:rsid w:val="00A356C5"/>
    <w:rsid w:val="00A35BC2"/>
    <w:rsid w:val="00A365AA"/>
    <w:rsid w:val="00A40CFC"/>
    <w:rsid w:val="00A41919"/>
    <w:rsid w:val="00A43C8D"/>
    <w:rsid w:val="00A45DAD"/>
    <w:rsid w:val="00A45DB3"/>
    <w:rsid w:val="00A475B2"/>
    <w:rsid w:val="00A47C59"/>
    <w:rsid w:val="00A50691"/>
    <w:rsid w:val="00A50702"/>
    <w:rsid w:val="00A52BFD"/>
    <w:rsid w:val="00A542C1"/>
    <w:rsid w:val="00A54EFE"/>
    <w:rsid w:val="00A55DEC"/>
    <w:rsid w:val="00A5664E"/>
    <w:rsid w:val="00A607C5"/>
    <w:rsid w:val="00A60DB8"/>
    <w:rsid w:val="00A61B3F"/>
    <w:rsid w:val="00A62509"/>
    <w:rsid w:val="00A6447F"/>
    <w:rsid w:val="00A65D74"/>
    <w:rsid w:val="00A66E4F"/>
    <w:rsid w:val="00A6703F"/>
    <w:rsid w:val="00A675DE"/>
    <w:rsid w:val="00A67C22"/>
    <w:rsid w:val="00A70C6E"/>
    <w:rsid w:val="00A70F7B"/>
    <w:rsid w:val="00A7202E"/>
    <w:rsid w:val="00A7394C"/>
    <w:rsid w:val="00A74C4D"/>
    <w:rsid w:val="00A75D3A"/>
    <w:rsid w:val="00A75E56"/>
    <w:rsid w:val="00A762B3"/>
    <w:rsid w:val="00A76A03"/>
    <w:rsid w:val="00A80B64"/>
    <w:rsid w:val="00A80F3F"/>
    <w:rsid w:val="00A81A1B"/>
    <w:rsid w:val="00A826FB"/>
    <w:rsid w:val="00A83941"/>
    <w:rsid w:val="00A84109"/>
    <w:rsid w:val="00A84FB4"/>
    <w:rsid w:val="00A8514B"/>
    <w:rsid w:val="00A8519C"/>
    <w:rsid w:val="00A857C5"/>
    <w:rsid w:val="00A86171"/>
    <w:rsid w:val="00A863FD"/>
    <w:rsid w:val="00A865BF"/>
    <w:rsid w:val="00A87CCD"/>
    <w:rsid w:val="00A90FCB"/>
    <w:rsid w:val="00A91843"/>
    <w:rsid w:val="00A920F8"/>
    <w:rsid w:val="00A92D34"/>
    <w:rsid w:val="00A93E83"/>
    <w:rsid w:val="00A944DD"/>
    <w:rsid w:val="00A95E91"/>
    <w:rsid w:val="00A95EA2"/>
    <w:rsid w:val="00A95FD4"/>
    <w:rsid w:val="00A961F2"/>
    <w:rsid w:val="00A963D2"/>
    <w:rsid w:val="00A96BCC"/>
    <w:rsid w:val="00AA25BB"/>
    <w:rsid w:val="00AA2CD4"/>
    <w:rsid w:val="00AA3259"/>
    <w:rsid w:val="00AA3C56"/>
    <w:rsid w:val="00AB03CC"/>
    <w:rsid w:val="00AB04D5"/>
    <w:rsid w:val="00AB109A"/>
    <w:rsid w:val="00AB1A80"/>
    <w:rsid w:val="00AB286E"/>
    <w:rsid w:val="00AB3884"/>
    <w:rsid w:val="00AB396A"/>
    <w:rsid w:val="00AB6270"/>
    <w:rsid w:val="00AB645F"/>
    <w:rsid w:val="00AB6A14"/>
    <w:rsid w:val="00AC0544"/>
    <w:rsid w:val="00AC0905"/>
    <w:rsid w:val="00AC1DD0"/>
    <w:rsid w:val="00AC21B0"/>
    <w:rsid w:val="00AC254A"/>
    <w:rsid w:val="00AC528C"/>
    <w:rsid w:val="00AC6383"/>
    <w:rsid w:val="00AC63F6"/>
    <w:rsid w:val="00AC6E44"/>
    <w:rsid w:val="00AD0327"/>
    <w:rsid w:val="00AD0AA8"/>
    <w:rsid w:val="00AD0E1D"/>
    <w:rsid w:val="00AD0F43"/>
    <w:rsid w:val="00AD145D"/>
    <w:rsid w:val="00AD23C4"/>
    <w:rsid w:val="00AD4292"/>
    <w:rsid w:val="00AD4BEC"/>
    <w:rsid w:val="00AD55BB"/>
    <w:rsid w:val="00AD58C1"/>
    <w:rsid w:val="00AD6B64"/>
    <w:rsid w:val="00AD76F4"/>
    <w:rsid w:val="00AE1C27"/>
    <w:rsid w:val="00AE1FFB"/>
    <w:rsid w:val="00AE3D7C"/>
    <w:rsid w:val="00AE4E85"/>
    <w:rsid w:val="00AE4F65"/>
    <w:rsid w:val="00AE57C8"/>
    <w:rsid w:val="00AE5D9C"/>
    <w:rsid w:val="00AE612E"/>
    <w:rsid w:val="00AE7152"/>
    <w:rsid w:val="00AF0997"/>
    <w:rsid w:val="00AF421C"/>
    <w:rsid w:val="00AF4C31"/>
    <w:rsid w:val="00AF5AFB"/>
    <w:rsid w:val="00AF6464"/>
    <w:rsid w:val="00AF737E"/>
    <w:rsid w:val="00AF7D57"/>
    <w:rsid w:val="00B00CBC"/>
    <w:rsid w:val="00B02451"/>
    <w:rsid w:val="00B04ACB"/>
    <w:rsid w:val="00B06611"/>
    <w:rsid w:val="00B07965"/>
    <w:rsid w:val="00B104AB"/>
    <w:rsid w:val="00B1283A"/>
    <w:rsid w:val="00B12E4E"/>
    <w:rsid w:val="00B1330C"/>
    <w:rsid w:val="00B151D8"/>
    <w:rsid w:val="00B15AE1"/>
    <w:rsid w:val="00B1724A"/>
    <w:rsid w:val="00B203F0"/>
    <w:rsid w:val="00B20BB0"/>
    <w:rsid w:val="00B227A8"/>
    <w:rsid w:val="00B22CE1"/>
    <w:rsid w:val="00B2315E"/>
    <w:rsid w:val="00B23420"/>
    <w:rsid w:val="00B23CBF"/>
    <w:rsid w:val="00B2471D"/>
    <w:rsid w:val="00B24B99"/>
    <w:rsid w:val="00B24EBE"/>
    <w:rsid w:val="00B25BDB"/>
    <w:rsid w:val="00B264D0"/>
    <w:rsid w:val="00B26F32"/>
    <w:rsid w:val="00B276E3"/>
    <w:rsid w:val="00B30360"/>
    <w:rsid w:val="00B31313"/>
    <w:rsid w:val="00B31D86"/>
    <w:rsid w:val="00B33864"/>
    <w:rsid w:val="00B349CD"/>
    <w:rsid w:val="00B34EC6"/>
    <w:rsid w:val="00B34ED0"/>
    <w:rsid w:val="00B35271"/>
    <w:rsid w:val="00B37404"/>
    <w:rsid w:val="00B3773A"/>
    <w:rsid w:val="00B43500"/>
    <w:rsid w:val="00B443B2"/>
    <w:rsid w:val="00B451B5"/>
    <w:rsid w:val="00B45B04"/>
    <w:rsid w:val="00B45FBC"/>
    <w:rsid w:val="00B50DCA"/>
    <w:rsid w:val="00B5140B"/>
    <w:rsid w:val="00B520D2"/>
    <w:rsid w:val="00B52BE6"/>
    <w:rsid w:val="00B538DF"/>
    <w:rsid w:val="00B53B5C"/>
    <w:rsid w:val="00B53E09"/>
    <w:rsid w:val="00B55586"/>
    <w:rsid w:val="00B57F5B"/>
    <w:rsid w:val="00B61252"/>
    <w:rsid w:val="00B61A61"/>
    <w:rsid w:val="00B62599"/>
    <w:rsid w:val="00B62875"/>
    <w:rsid w:val="00B63011"/>
    <w:rsid w:val="00B63D3E"/>
    <w:rsid w:val="00B63FB0"/>
    <w:rsid w:val="00B642D4"/>
    <w:rsid w:val="00B64FAD"/>
    <w:rsid w:val="00B65DB4"/>
    <w:rsid w:val="00B66A32"/>
    <w:rsid w:val="00B66F5E"/>
    <w:rsid w:val="00B67431"/>
    <w:rsid w:val="00B67A40"/>
    <w:rsid w:val="00B70E1B"/>
    <w:rsid w:val="00B715E5"/>
    <w:rsid w:val="00B71B56"/>
    <w:rsid w:val="00B71D29"/>
    <w:rsid w:val="00B722EF"/>
    <w:rsid w:val="00B72D38"/>
    <w:rsid w:val="00B73441"/>
    <w:rsid w:val="00B76B7E"/>
    <w:rsid w:val="00B7731D"/>
    <w:rsid w:val="00B80345"/>
    <w:rsid w:val="00B81479"/>
    <w:rsid w:val="00B81988"/>
    <w:rsid w:val="00B82631"/>
    <w:rsid w:val="00B8429D"/>
    <w:rsid w:val="00B8644F"/>
    <w:rsid w:val="00B86C62"/>
    <w:rsid w:val="00B90F28"/>
    <w:rsid w:val="00B91903"/>
    <w:rsid w:val="00B91DF0"/>
    <w:rsid w:val="00B91FED"/>
    <w:rsid w:val="00B92688"/>
    <w:rsid w:val="00B93738"/>
    <w:rsid w:val="00B94803"/>
    <w:rsid w:val="00B95748"/>
    <w:rsid w:val="00B971AC"/>
    <w:rsid w:val="00BA09BD"/>
    <w:rsid w:val="00BA10AE"/>
    <w:rsid w:val="00BA2BDA"/>
    <w:rsid w:val="00BA3D2C"/>
    <w:rsid w:val="00BA40A9"/>
    <w:rsid w:val="00BA5B35"/>
    <w:rsid w:val="00BA5EEB"/>
    <w:rsid w:val="00BA6450"/>
    <w:rsid w:val="00BA6DA1"/>
    <w:rsid w:val="00BA6F0B"/>
    <w:rsid w:val="00BA7A9F"/>
    <w:rsid w:val="00BB0136"/>
    <w:rsid w:val="00BB1146"/>
    <w:rsid w:val="00BB13F5"/>
    <w:rsid w:val="00BB1B63"/>
    <w:rsid w:val="00BB2B22"/>
    <w:rsid w:val="00BB312A"/>
    <w:rsid w:val="00BB3C12"/>
    <w:rsid w:val="00BB497E"/>
    <w:rsid w:val="00BB7C3F"/>
    <w:rsid w:val="00BC0AB5"/>
    <w:rsid w:val="00BC17B4"/>
    <w:rsid w:val="00BC2006"/>
    <w:rsid w:val="00BC206C"/>
    <w:rsid w:val="00BC2C5B"/>
    <w:rsid w:val="00BC2F7C"/>
    <w:rsid w:val="00BC3555"/>
    <w:rsid w:val="00BC47BB"/>
    <w:rsid w:val="00BC664C"/>
    <w:rsid w:val="00BD028D"/>
    <w:rsid w:val="00BD0718"/>
    <w:rsid w:val="00BD0C0E"/>
    <w:rsid w:val="00BD1BD6"/>
    <w:rsid w:val="00BD2E5C"/>
    <w:rsid w:val="00BD3400"/>
    <w:rsid w:val="00BD394F"/>
    <w:rsid w:val="00BD54CF"/>
    <w:rsid w:val="00BD56AF"/>
    <w:rsid w:val="00BD64D3"/>
    <w:rsid w:val="00BD6766"/>
    <w:rsid w:val="00BD7A03"/>
    <w:rsid w:val="00BE04E7"/>
    <w:rsid w:val="00BE06D6"/>
    <w:rsid w:val="00BE1C07"/>
    <w:rsid w:val="00BE4978"/>
    <w:rsid w:val="00BE57E4"/>
    <w:rsid w:val="00BE6859"/>
    <w:rsid w:val="00BE7087"/>
    <w:rsid w:val="00BE7915"/>
    <w:rsid w:val="00BF0529"/>
    <w:rsid w:val="00BF11C7"/>
    <w:rsid w:val="00BF16CD"/>
    <w:rsid w:val="00BF1B14"/>
    <w:rsid w:val="00BF4923"/>
    <w:rsid w:val="00BF513E"/>
    <w:rsid w:val="00BF54C1"/>
    <w:rsid w:val="00C00B12"/>
    <w:rsid w:val="00C01747"/>
    <w:rsid w:val="00C02EA6"/>
    <w:rsid w:val="00C02FBB"/>
    <w:rsid w:val="00C04ED4"/>
    <w:rsid w:val="00C057D7"/>
    <w:rsid w:val="00C077B3"/>
    <w:rsid w:val="00C10252"/>
    <w:rsid w:val="00C10FC7"/>
    <w:rsid w:val="00C126F6"/>
    <w:rsid w:val="00C135E0"/>
    <w:rsid w:val="00C13E61"/>
    <w:rsid w:val="00C15D10"/>
    <w:rsid w:val="00C16822"/>
    <w:rsid w:val="00C1685F"/>
    <w:rsid w:val="00C16E5E"/>
    <w:rsid w:val="00C17113"/>
    <w:rsid w:val="00C1718C"/>
    <w:rsid w:val="00C17D34"/>
    <w:rsid w:val="00C205A8"/>
    <w:rsid w:val="00C20DEF"/>
    <w:rsid w:val="00C211E8"/>
    <w:rsid w:val="00C22445"/>
    <w:rsid w:val="00C23722"/>
    <w:rsid w:val="00C250F5"/>
    <w:rsid w:val="00C27E50"/>
    <w:rsid w:val="00C303FA"/>
    <w:rsid w:val="00C31136"/>
    <w:rsid w:val="00C31296"/>
    <w:rsid w:val="00C31433"/>
    <w:rsid w:val="00C317AC"/>
    <w:rsid w:val="00C31C45"/>
    <w:rsid w:val="00C321D8"/>
    <w:rsid w:val="00C3310C"/>
    <w:rsid w:val="00C41052"/>
    <w:rsid w:val="00C418C8"/>
    <w:rsid w:val="00C43922"/>
    <w:rsid w:val="00C43B30"/>
    <w:rsid w:val="00C44E72"/>
    <w:rsid w:val="00C47512"/>
    <w:rsid w:val="00C51DD8"/>
    <w:rsid w:val="00C530FC"/>
    <w:rsid w:val="00C53CBD"/>
    <w:rsid w:val="00C54F2C"/>
    <w:rsid w:val="00C558C1"/>
    <w:rsid w:val="00C565AB"/>
    <w:rsid w:val="00C5697A"/>
    <w:rsid w:val="00C57EB7"/>
    <w:rsid w:val="00C60933"/>
    <w:rsid w:val="00C61676"/>
    <w:rsid w:val="00C61CD1"/>
    <w:rsid w:val="00C62316"/>
    <w:rsid w:val="00C62D63"/>
    <w:rsid w:val="00C6313E"/>
    <w:rsid w:val="00C634A4"/>
    <w:rsid w:val="00C63A84"/>
    <w:rsid w:val="00C6489A"/>
    <w:rsid w:val="00C650EF"/>
    <w:rsid w:val="00C651CD"/>
    <w:rsid w:val="00C653B4"/>
    <w:rsid w:val="00C6648A"/>
    <w:rsid w:val="00C668EB"/>
    <w:rsid w:val="00C66CA0"/>
    <w:rsid w:val="00C67E75"/>
    <w:rsid w:val="00C67FB0"/>
    <w:rsid w:val="00C70607"/>
    <w:rsid w:val="00C721DE"/>
    <w:rsid w:val="00C74247"/>
    <w:rsid w:val="00C74B0D"/>
    <w:rsid w:val="00C76223"/>
    <w:rsid w:val="00C76366"/>
    <w:rsid w:val="00C76C38"/>
    <w:rsid w:val="00C77493"/>
    <w:rsid w:val="00C83D8E"/>
    <w:rsid w:val="00C85150"/>
    <w:rsid w:val="00C85E73"/>
    <w:rsid w:val="00C87D9A"/>
    <w:rsid w:val="00C90CDD"/>
    <w:rsid w:val="00C9284D"/>
    <w:rsid w:val="00C94BDF"/>
    <w:rsid w:val="00C96400"/>
    <w:rsid w:val="00C96AC6"/>
    <w:rsid w:val="00CA1C3A"/>
    <w:rsid w:val="00CA3B10"/>
    <w:rsid w:val="00CA4E72"/>
    <w:rsid w:val="00CA5D5C"/>
    <w:rsid w:val="00CB1D4C"/>
    <w:rsid w:val="00CB3B7D"/>
    <w:rsid w:val="00CB3DD7"/>
    <w:rsid w:val="00CB57D4"/>
    <w:rsid w:val="00CB617A"/>
    <w:rsid w:val="00CB70A2"/>
    <w:rsid w:val="00CB7900"/>
    <w:rsid w:val="00CB7FD6"/>
    <w:rsid w:val="00CC026C"/>
    <w:rsid w:val="00CC0347"/>
    <w:rsid w:val="00CC0727"/>
    <w:rsid w:val="00CC1AC1"/>
    <w:rsid w:val="00CC2BF5"/>
    <w:rsid w:val="00CC2E85"/>
    <w:rsid w:val="00CC2F3A"/>
    <w:rsid w:val="00CC2FDF"/>
    <w:rsid w:val="00CC5C11"/>
    <w:rsid w:val="00CC7702"/>
    <w:rsid w:val="00CC7973"/>
    <w:rsid w:val="00CC7CF7"/>
    <w:rsid w:val="00CC7D14"/>
    <w:rsid w:val="00CD034E"/>
    <w:rsid w:val="00CD2793"/>
    <w:rsid w:val="00CD2A41"/>
    <w:rsid w:val="00CD38BE"/>
    <w:rsid w:val="00CD3C9B"/>
    <w:rsid w:val="00CD533C"/>
    <w:rsid w:val="00CD5AFA"/>
    <w:rsid w:val="00CD6A86"/>
    <w:rsid w:val="00CD6F14"/>
    <w:rsid w:val="00CD7E77"/>
    <w:rsid w:val="00CE1545"/>
    <w:rsid w:val="00CE1B75"/>
    <w:rsid w:val="00CE4246"/>
    <w:rsid w:val="00CE4D15"/>
    <w:rsid w:val="00CE6985"/>
    <w:rsid w:val="00CE69F2"/>
    <w:rsid w:val="00CE77AF"/>
    <w:rsid w:val="00CF02D0"/>
    <w:rsid w:val="00CF1994"/>
    <w:rsid w:val="00CF3E2F"/>
    <w:rsid w:val="00CF4B9A"/>
    <w:rsid w:val="00CF69B0"/>
    <w:rsid w:val="00CF6A48"/>
    <w:rsid w:val="00D00FCF"/>
    <w:rsid w:val="00D0172C"/>
    <w:rsid w:val="00D01AC1"/>
    <w:rsid w:val="00D02589"/>
    <w:rsid w:val="00D05956"/>
    <w:rsid w:val="00D07999"/>
    <w:rsid w:val="00D07A9E"/>
    <w:rsid w:val="00D112ED"/>
    <w:rsid w:val="00D11A8D"/>
    <w:rsid w:val="00D15522"/>
    <w:rsid w:val="00D15619"/>
    <w:rsid w:val="00D160AB"/>
    <w:rsid w:val="00D251E5"/>
    <w:rsid w:val="00D266B6"/>
    <w:rsid w:val="00D325CD"/>
    <w:rsid w:val="00D34F02"/>
    <w:rsid w:val="00D3695A"/>
    <w:rsid w:val="00D42595"/>
    <w:rsid w:val="00D42896"/>
    <w:rsid w:val="00D44013"/>
    <w:rsid w:val="00D44D43"/>
    <w:rsid w:val="00D4519B"/>
    <w:rsid w:val="00D457BA"/>
    <w:rsid w:val="00D463DC"/>
    <w:rsid w:val="00D471E7"/>
    <w:rsid w:val="00D47258"/>
    <w:rsid w:val="00D47BA8"/>
    <w:rsid w:val="00D47D7E"/>
    <w:rsid w:val="00D550F3"/>
    <w:rsid w:val="00D5637C"/>
    <w:rsid w:val="00D6024C"/>
    <w:rsid w:val="00D602A0"/>
    <w:rsid w:val="00D61EE4"/>
    <w:rsid w:val="00D63B3A"/>
    <w:rsid w:val="00D6422B"/>
    <w:rsid w:val="00D667A7"/>
    <w:rsid w:val="00D70A34"/>
    <w:rsid w:val="00D71236"/>
    <w:rsid w:val="00D72480"/>
    <w:rsid w:val="00D73F13"/>
    <w:rsid w:val="00D7578E"/>
    <w:rsid w:val="00D75C3C"/>
    <w:rsid w:val="00D75EB4"/>
    <w:rsid w:val="00D75F21"/>
    <w:rsid w:val="00D767F8"/>
    <w:rsid w:val="00D82223"/>
    <w:rsid w:val="00D833BE"/>
    <w:rsid w:val="00D86D29"/>
    <w:rsid w:val="00D86FCC"/>
    <w:rsid w:val="00D87D8F"/>
    <w:rsid w:val="00D90F0D"/>
    <w:rsid w:val="00D91639"/>
    <w:rsid w:val="00D931FC"/>
    <w:rsid w:val="00D939FF"/>
    <w:rsid w:val="00D93AFB"/>
    <w:rsid w:val="00D93B6F"/>
    <w:rsid w:val="00D94579"/>
    <w:rsid w:val="00D95627"/>
    <w:rsid w:val="00D96A9C"/>
    <w:rsid w:val="00D971DD"/>
    <w:rsid w:val="00D97E73"/>
    <w:rsid w:val="00DA021C"/>
    <w:rsid w:val="00DA2D1F"/>
    <w:rsid w:val="00DA3DB0"/>
    <w:rsid w:val="00DA50F7"/>
    <w:rsid w:val="00DA5A72"/>
    <w:rsid w:val="00DA5B24"/>
    <w:rsid w:val="00DA6B43"/>
    <w:rsid w:val="00DB0C0D"/>
    <w:rsid w:val="00DB131E"/>
    <w:rsid w:val="00DB370D"/>
    <w:rsid w:val="00DB4FCE"/>
    <w:rsid w:val="00DB51AC"/>
    <w:rsid w:val="00DB5675"/>
    <w:rsid w:val="00DB5DD0"/>
    <w:rsid w:val="00DB6352"/>
    <w:rsid w:val="00DB6BB3"/>
    <w:rsid w:val="00DB77B4"/>
    <w:rsid w:val="00DC0B29"/>
    <w:rsid w:val="00DC2919"/>
    <w:rsid w:val="00DC37CD"/>
    <w:rsid w:val="00DC380B"/>
    <w:rsid w:val="00DC4FB0"/>
    <w:rsid w:val="00DC5ECF"/>
    <w:rsid w:val="00DC6887"/>
    <w:rsid w:val="00DC6ED9"/>
    <w:rsid w:val="00DC7567"/>
    <w:rsid w:val="00DC7A75"/>
    <w:rsid w:val="00DD0E9A"/>
    <w:rsid w:val="00DD2600"/>
    <w:rsid w:val="00DD3208"/>
    <w:rsid w:val="00DD4569"/>
    <w:rsid w:val="00DD47E4"/>
    <w:rsid w:val="00DD4A2B"/>
    <w:rsid w:val="00DD5771"/>
    <w:rsid w:val="00DD591E"/>
    <w:rsid w:val="00DD7F7A"/>
    <w:rsid w:val="00DE386B"/>
    <w:rsid w:val="00DE6205"/>
    <w:rsid w:val="00DE6CB5"/>
    <w:rsid w:val="00DE7AD1"/>
    <w:rsid w:val="00DF2562"/>
    <w:rsid w:val="00DF566E"/>
    <w:rsid w:val="00DF66BE"/>
    <w:rsid w:val="00DF6E7D"/>
    <w:rsid w:val="00DF7426"/>
    <w:rsid w:val="00DF7FB7"/>
    <w:rsid w:val="00E00ACF"/>
    <w:rsid w:val="00E016CA"/>
    <w:rsid w:val="00E03F67"/>
    <w:rsid w:val="00E048AD"/>
    <w:rsid w:val="00E06AE3"/>
    <w:rsid w:val="00E06BE4"/>
    <w:rsid w:val="00E10611"/>
    <w:rsid w:val="00E11B1B"/>
    <w:rsid w:val="00E125E7"/>
    <w:rsid w:val="00E12FE5"/>
    <w:rsid w:val="00E137EB"/>
    <w:rsid w:val="00E14FCE"/>
    <w:rsid w:val="00E15C04"/>
    <w:rsid w:val="00E15CB0"/>
    <w:rsid w:val="00E17A3C"/>
    <w:rsid w:val="00E17A3F"/>
    <w:rsid w:val="00E17D23"/>
    <w:rsid w:val="00E20C89"/>
    <w:rsid w:val="00E223C3"/>
    <w:rsid w:val="00E2388A"/>
    <w:rsid w:val="00E239B5"/>
    <w:rsid w:val="00E239CF"/>
    <w:rsid w:val="00E23B0F"/>
    <w:rsid w:val="00E258CD"/>
    <w:rsid w:val="00E303BB"/>
    <w:rsid w:val="00E321D5"/>
    <w:rsid w:val="00E33CB3"/>
    <w:rsid w:val="00E422B8"/>
    <w:rsid w:val="00E4347C"/>
    <w:rsid w:val="00E44322"/>
    <w:rsid w:val="00E44FB4"/>
    <w:rsid w:val="00E45626"/>
    <w:rsid w:val="00E4573B"/>
    <w:rsid w:val="00E461F3"/>
    <w:rsid w:val="00E467E5"/>
    <w:rsid w:val="00E4689E"/>
    <w:rsid w:val="00E518BA"/>
    <w:rsid w:val="00E52933"/>
    <w:rsid w:val="00E54518"/>
    <w:rsid w:val="00E55B04"/>
    <w:rsid w:val="00E60B2C"/>
    <w:rsid w:val="00E60B32"/>
    <w:rsid w:val="00E60E80"/>
    <w:rsid w:val="00E61D98"/>
    <w:rsid w:val="00E61E6B"/>
    <w:rsid w:val="00E6271E"/>
    <w:rsid w:val="00E62B64"/>
    <w:rsid w:val="00E63032"/>
    <w:rsid w:val="00E63383"/>
    <w:rsid w:val="00E6469B"/>
    <w:rsid w:val="00E6469E"/>
    <w:rsid w:val="00E653DF"/>
    <w:rsid w:val="00E66448"/>
    <w:rsid w:val="00E66B18"/>
    <w:rsid w:val="00E674F6"/>
    <w:rsid w:val="00E67518"/>
    <w:rsid w:val="00E707B3"/>
    <w:rsid w:val="00E711ED"/>
    <w:rsid w:val="00E72E89"/>
    <w:rsid w:val="00E72F18"/>
    <w:rsid w:val="00E739C4"/>
    <w:rsid w:val="00E7468D"/>
    <w:rsid w:val="00E74719"/>
    <w:rsid w:val="00E74921"/>
    <w:rsid w:val="00E764CB"/>
    <w:rsid w:val="00E77203"/>
    <w:rsid w:val="00E77E80"/>
    <w:rsid w:val="00E815D5"/>
    <w:rsid w:val="00E8160C"/>
    <w:rsid w:val="00E81FBC"/>
    <w:rsid w:val="00E83045"/>
    <w:rsid w:val="00E841FB"/>
    <w:rsid w:val="00E8452E"/>
    <w:rsid w:val="00E8496E"/>
    <w:rsid w:val="00E86CC1"/>
    <w:rsid w:val="00E90CDB"/>
    <w:rsid w:val="00E91086"/>
    <w:rsid w:val="00E919B7"/>
    <w:rsid w:val="00E93DB5"/>
    <w:rsid w:val="00E941C6"/>
    <w:rsid w:val="00E95BA7"/>
    <w:rsid w:val="00E964DD"/>
    <w:rsid w:val="00EA01FC"/>
    <w:rsid w:val="00EA143E"/>
    <w:rsid w:val="00EA2FB7"/>
    <w:rsid w:val="00EA3319"/>
    <w:rsid w:val="00EA4745"/>
    <w:rsid w:val="00EA6FCD"/>
    <w:rsid w:val="00EB0EEA"/>
    <w:rsid w:val="00EB2447"/>
    <w:rsid w:val="00EB2B77"/>
    <w:rsid w:val="00EB516F"/>
    <w:rsid w:val="00EB57C5"/>
    <w:rsid w:val="00EB63C5"/>
    <w:rsid w:val="00EB6E5F"/>
    <w:rsid w:val="00EB7698"/>
    <w:rsid w:val="00EB7717"/>
    <w:rsid w:val="00EB78A7"/>
    <w:rsid w:val="00EB7C9C"/>
    <w:rsid w:val="00EC43CC"/>
    <w:rsid w:val="00EC43D9"/>
    <w:rsid w:val="00EC464F"/>
    <w:rsid w:val="00EC64F8"/>
    <w:rsid w:val="00EC657E"/>
    <w:rsid w:val="00EC6BAB"/>
    <w:rsid w:val="00EC6CB6"/>
    <w:rsid w:val="00EC70BC"/>
    <w:rsid w:val="00ED0C17"/>
    <w:rsid w:val="00ED1152"/>
    <w:rsid w:val="00ED1F7D"/>
    <w:rsid w:val="00ED3B34"/>
    <w:rsid w:val="00ED47AD"/>
    <w:rsid w:val="00ED6BE7"/>
    <w:rsid w:val="00ED7680"/>
    <w:rsid w:val="00EE1679"/>
    <w:rsid w:val="00EE2A8A"/>
    <w:rsid w:val="00EE2BEE"/>
    <w:rsid w:val="00EE3F02"/>
    <w:rsid w:val="00EE45D4"/>
    <w:rsid w:val="00EE64FE"/>
    <w:rsid w:val="00EE7D49"/>
    <w:rsid w:val="00EF0026"/>
    <w:rsid w:val="00EF086C"/>
    <w:rsid w:val="00EF198F"/>
    <w:rsid w:val="00EF1BD2"/>
    <w:rsid w:val="00EF257F"/>
    <w:rsid w:val="00EF2B49"/>
    <w:rsid w:val="00EF2BC4"/>
    <w:rsid w:val="00EF3BBC"/>
    <w:rsid w:val="00EF49DB"/>
    <w:rsid w:val="00EF54D1"/>
    <w:rsid w:val="00EF6315"/>
    <w:rsid w:val="00EF67FE"/>
    <w:rsid w:val="00EF78F8"/>
    <w:rsid w:val="00F0112B"/>
    <w:rsid w:val="00F0270D"/>
    <w:rsid w:val="00F04126"/>
    <w:rsid w:val="00F041E3"/>
    <w:rsid w:val="00F049A7"/>
    <w:rsid w:val="00F04FDC"/>
    <w:rsid w:val="00F05BA3"/>
    <w:rsid w:val="00F07985"/>
    <w:rsid w:val="00F07DA1"/>
    <w:rsid w:val="00F07DC4"/>
    <w:rsid w:val="00F112F1"/>
    <w:rsid w:val="00F11926"/>
    <w:rsid w:val="00F11C27"/>
    <w:rsid w:val="00F11F46"/>
    <w:rsid w:val="00F13D79"/>
    <w:rsid w:val="00F13E36"/>
    <w:rsid w:val="00F23143"/>
    <w:rsid w:val="00F23911"/>
    <w:rsid w:val="00F2450F"/>
    <w:rsid w:val="00F250F0"/>
    <w:rsid w:val="00F25320"/>
    <w:rsid w:val="00F26798"/>
    <w:rsid w:val="00F27654"/>
    <w:rsid w:val="00F303EC"/>
    <w:rsid w:val="00F3063B"/>
    <w:rsid w:val="00F31C47"/>
    <w:rsid w:val="00F321AA"/>
    <w:rsid w:val="00F330F7"/>
    <w:rsid w:val="00F3452B"/>
    <w:rsid w:val="00F35B2B"/>
    <w:rsid w:val="00F36236"/>
    <w:rsid w:val="00F372FB"/>
    <w:rsid w:val="00F407E1"/>
    <w:rsid w:val="00F40B24"/>
    <w:rsid w:val="00F4301B"/>
    <w:rsid w:val="00F437C6"/>
    <w:rsid w:val="00F45938"/>
    <w:rsid w:val="00F45A25"/>
    <w:rsid w:val="00F45BDD"/>
    <w:rsid w:val="00F46AF8"/>
    <w:rsid w:val="00F46B7E"/>
    <w:rsid w:val="00F46E49"/>
    <w:rsid w:val="00F47683"/>
    <w:rsid w:val="00F50171"/>
    <w:rsid w:val="00F50495"/>
    <w:rsid w:val="00F51230"/>
    <w:rsid w:val="00F521CF"/>
    <w:rsid w:val="00F52346"/>
    <w:rsid w:val="00F53322"/>
    <w:rsid w:val="00F56131"/>
    <w:rsid w:val="00F5621B"/>
    <w:rsid w:val="00F57700"/>
    <w:rsid w:val="00F60B74"/>
    <w:rsid w:val="00F62505"/>
    <w:rsid w:val="00F62F98"/>
    <w:rsid w:val="00F642CA"/>
    <w:rsid w:val="00F6644B"/>
    <w:rsid w:val="00F66760"/>
    <w:rsid w:val="00F66D59"/>
    <w:rsid w:val="00F67C8B"/>
    <w:rsid w:val="00F67CD1"/>
    <w:rsid w:val="00F67EB1"/>
    <w:rsid w:val="00F704E4"/>
    <w:rsid w:val="00F70D97"/>
    <w:rsid w:val="00F71B24"/>
    <w:rsid w:val="00F71DEC"/>
    <w:rsid w:val="00F727B0"/>
    <w:rsid w:val="00F72B42"/>
    <w:rsid w:val="00F74AD1"/>
    <w:rsid w:val="00F75617"/>
    <w:rsid w:val="00F75B31"/>
    <w:rsid w:val="00F76CC2"/>
    <w:rsid w:val="00F76ECA"/>
    <w:rsid w:val="00F779E8"/>
    <w:rsid w:val="00F8052F"/>
    <w:rsid w:val="00F80D0A"/>
    <w:rsid w:val="00F8189A"/>
    <w:rsid w:val="00F81AF7"/>
    <w:rsid w:val="00F84382"/>
    <w:rsid w:val="00F84884"/>
    <w:rsid w:val="00F85409"/>
    <w:rsid w:val="00F85F8E"/>
    <w:rsid w:val="00F87AC1"/>
    <w:rsid w:val="00F90770"/>
    <w:rsid w:val="00F92125"/>
    <w:rsid w:val="00F9326F"/>
    <w:rsid w:val="00F94FB1"/>
    <w:rsid w:val="00F95613"/>
    <w:rsid w:val="00F96BAF"/>
    <w:rsid w:val="00FA11A1"/>
    <w:rsid w:val="00FA193D"/>
    <w:rsid w:val="00FA2ECD"/>
    <w:rsid w:val="00FA5BA8"/>
    <w:rsid w:val="00FB1AA0"/>
    <w:rsid w:val="00FB3CDD"/>
    <w:rsid w:val="00FB4409"/>
    <w:rsid w:val="00FB635D"/>
    <w:rsid w:val="00FB6B6A"/>
    <w:rsid w:val="00FB6BA0"/>
    <w:rsid w:val="00FB7354"/>
    <w:rsid w:val="00FB76D3"/>
    <w:rsid w:val="00FC015F"/>
    <w:rsid w:val="00FC024C"/>
    <w:rsid w:val="00FC037D"/>
    <w:rsid w:val="00FC198C"/>
    <w:rsid w:val="00FC3069"/>
    <w:rsid w:val="00FC3A85"/>
    <w:rsid w:val="00FC4306"/>
    <w:rsid w:val="00FC6A73"/>
    <w:rsid w:val="00FD0B55"/>
    <w:rsid w:val="00FD16F4"/>
    <w:rsid w:val="00FD2283"/>
    <w:rsid w:val="00FD4985"/>
    <w:rsid w:val="00FD67FC"/>
    <w:rsid w:val="00FD68ED"/>
    <w:rsid w:val="00FD7961"/>
    <w:rsid w:val="00FD7AAC"/>
    <w:rsid w:val="00FD7D1A"/>
    <w:rsid w:val="00FE157F"/>
    <w:rsid w:val="00FE1A32"/>
    <w:rsid w:val="00FE31EF"/>
    <w:rsid w:val="00FE4C02"/>
    <w:rsid w:val="00FE4E8E"/>
    <w:rsid w:val="00FE50DF"/>
    <w:rsid w:val="00FE78CE"/>
    <w:rsid w:val="00FE7F58"/>
    <w:rsid w:val="00FE7F7B"/>
    <w:rsid w:val="00FF0870"/>
    <w:rsid w:val="00FF1A8E"/>
    <w:rsid w:val="00FF2594"/>
    <w:rsid w:val="00FF2694"/>
    <w:rsid w:val="00FF44D3"/>
    <w:rsid w:val="00FF57AA"/>
    <w:rsid w:val="00FF70BD"/>
    <w:rsid w:val="00FF743E"/>
    <w:rsid w:val="03042309"/>
    <w:rsid w:val="0D1D1DBE"/>
    <w:rsid w:val="1016504E"/>
    <w:rsid w:val="1121335A"/>
    <w:rsid w:val="1777635C"/>
    <w:rsid w:val="18227E27"/>
    <w:rsid w:val="185D3DBD"/>
    <w:rsid w:val="18701001"/>
    <w:rsid w:val="19FE4424"/>
    <w:rsid w:val="1DD7023D"/>
    <w:rsid w:val="1E21231E"/>
    <w:rsid w:val="1EF0166F"/>
    <w:rsid w:val="25D75173"/>
    <w:rsid w:val="27EB378F"/>
    <w:rsid w:val="2B7859DE"/>
    <w:rsid w:val="2B9E1A82"/>
    <w:rsid w:val="2D2F1520"/>
    <w:rsid w:val="2E201E0C"/>
    <w:rsid w:val="2F511728"/>
    <w:rsid w:val="30240B15"/>
    <w:rsid w:val="358502D7"/>
    <w:rsid w:val="3FC8617E"/>
    <w:rsid w:val="41B01660"/>
    <w:rsid w:val="41F16587"/>
    <w:rsid w:val="436D7AA7"/>
    <w:rsid w:val="49641224"/>
    <w:rsid w:val="4A8A3D77"/>
    <w:rsid w:val="4AD9761C"/>
    <w:rsid w:val="4DC567B8"/>
    <w:rsid w:val="52C469E2"/>
    <w:rsid w:val="52C5215A"/>
    <w:rsid w:val="5829563C"/>
    <w:rsid w:val="5CE2343E"/>
    <w:rsid w:val="5FB65180"/>
    <w:rsid w:val="64043ED2"/>
    <w:rsid w:val="66312469"/>
    <w:rsid w:val="677D5B76"/>
    <w:rsid w:val="699F7EAD"/>
    <w:rsid w:val="69C46596"/>
    <w:rsid w:val="6B966786"/>
    <w:rsid w:val="6BDD2BE6"/>
    <w:rsid w:val="756768A5"/>
    <w:rsid w:val="75D94C50"/>
    <w:rsid w:val="7AE0561F"/>
    <w:rsid w:val="7AE7680E"/>
    <w:rsid w:val="7C6D1A1B"/>
    <w:rsid w:val="7ECF6F7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9"/>
    <w:qFormat/>
    <w:uiPriority w:val="0"/>
    <w:pPr>
      <w:keepNext/>
      <w:keepLines/>
      <w:spacing w:line="578" w:lineRule="auto"/>
      <w:outlineLvl w:val="0"/>
    </w:pPr>
    <w:rPr>
      <w:b/>
      <w:bCs/>
      <w:kern w:val="44"/>
      <w:sz w:val="32"/>
      <w:szCs w:val="44"/>
    </w:rPr>
  </w:style>
  <w:style w:type="paragraph" w:styleId="3">
    <w:name w:val="heading 2"/>
    <w:basedOn w:val="1"/>
    <w:next w:val="1"/>
    <w:link w:val="52"/>
    <w:qFormat/>
    <w:uiPriority w:val="0"/>
    <w:pPr>
      <w:keepNext/>
      <w:keepLines/>
      <w:outlineLvl w:val="1"/>
    </w:pPr>
    <w:rPr>
      <w:b/>
      <w:bCs/>
      <w:sz w:val="28"/>
      <w:szCs w:val="32"/>
    </w:rPr>
  </w:style>
  <w:style w:type="paragraph" w:styleId="4">
    <w:name w:val="heading 3"/>
    <w:basedOn w:val="1"/>
    <w:next w:val="1"/>
    <w:link w:val="53"/>
    <w:qFormat/>
    <w:uiPriority w:val="0"/>
    <w:pPr>
      <w:keepNext/>
      <w:keepLines/>
      <w:spacing w:before="260" w:after="260" w:line="416" w:lineRule="auto"/>
      <w:outlineLvl w:val="2"/>
    </w:pPr>
    <w:rPr>
      <w:b/>
      <w:bCs/>
      <w:sz w:val="32"/>
      <w:szCs w:val="32"/>
    </w:rPr>
  </w:style>
  <w:style w:type="character" w:default="1" w:styleId="29">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5">
    <w:name w:val="List 3"/>
    <w:basedOn w:val="1"/>
    <w:next w:val="1"/>
    <w:qFormat/>
    <w:uiPriority w:val="0"/>
    <w:pPr>
      <w:autoSpaceDE w:val="0"/>
      <w:autoSpaceDN w:val="0"/>
      <w:adjustRightInd w:val="0"/>
      <w:spacing w:line="288" w:lineRule="auto"/>
      <w:ind w:left="1260" w:hanging="420"/>
      <w:jc w:val="left"/>
      <w:textAlignment w:val="baseline"/>
    </w:pPr>
    <w:rPr>
      <w:kern w:val="0"/>
      <w:sz w:val="24"/>
      <w:szCs w:val="20"/>
    </w:rPr>
  </w:style>
  <w:style w:type="paragraph" w:styleId="6">
    <w:name w:val="Note Heading"/>
    <w:basedOn w:val="1"/>
    <w:next w:val="1"/>
    <w:qFormat/>
    <w:uiPriority w:val="0"/>
    <w:pPr>
      <w:jc w:val="center"/>
    </w:pPr>
    <w:rPr>
      <w:rFonts w:ascii="Times New Roman" w:hAnsi="Times New Roman"/>
      <w:kern w:val="0"/>
      <w:sz w:val="20"/>
      <w:szCs w:val="24"/>
    </w:rPr>
  </w:style>
  <w:style w:type="paragraph" w:styleId="7">
    <w:name w:val="Normal Indent"/>
    <w:basedOn w:val="1"/>
    <w:next w:val="1"/>
    <w:qFormat/>
    <w:uiPriority w:val="0"/>
    <w:pPr>
      <w:ind w:firstLine="420" w:firstLineChars="200"/>
    </w:pPr>
  </w:style>
  <w:style w:type="paragraph" w:styleId="8">
    <w:name w:val="Document Map"/>
    <w:basedOn w:val="1"/>
    <w:link w:val="63"/>
    <w:qFormat/>
    <w:uiPriority w:val="0"/>
    <w:rPr>
      <w:rFonts w:ascii="宋体"/>
      <w:sz w:val="18"/>
      <w:szCs w:val="18"/>
    </w:rPr>
  </w:style>
  <w:style w:type="paragraph" w:styleId="9">
    <w:name w:val="toa heading"/>
    <w:basedOn w:val="1"/>
    <w:next w:val="1"/>
    <w:qFormat/>
    <w:uiPriority w:val="0"/>
    <w:pPr>
      <w:spacing w:before="120"/>
    </w:pPr>
    <w:rPr>
      <w:rFonts w:ascii="Arial" w:hAnsi="Arial"/>
      <w:sz w:val="24"/>
      <w:szCs w:val="20"/>
    </w:rPr>
  </w:style>
  <w:style w:type="paragraph" w:styleId="10">
    <w:name w:val="annotation text"/>
    <w:basedOn w:val="1"/>
    <w:link w:val="80"/>
    <w:qFormat/>
    <w:uiPriority w:val="0"/>
    <w:pPr>
      <w:jc w:val="left"/>
    </w:pPr>
  </w:style>
  <w:style w:type="paragraph" w:styleId="11">
    <w:name w:val="Body Text"/>
    <w:basedOn w:val="1"/>
    <w:next w:val="12"/>
    <w:link w:val="46"/>
    <w:qFormat/>
    <w:uiPriority w:val="0"/>
    <w:pPr>
      <w:spacing w:after="120"/>
    </w:pPr>
  </w:style>
  <w:style w:type="paragraph" w:styleId="12">
    <w:name w:val="List Bullet 5"/>
    <w:basedOn w:val="1"/>
    <w:qFormat/>
    <w:uiPriority w:val="0"/>
    <w:pPr>
      <w:numPr>
        <w:ilvl w:val="0"/>
        <w:numId w:val="1"/>
      </w:numPr>
    </w:pPr>
  </w:style>
  <w:style w:type="paragraph" w:styleId="13">
    <w:name w:val="Body Text Indent"/>
    <w:basedOn w:val="1"/>
    <w:link w:val="73"/>
    <w:qFormat/>
    <w:uiPriority w:val="0"/>
    <w:pPr>
      <w:spacing w:after="120"/>
      <w:ind w:left="420" w:leftChars="200"/>
    </w:pPr>
  </w:style>
  <w:style w:type="paragraph" w:styleId="14">
    <w:name w:val="toc 3"/>
    <w:basedOn w:val="1"/>
    <w:next w:val="1"/>
    <w:qFormat/>
    <w:uiPriority w:val="39"/>
    <w:pPr>
      <w:ind w:left="840" w:leftChars="400"/>
    </w:pPr>
  </w:style>
  <w:style w:type="paragraph" w:styleId="15">
    <w:name w:val="Plain Text"/>
    <w:basedOn w:val="1"/>
    <w:link w:val="67"/>
    <w:qFormat/>
    <w:uiPriority w:val="0"/>
    <w:rPr>
      <w:rFonts w:ascii="宋体" w:hAnsi="Courier New" w:cs="Courier New"/>
      <w:szCs w:val="21"/>
    </w:rPr>
  </w:style>
  <w:style w:type="paragraph" w:styleId="16">
    <w:name w:val="Date"/>
    <w:basedOn w:val="1"/>
    <w:next w:val="1"/>
    <w:link w:val="74"/>
    <w:qFormat/>
    <w:uiPriority w:val="0"/>
    <w:pPr>
      <w:ind w:left="100" w:leftChars="2500"/>
    </w:pPr>
  </w:style>
  <w:style w:type="paragraph" w:styleId="17">
    <w:name w:val="Body Text Indent 2"/>
    <w:basedOn w:val="1"/>
    <w:link w:val="40"/>
    <w:qFormat/>
    <w:uiPriority w:val="0"/>
    <w:pPr>
      <w:ind w:firstLine="560" w:firstLineChars="200"/>
    </w:pPr>
    <w:rPr>
      <w:sz w:val="28"/>
    </w:rPr>
  </w:style>
  <w:style w:type="paragraph" w:styleId="18">
    <w:name w:val="Balloon Text"/>
    <w:basedOn w:val="1"/>
    <w:link w:val="43"/>
    <w:qFormat/>
    <w:uiPriority w:val="0"/>
    <w:rPr>
      <w:sz w:val="18"/>
      <w:szCs w:val="18"/>
    </w:rPr>
  </w:style>
  <w:style w:type="paragraph" w:styleId="19">
    <w:name w:val="footer"/>
    <w:basedOn w:val="1"/>
    <w:link w:val="38"/>
    <w:qFormat/>
    <w:uiPriority w:val="99"/>
    <w:pPr>
      <w:tabs>
        <w:tab w:val="center" w:pos="4153"/>
        <w:tab w:val="right" w:pos="8306"/>
      </w:tabs>
      <w:snapToGrid w:val="0"/>
      <w:jc w:val="left"/>
    </w:pPr>
    <w:rPr>
      <w:sz w:val="18"/>
      <w:szCs w:val="18"/>
    </w:rPr>
  </w:style>
  <w:style w:type="paragraph" w:styleId="20">
    <w:name w:val="header"/>
    <w:basedOn w:val="1"/>
    <w:link w:val="37"/>
    <w:qFormat/>
    <w:uiPriority w:val="99"/>
    <w:pPr>
      <w:pBdr>
        <w:bottom w:val="single" w:color="auto" w:sz="6" w:space="0"/>
      </w:pBdr>
      <w:tabs>
        <w:tab w:val="center" w:pos="4153"/>
        <w:tab w:val="right" w:pos="8306"/>
      </w:tabs>
      <w:snapToGrid w:val="0"/>
      <w:jc w:val="center"/>
    </w:pPr>
    <w:rPr>
      <w:sz w:val="18"/>
      <w:szCs w:val="18"/>
    </w:rPr>
  </w:style>
  <w:style w:type="paragraph" w:styleId="21">
    <w:name w:val="toc 1"/>
    <w:basedOn w:val="1"/>
    <w:next w:val="1"/>
    <w:qFormat/>
    <w:uiPriority w:val="39"/>
    <w:pPr>
      <w:tabs>
        <w:tab w:val="right" w:leader="dot" w:pos="9402"/>
      </w:tabs>
      <w:spacing w:before="120" w:after="120" w:line="440" w:lineRule="exact"/>
      <w:jc w:val="left"/>
    </w:pPr>
    <w:rPr>
      <w:b/>
      <w:caps/>
      <w:sz w:val="24"/>
      <w:szCs w:val="20"/>
    </w:rPr>
  </w:style>
  <w:style w:type="paragraph" w:styleId="22">
    <w:name w:val="Subtitle"/>
    <w:basedOn w:val="1"/>
    <w:next w:val="1"/>
    <w:link w:val="57"/>
    <w:qFormat/>
    <w:uiPriority w:val="0"/>
    <w:pPr>
      <w:spacing w:before="240" w:after="60" w:line="312" w:lineRule="auto"/>
      <w:jc w:val="center"/>
      <w:outlineLvl w:val="1"/>
    </w:pPr>
    <w:rPr>
      <w:rFonts w:ascii="Cambria" w:hAnsi="Cambria"/>
      <w:b/>
      <w:bCs/>
      <w:kern w:val="28"/>
      <w:sz w:val="32"/>
      <w:szCs w:val="32"/>
    </w:rPr>
  </w:style>
  <w:style w:type="paragraph" w:styleId="23">
    <w:name w:val="toc 2"/>
    <w:basedOn w:val="1"/>
    <w:next w:val="1"/>
    <w:qFormat/>
    <w:uiPriority w:val="39"/>
    <w:pPr>
      <w:tabs>
        <w:tab w:val="right" w:leader="dot" w:pos="9402"/>
      </w:tabs>
      <w:spacing w:line="360" w:lineRule="auto"/>
      <w:ind w:left="420" w:leftChars="200"/>
    </w:pPr>
  </w:style>
  <w:style w:type="paragraph" w:styleId="24">
    <w:name w:val="annotation subject"/>
    <w:basedOn w:val="10"/>
    <w:next w:val="10"/>
    <w:link w:val="81"/>
    <w:qFormat/>
    <w:uiPriority w:val="0"/>
    <w:rPr>
      <w:b/>
      <w:bCs/>
    </w:rPr>
  </w:style>
  <w:style w:type="paragraph" w:styleId="25">
    <w:name w:val="Body Text First Indent"/>
    <w:basedOn w:val="11"/>
    <w:link w:val="47"/>
    <w:qFormat/>
    <w:uiPriority w:val="0"/>
    <w:pPr>
      <w:ind w:firstLine="420" w:firstLineChars="100"/>
    </w:pPr>
  </w:style>
  <w:style w:type="table" w:styleId="27">
    <w:name w:val="Table Grid"/>
    <w:basedOn w:val="2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28">
    <w:name w:val="Table Theme"/>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basedOn w:val="29"/>
    <w:qFormat/>
    <w:uiPriority w:val="0"/>
    <w:rPr>
      <w:color w:val="185ECF"/>
      <w:u w:val="none"/>
    </w:rPr>
  </w:style>
  <w:style w:type="character" w:styleId="32">
    <w:name w:val="Hyperlink"/>
    <w:basedOn w:val="29"/>
    <w:unhideWhenUsed/>
    <w:qFormat/>
    <w:uiPriority w:val="99"/>
    <w:rPr>
      <w:color w:val="185ECF"/>
      <w:u w:val="none"/>
    </w:rPr>
  </w:style>
  <w:style w:type="character" w:styleId="33">
    <w:name w:val="annotation reference"/>
    <w:basedOn w:val="29"/>
    <w:qFormat/>
    <w:uiPriority w:val="0"/>
    <w:rPr>
      <w:sz w:val="21"/>
      <w:szCs w:val="21"/>
    </w:rPr>
  </w:style>
  <w:style w:type="paragraph" w:customStyle="1" w:styleId="34">
    <w:name w:val="Default"/>
    <w:basedOn w:val="35"/>
    <w:next w:val="5"/>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5">
    <w:name w:val="纯文本1"/>
    <w:basedOn w:val="1"/>
    <w:qFormat/>
    <w:uiPriority w:val="99"/>
    <w:pPr>
      <w:autoSpaceDE w:val="0"/>
      <w:autoSpaceDN w:val="0"/>
      <w:textAlignment w:val="baseline"/>
    </w:pPr>
    <w:rPr>
      <w:rFonts w:ascii="宋体"/>
      <w:szCs w:val="20"/>
    </w:rPr>
  </w:style>
  <w:style w:type="paragraph" w:customStyle="1" w:styleId="36">
    <w:name w:val="样式 正文缩进正文缩进2正文缩进 Char Char正文缩进 Char Char Char Char正文缩进 Char ..."/>
    <w:basedOn w:val="7"/>
    <w:qFormat/>
    <w:uiPriority w:val="0"/>
    <w:pPr>
      <w:spacing w:line="360" w:lineRule="auto"/>
      <w:ind w:firstLine="200"/>
    </w:pPr>
    <w:rPr>
      <w:rFonts w:cs="宋体"/>
      <w:sz w:val="24"/>
    </w:rPr>
  </w:style>
  <w:style w:type="character" w:customStyle="1" w:styleId="37">
    <w:name w:val="页眉 Char"/>
    <w:basedOn w:val="29"/>
    <w:link w:val="20"/>
    <w:qFormat/>
    <w:uiPriority w:val="99"/>
    <w:rPr>
      <w:kern w:val="2"/>
      <w:sz w:val="18"/>
      <w:szCs w:val="18"/>
    </w:rPr>
  </w:style>
  <w:style w:type="character" w:customStyle="1" w:styleId="38">
    <w:name w:val="页脚 Char"/>
    <w:basedOn w:val="29"/>
    <w:link w:val="19"/>
    <w:qFormat/>
    <w:uiPriority w:val="99"/>
    <w:rPr>
      <w:kern w:val="2"/>
      <w:sz w:val="18"/>
      <w:szCs w:val="18"/>
    </w:rPr>
  </w:style>
  <w:style w:type="paragraph" w:styleId="39">
    <w:name w:val="List Paragraph"/>
    <w:basedOn w:val="1"/>
    <w:qFormat/>
    <w:uiPriority w:val="34"/>
    <w:pPr>
      <w:ind w:firstLine="420" w:firstLineChars="200"/>
    </w:pPr>
  </w:style>
  <w:style w:type="character" w:customStyle="1" w:styleId="40">
    <w:name w:val="正文文本缩进 2 Char"/>
    <w:basedOn w:val="29"/>
    <w:link w:val="17"/>
    <w:qFormat/>
    <w:uiPriority w:val="0"/>
    <w:rPr>
      <w:kern w:val="2"/>
      <w:sz w:val="28"/>
      <w:szCs w:val="24"/>
    </w:rPr>
  </w:style>
  <w:style w:type="paragraph" w:customStyle="1" w:styleId="41">
    <w:name w:val="封面单位"/>
    <w:basedOn w:val="1"/>
    <w:qFormat/>
    <w:uiPriority w:val="0"/>
    <w:pPr>
      <w:tabs>
        <w:tab w:val="right" w:leader="middleDot" w:pos="8222"/>
      </w:tabs>
      <w:spacing w:line="360" w:lineRule="auto"/>
      <w:jc w:val="center"/>
    </w:pPr>
    <w:rPr>
      <w:rFonts w:ascii="楷体_GB2312" w:hAnsi="Arial Black" w:eastAsia="楷体_GB2312"/>
      <w:b/>
      <w:kern w:val="44"/>
      <w:sz w:val="36"/>
      <w:szCs w:val="20"/>
    </w:rPr>
  </w:style>
  <w:style w:type="paragraph" w:customStyle="1" w:styleId="42">
    <w:name w:val="表格文字"/>
    <w:basedOn w:val="1"/>
    <w:next w:val="1"/>
    <w:qFormat/>
    <w:uiPriority w:val="0"/>
    <w:pPr>
      <w:spacing w:line="300" w:lineRule="exact"/>
      <w:jc w:val="center"/>
    </w:pPr>
    <w:rPr>
      <w:snapToGrid w:val="0"/>
      <w:color w:val="000000"/>
      <w:kern w:val="24"/>
      <w:szCs w:val="20"/>
    </w:rPr>
  </w:style>
  <w:style w:type="character" w:customStyle="1" w:styleId="43">
    <w:name w:val="批注框文本 Char"/>
    <w:basedOn w:val="29"/>
    <w:link w:val="18"/>
    <w:qFormat/>
    <w:uiPriority w:val="0"/>
    <w:rPr>
      <w:kern w:val="2"/>
      <w:sz w:val="18"/>
      <w:szCs w:val="18"/>
    </w:rPr>
  </w:style>
  <w:style w:type="paragraph" w:customStyle="1" w:styleId="44">
    <w:name w:val="样式1"/>
    <w:basedOn w:val="20"/>
    <w:link w:val="45"/>
    <w:qFormat/>
    <w:uiPriority w:val="0"/>
    <w:pPr>
      <w:pBdr>
        <w:bottom w:val="none" w:color="auto" w:sz="0" w:space="0"/>
      </w:pBdr>
    </w:pPr>
  </w:style>
  <w:style w:type="character" w:customStyle="1" w:styleId="45">
    <w:name w:val="样式1 Char"/>
    <w:basedOn w:val="37"/>
    <w:link w:val="44"/>
    <w:qFormat/>
    <w:uiPriority w:val="0"/>
  </w:style>
  <w:style w:type="character" w:customStyle="1" w:styleId="46">
    <w:name w:val="正文文本 Char"/>
    <w:basedOn w:val="29"/>
    <w:link w:val="11"/>
    <w:qFormat/>
    <w:uiPriority w:val="0"/>
    <w:rPr>
      <w:kern w:val="2"/>
      <w:sz w:val="21"/>
      <w:szCs w:val="24"/>
    </w:rPr>
  </w:style>
  <w:style w:type="character" w:customStyle="1" w:styleId="47">
    <w:name w:val="正文首行缩进 Char"/>
    <w:basedOn w:val="46"/>
    <w:link w:val="25"/>
    <w:qFormat/>
    <w:uiPriority w:val="0"/>
  </w:style>
  <w:style w:type="paragraph" w:customStyle="1" w:styleId="48">
    <w:name w:val="表格"/>
    <w:basedOn w:val="1"/>
    <w:link w:val="49"/>
    <w:qFormat/>
    <w:uiPriority w:val="0"/>
    <w:pPr>
      <w:spacing w:line="360" w:lineRule="exact"/>
    </w:pPr>
    <w:rPr>
      <w:kern w:val="0"/>
      <w:sz w:val="24"/>
      <w:szCs w:val="20"/>
    </w:rPr>
  </w:style>
  <w:style w:type="character" w:customStyle="1" w:styleId="49">
    <w:name w:val="表格 Char"/>
    <w:basedOn w:val="29"/>
    <w:link w:val="48"/>
    <w:qFormat/>
    <w:uiPriority w:val="0"/>
    <w:rPr>
      <w:sz w:val="24"/>
    </w:rPr>
  </w:style>
  <w:style w:type="paragraph" w:customStyle="1" w:styleId="50">
    <w:name w:val="表体"/>
    <w:basedOn w:val="1"/>
    <w:qFormat/>
    <w:uiPriority w:val="0"/>
    <w:pPr>
      <w:spacing w:line="320" w:lineRule="atLeast"/>
      <w:jc w:val="center"/>
    </w:pPr>
    <w:rPr>
      <w:color w:val="000000"/>
      <w:szCs w:val="20"/>
    </w:rPr>
  </w:style>
  <w:style w:type="paragraph" w:customStyle="1" w:styleId="51">
    <w:name w:val="表格1"/>
    <w:basedOn w:val="1"/>
    <w:qFormat/>
    <w:uiPriority w:val="0"/>
    <w:pPr>
      <w:spacing w:line="300" w:lineRule="exact"/>
      <w:jc w:val="center"/>
    </w:pPr>
    <w:rPr>
      <w:bCs/>
      <w:color w:val="000000"/>
      <w:kern w:val="0"/>
      <w:szCs w:val="19"/>
    </w:rPr>
  </w:style>
  <w:style w:type="character" w:customStyle="1" w:styleId="52">
    <w:name w:val="标题 2 Char"/>
    <w:basedOn w:val="29"/>
    <w:link w:val="3"/>
    <w:qFormat/>
    <w:uiPriority w:val="0"/>
    <w:rPr>
      <w:b/>
      <w:bCs/>
      <w:kern w:val="2"/>
      <w:sz w:val="28"/>
      <w:szCs w:val="32"/>
    </w:rPr>
  </w:style>
  <w:style w:type="character" w:customStyle="1" w:styleId="53">
    <w:name w:val="标题 3 Char"/>
    <w:basedOn w:val="29"/>
    <w:link w:val="4"/>
    <w:qFormat/>
    <w:uiPriority w:val="0"/>
    <w:rPr>
      <w:b/>
      <w:bCs/>
      <w:kern w:val="2"/>
      <w:sz w:val="32"/>
      <w:szCs w:val="32"/>
    </w:rPr>
  </w:style>
  <w:style w:type="paragraph" w:customStyle="1" w:styleId="54">
    <w:name w:val="样式 标题 3 + (中文) 仿宋_GB2312 四号 非加粗 行距: 1.5 倍行距"/>
    <w:basedOn w:val="4"/>
    <w:qFormat/>
    <w:uiPriority w:val="0"/>
    <w:pPr>
      <w:spacing w:line="360" w:lineRule="auto"/>
    </w:pPr>
    <w:rPr>
      <w:bCs w:val="0"/>
      <w:color w:val="000000"/>
      <w:kern w:val="0"/>
      <w:sz w:val="28"/>
      <w:szCs w:val="20"/>
    </w:rPr>
  </w:style>
  <w:style w:type="paragraph" w:customStyle="1" w:styleId="55">
    <w:name w:val="4标题(治)"/>
    <w:basedOn w:val="1"/>
    <w:next w:val="1"/>
    <w:qFormat/>
    <w:uiPriority w:val="0"/>
    <w:pPr>
      <w:spacing w:line="460" w:lineRule="exact"/>
      <w:ind w:firstLine="520" w:firstLineChars="200"/>
    </w:pPr>
    <w:rPr>
      <w:bCs/>
      <w:sz w:val="26"/>
      <w:szCs w:val="26"/>
    </w:rPr>
  </w:style>
  <w:style w:type="paragraph" w:customStyle="1" w:styleId="56">
    <w:name w:val="报告正文"/>
    <w:basedOn w:val="1"/>
    <w:qFormat/>
    <w:uiPriority w:val="0"/>
    <w:pPr>
      <w:adjustRightInd w:val="0"/>
      <w:snapToGrid w:val="0"/>
      <w:spacing w:line="300" w:lineRule="auto"/>
    </w:pPr>
    <w:rPr>
      <w:rFonts w:ascii="宋体"/>
      <w:sz w:val="28"/>
      <w:szCs w:val="20"/>
    </w:rPr>
  </w:style>
  <w:style w:type="character" w:customStyle="1" w:styleId="57">
    <w:name w:val="副标题 Char"/>
    <w:basedOn w:val="29"/>
    <w:link w:val="22"/>
    <w:qFormat/>
    <w:uiPriority w:val="0"/>
    <w:rPr>
      <w:rFonts w:ascii="Cambria" w:hAnsi="Cambria" w:cs="Times New Roman"/>
      <w:b/>
      <w:bCs/>
      <w:kern w:val="28"/>
      <w:sz w:val="32"/>
      <w:szCs w:val="32"/>
    </w:rPr>
  </w:style>
  <w:style w:type="paragraph" w:customStyle="1" w:styleId="58">
    <w:name w:val="样式 标题 3 +"/>
    <w:basedOn w:val="4"/>
    <w:qFormat/>
    <w:uiPriority w:val="0"/>
    <w:pPr>
      <w:spacing w:before="20" w:after="20"/>
    </w:pPr>
    <w:rPr>
      <w:kern w:val="0"/>
    </w:rPr>
  </w:style>
  <w:style w:type="character" w:customStyle="1" w:styleId="59">
    <w:name w:val="标题 1 Char"/>
    <w:basedOn w:val="29"/>
    <w:link w:val="2"/>
    <w:qFormat/>
    <w:uiPriority w:val="0"/>
    <w:rPr>
      <w:b/>
      <w:bCs/>
      <w:kern w:val="44"/>
      <w:sz w:val="32"/>
      <w:szCs w:val="44"/>
    </w:rPr>
  </w:style>
  <w:style w:type="paragraph" w:customStyle="1" w:styleId="60">
    <w:name w:val="样式 标题 1 +"/>
    <w:basedOn w:val="2"/>
    <w:qFormat/>
    <w:uiPriority w:val="0"/>
    <w:rPr>
      <w:kern w:val="0"/>
    </w:rPr>
  </w:style>
  <w:style w:type="paragraph" w:customStyle="1" w:styleId="61">
    <w:name w:val="250/1"/>
    <w:basedOn w:val="60"/>
    <w:qFormat/>
    <w:uiPriority w:val="0"/>
    <w:pPr>
      <w:spacing w:line="480" w:lineRule="auto"/>
    </w:pPr>
    <w:rPr>
      <w:rFonts w:cs="宋体"/>
      <w:szCs w:val="20"/>
    </w:rPr>
  </w:style>
  <w:style w:type="paragraph" w:customStyle="1" w:styleId="62">
    <w:name w:val="样式 250/ 2节 + (中文) +中文正文 黑色 段前: 6 磅 段后: 6 磅 行距: 1.5 倍行距"/>
    <w:basedOn w:val="3"/>
    <w:qFormat/>
    <w:uiPriority w:val="0"/>
    <w:pPr>
      <w:spacing w:before="120" w:after="120" w:line="360" w:lineRule="auto"/>
    </w:pPr>
    <w:rPr>
      <w:rFonts w:cs="宋体"/>
      <w:color w:val="000000"/>
      <w:szCs w:val="20"/>
    </w:rPr>
  </w:style>
  <w:style w:type="character" w:customStyle="1" w:styleId="63">
    <w:name w:val="文档结构图 Char"/>
    <w:basedOn w:val="29"/>
    <w:link w:val="8"/>
    <w:qFormat/>
    <w:uiPriority w:val="0"/>
    <w:rPr>
      <w:rFonts w:ascii="宋体"/>
      <w:kern w:val="2"/>
      <w:sz w:val="18"/>
      <w:szCs w:val="18"/>
    </w:rPr>
  </w:style>
  <w:style w:type="paragraph" w:customStyle="1" w:styleId="64">
    <w:name w:val="样式 样式 标题 2 + (西文) Times New Roman (中文) 仿宋_GB2312 四号 行距: 1.5 倍行距 ..."/>
    <w:basedOn w:val="1"/>
    <w:link w:val="65"/>
    <w:qFormat/>
    <w:uiPriority w:val="0"/>
    <w:pPr>
      <w:keepNext/>
      <w:keepLines/>
      <w:spacing w:before="260" w:after="260" w:line="360" w:lineRule="auto"/>
      <w:outlineLvl w:val="1"/>
    </w:pPr>
    <w:rPr>
      <w:rFonts w:eastAsia="仿宋_GB2312" w:cs="宋体"/>
      <w:b/>
      <w:kern w:val="0"/>
      <w:sz w:val="30"/>
      <w:szCs w:val="20"/>
    </w:rPr>
  </w:style>
  <w:style w:type="character" w:customStyle="1" w:styleId="65">
    <w:name w:val="样式 样式 标题 2 + (西文) Times New Roman (中文) 仿宋_GB2312 四号 行距: 1.5 倍行距 ... Char"/>
    <w:basedOn w:val="29"/>
    <w:link w:val="64"/>
    <w:qFormat/>
    <w:uiPriority w:val="0"/>
    <w:rPr>
      <w:rFonts w:eastAsia="仿宋_GB2312" w:cs="宋体"/>
      <w:b/>
      <w:sz w:val="30"/>
    </w:rPr>
  </w:style>
  <w:style w:type="character" w:customStyle="1" w:styleId="66">
    <w:name w:val="纯文本 Char"/>
    <w:basedOn w:val="29"/>
    <w:link w:val="15"/>
    <w:qFormat/>
    <w:uiPriority w:val="0"/>
    <w:rPr>
      <w:rFonts w:ascii="宋体" w:hAnsi="Courier New" w:cs="Courier New"/>
      <w:kern w:val="2"/>
      <w:sz w:val="21"/>
      <w:szCs w:val="21"/>
    </w:rPr>
  </w:style>
  <w:style w:type="character" w:customStyle="1" w:styleId="67">
    <w:name w:val="纯文本 Char1"/>
    <w:basedOn w:val="29"/>
    <w:link w:val="15"/>
    <w:qFormat/>
    <w:uiPriority w:val="0"/>
    <w:rPr>
      <w:rFonts w:ascii="宋体" w:hAnsi="Courier New" w:cs="Courier New"/>
      <w:kern w:val="2"/>
      <w:sz w:val="21"/>
      <w:szCs w:val="21"/>
    </w:rPr>
  </w:style>
  <w:style w:type="paragraph" w:customStyle="1" w:styleId="68">
    <w:name w:val="Char"/>
    <w:basedOn w:val="1"/>
    <w:qFormat/>
    <w:uiPriority w:val="0"/>
  </w:style>
  <w:style w:type="paragraph" w:customStyle="1" w:styleId="69">
    <w:name w:val="Char2"/>
    <w:basedOn w:val="1"/>
    <w:qFormat/>
    <w:uiPriority w:val="0"/>
  </w:style>
  <w:style w:type="paragraph" w:customStyle="1" w:styleId="70">
    <w:name w:val="Char1"/>
    <w:basedOn w:val="1"/>
    <w:qFormat/>
    <w:uiPriority w:val="0"/>
  </w:style>
  <w:style w:type="paragraph" w:customStyle="1" w:styleId="71">
    <w:name w:val="TOC 标题1"/>
    <w:basedOn w:val="2"/>
    <w:next w:val="1"/>
    <w:qFormat/>
    <w:uiPriority w:val="39"/>
    <w:pPr>
      <w:widowControl/>
      <w:spacing w:before="480" w:line="276" w:lineRule="auto"/>
      <w:jc w:val="left"/>
      <w:outlineLvl w:val="9"/>
    </w:pPr>
    <w:rPr>
      <w:rFonts w:ascii="Cambria" w:hAnsi="Cambria"/>
      <w:color w:val="365F91"/>
      <w:kern w:val="0"/>
      <w:sz w:val="28"/>
      <w:szCs w:val="28"/>
    </w:rPr>
  </w:style>
  <w:style w:type="paragraph" w:customStyle="1" w:styleId="72">
    <w:name w:val="报告表格"/>
    <w:basedOn w:val="1"/>
    <w:next w:val="1"/>
    <w:qFormat/>
    <w:uiPriority w:val="0"/>
    <w:pPr>
      <w:autoSpaceDE w:val="0"/>
      <w:autoSpaceDN w:val="0"/>
      <w:adjustRightInd w:val="0"/>
      <w:spacing w:line="318" w:lineRule="atLeast"/>
      <w:jc w:val="center"/>
      <w:textAlignment w:val="bottom"/>
    </w:pPr>
    <w:rPr>
      <w:kern w:val="0"/>
      <w:sz w:val="24"/>
      <w:szCs w:val="20"/>
    </w:rPr>
  </w:style>
  <w:style w:type="character" w:customStyle="1" w:styleId="73">
    <w:name w:val="正文文本缩进 Char"/>
    <w:basedOn w:val="29"/>
    <w:link w:val="13"/>
    <w:qFormat/>
    <w:uiPriority w:val="0"/>
    <w:rPr>
      <w:kern w:val="2"/>
      <w:sz w:val="21"/>
      <w:szCs w:val="24"/>
    </w:rPr>
  </w:style>
  <w:style w:type="character" w:customStyle="1" w:styleId="74">
    <w:name w:val="日期 Char"/>
    <w:basedOn w:val="29"/>
    <w:link w:val="16"/>
    <w:qFormat/>
    <w:uiPriority w:val="0"/>
    <w:rPr>
      <w:kern w:val="2"/>
      <w:sz w:val="21"/>
      <w:szCs w:val="24"/>
    </w:rPr>
  </w:style>
  <w:style w:type="paragraph" w:customStyle="1" w:styleId="75">
    <w:name w:val="Char3"/>
    <w:basedOn w:val="1"/>
    <w:qFormat/>
    <w:uiPriority w:val="0"/>
  </w:style>
  <w:style w:type="character" w:styleId="76">
    <w:name w:val="Placeholder Text"/>
    <w:basedOn w:val="29"/>
    <w:semiHidden/>
    <w:qFormat/>
    <w:uiPriority w:val="99"/>
    <w:rPr>
      <w:color w:val="808080"/>
    </w:rPr>
  </w:style>
  <w:style w:type="paragraph" w:customStyle="1" w:styleId="77">
    <w:name w:val="默认段落字体 Para Char"/>
    <w:basedOn w:val="1"/>
    <w:qFormat/>
    <w:uiPriority w:val="0"/>
    <w:rPr>
      <w:rFonts w:ascii="Tahoma" w:hAnsi="Tahoma"/>
      <w:sz w:val="24"/>
      <w:szCs w:val="20"/>
    </w:rPr>
  </w:style>
  <w:style w:type="table" w:customStyle="1" w:styleId="78">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79">
    <w:name w:val="Table Paragraph"/>
    <w:basedOn w:val="1"/>
    <w:qFormat/>
    <w:uiPriority w:val="1"/>
    <w:pPr>
      <w:autoSpaceDE w:val="0"/>
      <w:autoSpaceDN w:val="0"/>
      <w:jc w:val="left"/>
    </w:pPr>
    <w:rPr>
      <w:rFonts w:ascii="Noto Sans Mono CJK JP Regular" w:hAnsi="Noto Sans Mono CJK JP Regular" w:eastAsia="Noto Sans Mono CJK JP Regular" w:cs="Noto Sans Mono CJK JP Regular"/>
      <w:kern w:val="0"/>
      <w:sz w:val="22"/>
      <w:szCs w:val="22"/>
      <w:lang w:val="zh-CN" w:bidi="zh-CN"/>
    </w:rPr>
  </w:style>
  <w:style w:type="character" w:customStyle="1" w:styleId="80">
    <w:name w:val="批注文字 Char"/>
    <w:basedOn w:val="29"/>
    <w:link w:val="10"/>
    <w:qFormat/>
    <w:uiPriority w:val="0"/>
    <w:rPr>
      <w:kern w:val="2"/>
      <w:sz w:val="21"/>
      <w:szCs w:val="24"/>
    </w:rPr>
  </w:style>
  <w:style w:type="character" w:customStyle="1" w:styleId="81">
    <w:name w:val="批注主题 Char"/>
    <w:basedOn w:val="80"/>
    <w:link w:val="24"/>
    <w:qFormat/>
    <w:uiPriority w:val="0"/>
    <w:rPr>
      <w:b/>
      <w:bCs/>
    </w:rPr>
  </w:style>
  <w:style w:type="paragraph" w:customStyle="1" w:styleId="82">
    <w:name w:val="表中文字"/>
    <w:basedOn w:val="1"/>
    <w:qFormat/>
    <w:uiPriority w:val="0"/>
    <w:pPr>
      <w:adjustRightInd w:val="0"/>
      <w:snapToGrid w:val="0"/>
      <w:spacing w:line="240" w:lineRule="auto"/>
      <w:ind w:firstLine="0" w:firstLineChars="0"/>
      <w:jc w:val="center"/>
    </w:pPr>
    <w:rPr>
      <w:rFonts w:cs="TimesNewRomanPSMT"/>
      <w:bCs/>
      <w:snapToGrid w:val="0"/>
      <w:kern w:val="0"/>
      <w:sz w:val="21"/>
      <w:szCs w:val="21"/>
    </w:rPr>
  </w:style>
  <w:style w:type="paragraph" w:customStyle="1" w:styleId="83">
    <w:name w:val="表格格式"/>
    <w:basedOn w:val="1"/>
    <w:qFormat/>
    <w:uiPriority w:val="0"/>
    <w:pPr>
      <w:spacing w:line="240" w:lineRule="auto"/>
      <w:ind w:firstLine="0" w:firstLineChars="0"/>
      <w:jc w:val="center"/>
    </w:pPr>
    <w:rPr>
      <w:sz w:val="21"/>
    </w:rPr>
  </w:style>
  <w:style w:type="paragraph" w:customStyle="1" w:styleId="84">
    <w:name w:val="样式 表中文字 +"/>
    <w:basedOn w:val="1"/>
    <w:qFormat/>
    <w:uiPriority w:val="0"/>
    <w:pPr>
      <w:adjustRightInd w:val="0"/>
      <w:snapToGrid w:val="0"/>
      <w:spacing w:line="0" w:lineRule="atLeast"/>
      <w:jc w:val="center"/>
    </w:pPr>
    <w:rPr>
      <w:rFonts w:ascii="Times New Roman" w:hAnsi="Times New Roman"/>
      <w:kern w:val="0"/>
      <w:szCs w:val="21"/>
    </w:rPr>
  </w:style>
  <w:style w:type="paragraph" w:customStyle="1" w:styleId="85">
    <w:name w:val="新格式表"/>
    <w:basedOn w:val="1"/>
    <w:qFormat/>
    <w:uiPriority w:val="0"/>
    <w:pPr>
      <w:snapToGrid w:val="0"/>
      <w:spacing w:line="360" w:lineRule="exact"/>
      <w:jc w:val="center"/>
    </w:pPr>
    <w:rPr>
      <w:rFonts w:ascii="Times New Roman" w:hAnsi="Times New Roman"/>
      <w:b/>
      <w:bCs/>
      <w:szCs w:val="21"/>
    </w:rPr>
  </w:style>
  <w:style w:type="paragraph" w:customStyle="1" w:styleId="86">
    <w:name w:val="xl31"/>
    <w:basedOn w:val="1"/>
    <w:qFormat/>
    <w:uiPriority w:val="0"/>
    <w:pPr>
      <w:widowControl/>
      <w:spacing w:before="100" w:beforeAutospacing="1" w:after="100" w:afterAutospacing="1"/>
      <w:jc w:val="center"/>
    </w:pPr>
    <w:rPr>
      <w:rFonts w:ascii="Times New Roman" w:hAnsi="Times New Roman"/>
      <w:kern w:val="0"/>
      <w:sz w:val="24"/>
    </w:rPr>
  </w:style>
  <w:style w:type="paragraph" w:customStyle="1" w:styleId="87">
    <w:name w:val="无间隔1"/>
    <w:basedOn w:val="1"/>
    <w:next w:val="1"/>
    <w:qFormat/>
    <w:uiPriority w:val="1"/>
    <w:pPr>
      <w:spacing w:line="320" w:lineRule="atLeast"/>
      <w:ind w:firstLine="0" w:firstLineChars="0"/>
      <w:jc w:val="center"/>
    </w:pPr>
    <w:rPr>
      <w:kern w:val="0"/>
      <w:sz w:val="21"/>
      <w:szCs w:val="20"/>
    </w:rPr>
  </w:style>
  <w:style w:type="paragraph" w:customStyle="1" w:styleId="88">
    <w:name w:val="Table Text"/>
    <w:basedOn w:val="1"/>
    <w:semiHidden/>
    <w:qFormat/>
    <w:uiPriority w:val="0"/>
    <w:rPr>
      <w:rFonts w:ascii="宋体" w:hAnsi="宋体" w:eastAsia="宋体" w:cs="宋体"/>
      <w:sz w:val="20"/>
      <w:szCs w:val="20"/>
      <w:lang w:val="en-US" w:eastAsia="en-US" w:bidi="ar-SA"/>
    </w:rPr>
  </w:style>
  <w:style w:type="paragraph" w:customStyle="1" w:styleId="89">
    <w:name w:val="样式3"/>
    <w:basedOn w:val="1"/>
    <w:qFormat/>
    <w:uiPriority w:val="0"/>
    <w:pPr>
      <w:pBdr>
        <w:top w:val="single" w:color="auto" w:sz="4" w:space="1"/>
      </w:pBdr>
      <w:tabs>
        <w:tab w:val="center" w:pos="4153"/>
        <w:tab w:val="right" w:pos="8306"/>
      </w:tabs>
    </w:pPr>
    <w:rPr>
      <w:sz w:val="21"/>
    </w:rPr>
  </w:style>
  <w:style w:type="character" w:customStyle="1" w:styleId="90">
    <w:name w:val="shenbao"/>
    <w:basedOn w:val="29"/>
    <w:qFormat/>
    <w:uiPriority w:val="0"/>
    <w:rPr>
      <w:color w:val="EF6334"/>
    </w:rPr>
  </w:style>
  <w:style w:type="character" w:customStyle="1" w:styleId="91">
    <w:name w:val="chakan"/>
    <w:basedOn w:val="29"/>
    <w:qFormat/>
    <w:uiPriority w:val="0"/>
    <w:rPr>
      <w:color w:val="0064EA"/>
    </w:rPr>
  </w:style>
  <w:style w:type="character" w:customStyle="1" w:styleId="92">
    <w:name w:val="checkbox"/>
    <w:basedOn w:val="29"/>
    <w:qFormat/>
    <w:uiPriority w:val="0"/>
  </w:style>
  <w:style w:type="paragraph" w:customStyle="1" w:styleId="93">
    <w:name w:val="p0"/>
    <w:basedOn w:val="1"/>
    <w:qFormat/>
    <w:uiPriority w:val="0"/>
    <w:pPr>
      <w:widowControl/>
    </w:pPr>
    <w:rPr>
      <w:rFonts w:ascii="Times New Roman" w:hAnsi="Times New Roman" w:cs="Times New Roman"/>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104"/>
    <customShpInfo spid="_x0000_s2114"/>
    <customShpInfo spid="_x0000_s2115"/>
    <customShpInfo spid="_x0000_s2117"/>
    <customShpInfo spid="_x0000_s2116"/>
    <customShpInfo spid="_x0000_s2118"/>
    <customShpInfo spid="_x0000_s2120"/>
    <customShpInfo spid="_x0000_s2119"/>
    <customShpInfo spid="_x0000_s2122"/>
    <customShpInfo spid="_x0000_s2121"/>
    <customShpInfo spid="_x0000_s2123"/>
    <customShpInfo spid="_x0000_s2124"/>
    <customShpInfo spid="_x0000_s2125"/>
    <customShpInfo spid="_x0000_s2127"/>
    <customShpInfo spid="_x0000_s2126"/>
    <customShpInfo spid="_x0000_s2128"/>
    <customShpInfo spid="_x0000_s2129"/>
    <customShpInfo spid="_x0000_s2130"/>
    <customShpInfo spid="_x0000_s2131"/>
    <customShpInfo spid="_x0000_s2132"/>
    <customShpInfo spid="_x0000_s2133"/>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41C930-974F-445E-B4B9-EC82EA4D268B}">
  <ds:schemaRefs/>
</ds:datastoreItem>
</file>

<file path=docProps/app.xml><?xml version="1.0" encoding="utf-8"?>
<Properties xmlns="http://schemas.openxmlformats.org/officeDocument/2006/extended-properties" xmlns:vt="http://schemas.openxmlformats.org/officeDocument/2006/docPropsVTypes">
  <Template>Normal</Template>
  <Company>番茄花园</Company>
  <Pages>36</Pages>
  <Words>2797</Words>
  <Characters>15944</Characters>
  <Lines>132</Lines>
  <Paragraphs>37</Paragraphs>
  <TotalTime>1</TotalTime>
  <ScaleCrop>false</ScaleCrop>
  <LinksUpToDate>false</LinksUpToDate>
  <CharactersWithSpaces>18704</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2018-06-12T17:06:00Z</dcterms:created>
  <dc:creator>Administrator</dc:creator>
  <cp:lastModifiedBy>柳慧敏</cp:lastModifiedBy>
  <cp:lastPrinted>2018-02-02T07:18:00Z</cp:lastPrinted>
  <dcterms:modified xsi:type="dcterms:W3CDTF">2024-03-12T04:09:06Z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0A7F54EFDC7A44108E2E44E9D596C5C5_12</vt:lpwstr>
  </property>
</Properties>
</file>