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240" w:lineRule="auto"/>
        <w:jc w:val="center"/>
        <w:rPr>
          <w:rFonts w:hint="default" w:ascii="Times New Roman" w:hAnsi="Times New Roman" w:cs="Times New Roman" w:eastAsiaTheme="majorEastAsia"/>
          <w:b/>
          <w:color w:val="000000"/>
          <w:sz w:val="44"/>
          <w:szCs w:val="44"/>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eastAsia="仿宋" w:cs="Times New Roman"/>
          <w:b/>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default" w:ascii="Times New Roman" w:hAnsi="Times New Roman" w:eastAsia="仿宋" w:cs="Times New Roman"/>
          <w:b/>
          <w:color w:val="000000"/>
          <w:sz w:val="32"/>
          <w:szCs w:val="32"/>
        </w:rPr>
      </w:pPr>
      <w:r>
        <w:rPr>
          <w:rFonts w:hint="eastAsia" w:eastAsia="仿宋" w:cs="Times New Roman"/>
          <w:b/>
          <w:color w:val="000000"/>
          <w:sz w:val="44"/>
          <w:szCs w:val="44"/>
          <w:lang w:val="en-US" w:eastAsia="zh-CN"/>
        </w:rPr>
        <w:t>重庆平湖环保工程有限责任公司</w:t>
      </w: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Times New Roman" w:hAnsi="Times New Roman" w:eastAsia="仿宋" w:cs="Times New Roman"/>
          <w:b/>
          <w:color w:val="000000"/>
          <w:sz w:val="32"/>
          <w:szCs w:val="32"/>
          <w:lang w:eastAsia="zh-CN"/>
        </w:rPr>
      </w:pPr>
      <w:r>
        <w:rPr>
          <w:rFonts w:hint="eastAsia" w:eastAsia="仿宋" w:cs="Times New Roman"/>
          <w:b/>
          <w:color w:val="000000"/>
          <w:sz w:val="44"/>
          <w:szCs w:val="44"/>
          <w:lang w:eastAsia="zh-CN"/>
        </w:rPr>
        <w:t>万州区2022年镇乡污水管网补充工程</w:t>
      </w:r>
    </w:p>
    <w:p>
      <w:pPr>
        <w:spacing w:line="720" w:lineRule="auto"/>
        <w:jc w:val="center"/>
        <w:rPr>
          <w:rFonts w:hint="default" w:ascii="Times New Roman" w:hAnsi="Times New Roman" w:cs="Times New Roman" w:eastAsiaTheme="minorEastAsia"/>
          <w:b w:val="0"/>
          <w:bCs w:val="0"/>
          <w:sz w:val="28"/>
          <w:szCs w:val="28"/>
        </w:rPr>
      </w:pPr>
      <w:r>
        <w:rPr>
          <w:rFonts w:hint="default" w:ascii="Times New Roman" w:hAnsi="Times New Roman" w:cs="Times New Roman" w:eastAsiaTheme="majorEastAsia"/>
          <w:b/>
          <w:color w:val="000000"/>
          <w:sz w:val="44"/>
          <w:szCs w:val="44"/>
        </w:rPr>
        <w:t>竣工环境保护验收调查报告表</w:t>
      </w:r>
    </w:p>
    <w:p>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val="0"/>
          <w:bCs w:val="0"/>
          <w:sz w:val="28"/>
          <w:szCs w:val="28"/>
        </w:rPr>
      </w:pPr>
    </w:p>
    <w:p>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val="0"/>
          <w:bCs w:val="0"/>
          <w:sz w:val="28"/>
          <w:szCs w:val="28"/>
        </w:rPr>
      </w:pPr>
    </w:p>
    <w:p>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val="0"/>
          <w:bCs w:val="0"/>
          <w:sz w:val="28"/>
          <w:szCs w:val="28"/>
        </w:rPr>
      </w:pPr>
    </w:p>
    <w:p>
      <w:pPr>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inorEastAsia"/>
          <w:b w:val="0"/>
          <w:bCs w:val="0"/>
          <w:sz w:val="28"/>
          <w:szCs w:val="28"/>
        </w:rPr>
      </w:pPr>
    </w:p>
    <w:p>
      <w:pPr>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inorEastAsia"/>
          <w:b w:val="0"/>
          <w:bCs w:val="0"/>
          <w:sz w:val="28"/>
          <w:szCs w:val="28"/>
        </w:rPr>
      </w:pPr>
    </w:p>
    <w:p>
      <w:pPr>
        <w:pStyle w:val="2"/>
        <w:rPr>
          <w:rFonts w:hint="default" w:ascii="Times New Roman" w:hAnsi="Times New Roman" w:cs="Times New Roman" w:eastAsiaTheme="minorEastAsia"/>
          <w:b w:val="0"/>
          <w:bCs w:val="0"/>
          <w:sz w:val="28"/>
          <w:szCs w:val="28"/>
        </w:rPr>
      </w:pPr>
    </w:p>
    <w:p>
      <w:pPr>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inorEastAsia"/>
          <w:b w:val="0"/>
          <w:bCs w:val="0"/>
          <w:sz w:val="28"/>
          <w:szCs w:val="28"/>
        </w:rPr>
      </w:pPr>
    </w:p>
    <w:p>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val="0"/>
          <w:bCs w:val="0"/>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firstLine="1687" w:firstLineChars="600"/>
        <w:jc w:val="left"/>
        <w:textAlignment w:val="auto"/>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eastAsiaTheme="minorEastAsia"/>
          <w:b/>
          <w:bCs/>
          <w:sz w:val="28"/>
          <w:szCs w:val="28"/>
          <w:lang w:val="en-US" w:eastAsia="zh-CN"/>
        </w:rPr>
        <w:t>建设单位：</w:t>
      </w:r>
      <w:r>
        <w:rPr>
          <w:rFonts w:hint="eastAsia" w:cs="Times New Roman" w:eastAsiaTheme="minorEastAsia"/>
          <w:b/>
          <w:bCs/>
          <w:sz w:val="28"/>
          <w:szCs w:val="28"/>
          <w:u w:val="none"/>
          <w:lang w:val="en-US" w:eastAsia="zh-CN"/>
        </w:rPr>
        <w:t>重庆平湖环保工程有限责任公司</w:t>
      </w:r>
    </w:p>
    <w:p>
      <w:pPr>
        <w:keepNext w:val="0"/>
        <w:keepLines w:val="0"/>
        <w:pageBreakBefore w:val="0"/>
        <w:widowControl w:val="0"/>
        <w:kinsoku/>
        <w:wordWrap/>
        <w:overflowPunct/>
        <w:topLinePunct w:val="0"/>
        <w:autoSpaceDE/>
        <w:autoSpaceDN/>
        <w:bidi w:val="0"/>
        <w:adjustRightInd/>
        <w:snapToGrid/>
        <w:spacing w:line="360" w:lineRule="auto"/>
        <w:ind w:firstLine="1687" w:firstLineChars="600"/>
        <w:jc w:val="left"/>
        <w:textAlignment w:val="auto"/>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eastAsiaTheme="minorEastAsia"/>
          <w:b/>
          <w:bCs/>
          <w:sz w:val="28"/>
          <w:szCs w:val="28"/>
          <w:lang w:val="en-US" w:eastAsia="zh-CN"/>
        </w:rPr>
        <w:t>编制单位：</w:t>
      </w:r>
      <w:r>
        <w:rPr>
          <w:rFonts w:hint="eastAsia" w:cs="Times New Roman" w:eastAsiaTheme="minorEastAsia"/>
          <w:b/>
          <w:bCs/>
          <w:sz w:val="28"/>
          <w:szCs w:val="28"/>
          <w:u w:val="none"/>
          <w:lang w:val="en-US" w:eastAsia="zh-CN"/>
        </w:rPr>
        <w:t>重庆万世缘环保科技有限公司</w:t>
      </w:r>
    </w:p>
    <w:p>
      <w:pPr>
        <w:keepNext w:val="0"/>
        <w:keepLines w:val="0"/>
        <w:pageBreakBefore w:val="0"/>
        <w:widowControl w:val="0"/>
        <w:kinsoku/>
        <w:wordWrap/>
        <w:overflowPunct/>
        <w:topLinePunct w:val="0"/>
        <w:autoSpaceDE/>
        <w:autoSpaceDN/>
        <w:bidi w:val="0"/>
        <w:adjustRightInd/>
        <w:snapToGrid/>
        <w:spacing w:line="360" w:lineRule="auto"/>
        <w:ind w:firstLine="1687" w:firstLineChars="600"/>
        <w:jc w:val="left"/>
        <w:textAlignment w:val="auto"/>
        <w:rPr>
          <w:rFonts w:hint="default" w:ascii="Times New Roman" w:hAnsi="Times New Roman" w:eastAsia="仿宋_GB2312" w:cs="Times New Roman"/>
          <w:b/>
          <w:color w:val="000000"/>
          <w:sz w:val="28"/>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FullWidth"/>
          <w:cols w:space="720" w:num="1"/>
          <w:docGrid w:linePitch="360" w:charSpace="0"/>
        </w:sectPr>
      </w:pPr>
      <w:r>
        <w:rPr>
          <w:rFonts w:hint="default" w:ascii="Times New Roman" w:hAnsi="Times New Roman" w:cs="Times New Roman" w:eastAsiaTheme="majorEastAsia"/>
          <w:b/>
          <w:bCs/>
          <w:color w:val="000000"/>
          <w:sz w:val="28"/>
          <w:szCs w:val="28"/>
          <w:lang w:eastAsia="zh-CN"/>
        </w:rPr>
        <w:t>编制时间：</w:t>
      </w:r>
      <w:r>
        <w:rPr>
          <w:rFonts w:hint="default" w:ascii="Times New Roman" w:hAnsi="Times New Roman" w:cs="Times New Roman" w:eastAsiaTheme="majorEastAsia"/>
          <w:b/>
          <w:bCs/>
          <w:color w:val="000000"/>
          <w:sz w:val="28"/>
          <w:szCs w:val="28"/>
        </w:rPr>
        <w:t>二〇</w:t>
      </w:r>
      <w:r>
        <w:rPr>
          <w:rFonts w:hint="default" w:ascii="Times New Roman" w:hAnsi="Times New Roman" w:cs="Times New Roman" w:eastAsiaTheme="majorEastAsia"/>
          <w:b/>
          <w:bCs/>
          <w:color w:val="000000"/>
          <w:sz w:val="28"/>
          <w:szCs w:val="28"/>
          <w:lang w:eastAsia="zh-CN"/>
        </w:rPr>
        <w:t>二</w:t>
      </w:r>
      <w:r>
        <w:rPr>
          <w:rFonts w:hint="eastAsia" w:cs="Times New Roman" w:eastAsiaTheme="majorEastAsia"/>
          <w:b/>
          <w:bCs/>
          <w:color w:val="000000"/>
          <w:sz w:val="28"/>
          <w:szCs w:val="28"/>
          <w:lang w:eastAsia="zh-CN"/>
        </w:rPr>
        <w:t>四</w:t>
      </w:r>
      <w:r>
        <w:rPr>
          <w:rFonts w:hint="default" w:ascii="Times New Roman" w:hAnsi="Times New Roman" w:cs="Times New Roman" w:eastAsiaTheme="majorEastAsia"/>
          <w:b/>
          <w:bCs/>
          <w:color w:val="000000"/>
          <w:sz w:val="28"/>
          <w:szCs w:val="28"/>
        </w:rPr>
        <w:t>年</w:t>
      </w:r>
      <w:r>
        <w:rPr>
          <w:rFonts w:hint="eastAsia" w:cs="Times New Roman" w:eastAsiaTheme="majorEastAsia"/>
          <w:b/>
          <w:bCs/>
          <w:color w:val="000000"/>
          <w:sz w:val="28"/>
          <w:szCs w:val="28"/>
          <w:lang w:eastAsia="zh-CN"/>
        </w:rPr>
        <w:t>三</w:t>
      </w:r>
      <w:bookmarkStart w:id="17" w:name="_GoBack"/>
      <w:bookmarkEnd w:id="17"/>
      <w:r>
        <w:rPr>
          <w:rFonts w:hint="default" w:ascii="Times New Roman" w:hAnsi="Times New Roman" w:cs="Times New Roman" w:eastAsiaTheme="majorEastAsia"/>
          <w:b/>
          <w:bCs/>
          <w:color w:val="000000"/>
          <w:sz w:val="28"/>
          <w:szCs w:val="28"/>
        </w:rPr>
        <w:t>月</w:t>
      </w:r>
    </w:p>
    <w:p>
      <w:pPr>
        <w:pStyle w:val="24"/>
        <w:ind w:left="0" w:leftChars="0" w:firstLine="0" w:firstLineChars="0"/>
        <w:rPr>
          <w:rFonts w:hint="default" w:ascii="Times New Roman" w:hAnsi="Times New Roman" w:cs="Times New Roman" w:eastAsiaTheme="minorEastAsia"/>
          <w:b/>
          <w:bCs/>
        </w:rPr>
        <w:sectPr>
          <w:pgSz w:w="11906" w:h="16838"/>
          <w:pgMar w:top="1440" w:right="1800" w:bottom="1440" w:left="1800" w:header="708" w:footer="708" w:gutter="0"/>
          <w:pgBorders>
            <w:top w:val="none" w:sz="0" w:space="0"/>
            <w:left w:val="none" w:sz="0" w:space="0"/>
            <w:bottom w:val="none" w:sz="0" w:space="0"/>
            <w:right w:val="none" w:sz="0" w:space="0"/>
          </w:pgBorders>
          <w:pgNumType w:fmt="decimalFullWidth"/>
          <w:cols w:space="720" w:num="1"/>
          <w:docGrid w:linePitch="360" w:charSpace="0"/>
        </w:sectPr>
      </w:pPr>
    </w:p>
    <w:p>
      <w:pPr>
        <w:pStyle w:val="24"/>
        <w:ind w:left="0" w:leftChars="0" w:firstLine="0" w:firstLineChars="0"/>
        <w:rPr>
          <w:rFonts w:hint="default" w:ascii="Times New Roman" w:hAnsi="Times New Roman" w:cs="Times New Roman" w:eastAsiaTheme="minorEastAsia"/>
          <w:b/>
          <w:bCs/>
        </w:rPr>
      </w:pP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32"/>
        </w:rPr>
      </w:pPr>
      <w:r>
        <w:rPr>
          <w:rFonts w:hint="default" w:ascii="Times New Roman" w:hAnsi="Times New Roman" w:cs="Times New Roman" w:eastAsiaTheme="minorEastAsia"/>
          <w:b/>
          <w:bCs/>
          <w:color w:val="000000"/>
          <w:sz w:val="28"/>
        </w:rPr>
        <w:t>建设单位法人代表:</w:t>
      </w:r>
      <w:r>
        <w:rPr>
          <w:rFonts w:hint="eastAsia" w:cs="Times New Roman" w:eastAsiaTheme="minorEastAsia"/>
          <w:b/>
          <w:bCs/>
          <w:color w:val="000000"/>
          <w:sz w:val="28"/>
          <w:lang w:val="en-US" w:eastAsia="zh-CN"/>
        </w:rPr>
        <w:t xml:space="preserve"> </w:t>
      </w:r>
      <w:r>
        <w:rPr>
          <w:rFonts w:hint="eastAsia" w:cs="Times New Roman" w:eastAsiaTheme="minorEastAsia"/>
          <w:b/>
          <w:bCs/>
          <w:color w:val="000000"/>
          <w:sz w:val="28"/>
          <w:lang w:eastAsia="zh-CN"/>
        </w:rPr>
        <w:t>金克林</w:t>
      </w:r>
      <w:r>
        <w:rPr>
          <w:rFonts w:hint="default" w:ascii="Times New Roman" w:hAnsi="Times New Roman" w:cs="Times New Roman" w:eastAsiaTheme="minorEastAsia"/>
          <w:b/>
          <w:bCs/>
          <w:color w:val="000000"/>
          <w:sz w:val="28"/>
        </w:rPr>
        <w:t xml:space="preserve">   </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rPr>
      </w:pPr>
      <w:r>
        <w:rPr>
          <w:rFonts w:hint="default" w:ascii="Times New Roman" w:hAnsi="Times New Roman" w:cs="Times New Roman" w:eastAsiaTheme="minorEastAsia"/>
          <w:b/>
          <w:bCs/>
          <w:color w:val="000000"/>
          <w:sz w:val="28"/>
        </w:rPr>
        <w:t xml:space="preserve">编制单位法人代表: </w:t>
      </w:r>
      <w:r>
        <w:rPr>
          <w:rFonts w:hint="eastAsia" w:cs="Times New Roman" w:eastAsiaTheme="minorEastAsia"/>
          <w:b/>
          <w:bCs/>
          <w:color w:val="000000"/>
          <w:sz w:val="28"/>
          <w:lang w:eastAsia="zh-CN"/>
        </w:rPr>
        <w:t>徐国庆</w:t>
      </w:r>
      <w:r>
        <w:rPr>
          <w:rFonts w:hint="default" w:ascii="Times New Roman" w:hAnsi="Times New Roman" w:cs="Times New Roman" w:eastAsiaTheme="minorEastAsia"/>
          <w:b/>
          <w:bCs/>
          <w:color w:val="000000"/>
          <w:sz w:val="28"/>
        </w:rPr>
        <w:t xml:space="preserve">    </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pacing w:val="10"/>
          <w:w w:val="79"/>
          <w:sz w:val="28"/>
        </w:rPr>
      </w:pPr>
      <w:r>
        <w:rPr>
          <w:rFonts w:hint="default" w:ascii="Times New Roman" w:hAnsi="Times New Roman" w:cs="Times New Roman" w:eastAsiaTheme="minorEastAsia"/>
          <w:b/>
          <w:bCs/>
          <w:color w:val="000000"/>
          <w:spacing w:val="10"/>
          <w:w w:val="79"/>
          <w:sz w:val="28"/>
        </w:rPr>
        <w:t xml:space="preserve">项  目  负  责  人: </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w w:val="88"/>
          <w:sz w:val="28"/>
        </w:rPr>
      </w:pPr>
      <w:r>
        <w:rPr>
          <w:rFonts w:hint="default" w:ascii="Times New Roman" w:hAnsi="Times New Roman" w:cs="Times New Roman" w:eastAsiaTheme="minorEastAsia"/>
          <w:b/>
          <w:bCs/>
          <w:color w:val="000000"/>
          <w:spacing w:val="10"/>
          <w:w w:val="79"/>
          <w:sz w:val="28"/>
        </w:rPr>
        <w:t>报  告  编  写  人：</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rPr>
      </w:pP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rPr>
      </w:pP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rPr>
      </w:pP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rPr>
      </w:pP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rPr>
      </w:pPr>
      <w:r>
        <w:rPr>
          <w:rFonts w:hint="default" w:ascii="Times New Roman" w:hAnsi="Times New Roman" w:cs="Times New Roman" w:eastAsiaTheme="minorEastAsia"/>
          <w:b/>
          <w:bCs/>
          <w:color w:val="000000"/>
          <w:sz w:val="28"/>
        </w:rPr>
        <w:t>建设单位：</w:t>
      </w:r>
      <w:r>
        <w:rPr>
          <w:rFonts w:hint="eastAsia" w:cs="Times New Roman" w:eastAsiaTheme="minorEastAsia"/>
          <w:b/>
          <w:bCs/>
          <w:sz w:val="28"/>
          <w:szCs w:val="28"/>
          <w:u w:val="none"/>
          <w:lang w:val="en-US" w:eastAsia="zh-CN"/>
        </w:rPr>
        <w:t>重庆平湖环保工程有限责任公司</w:t>
      </w:r>
    </w:p>
    <w:p>
      <w:pPr>
        <w:pStyle w:val="6"/>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eastAsiaTheme="minorEastAsia"/>
          <w:b/>
          <w:bCs/>
          <w:color w:val="000000"/>
          <w:sz w:val="28"/>
          <w:lang w:val="en-US" w:eastAsia="zh-CN"/>
        </w:rPr>
      </w:pPr>
      <w:r>
        <w:rPr>
          <w:rFonts w:hint="default" w:ascii="Times New Roman" w:hAnsi="Times New Roman" w:cs="Times New Roman" w:eastAsiaTheme="minorEastAsia"/>
          <w:b/>
          <w:bCs/>
          <w:color w:val="000000"/>
          <w:sz w:val="28"/>
        </w:rPr>
        <w:t>电    话：</w:t>
      </w:r>
      <w:r>
        <w:rPr>
          <w:rFonts w:hint="eastAsia" w:cs="Times New Roman" w:eastAsiaTheme="minorEastAsia"/>
          <w:b/>
          <w:bCs/>
          <w:color w:val="000000"/>
          <w:sz w:val="28"/>
          <w:lang w:val="en-US" w:eastAsia="zh-CN"/>
        </w:rPr>
        <w:t>13668479735</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rPr>
      </w:pPr>
      <w:r>
        <w:rPr>
          <w:rFonts w:hint="default" w:ascii="Times New Roman" w:hAnsi="Times New Roman" w:cs="Times New Roman" w:eastAsiaTheme="minorEastAsia"/>
          <w:b/>
          <w:bCs/>
          <w:color w:val="000000"/>
          <w:sz w:val="28"/>
        </w:rPr>
        <w:t>传    真：---</w:t>
      </w:r>
    </w:p>
    <w:p>
      <w:pPr>
        <w:pStyle w:val="6"/>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eastAsiaTheme="minorEastAsia"/>
          <w:b/>
          <w:bCs/>
          <w:color w:val="000000"/>
          <w:sz w:val="28"/>
        </w:rPr>
      </w:pPr>
      <w:r>
        <w:rPr>
          <w:rFonts w:hint="default" w:ascii="Times New Roman" w:hAnsi="Times New Roman" w:cs="Times New Roman" w:eastAsiaTheme="minorEastAsia"/>
          <w:b/>
          <w:bCs/>
          <w:color w:val="000000"/>
          <w:sz w:val="28"/>
        </w:rPr>
        <w:t>邮    编：</w:t>
      </w:r>
      <w:r>
        <w:rPr>
          <w:rFonts w:hint="default" w:ascii="Times New Roman" w:hAnsi="Times New Roman" w:cs="Times New Roman" w:eastAsiaTheme="minorEastAsia"/>
          <w:b/>
          <w:bCs/>
          <w:color w:val="000000"/>
          <w:sz w:val="28"/>
          <w:szCs w:val="24"/>
          <w:lang w:val="en-US" w:eastAsia="zh-CN" w:bidi="ar-SA"/>
        </w:rPr>
        <w:t>404</w:t>
      </w:r>
      <w:r>
        <w:rPr>
          <w:rFonts w:hint="eastAsia" w:cs="Times New Roman" w:eastAsiaTheme="minorEastAsia"/>
          <w:b/>
          <w:bCs/>
          <w:color w:val="000000"/>
          <w:sz w:val="28"/>
          <w:szCs w:val="24"/>
          <w:lang w:val="en-US" w:eastAsia="zh-CN" w:bidi="ar-SA"/>
        </w:rPr>
        <w:t>0</w:t>
      </w:r>
      <w:r>
        <w:rPr>
          <w:rFonts w:hint="default" w:ascii="Times New Roman" w:hAnsi="Times New Roman" w:cs="Times New Roman" w:eastAsiaTheme="minorEastAsia"/>
          <w:b/>
          <w:bCs/>
          <w:color w:val="000000"/>
          <w:sz w:val="28"/>
          <w:szCs w:val="24"/>
          <w:lang w:val="en-US" w:eastAsia="zh-CN" w:bidi="ar-SA"/>
        </w:rPr>
        <w:t>00</w:t>
      </w:r>
    </w:p>
    <w:p>
      <w:pPr>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eastAsiaTheme="minorEastAsia"/>
          <w:b/>
          <w:bCs/>
          <w:sz w:val="28"/>
          <w:szCs w:val="28"/>
          <w:lang w:eastAsia="zh-CN"/>
        </w:rPr>
      </w:pPr>
      <w:r>
        <w:rPr>
          <w:rFonts w:hint="default" w:ascii="Times New Roman" w:hAnsi="Times New Roman" w:cs="Times New Roman" w:eastAsiaTheme="minorEastAsia"/>
          <w:b/>
          <w:bCs/>
          <w:color w:val="000000"/>
          <w:sz w:val="28"/>
        </w:rPr>
        <w:t>地    址：</w:t>
      </w:r>
      <w:r>
        <w:rPr>
          <w:rFonts w:hint="eastAsia" w:cs="Times New Roman" w:eastAsiaTheme="minorEastAsia"/>
          <w:b/>
          <w:bCs/>
          <w:color w:val="000000"/>
          <w:sz w:val="28"/>
          <w:lang w:eastAsia="zh-CN"/>
        </w:rPr>
        <w:t>重庆市万州区百安坝宁波一支路64号</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rPr>
      </w:pPr>
    </w:p>
    <w:p>
      <w:pPr>
        <w:pStyle w:val="6"/>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eastAsiaTheme="minorEastAsia"/>
          <w:b/>
          <w:bCs/>
          <w:color w:val="000000"/>
          <w:sz w:val="28"/>
        </w:rPr>
      </w:pP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rPr>
      </w:pPr>
    </w:p>
    <w:p>
      <w:pPr>
        <w:pStyle w:val="6"/>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eastAsiaTheme="minorEastAsia"/>
          <w:b/>
          <w:bCs/>
        </w:rPr>
      </w:pP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rPr>
      </w:pP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lang w:eastAsia="zh-CN"/>
        </w:rPr>
      </w:pPr>
      <w:r>
        <w:rPr>
          <w:rFonts w:hint="default" w:ascii="Times New Roman" w:hAnsi="Times New Roman" w:cs="Times New Roman" w:eastAsiaTheme="minorEastAsia"/>
          <w:b/>
          <w:bCs/>
          <w:color w:val="000000"/>
          <w:sz w:val="28"/>
        </w:rPr>
        <w:t>编制单位：</w:t>
      </w:r>
      <w:r>
        <w:rPr>
          <w:rFonts w:hint="eastAsia" w:cs="Times New Roman" w:eastAsiaTheme="minorEastAsia"/>
          <w:b/>
          <w:bCs/>
          <w:color w:val="000000"/>
          <w:sz w:val="28"/>
          <w:lang w:eastAsia="zh-CN"/>
        </w:rPr>
        <w:t>重庆万世缘环保科技有限公司</w:t>
      </w:r>
    </w:p>
    <w:p>
      <w:pPr>
        <w:pStyle w:val="6"/>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eastAsiaTheme="minorEastAsia"/>
          <w:b/>
          <w:bCs/>
          <w:color w:val="000000"/>
          <w:sz w:val="28"/>
          <w:lang w:val="en-US"/>
        </w:rPr>
      </w:pPr>
      <w:r>
        <w:rPr>
          <w:rFonts w:hint="default" w:ascii="Times New Roman" w:hAnsi="Times New Roman" w:cs="Times New Roman" w:eastAsiaTheme="minorEastAsia"/>
          <w:b/>
          <w:bCs/>
          <w:color w:val="000000"/>
          <w:sz w:val="28"/>
        </w:rPr>
        <w:t>电    话：</w:t>
      </w:r>
      <w:r>
        <w:rPr>
          <w:rFonts w:hint="eastAsia" w:cs="Times New Roman" w:eastAsiaTheme="minorEastAsia"/>
          <w:b/>
          <w:bCs/>
          <w:color w:val="000000"/>
          <w:sz w:val="28"/>
          <w:szCs w:val="24"/>
          <w:lang w:val="en-US" w:eastAsia="zh-CN" w:bidi="ar-SA"/>
        </w:rPr>
        <w:t>13668445540</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rPr>
      </w:pPr>
      <w:r>
        <w:rPr>
          <w:rFonts w:hint="default" w:ascii="Times New Roman" w:hAnsi="Times New Roman" w:cs="Times New Roman" w:eastAsiaTheme="minorEastAsia"/>
          <w:b/>
          <w:bCs/>
          <w:color w:val="000000"/>
          <w:sz w:val="28"/>
        </w:rPr>
        <w:t>传    真：---</w:t>
      </w:r>
    </w:p>
    <w:p>
      <w:pPr>
        <w:pStyle w:val="6"/>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eastAsiaTheme="minorEastAsia"/>
          <w:b/>
          <w:bCs/>
          <w:color w:val="000000"/>
          <w:sz w:val="28"/>
          <w:lang w:val="en-US" w:eastAsia="zh-CN"/>
        </w:rPr>
      </w:pPr>
      <w:r>
        <w:rPr>
          <w:rFonts w:hint="default" w:ascii="Times New Roman" w:hAnsi="Times New Roman" w:cs="Times New Roman" w:eastAsiaTheme="minorEastAsia"/>
          <w:b/>
          <w:bCs/>
          <w:color w:val="000000"/>
          <w:sz w:val="28"/>
        </w:rPr>
        <w:t>邮    编：</w:t>
      </w:r>
      <w:r>
        <w:rPr>
          <w:rFonts w:hint="eastAsia" w:cs="Times New Roman" w:eastAsiaTheme="minorEastAsia"/>
          <w:b/>
          <w:bCs/>
          <w:color w:val="000000"/>
          <w:sz w:val="28"/>
          <w:lang w:val="en-US" w:eastAsia="zh-CN"/>
        </w:rPr>
        <w:t>404000</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lang w:val="en-US"/>
        </w:rPr>
      </w:pPr>
      <w:r>
        <w:rPr>
          <w:rFonts w:hint="default" w:ascii="Times New Roman" w:hAnsi="Times New Roman" w:cs="Times New Roman" w:eastAsiaTheme="minorEastAsia"/>
          <w:b/>
          <w:bCs/>
          <w:color w:val="000000"/>
          <w:sz w:val="28"/>
        </w:rPr>
        <w:t>地    址</w:t>
      </w:r>
      <w:r>
        <w:rPr>
          <w:rFonts w:hint="default" w:cs="Times New Roman" w:eastAsiaTheme="minorEastAsia"/>
          <w:b/>
          <w:bCs/>
          <w:color w:val="000000"/>
          <w:sz w:val="28"/>
          <w:lang w:eastAsia="zh-CN"/>
        </w:rPr>
        <w:t>：</w:t>
      </w:r>
      <w:r>
        <w:rPr>
          <w:rFonts w:hint="default" w:cs="Times New Roman" w:eastAsiaTheme="minorEastAsia"/>
          <w:b/>
          <w:bCs/>
          <w:color w:val="000000"/>
          <w:sz w:val="28"/>
          <w:lang w:val="en-US" w:eastAsia="zh-CN"/>
        </w:rPr>
        <w:t>重庆市</w:t>
      </w:r>
      <w:r>
        <w:rPr>
          <w:rFonts w:hint="eastAsia" w:cs="Times New Roman" w:eastAsiaTheme="minorEastAsia"/>
          <w:b/>
          <w:bCs/>
          <w:color w:val="000000"/>
          <w:sz w:val="28"/>
          <w:lang w:val="en-US" w:eastAsia="zh-CN"/>
        </w:rPr>
        <w:t>万州区沙龙路三段富乐花园268号</w:t>
      </w:r>
    </w:p>
    <w:p>
      <w:pPr>
        <w:rPr>
          <w:rFonts w:hint="default" w:ascii="Times New Roman" w:hAnsi="Times New Roman" w:cs="Times New Roman"/>
        </w:rPr>
      </w:pPr>
    </w:p>
    <w:p>
      <w:pPr>
        <w:pStyle w:val="24"/>
        <w:rPr>
          <w:rFonts w:hint="default" w:ascii="Times New Roman" w:hAnsi="Times New Roman" w:cs="Times New Roman"/>
        </w:rPr>
        <w:sectPr>
          <w:pgSz w:w="11906" w:h="16838"/>
          <w:pgMar w:top="1440" w:right="1800" w:bottom="1440" w:left="1800" w:header="708" w:footer="708" w:gutter="0"/>
          <w:pgBorders>
            <w:top w:val="none" w:sz="0" w:space="0"/>
            <w:left w:val="none" w:sz="0" w:space="0"/>
            <w:bottom w:val="none" w:sz="0" w:space="0"/>
            <w:right w:val="none" w:sz="0" w:space="0"/>
          </w:pgBorders>
          <w:pgNumType w:fmt="decimalFullWidth"/>
          <w:cols w:space="720" w:num="1"/>
          <w:docGrid w:linePitch="360" w:charSpace="0"/>
        </w:sectPr>
      </w:pPr>
    </w:p>
    <w:p>
      <w:pPr>
        <w:pStyle w:val="24"/>
        <w:ind w:left="0" w:leftChars="0" w:firstLine="0" w:firstLineChars="0"/>
        <w:rPr>
          <w:rFonts w:hint="default" w:ascii="Times New Roman" w:hAnsi="Times New Roman" w:cs="Times New Roman"/>
        </w:rPr>
        <w:sectPr>
          <w:pgSz w:w="11906" w:h="16838"/>
          <w:pgMar w:top="1440" w:right="1800" w:bottom="1440" w:left="1800" w:header="708" w:footer="708" w:gutter="0"/>
          <w:pgBorders>
            <w:top w:val="none" w:sz="0" w:space="0"/>
            <w:left w:val="none" w:sz="0" w:space="0"/>
            <w:bottom w:val="none" w:sz="0" w:space="0"/>
            <w:right w:val="none" w:sz="0" w:space="0"/>
          </w:pgBorders>
          <w:pgNumType w:fmt="decimalFullWidth"/>
          <w:cols w:space="720" w:num="1"/>
          <w:docGrid w:linePitch="360" w:charSpace="0"/>
        </w:sectPr>
      </w:pPr>
    </w:p>
    <w:p>
      <w:pPr>
        <w:pStyle w:val="4"/>
        <w:numPr>
          <w:ilvl w:val="0"/>
          <w:numId w:val="0"/>
        </w:numPr>
        <w:spacing w:afterLines="100" w:line="500" w:lineRule="exact"/>
        <w:jc w:val="center"/>
        <w:rPr>
          <w:rFonts w:hint="default" w:ascii="Times New Roman" w:hAnsi="Times New Roman" w:cs="Times New Roman"/>
          <w:color w:val="000000"/>
          <w:sz w:val="24"/>
        </w:rPr>
      </w:pPr>
      <w:bookmarkStart w:id="0" w:name="_Toc28309_WPSOffice_Level1"/>
      <w:bookmarkStart w:id="1" w:name="_Toc28946_WPSOffice_Level1"/>
      <w:r>
        <w:rPr>
          <w:rFonts w:hint="default" w:ascii="Times New Roman" w:hAnsi="Times New Roman" w:cs="Times New Roman" w:eastAsiaTheme="minorEastAsia"/>
          <w:bCs/>
          <w:sz w:val="32"/>
          <w:szCs w:val="32"/>
        </w:rPr>
        <w:t>前言</w:t>
      </w:r>
      <w:bookmarkEnd w:id="0"/>
      <w:bookmarkEnd w:id="1"/>
    </w:p>
    <w:p>
      <w:pPr>
        <w:spacing w:line="440" w:lineRule="exact"/>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随着经济的发展、城市扩大、城镇化率提高、人口增加，生活污水在逐渐加大，废水中污染物质，若不经处理直接排入水体，势必造成环境污染。</w:t>
      </w:r>
    </w:p>
    <w:p>
      <w:pPr>
        <w:spacing w:line="440" w:lineRule="exact"/>
        <w:ind w:firstLine="480" w:firstLineChars="200"/>
        <w:rPr>
          <w:rFonts w:hint="eastAsia" w:ascii="Times New Roman" w:hAnsi="Times New Roman" w:eastAsia="宋体" w:cs="Times New Roman"/>
          <w:color w:val="000000"/>
          <w:sz w:val="24"/>
          <w:lang w:eastAsia="zh-CN"/>
        </w:rPr>
      </w:pPr>
      <w:r>
        <w:rPr>
          <w:rFonts w:hint="default" w:ascii="Times New Roman" w:hAnsi="Times New Roman" w:cs="Times New Roman"/>
          <w:color w:val="000000"/>
          <w:sz w:val="24"/>
        </w:rPr>
        <w:t>根据收集到的资料及现场踏勘一些建筑修建于一级管网实施以前，都呈散排状态部分生活污水长期随意排放，导致部分街区地域生活环境较差，已经严重影响了镇容和环境卫生，对人民的身心健康带来了不利影响。为有效收集万州区</w:t>
      </w:r>
      <w:r>
        <w:rPr>
          <w:rFonts w:hint="eastAsia" w:cs="Times New Roman"/>
          <w:color w:val="000000"/>
          <w:sz w:val="24"/>
          <w:lang w:eastAsia="zh-CN"/>
        </w:rPr>
        <w:t>乡镇</w:t>
      </w:r>
      <w:r>
        <w:rPr>
          <w:rFonts w:hint="default" w:ascii="Times New Roman" w:hAnsi="Times New Roman" w:cs="Times New Roman"/>
          <w:color w:val="000000"/>
          <w:sz w:val="24"/>
        </w:rPr>
        <w:t>生活污水，解决</w:t>
      </w:r>
      <w:r>
        <w:rPr>
          <w:rFonts w:hint="eastAsia" w:cs="Times New Roman"/>
          <w:color w:val="000000"/>
          <w:sz w:val="24"/>
          <w:lang w:eastAsia="zh-CN"/>
        </w:rPr>
        <w:t>乡镇</w:t>
      </w:r>
      <w:r>
        <w:rPr>
          <w:rFonts w:hint="default" w:ascii="Times New Roman" w:hAnsi="Times New Roman" w:cs="Times New Roman"/>
          <w:color w:val="000000"/>
          <w:sz w:val="24"/>
        </w:rPr>
        <w:t>现状雨污合流、污水散排问题，达到场镇污水应收尽收目的，实施本项目</w:t>
      </w:r>
      <w:r>
        <w:rPr>
          <w:rFonts w:hint="eastAsia" w:cs="Times New Roman"/>
          <w:color w:val="000000"/>
          <w:sz w:val="24"/>
          <w:lang w:eastAsia="zh-CN"/>
        </w:rPr>
        <w:t>“万州区2022年镇乡污水管网补充工程”。</w:t>
      </w:r>
    </w:p>
    <w:p>
      <w:pPr>
        <w:spacing w:line="440" w:lineRule="exact"/>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项目位于万州区分水、李河、高梁、大周、熊家5个镇乡，长岭凉水、长岭响滩、长岭青石、武陵石桥、武陵鹿井、龙沙岩口、龙沙龙安、响水国家、甘宁河口、分水培文、李河高升、李河茅坝、高梁大碑、高梁葵花、天城付沟15个撤并场镇。主要建设内容为补充建设污水管网122489米，包含D630×12涂塑复合钢管2400米，D530×12涂塑复合钢管6600米，D426×10涂塑复合钢管4870米</w:t>
      </w:r>
      <w:r>
        <w:rPr>
          <w:rFonts w:hint="eastAsia" w:cs="Times New Roman"/>
          <w:color w:val="000000"/>
          <w:sz w:val="24"/>
          <w:lang w:eastAsia="zh-CN"/>
        </w:rPr>
        <w:t>，</w:t>
      </w:r>
      <w:r>
        <w:rPr>
          <w:rFonts w:hint="default" w:ascii="Times New Roman" w:hAnsi="Times New Roman" w:cs="Times New Roman"/>
          <w:color w:val="000000"/>
          <w:sz w:val="24"/>
        </w:rPr>
        <w:t>HDPE双壁波纹管</w:t>
      </w:r>
      <w:r>
        <w:rPr>
          <w:rFonts w:hint="eastAsia" w:cs="Times New Roman"/>
          <w:color w:val="000000"/>
          <w:sz w:val="24"/>
          <w:lang w:eastAsia="zh-CN"/>
        </w:rPr>
        <w:t>（</w:t>
      </w:r>
      <w:r>
        <w:rPr>
          <w:rFonts w:hint="default" w:ascii="Times New Roman" w:hAnsi="Times New Roman" w:cs="Times New Roman"/>
          <w:color w:val="000000"/>
          <w:sz w:val="24"/>
        </w:rPr>
        <w:t>DN500</w:t>
      </w:r>
      <w:r>
        <w:rPr>
          <w:rFonts w:hint="eastAsia" w:cs="Times New Roman"/>
          <w:color w:val="000000"/>
          <w:sz w:val="24"/>
          <w:lang w:eastAsia="zh-CN"/>
        </w:rPr>
        <w:t>）</w:t>
      </w:r>
      <w:r>
        <w:rPr>
          <w:rFonts w:hint="default" w:ascii="Times New Roman" w:hAnsi="Times New Roman" w:cs="Times New Roman"/>
          <w:color w:val="000000"/>
          <w:sz w:val="24"/>
        </w:rPr>
        <w:t>200米，HDPE 双壁波纹管</w:t>
      </w:r>
      <w:r>
        <w:rPr>
          <w:rFonts w:hint="eastAsia" w:cs="Times New Roman"/>
          <w:color w:val="000000"/>
          <w:sz w:val="24"/>
          <w:lang w:eastAsia="zh-CN"/>
        </w:rPr>
        <w:t>（</w:t>
      </w:r>
      <w:r>
        <w:rPr>
          <w:rFonts w:hint="default" w:ascii="Times New Roman" w:hAnsi="Times New Roman" w:cs="Times New Roman"/>
          <w:color w:val="000000"/>
          <w:sz w:val="24"/>
        </w:rPr>
        <w:t>DN400</w:t>
      </w:r>
      <w:r>
        <w:rPr>
          <w:rFonts w:hint="eastAsia" w:cs="Times New Roman"/>
          <w:color w:val="000000"/>
          <w:sz w:val="24"/>
          <w:lang w:eastAsia="zh-CN"/>
        </w:rPr>
        <w:t>）</w:t>
      </w:r>
      <w:r>
        <w:rPr>
          <w:rFonts w:hint="default" w:ascii="Times New Roman" w:hAnsi="Times New Roman" w:cs="Times New Roman"/>
          <w:color w:val="000000"/>
          <w:sz w:val="24"/>
        </w:rPr>
        <w:t>5082 米</w:t>
      </w:r>
      <w:r>
        <w:rPr>
          <w:rFonts w:hint="eastAsia" w:cs="Times New Roman"/>
          <w:color w:val="000000"/>
          <w:sz w:val="24"/>
          <w:lang w:eastAsia="zh-CN"/>
        </w:rPr>
        <w:t>，</w:t>
      </w:r>
      <w:r>
        <w:rPr>
          <w:rFonts w:hint="default" w:ascii="Times New Roman" w:hAnsi="Times New Roman" w:cs="Times New Roman"/>
          <w:color w:val="000000"/>
          <w:sz w:val="24"/>
        </w:rPr>
        <w:t>HDPE双壁波纹管</w:t>
      </w:r>
      <w:r>
        <w:rPr>
          <w:rFonts w:hint="eastAsia" w:cs="Times New Roman"/>
          <w:color w:val="000000"/>
          <w:sz w:val="24"/>
          <w:lang w:eastAsia="zh-CN"/>
        </w:rPr>
        <w:t>（</w:t>
      </w:r>
      <w:r>
        <w:rPr>
          <w:rFonts w:hint="default" w:ascii="Times New Roman" w:hAnsi="Times New Roman" w:cs="Times New Roman"/>
          <w:color w:val="000000"/>
          <w:sz w:val="24"/>
        </w:rPr>
        <w:t>DN300</w:t>
      </w:r>
      <w:r>
        <w:rPr>
          <w:rFonts w:hint="eastAsia" w:cs="Times New Roman"/>
          <w:color w:val="000000"/>
          <w:sz w:val="24"/>
          <w:lang w:eastAsia="zh-CN"/>
        </w:rPr>
        <w:t>）</w:t>
      </w:r>
      <w:r>
        <w:rPr>
          <w:rFonts w:hint="default" w:ascii="Times New Roman" w:hAnsi="Times New Roman" w:cs="Times New Roman"/>
          <w:color w:val="000000"/>
          <w:sz w:val="24"/>
        </w:rPr>
        <w:t>37033米，D325×8涂塑复合钢管8780米，φ200×4.9埋地排污、排水硬聚氯乙烯</w:t>
      </w:r>
      <w:r>
        <w:rPr>
          <w:rFonts w:hint="eastAsia" w:cs="Times New Roman"/>
          <w:color w:val="000000"/>
          <w:sz w:val="24"/>
          <w:lang w:eastAsia="zh-CN"/>
        </w:rPr>
        <w:t>（</w:t>
      </w:r>
      <w:r>
        <w:rPr>
          <w:rFonts w:hint="default" w:ascii="Times New Roman" w:hAnsi="Times New Roman" w:cs="Times New Roman"/>
          <w:color w:val="000000"/>
          <w:sz w:val="24"/>
        </w:rPr>
        <w:t>PVC-U</w:t>
      </w:r>
      <w:r>
        <w:rPr>
          <w:rFonts w:hint="eastAsia" w:cs="Times New Roman"/>
          <w:color w:val="000000"/>
          <w:sz w:val="24"/>
          <w:lang w:eastAsia="zh-CN"/>
        </w:rPr>
        <w:t>）</w:t>
      </w:r>
      <w:r>
        <w:rPr>
          <w:rFonts w:hint="default" w:ascii="Times New Roman" w:hAnsi="Times New Roman" w:cs="Times New Roman"/>
          <w:color w:val="000000"/>
          <w:sz w:val="24"/>
        </w:rPr>
        <w:t>二级支管52204米，D219x6涂塑复合钢管5110米，D108×6涂塑复合钢管210米，新建一体化污水提升泵站13座，钢筋混凝土化粪池188座，配套建设污水检查井、消能井、跌水井、埋地排污三级入户管等附属设施。</w:t>
      </w:r>
    </w:p>
    <w:p>
      <w:pPr>
        <w:spacing w:line="440" w:lineRule="exact"/>
        <w:ind w:firstLine="480" w:firstLineChars="200"/>
        <w:rPr>
          <w:rFonts w:hint="default" w:ascii="Times New Roman" w:hAnsi="Times New Roman" w:cs="Times New Roman"/>
          <w:color w:val="000000"/>
          <w:sz w:val="24"/>
          <w:lang w:val="en-US" w:eastAsia="zh-CN"/>
        </w:rPr>
      </w:pPr>
      <w:r>
        <w:rPr>
          <w:rFonts w:hint="eastAsia" w:cs="Times New Roman"/>
          <w:color w:val="000000"/>
          <w:sz w:val="24"/>
          <w:lang w:eastAsia="zh-CN"/>
        </w:rPr>
        <w:t>重庆平湖环保工程有限责任公司</w:t>
      </w:r>
      <w:r>
        <w:rPr>
          <w:rFonts w:hint="default" w:ascii="Times New Roman" w:hAnsi="Times New Roman" w:cs="Times New Roman"/>
          <w:color w:val="000000"/>
          <w:sz w:val="24"/>
          <w:lang w:eastAsia="zh-CN"/>
        </w:rPr>
        <w:t>计划开展</w:t>
      </w:r>
      <w:r>
        <w:rPr>
          <w:rFonts w:hint="eastAsia" w:cs="Times New Roman"/>
          <w:color w:val="000000"/>
          <w:sz w:val="24"/>
          <w:lang w:eastAsia="zh-CN"/>
        </w:rPr>
        <w:t>万州区2022年镇乡污水管网补充工程</w:t>
      </w:r>
      <w:r>
        <w:rPr>
          <w:rFonts w:hint="default" w:ascii="Times New Roman" w:hAnsi="Times New Roman" w:cs="Times New Roman"/>
          <w:color w:val="000000"/>
          <w:sz w:val="24"/>
          <w:lang w:eastAsia="zh-CN"/>
        </w:rPr>
        <w:t>（以下简称：本项目），</w:t>
      </w:r>
      <w:r>
        <w:rPr>
          <w:rFonts w:hint="default" w:ascii="Times New Roman" w:hAnsi="Times New Roman" w:cs="Times New Roman"/>
          <w:color w:val="000000"/>
          <w:sz w:val="24"/>
          <w:lang w:val="en-US" w:eastAsia="zh-CN"/>
        </w:rPr>
        <w:t>20</w:t>
      </w:r>
      <w:r>
        <w:rPr>
          <w:rFonts w:hint="eastAsia" w:cs="Times New Roman"/>
          <w:color w:val="000000"/>
          <w:sz w:val="24"/>
          <w:lang w:val="en-US" w:eastAsia="zh-CN"/>
        </w:rPr>
        <w:t>21</w:t>
      </w:r>
      <w:r>
        <w:rPr>
          <w:rFonts w:hint="default" w:ascii="Times New Roman" w:hAnsi="Times New Roman" w:cs="Times New Roman"/>
          <w:color w:val="000000"/>
          <w:sz w:val="24"/>
          <w:lang w:val="en-US" w:eastAsia="zh-CN"/>
        </w:rPr>
        <w:t>年</w:t>
      </w:r>
      <w:r>
        <w:rPr>
          <w:rFonts w:hint="eastAsia" w:cs="Times New Roman"/>
          <w:color w:val="000000"/>
          <w:sz w:val="24"/>
          <w:lang w:val="en-US" w:eastAsia="zh-CN"/>
        </w:rPr>
        <w:t>8</w:t>
      </w:r>
      <w:r>
        <w:rPr>
          <w:rFonts w:hint="default" w:ascii="Times New Roman" w:hAnsi="Times New Roman" w:cs="Times New Roman"/>
          <w:color w:val="000000"/>
          <w:sz w:val="24"/>
          <w:lang w:val="en-US" w:eastAsia="zh-CN"/>
        </w:rPr>
        <w:t>月</w:t>
      </w:r>
      <w:r>
        <w:rPr>
          <w:rFonts w:hint="eastAsia" w:cs="Times New Roman"/>
          <w:color w:val="000000"/>
          <w:sz w:val="24"/>
          <w:lang w:val="en-US" w:eastAsia="zh-CN"/>
        </w:rPr>
        <w:t>14</w:t>
      </w:r>
      <w:r>
        <w:rPr>
          <w:rFonts w:hint="default" w:ascii="Times New Roman" w:hAnsi="Times New Roman" w:cs="Times New Roman"/>
          <w:color w:val="000000"/>
          <w:sz w:val="24"/>
          <w:lang w:val="en-US" w:eastAsia="zh-CN"/>
        </w:rPr>
        <w:t>日取得了《重庆市万州区发展和改革委员会关于</w:t>
      </w:r>
      <w:r>
        <w:rPr>
          <w:rFonts w:hint="eastAsia" w:cs="Times New Roman"/>
          <w:color w:val="000000"/>
          <w:sz w:val="24"/>
          <w:lang w:val="en-US" w:eastAsia="zh-CN"/>
        </w:rPr>
        <w:t>万州区2022年镇乡污水管网补充工程</w:t>
      </w:r>
      <w:r>
        <w:rPr>
          <w:rFonts w:hint="default" w:ascii="Times New Roman" w:hAnsi="Times New Roman" w:cs="Times New Roman"/>
          <w:color w:val="000000"/>
          <w:sz w:val="24"/>
          <w:lang w:val="en-US" w:eastAsia="zh-CN"/>
        </w:rPr>
        <w:t>可行性研究报告的批复》，文号：</w:t>
      </w:r>
      <w:r>
        <w:rPr>
          <w:rFonts w:hint="default" w:ascii="Times New Roman" w:hAnsi="Times New Roman" w:cs="Times New Roman"/>
          <w:b/>
          <w:bCs/>
          <w:color w:val="000000"/>
          <w:sz w:val="24"/>
          <w:lang w:val="en-US" w:eastAsia="zh-CN"/>
        </w:rPr>
        <w:t>万州发改审资环[2021]</w:t>
      </w:r>
      <w:r>
        <w:rPr>
          <w:rFonts w:hint="eastAsia" w:cs="Times New Roman"/>
          <w:b/>
          <w:bCs/>
          <w:color w:val="000000"/>
          <w:sz w:val="24"/>
          <w:lang w:val="en-US" w:eastAsia="zh-CN"/>
        </w:rPr>
        <w:t>32</w:t>
      </w:r>
      <w:r>
        <w:rPr>
          <w:rFonts w:hint="default" w:ascii="Times New Roman" w:hAnsi="Times New Roman" w:cs="Times New Roman"/>
          <w:b/>
          <w:bCs/>
          <w:color w:val="000000"/>
          <w:sz w:val="24"/>
          <w:lang w:val="en-US" w:eastAsia="zh-CN"/>
        </w:rPr>
        <w:t>号</w:t>
      </w:r>
      <w:r>
        <w:rPr>
          <w:rFonts w:hint="eastAsia" w:cs="Times New Roman"/>
          <w:b w:val="0"/>
          <w:bCs w:val="0"/>
          <w:color w:val="000000"/>
          <w:sz w:val="24"/>
          <w:lang w:val="en-US" w:eastAsia="zh-CN"/>
        </w:rPr>
        <w:t>；</w:t>
      </w:r>
      <w:r>
        <w:rPr>
          <w:rFonts w:hint="default" w:ascii="Times New Roman" w:hAnsi="Times New Roman" w:cs="Times New Roman"/>
          <w:color w:val="000000"/>
          <w:sz w:val="24"/>
          <w:lang w:val="en-US" w:eastAsia="zh-CN"/>
        </w:rPr>
        <w:t>20</w:t>
      </w:r>
      <w:r>
        <w:rPr>
          <w:rFonts w:hint="eastAsia" w:cs="Times New Roman"/>
          <w:color w:val="000000"/>
          <w:sz w:val="24"/>
          <w:lang w:val="en-US" w:eastAsia="zh-CN"/>
        </w:rPr>
        <w:t>22</w:t>
      </w:r>
      <w:r>
        <w:rPr>
          <w:rFonts w:hint="default" w:ascii="Times New Roman" w:hAnsi="Times New Roman" w:cs="Times New Roman"/>
          <w:color w:val="000000"/>
          <w:sz w:val="24"/>
          <w:lang w:val="en-US" w:eastAsia="zh-CN"/>
        </w:rPr>
        <w:t>年</w:t>
      </w:r>
      <w:r>
        <w:rPr>
          <w:rFonts w:hint="eastAsia" w:cs="Times New Roman"/>
          <w:color w:val="000000"/>
          <w:sz w:val="24"/>
          <w:lang w:val="en-US" w:eastAsia="zh-CN"/>
        </w:rPr>
        <w:t>5</w:t>
      </w:r>
      <w:r>
        <w:rPr>
          <w:rFonts w:hint="default" w:ascii="Times New Roman" w:hAnsi="Times New Roman" w:cs="Times New Roman"/>
          <w:color w:val="000000"/>
          <w:sz w:val="24"/>
          <w:lang w:val="en-US" w:eastAsia="zh-CN"/>
        </w:rPr>
        <w:t>月</w:t>
      </w:r>
      <w:r>
        <w:rPr>
          <w:rFonts w:hint="eastAsia" w:cs="Times New Roman"/>
          <w:color w:val="000000"/>
          <w:sz w:val="24"/>
          <w:lang w:val="en-US" w:eastAsia="zh-CN"/>
        </w:rPr>
        <w:t>7</w:t>
      </w:r>
      <w:r>
        <w:rPr>
          <w:rFonts w:hint="default" w:ascii="Times New Roman" w:hAnsi="Times New Roman" w:cs="Times New Roman"/>
          <w:color w:val="000000"/>
          <w:sz w:val="24"/>
          <w:lang w:val="en-US" w:eastAsia="zh-CN"/>
        </w:rPr>
        <w:t>日取得了《重庆市万州区发展和改革委员会关于</w:t>
      </w:r>
      <w:r>
        <w:rPr>
          <w:rFonts w:hint="eastAsia" w:cs="Times New Roman"/>
          <w:color w:val="000000"/>
          <w:sz w:val="24"/>
          <w:lang w:val="en-US" w:eastAsia="zh-CN"/>
        </w:rPr>
        <w:t>万州区2022年镇乡污水管网补充工程</w:t>
      </w:r>
      <w:r>
        <w:rPr>
          <w:rFonts w:hint="default" w:ascii="Times New Roman" w:hAnsi="Times New Roman" w:cs="Times New Roman"/>
          <w:color w:val="000000"/>
          <w:sz w:val="24"/>
          <w:lang w:val="en-US" w:eastAsia="zh-CN"/>
        </w:rPr>
        <w:t>概算的</w:t>
      </w:r>
      <w:r>
        <w:rPr>
          <w:rFonts w:hint="default" w:ascii="Times New Roman" w:hAnsi="Times New Roman" w:cs="Times New Roman"/>
          <w:color w:val="000000"/>
          <w:sz w:val="24"/>
          <w:lang w:eastAsia="zh-CN"/>
        </w:rPr>
        <w:t>批复</w:t>
      </w:r>
      <w:r>
        <w:rPr>
          <w:rFonts w:hint="default" w:ascii="Times New Roman" w:hAnsi="Times New Roman" w:cs="Times New Roman"/>
          <w:color w:val="000000"/>
          <w:sz w:val="24"/>
          <w:lang w:val="en-US" w:eastAsia="zh-CN"/>
        </w:rPr>
        <w:t>》，文号：</w:t>
      </w:r>
      <w:r>
        <w:rPr>
          <w:rFonts w:hint="default" w:ascii="Times New Roman" w:hAnsi="Times New Roman" w:cs="Times New Roman"/>
          <w:b/>
          <w:bCs/>
          <w:color w:val="000000"/>
          <w:sz w:val="24"/>
          <w:lang w:val="en-US" w:eastAsia="zh-CN"/>
        </w:rPr>
        <w:t>万州发改审资环[202</w:t>
      </w:r>
      <w:r>
        <w:rPr>
          <w:rFonts w:hint="eastAsia" w:cs="Times New Roman"/>
          <w:b/>
          <w:bCs/>
          <w:color w:val="000000"/>
          <w:sz w:val="24"/>
          <w:lang w:val="en-US" w:eastAsia="zh-CN"/>
        </w:rPr>
        <w:t>2</w:t>
      </w:r>
      <w:r>
        <w:rPr>
          <w:rFonts w:hint="default" w:ascii="Times New Roman" w:hAnsi="Times New Roman" w:cs="Times New Roman"/>
          <w:b/>
          <w:bCs/>
          <w:color w:val="000000"/>
          <w:sz w:val="24"/>
          <w:lang w:val="en-US" w:eastAsia="zh-CN"/>
        </w:rPr>
        <w:t>]</w:t>
      </w:r>
      <w:r>
        <w:rPr>
          <w:rFonts w:hint="eastAsia" w:cs="Times New Roman"/>
          <w:b/>
          <w:bCs/>
          <w:color w:val="000000"/>
          <w:sz w:val="24"/>
          <w:lang w:val="en-US" w:eastAsia="zh-CN"/>
        </w:rPr>
        <w:t>27</w:t>
      </w:r>
      <w:r>
        <w:rPr>
          <w:rFonts w:hint="default" w:ascii="Times New Roman" w:hAnsi="Times New Roman" w:cs="Times New Roman"/>
          <w:b/>
          <w:bCs/>
          <w:color w:val="000000"/>
          <w:sz w:val="24"/>
          <w:lang w:val="en-US" w:eastAsia="zh-CN"/>
        </w:rPr>
        <w:t>号</w:t>
      </w:r>
      <w:r>
        <w:rPr>
          <w:rFonts w:hint="default" w:ascii="Times New Roman" w:hAnsi="Times New Roman" w:cs="Times New Roman"/>
          <w:color w:val="000000"/>
          <w:sz w:val="24"/>
          <w:lang w:val="en-US" w:eastAsia="zh-CN"/>
        </w:rPr>
        <w:t>；20</w:t>
      </w:r>
      <w:r>
        <w:rPr>
          <w:rFonts w:hint="eastAsia" w:cs="Times New Roman"/>
          <w:color w:val="000000"/>
          <w:sz w:val="24"/>
          <w:lang w:val="en-US" w:eastAsia="zh-CN"/>
        </w:rPr>
        <w:t>22</w:t>
      </w:r>
      <w:r>
        <w:rPr>
          <w:rFonts w:hint="default" w:ascii="Times New Roman" w:hAnsi="Times New Roman" w:cs="Times New Roman"/>
          <w:color w:val="000000"/>
          <w:sz w:val="24"/>
          <w:lang w:val="en-US" w:eastAsia="zh-CN"/>
        </w:rPr>
        <w:t>年</w:t>
      </w:r>
      <w:r>
        <w:rPr>
          <w:rFonts w:hint="eastAsia" w:cs="Times New Roman"/>
          <w:color w:val="000000"/>
          <w:sz w:val="24"/>
          <w:lang w:val="en-US" w:eastAsia="zh-CN"/>
        </w:rPr>
        <w:t>6</w:t>
      </w:r>
      <w:r>
        <w:rPr>
          <w:rFonts w:hint="default" w:ascii="Times New Roman" w:hAnsi="Times New Roman" w:cs="Times New Roman"/>
          <w:color w:val="000000"/>
          <w:sz w:val="24"/>
          <w:lang w:val="en-US" w:eastAsia="zh-CN"/>
        </w:rPr>
        <w:t>月</w:t>
      </w:r>
      <w:r>
        <w:rPr>
          <w:rFonts w:hint="eastAsia" w:cs="Times New Roman"/>
          <w:color w:val="000000"/>
          <w:sz w:val="24"/>
          <w:lang w:val="en-US" w:eastAsia="zh-CN"/>
        </w:rPr>
        <w:t>21</w:t>
      </w:r>
      <w:r>
        <w:rPr>
          <w:rFonts w:hint="default" w:ascii="Times New Roman" w:hAnsi="Times New Roman" w:cs="Times New Roman"/>
          <w:color w:val="000000"/>
          <w:sz w:val="24"/>
          <w:lang w:val="en-US" w:eastAsia="zh-CN"/>
        </w:rPr>
        <w:t>日取得了《</w:t>
      </w:r>
      <w:r>
        <w:rPr>
          <w:rFonts w:hint="default" w:ascii="Times New Roman" w:hAnsi="Times New Roman" w:cs="Times New Roman"/>
          <w:color w:val="000000"/>
          <w:sz w:val="24"/>
          <w:lang w:eastAsia="zh-CN"/>
        </w:rPr>
        <w:t>重庆市万州区生态环境局关于202</w:t>
      </w:r>
      <w:r>
        <w:rPr>
          <w:rFonts w:hint="eastAsia" w:cs="Times New Roman"/>
          <w:color w:val="000000"/>
          <w:sz w:val="24"/>
          <w:lang w:val="en-US" w:eastAsia="zh-CN"/>
        </w:rPr>
        <w:t>2</w:t>
      </w:r>
      <w:r>
        <w:rPr>
          <w:rFonts w:hint="default" w:ascii="Times New Roman" w:hAnsi="Times New Roman" w:cs="Times New Roman"/>
          <w:color w:val="000000"/>
          <w:sz w:val="24"/>
          <w:lang w:eastAsia="zh-CN"/>
        </w:rPr>
        <w:t>年镇乡污水管网补充工程环境影响评价的复函</w:t>
      </w:r>
      <w:r>
        <w:rPr>
          <w:rFonts w:hint="default" w:ascii="Times New Roman" w:hAnsi="Times New Roman" w:cs="Times New Roman"/>
          <w:color w:val="000000"/>
          <w:sz w:val="24"/>
          <w:lang w:val="en-US" w:eastAsia="zh-CN"/>
        </w:rPr>
        <w:t>》</w:t>
      </w:r>
      <w:r>
        <w:rPr>
          <w:rFonts w:hint="default" w:ascii="Times New Roman" w:hAnsi="Times New Roman" w:cs="Times New Roman"/>
          <w:color w:val="000000"/>
          <w:sz w:val="24"/>
          <w:lang w:eastAsia="zh-CN"/>
        </w:rPr>
        <w:t>。于</w:t>
      </w:r>
      <w:r>
        <w:rPr>
          <w:rFonts w:hint="default" w:ascii="Times New Roman" w:hAnsi="Times New Roman" w:cs="Times New Roman"/>
          <w:color w:val="000000"/>
          <w:sz w:val="24"/>
          <w:lang w:val="en-US" w:eastAsia="zh-CN"/>
        </w:rPr>
        <w:t>20</w:t>
      </w:r>
      <w:r>
        <w:rPr>
          <w:rFonts w:hint="eastAsia" w:cs="Times New Roman"/>
          <w:color w:val="000000"/>
          <w:sz w:val="24"/>
          <w:lang w:val="en-US" w:eastAsia="zh-CN"/>
        </w:rPr>
        <w:t>22</w:t>
      </w:r>
      <w:r>
        <w:rPr>
          <w:rFonts w:hint="default" w:ascii="Times New Roman" w:hAnsi="Times New Roman" w:cs="Times New Roman"/>
          <w:color w:val="000000"/>
          <w:sz w:val="24"/>
          <w:lang w:val="en-US" w:eastAsia="zh-CN"/>
        </w:rPr>
        <w:t>年</w:t>
      </w:r>
      <w:r>
        <w:rPr>
          <w:rFonts w:hint="eastAsia" w:cs="Times New Roman"/>
          <w:color w:val="000000"/>
          <w:sz w:val="24"/>
          <w:lang w:val="en-US" w:eastAsia="zh-CN"/>
        </w:rPr>
        <w:t>7</w:t>
      </w:r>
      <w:r>
        <w:rPr>
          <w:rFonts w:hint="default" w:ascii="Times New Roman" w:hAnsi="Times New Roman" w:cs="Times New Roman"/>
          <w:color w:val="000000"/>
          <w:sz w:val="24"/>
          <w:lang w:val="en-US" w:eastAsia="zh-CN"/>
        </w:rPr>
        <w:t>月1日开始施工建设，于202</w:t>
      </w:r>
      <w:r>
        <w:rPr>
          <w:rFonts w:hint="eastAsia" w:cs="Times New Roman"/>
          <w:color w:val="000000"/>
          <w:sz w:val="24"/>
          <w:lang w:val="en-US" w:eastAsia="zh-CN"/>
        </w:rPr>
        <w:t>4</w:t>
      </w:r>
      <w:r>
        <w:rPr>
          <w:rFonts w:hint="default" w:ascii="Times New Roman" w:hAnsi="Times New Roman" w:cs="Times New Roman"/>
          <w:color w:val="000000"/>
          <w:sz w:val="24"/>
          <w:lang w:val="en-US" w:eastAsia="zh-CN"/>
        </w:rPr>
        <w:t>年</w:t>
      </w:r>
      <w:r>
        <w:rPr>
          <w:rFonts w:hint="eastAsia" w:cs="Times New Roman"/>
          <w:color w:val="000000"/>
          <w:sz w:val="24"/>
          <w:lang w:val="en-US" w:eastAsia="zh-CN"/>
        </w:rPr>
        <w:t>1</w:t>
      </w:r>
      <w:r>
        <w:rPr>
          <w:rFonts w:hint="default" w:ascii="Times New Roman" w:hAnsi="Times New Roman" w:cs="Times New Roman"/>
          <w:color w:val="000000"/>
          <w:sz w:val="24"/>
          <w:lang w:val="en-US" w:eastAsia="zh-CN"/>
        </w:rPr>
        <w:t>月10日建成。</w:t>
      </w:r>
    </w:p>
    <w:p>
      <w:pPr>
        <w:spacing w:line="440" w:lineRule="exact"/>
        <w:ind w:firstLine="480" w:firstLineChars="200"/>
        <w:rPr>
          <w:rFonts w:hint="default" w:ascii="Times New Roman" w:hAnsi="Times New Roman" w:cs="Times New Roman"/>
          <w:color w:val="000000"/>
          <w:sz w:val="24"/>
          <w:lang w:val="en-US" w:eastAsia="zh-CN"/>
        </w:rPr>
        <w:sectPr>
          <w:headerReference r:id="rId4" w:type="default"/>
          <w:footerReference r:id="rId5" w:type="default"/>
          <w:pgSz w:w="11906" w:h="16838"/>
          <w:pgMar w:top="1440" w:right="1418" w:bottom="1440" w:left="141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color w:val="000000"/>
          <w:sz w:val="24"/>
          <w:lang w:val="en-US" w:eastAsia="zh-CN"/>
        </w:rPr>
        <w:t>根据国家、生态环境部及建设项目竣工环境保护验收管理的相关规定，</w:t>
      </w:r>
      <w:r>
        <w:rPr>
          <w:rFonts w:hint="eastAsia" w:cs="Times New Roman"/>
          <w:color w:val="000000"/>
          <w:sz w:val="24"/>
          <w:lang w:eastAsia="zh-CN"/>
        </w:rPr>
        <w:t>重庆平湖环保工程有限责任公司</w:t>
      </w:r>
      <w:r>
        <w:rPr>
          <w:rFonts w:hint="default" w:ascii="Times New Roman" w:hAnsi="Times New Roman" w:cs="Times New Roman"/>
          <w:color w:val="000000"/>
          <w:sz w:val="24"/>
          <w:lang w:val="en-US" w:eastAsia="zh-CN"/>
        </w:rPr>
        <w:t>委托</w:t>
      </w:r>
      <w:r>
        <w:rPr>
          <w:rFonts w:hint="eastAsia" w:cs="Times New Roman"/>
          <w:color w:val="000000" w:themeColor="text1"/>
          <w:sz w:val="24"/>
          <w:lang w:val="en-US" w:eastAsia="zh-CN"/>
          <w14:textFill>
            <w14:solidFill>
              <w14:schemeClr w14:val="tx1"/>
            </w14:solidFill>
          </w14:textFill>
        </w:rPr>
        <w:t>重庆万世缘环保科技有限公司</w:t>
      </w:r>
      <w:r>
        <w:rPr>
          <w:rFonts w:hint="default" w:ascii="Times New Roman" w:hAnsi="Times New Roman" w:cs="Times New Roman"/>
          <w:color w:val="000000" w:themeColor="text1"/>
          <w:sz w:val="24"/>
          <w:lang w:val="en-US" w:eastAsia="zh-CN"/>
          <w14:textFill>
            <w14:solidFill>
              <w14:schemeClr w14:val="tx1"/>
            </w14:solidFill>
          </w14:textFill>
        </w:rPr>
        <w:t>开展竣</w:t>
      </w:r>
      <w:r>
        <w:rPr>
          <w:rFonts w:hint="default" w:ascii="Times New Roman" w:hAnsi="Times New Roman" w:cs="Times New Roman"/>
          <w:color w:val="000000"/>
          <w:sz w:val="24"/>
          <w:lang w:val="en-US" w:eastAsia="zh-CN"/>
        </w:rPr>
        <w:t>工环境保护验收工作。在此基础上，通过现场调查及工程竣工资料，编制完成了《</w:t>
      </w:r>
      <w:r>
        <w:rPr>
          <w:rFonts w:hint="eastAsia" w:cs="Times New Roman"/>
          <w:color w:val="000000"/>
          <w:sz w:val="24"/>
          <w:lang w:eastAsia="zh-CN"/>
        </w:rPr>
        <w:t>万州区2022年镇乡污水管网补充工程</w:t>
      </w:r>
      <w:r>
        <w:rPr>
          <w:rFonts w:hint="default" w:ascii="Times New Roman" w:hAnsi="Times New Roman" w:cs="Times New Roman"/>
          <w:color w:val="000000"/>
          <w:sz w:val="24"/>
          <w:lang w:val="en-US" w:eastAsia="zh-CN"/>
        </w:rPr>
        <w:t>竣工环境保护验收调查报告表》。</w:t>
      </w:r>
    </w:p>
    <w:p>
      <w:pPr>
        <w:autoSpaceDE w:val="0"/>
        <w:autoSpaceDN w:val="0"/>
        <w:adjustRightInd w:val="0"/>
        <w:jc w:val="both"/>
        <w:outlineLvl w:val="0"/>
        <w:rPr>
          <w:rFonts w:hint="default" w:ascii="Times New Roman" w:hAnsi="Times New Roman" w:eastAsia="宋体" w:cs="Times New Roman"/>
          <w:kern w:val="0"/>
          <w:sz w:val="28"/>
          <w:szCs w:val="28"/>
          <w:u w:val="single" w:color="000000" w:themeColor="text1"/>
        </w:rPr>
      </w:pPr>
      <w:r>
        <w:rPr>
          <w:rFonts w:hint="default" w:ascii="Times New Roman" w:hAnsi="Times New Roman" w:cs="Times New Roman"/>
          <w:b/>
          <w:color w:val="000000"/>
          <w:sz w:val="28"/>
          <w:szCs w:val="28"/>
          <w:lang w:val="en-US" w:eastAsia="zh-CN"/>
        </w:rPr>
        <w:t>一、</w:t>
      </w:r>
      <w:r>
        <w:rPr>
          <w:rFonts w:hint="default" w:ascii="Times New Roman" w:hAnsi="Times New Roman" w:eastAsia="宋体" w:cs="Times New Roman"/>
          <w:b/>
          <w:color w:val="000000"/>
          <w:sz w:val="28"/>
          <w:szCs w:val="28"/>
        </w:rPr>
        <w:t>项目基本情况</w:t>
      </w:r>
    </w:p>
    <w:tbl>
      <w:tblPr>
        <w:tblStyle w:val="25"/>
        <w:tblW w:w="4997"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628"/>
        <w:gridCol w:w="1547"/>
        <w:gridCol w:w="932"/>
        <w:gridCol w:w="691"/>
        <w:gridCol w:w="1636"/>
        <w:gridCol w:w="1391"/>
        <w:gridCol w:w="145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123"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建设项目名称</w:t>
            </w:r>
          </w:p>
        </w:tc>
        <w:tc>
          <w:tcPr>
            <w:tcW w:w="4122"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sz w:val="21"/>
                <w:szCs w:val="21"/>
                <w:lang w:eastAsia="zh-CN"/>
              </w:rPr>
            </w:pPr>
            <w:r>
              <w:rPr>
                <w:rFonts w:hint="eastAsia" w:cs="Times New Roman" w:eastAsiaTheme="minorEastAsia"/>
                <w:color w:val="000000"/>
                <w:sz w:val="21"/>
                <w:szCs w:val="21"/>
                <w:lang w:eastAsia="zh-CN"/>
              </w:rPr>
              <w:t>万州区2022年镇乡污水管网补充工程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146"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lang w:val="en-US" w:eastAsia="zh-CN"/>
              </w:rPr>
              <w:t>建设</w:t>
            </w:r>
            <w:r>
              <w:rPr>
                <w:rFonts w:hint="default" w:ascii="Times New Roman" w:hAnsi="Times New Roman" w:cs="Times New Roman" w:eastAsiaTheme="minorEastAsia"/>
                <w:b/>
                <w:bCs/>
                <w:color w:val="000000"/>
                <w:sz w:val="21"/>
                <w:szCs w:val="21"/>
              </w:rPr>
              <w:t>单位名称</w:t>
            </w:r>
          </w:p>
        </w:tc>
        <w:tc>
          <w:tcPr>
            <w:tcW w:w="4122"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sz w:val="21"/>
                <w:szCs w:val="21"/>
                <w:lang w:eastAsia="zh-CN"/>
              </w:rPr>
            </w:pPr>
            <w:r>
              <w:rPr>
                <w:rFonts w:hint="eastAsia" w:cs="Times New Roman" w:eastAsiaTheme="minorEastAsia"/>
                <w:color w:val="000000"/>
                <w:sz w:val="21"/>
                <w:szCs w:val="21"/>
                <w:lang w:eastAsia="zh-CN"/>
              </w:rPr>
              <w:t>重庆平湖环保工程有限责任公司</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法人代表</w:t>
            </w:r>
          </w:p>
        </w:tc>
        <w:tc>
          <w:tcPr>
            <w:tcW w:w="133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金克林</w:t>
            </w:r>
          </w:p>
        </w:tc>
        <w:tc>
          <w:tcPr>
            <w:tcW w:w="125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联系人</w:t>
            </w:r>
          </w:p>
        </w:tc>
        <w:tc>
          <w:tcPr>
            <w:tcW w:w="153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江渝</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187"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通讯地址</w:t>
            </w:r>
          </w:p>
        </w:tc>
        <w:tc>
          <w:tcPr>
            <w:tcW w:w="4122"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sz w:val="21"/>
                <w:szCs w:val="21"/>
                <w:lang w:val="en-US" w:eastAsia="zh-CN"/>
              </w:rPr>
            </w:pPr>
            <w:r>
              <w:rPr>
                <w:rFonts w:hint="eastAsia" w:cs="Times New Roman" w:eastAsiaTheme="minorEastAsia"/>
                <w:sz w:val="21"/>
                <w:szCs w:val="21"/>
                <w:lang w:eastAsia="zh-CN"/>
              </w:rPr>
              <w:t>重庆市万州区百安坝街道宁波一支路64号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146"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联系电话</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13668479735</w:t>
            </w:r>
          </w:p>
        </w:tc>
        <w:tc>
          <w:tcPr>
            <w:tcW w:w="87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传真</w:t>
            </w: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w:t>
            </w:r>
          </w:p>
        </w:tc>
        <w:tc>
          <w:tcPr>
            <w:tcW w:w="74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邮编</w:t>
            </w:r>
          </w:p>
        </w:tc>
        <w:tc>
          <w:tcPr>
            <w:tcW w:w="7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rPr>
              <w:t>404</w:t>
            </w:r>
            <w:r>
              <w:rPr>
                <w:rFonts w:hint="eastAsia" w:ascii="Times New Roman" w:hAnsi="Times New Roman" w:cs="Times New Roman" w:eastAsiaTheme="minorEastAsia"/>
                <w:color w:val="000000"/>
                <w:sz w:val="21"/>
                <w:szCs w:val="21"/>
                <w:lang w:val="en-US" w:eastAsia="zh-CN"/>
              </w:rPr>
              <w:t>0</w:t>
            </w:r>
            <w:r>
              <w:rPr>
                <w:rFonts w:hint="default" w:ascii="Times New Roman" w:hAnsi="Times New Roman" w:cs="Times New Roman" w:eastAsiaTheme="minorEastAsia"/>
                <w:color w:val="000000"/>
                <w:sz w:val="21"/>
                <w:szCs w:val="21"/>
              </w:rPr>
              <w:t>0</w:t>
            </w:r>
            <w:r>
              <w:rPr>
                <w:rFonts w:hint="default" w:ascii="Times New Roman" w:hAnsi="Times New Roman" w:cs="Times New Roman" w:eastAsiaTheme="minorEastAsia"/>
                <w:color w:val="000000"/>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kern w:val="2"/>
                <w:sz w:val="21"/>
                <w:szCs w:val="21"/>
                <w:lang w:val="en-US" w:eastAsia="zh-CN" w:bidi="ar-SA"/>
              </w:rPr>
            </w:pPr>
            <w:r>
              <w:rPr>
                <w:rFonts w:hint="default" w:ascii="Times New Roman" w:hAnsi="Times New Roman" w:cs="Times New Roman" w:eastAsiaTheme="minorEastAsia"/>
                <w:b/>
                <w:bCs/>
                <w:color w:val="000000"/>
                <w:sz w:val="21"/>
                <w:szCs w:val="21"/>
              </w:rPr>
              <w:t>建设地点</w:t>
            </w:r>
          </w:p>
        </w:tc>
        <w:tc>
          <w:tcPr>
            <w:tcW w:w="4122"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rPr>
              <w:t>重庆市万州区分水、李河、高梁、大周、熊家5个镇乡，长岭凉水、长岭响滩、长岭青石、武陵石桥、武陵鹿井、龙沙岩口、龙沙龙安、响水国家、甘宁河口、分水培文、李河高升、李河茅坝、高梁大碑、高梁葵花、天城付沟15个撤并场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20"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建设项目性质</w:t>
            </w:r>
          </w:p>
        </w:tc>
        <w:tc>
          <w:tcPr>
            <w:tcW w:w="2589"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000000"/>
                <w:sz w:val="21"/>
                <w:szCs w:val="21"/>
              </w:rPr>
              <w:t xml:space="preserve">新建   </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000000"/>
                <w:sz w:val="21"/>
                <w:szCs w:val="21"/>
              </w:rPr>
              <w:t>改</w:t>
            </w:r>
            <w:r>
              <w:rPr>
                <w:rFonts w:hint="default" w:ascii="Times New Roman" w:hAnsi="Times New Roman" w:cs="Times New Roman" w:eastAsiaTheme="minorEastAsia"/>
                <w:color w:val="000000"/>
                <w:sz w:val="21"/>
                <w:szCs w:val="21"/>
                <w:lang w:eastAsia="zh-CN"/>
              </w:rPr>
              <w:t>建</w:t>
            </w:r>
            <w:r>
              <w:rPr>
                <w:rFonts w:hint="default" w:ascii="Times New Roman" w:hAnsi="Times New Roman" w:cs="Times New Roman" w:eastAsiaTheme="minorEastAsia"/>
                <w:color w:val="000000"/>
                <w:sz w:val="21"/>
                <w:szCs w:val="21"/>
                <w:lang w:val="en-US" w:eastAsia="zh-CN"/>
              </w:rPr>
              <w:t xml:space="preserve">  </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000000"/>
                <w:sz w:val="21"/>
                <w:szCs w:val="21"/>
              </w:rPr>
              <w:t xml:space="preserve">扩建   </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000000"/>
                <w:sz w:val="21"/>
                <w:szCs w:val="21"/>
              </w:rPr>
              <w:t xml:space="preserve">技术改造 </w:t>
            </w:r>
          </w:p>
        </w:tc>
        <w:tc>
          <w:tcPr>
            <w:tcW w:w="74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行业</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类别</w:t>
            </w:r>
          </w:p>
        </w:tc>
        <w:tc>
          <w:tcPr>
            <w:tcW w:w="784"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sz w:val="21"/>
                <w:szCs w:val="21"/>
                <w:lang w:val="en-US" w:eastAsia="zh-CN"/>
              </w:rPr>
              <w:t>N7810 市政设施管理</w:t>
            </w:r>
            <w:r>
              <w:rPr>
                <w:rFonts w:hint="eastAsia" w:ascii="Times New Roman" w:hAnsi="Times New Roman" w:cs="Times New Roman" w:eastAsiaTheme="minorEastAsia"/>
                <w:sz w:val="21"/>
                <w:szCs w:val="21"/>
                <w:lang w:val="en-US" w:eastAsia="zh-CN"/>
              </w:rPr>
              <w:t>、</w:t>
            </w:r>
            <w:r>
              <w:rPr>
                <w:rFonts w:hint="default" w:ascii="Times New Roman" w:hAnsi="Times New Roman" w:cs="Times New Roman" w:eastAsiaTheme="minorEastAsia"/>
                <w:sz w:val="21"/>
                <w:szCs w:val="21"/>
                <w:lang w:val="en-US" w:eastAsia="zh-CN"/>
              </w:rPr>
              <w:t>N7</w:t>
            </w:r>
            <w:r>
              <w:rPr>
                <w:rFonts w:hint="eastAsia" w:ascii="Times New Roman" w:hAnsi="Times New Roman" w:cs="Times New Roman" w:eastAsiaTheme="minorEastAsia"/>
                <w:sz w:val="21"/>
                <w:szCs w:val="21"/>
                <w:lang w:val="en-US" w:eastAsia="zh-CN"/>
              </w:rPr>
              <w:t>721</w:t>
            </w:r>
            <w:r>
              <w:rPr>
                <w:rFonts w:hint="default" w:ascii="Times New Roman" w:hAnsi="Times New Roman" w:cs="Times New Roman" w:eastAsiaTheme="minorEastAsia"/>
                <w:sz w:val="21"/>
                <w:szCs w:val="21"/>
                <w:lang w:val="en-US" w:eastAsia="zh-CN"/>
              </w:rPr>
              <w:t xml:space="preserve"> </w:t>
            </w:r>
            <w:r>
              <w:rPr>
                <w:rFonts w:hint="eastAsia" w:ascii="Times New Roman" w:hAnsi="Times New Roman" w:cs="Times New Roman" w:eastAsiaTheme="minorEastAsia"/>
                <w:sz w:val="21"/>
                <w:szCs w:val="21"/>
                <w:lang w:val="en-US" w:eastAsia="zh-CN"/>
              </w:rPr>
              <w:t>水污染治理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20"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sz w:val="21"/>
                <w:szCs w:val="21"/>
                <w:lang w:eastAsia="zh-CN"/>
              </w:rPr>
            </w:pPr>
            <w:r>
              <w:rPr>
                <w:rFonts w:hint="default" w:ascii="Times New Roman" w:hAnsi="Times New Roman" w:cs="Times New Roman" w:eastAsiaTheme="minorEastAsia"/>
                <w:b/>
                <w:bCs/>
                <w:color w:val="000000"/>
                <w:sz w:val="21"/>
                <w:szCs w:val="21"/>
                <w:lang w:eastAsia="zh-CN"/>
              </w:rPr>
              <w:t>环境影响评价审批部门</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r>
              <w:rPr>
                <w:rFonts w:hint="eastAsia" w:cs="Times New Roman" w:eastAsiaTheme="minorEastAsia"/>
                <w:color w:val="000000"/>
                <w:sz w:val="21"/>
                <w:szCs w:val="21"/>
                <w:lang w:eastAsia="zh-CN"/>
              </w:rPr>
              <w:t>万州区</w:t>
            </w:r>
            <w:r>
              <w:rPr>
                <w:rFonts w:hint="default" w:ascii="Times New Roman" w:hAnsi="Times New Roman" w:cs="Times New Roman" w:eastAsiaTheme="minorEastAsia"/>
                <w:color w:val="000000"/>
                <w:sz w:val="21"/>
                <w:szCs w:val="21"/>
                <w:lang w:eastAsia="zh-CN"/>
              </w:rPr>
              <w:t>生态环境局</w:t>
            </w:r>
          </w:p>
        </w:tc>
        <w:tc>
          <w:tcPr>
            <w:tcW w:w="87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文号</w:t>
            </w:r>
          </w:p>
        </w:tc>
        <w:tc>
          <w:tcPr>
            <w:tcW w:w="881" w:type="pct"/>
            <w:vAlign w:val="center"/>
          </w:tcPr>
          <w:p>
            <w:pPr>
              <w:pStyle w:val="10"/>
              <w:snapToGrid w:val="0"/>
              <w:spacing w:line="240" w:lineRule="atLeast"/>
              <w:jc w:val="center"/>
              <w:rPr>
                <w:rFonts w:hint="eastAsia" w:ascii="Times New Roman" w:hAnsi="Times New Roman" w:cs="Times New Roman" w:eastAsiaTheme="minorEastAsia"/>
                <w:sz w:val="21"/>
                <w:szCs w:val="21"/>
                <w:lang w:eastAsia="zh-CN"/>
              </w:rPr>
            </w:pPr>
            <w:r>
              <w:rPr>
                <w:rFonts w:hint="eastAsia" w:cs="Times New Roman" w:eastAsiaTheme="minorEastAsia"/>
                <w:bCs/>
                <w:sz w:val="21"/>
                <w:szCs w:val="21"/>
                <w:lang w:val="en-US" w:eastAsia="zh-CN"/>
              </w:rPr>
              <w:t>/</w:t>
            </w:r>
          </w:p>
        </w:tc>
        <w:tc>
          <w:tcPr>
            <w:tcW w:w="74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时间</w:t>
            </w:r>
          </w:p>
        </w:tc>
        <w:tc>
          <w:tcPr>
            <w:tcW w:w="7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rPr>
              <w:t>20</w:t>
            </w:r>
            <w:r>
              <w:rPr>
                <w:rFonts w:hint="eastAsia" w:cs="Times New Roman" w:eastAsiaTheme="minorEastAsia"/>
                <w:color w:val="000000"/>
                <w:sz w:val="21"/>
                <w:szCs w:val="21"/>
                <w:lang w:val="en-US" w:eastAsia="zh-CN"/>
              </w:rPr>
              <w:t>22</w:t>
            </w:r>
            <w:r>
              <w:rPr>
                <w:rFonts w:hint="default" w:ascii="Times New Roman" w:hAnsi="Times New Roman" w:cs="Times New Roman" w:eastAsiaTheme="minorEastAsia"/>
                <w:color w:val="000000"/>
                <w:sz w:val="21"/>
                <w:szCs w:val="21"/>
              </w:rPr>
              <w:t>.</w:t>
            </w:r>
            <w:r>
              <w:rPr>
                <w:rFonts w:hint="eastAsia" w:cs="Times New Roman" w:eastAsiaTheme="minorEastAsia"/>
                <w:color w:val="000000"/>
                <w:sz w:val="21"/>
                <w:szCs w:val="21"/>
                <w:lang w:val="en-US" w:eastAsia="zh-CN"/>
              </w:rPr>
              <w:t>6</w:t>
            </w:r>
            <w:r>
              <w:rPr>
                <w:rFonts w:hint="default" w:ascii="Times New Roman" w:hAnsi="Times New Roman" w:cs="Times New Roman" w:eastAsiaTheme="minorEastAsia"/>
                <w:color w:val="000000"/>
                <w:sz w:val="21"/>
                <w:szCs w:val="21"/>
              </w:rPr>
              <w:t>.</w:t>
            </w:r>
            <w:r>
              <w:rPr>
                <w:rFonts w:hint="eastAsia" w:cs="Times New Roman" w:eastAsiaTheme="minorEastAsia"/>
                <w:color w:val="000000"/>
                <w:sz w:val="21"/>
                <w:szCs w:val="21"/>
                <w:lang w:val="en-US" w:eastAsia="zh-CN"/>
              </w:rPr>
              <w:t>2</w:t>
            </w:r>
            <w:r>
              <w:rPr>
                <w:rFonts w:hint="default" w:ascii="Times New Roman" w:hAnsi="Times New Roman" w:cs="Times New Roman" w:eastAsiaTheme="minorEastAsia"/>
                <w:color w:val="000000"/>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20"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kern w:val="2"/>
                <w:sz w:val="21"/>
                <w:szCs w:val="21"/>
                <w:lang w:val="en-US" w:eastAsia="zh-CN" w:bidi="ar-SA"/>
              </w:rPr>
            </w:pPr>
            <w:r>
              <w:rPr>
                <w:rFonts w:hint="eastAsia" w:cs="Times New Roman" w:eastAsiaTheme="minorEastAsia"/>
                <w:b/>
                <w:bCs/>
                <w:color w:val="000000"/>
                <w:sz w:val="21"/>
                <w:szCs w:val="21"/>
                <w:lang w:eastAsia="zh-CN"/>
              </w:rPr>
              <w:t>初步设计审批</w:t>
            </w:r>
            <w:r>
              <w:rPr>
                <w:rFonts w:hint="default" w:ascii="Times New Roman" w:hAnsi="Times New Roman" w:cs="Times New Roman" w:eastAsiaTheme="minorEastAsia"/>
                <w:b/>
                <w:bCs/>
                <w:color w:val="000000"/>
                <w:sz w:val="21"/>
                <w:szCs w:val="21"/>
              </w:rPr>
              <w:t>部门</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万州区住房和城乡建设委员会</w:t>
            </w:r>
          </w:p>
        </w:tc>
        <w:tc>
          <w:tcPr>
            <w:tcW w:w="87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文号</w:t>
            </w: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Cs/>
                <w:kern w:val="2"/>
                <w:sz w:val="21"/>
                <w:szCs w:val="21"/>
                <w:lang w:val="en-US" w:eastAsia="zh-CN" w:bidi="ar-SA"/>
              </w:rPr>
              <w:t>万州村镇初</w:t>
            </w:r>
            <w:r>
              <w:rPr>
                <w:rFonts w:hint="eastAsia" w:ascii="Times New Roman" w:hAnsi="Times New Roman" w:cs="Times New Roman" w:eastAsiaTheme="minorEastAsia"/>
                <w:bCs/>
                <w:kern w:val="2"/>
                <w:sz w:val="21"/>
                <w:szCs w:val="21"/>
                <w:lang w:val="en-US" w:eastAsia="zh-CN" w:bidi="ar-SA"/>
              </w:rPr>
              <w:t>设</w:t>
            </w:r>
            <w:r>
              <w:rPr>
                <w:rFonts w:hint="default" w:ascii="Times New Roman" w:hAnsi="Times New Roman" w:cs="Times New Roman" w:eastAsiaTheme="minorEastAsia"/>
                <w:bCs/>
                <w:kern w:val="2"/>
                <w:sz w:val="21"/>
                <w:szCs w:val="21"/>
                <w:lang w:val="en-US" w:eastAsia="zh-CN" w:bidi="ar-SA"/>
              </w:rPr>
              <w:t>[2021]</w:t>
            </w:r>
            <w:r>
              <w:rPr>
                <w:rFonts w:hint="eastAsia" w:cs="Times New Roman" w:eastAsiaTheme="minorEastAsia"/>
                <w:bCs/>
                <w:kern w:val="2"/>
                <w:sz w:val="21"/>
                <w:szCs w:val="21"/>
                <w:lang w:val="en-US" w:eastAsia="zh-CN" w:bidi="ar-SA"/>
              </w:rPr>
              <w:t>28</w:t>
            </w:r>
            <w:r>
              <w:rPr>
                <w:rFonts w:hint="default" w:ascii="Times New Roman" w:hAnsi="Times New Roman" w:cs="Times New Roman" w:eastAsiaTheme="minorEastAsia"/>
                <w:bCs/>
                <w:kern w:val="2"/>
                <w:sz w:val="21"/>
                <w:szCs w:val="21"/>
                <w:lang w:val="en-US" w:eastAsia="zh-CN" w:bidi="ar-SA"/>
              </w:rPr>
              <w:t>号</w:t>
            </w:r>
          </w:p>
        </w:tc>
        <w:tc>
          <w:tcPr>
            <w:tcW w:w="74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时间</w:t>
            </w:r>
          </w:p>
        </w:tc>
        <w:tc>
          <w:tcPr>
            <w:tcW w:w="7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20</w:t>
            </w:r>
            <w:r>
              <w:rPr>
                <w:rFonts w:hint="eastAsia" w:cs="Times New Roman" w:eastAsiaTheme="minorEastAsia"/>
                <w:b w:val="0"/>
                <w:bCs w:val="0"/>
                <w:color w:val="000000" w:themeColor="text1"/>
                <w:sz w:val="21"/>
                <w:szCs w:val="21"/>
                <w:lang w:val="en-US" w:eastAsia="zh-CN"/>
                <w14:textFill>
                  <w14:solidFill>
                    <w14:schemeClr w14:val="tx1"/>
                  </w14:solidFill>
                </w14:textFill>
              </w:rPr>
              <w:t>21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50"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dstrike/>
                <w:color w:val="000000"/>
                <w:sz w:val="21"/>
                <w:szCs w:val="21"/>
              </w:rPr>
            </w:pPr>
            <w:r>
              <w:rPr>
                <w:rFonts w:hint="eastAsia" w:cs="Times New Roman" w:eastAsiaTheme="minorEastAsia"/>
                <w:b/>
                <w:bCs/>
                <w:color w:val="000000"/>
                <w:sz w:val="21"/>
                <w:szCs w:val="21"/>
                <w:lang w:val="en-US" w:eastAsia="zh-CN"/>
              </w:rPr>
              <w:t>环境影响评价单位</w:t>
            </w:r>
          </w:p>
        </w:tc>
        <w:tc>
          <w:tcPr>
            <w:tcW w:w="4122"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sz w:val="21"/>
                <w:szCs w:val="21"/>
                <w:lang w:eastAsia="zh-CN"/>
              </w:rPr>
            </w:pPr>
            <w:r>
              <w:rPr>
                <w:rFonts w:hint="eastAsia" w:cs="Times New Roman" w:eastAsiaTheme="minorEastAsia"/>
                <w:bCs/>
                <w:sz w:val="21"/>
                <w:szCs w:val="21"/>
                <w:lang w:eastAsia="zh-CN"/>
              </w:rPr>
              <w:t>重庆三雨生态环境咨询服务有限公司</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50"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eastAsiaTheme="minorEastAsia"/>
                <w:b/>
                <w:bCs/>
                <w:color w:val="000000"/>
                <w:sz w:val="21"/>
                <w:szCs w:val="21"/>
                <w:lang w:val="en-US" w:eastAsia="zh-CN"/>
              </w:rPr>
            </w:pPr>
            <w:r>
              <w:rPr>
                <w:rFonts w:hint="eastAsia" w:cs="Times New Roman" w:eastAsiaTheme="minorEastAsia"/>
                <w:b/>
                <w:bCs/>
                <w:color w:val="000000"/>
                <w:sz w:val="21"/>
                <w:szCs w:val="21"/>
                <w:lang w:eastAsia="zh-CN"/>
              </w:rPr>
              <w:t>环境保护设施设计单</w:t>
            </w:r>
            <w:r>
              <w:rPr>
                <w:rFonts w:hint="default" w:ascii="Times New Roman" w:hAnsi="Times New Roman" w:cs="Times New Roman" w:eastAsiaTheme="minorEastAsia"/>
                <w:b/>
                <w:bCs/>
                <w:color w:val="000000"/>
                <w:sz w:val="21"/>
                <w:szCs w:val="21"/>
              </w:rPr>
              <w:t>位</w:t>
            </w:r>
          </w:p>
        </w:tc>
        <w:tc>
          <w:tcPr>
            <w:tcW w:w="4122"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sz w:val="21"/>
                <w:szCs w:val="21"/>
                <w:lang w:val="en-US" w:eastAsia="zh-CN"/>
              </w:rPr>
            </w:pPr>
            <w:r>
              <w:rPr>
                <w:rFonts w:hint="eastAsia" w:cs="Times New Roman" w:eastAsiaTheme="minorEastAsia"/>
                <w:bCs/>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eastAsiaTheme="minorEastAsia"/>
                <w:b/>
                <w:bCs/>
                <w:color w:val="000000"/>
                <w:sz w:val="21"/>
                <w:szCs w:val="21"/>
                <w:lang w:eastAsia="zh-CN"/>
              </w:rPr>
            </w:pPr>
            <w:r>
              <w:rPr>
                <w:rFonts w:hint="eastAsia" w:cs="Times New Roman" w:eastAsiaTheme="minorEastAsia"/>
                <w:b/>
                <w:bCs/>
                <w:color w:val="000000"/>
                <w:sz w:val="21"/>
                <w:szCs w:val="21"/>
                <w:lang w:eastAsia="zh-CN"/>
              </w:rPr>
              <w:t>环境保护设施施工单位</w:t>
            </w:r>
          </w:p>
        </w:tc>
        <w:tc>
          <w:tcPr>
            <w:tcW w:w="4122"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sz w:val="21"/>
                <w:szCs w:val="21"/>
                <w:lang w:val="en-US" w:eastAsia="zh-CN"/>
              </w:rPr>
            </w:pPr>
            <w:r>
              <w:rPr>
                <w:rFonts w:hint="eastAsia" w:cs="Times New Roman" w:eastAsiaTheme="minorEastAsia"/>
                <w:bCs/>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eastAsiaTheme="minorEastAsia"/>
                <w:b/>
                <w:bCs/>
                <w:color w:val="000000"/>
                <w:sz w:val="21"/>
                <w:szCs w:val="21"/>
                <w:lang w:eastAsia="zh-CN"/>
              </w:rPr>
            </w:pPr>
            <w:r>
              <w:rPr>
                <w:rFonts w:hint="eastAsia" w:cs="Times New Roman" w:eastAsiaTheme="minorEastAsia"/>
                <w:b/>
                <w:bCs/>
                <w:color w:val="000000"/>
                <w:sz w:val="21"/>
                <w:szCs w:val="21"/>
                <w:lang w:eastAsia="zh-CN"/>
              </w:rPr>
              <w:t>环境保护设施监测单位</w:t>
            </w:r>
          </w:p>
        </w:tc>
        <w:tc>
          <w:tcPr>
            <w:tcW w:w="4122"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sz w:val="21"/>
                <w:szCs w:val="21"/>
                <w:lang w:val="en-US" w:eastAsia="zh-CN"/>
              </w:rPr>
            </w:pPr>
            <w:r>
              <w:rPr>
                <w:rFonts w:hint="eastAsia" w:cs="Times New Roman" w:eastAsiaTheme="minorEastAsia"/>
                <w:bCs/>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82"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color w:val="000000"/>
                <w:sz w:val="21"/>
                <w:szCs w:val="21"/>
                <w:lang w:eastAsia="zh-CN"/>
              </w:rPr>
            </w:pPr>
            <w:r>
              <w:rPr>
                <w:rFonts w:hint="default" w:ascii="Times New Roman" w:hAnsi="Times New Roman" w:cs="Times New Roman" w:eastAsiaTheme="minorEastAsia"/>
                <w:b/>
                <w:bCs/>
                <w:color w:val="000000"/>
                <w:sz w:val="21"/>
                <w:szCs w:val="21"/>
              </w:rPr>
              <w:t>投资总概算</w:t>
            </w:r>
            <w:r>
              <w:rPr>
                <w:rFonts w:hint="eastAsia" w:cs="Times New Roman" w:eastAsiaTheme="minorEastAsia"/>
                <w:b/>
                <w:bCs/>
                <w:color w:val="000000"/>
                <w:sz w:val="21"/>
                <w:szCs w:val="21"/>
                <w:lang w:eastAsia="zh-CN"/>
              </w:rPr>
              <w:t>（万元）</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sz w:val="21"/>
                <w:szCs w:val="21"/>
                <w:lang w:val="en-US"/>
              </w:rPr>
            </w:pPr>
            <w:r>
              <w:rPr>
                <w:rFonts w:hint="eastAsia" w:cs="Times New Roman" w:eastAsiaTheme="minorEastAsia"/>
                <w:bCs/>
                <w:color w:val="auto"/>
                <w:sz w:val="21"/>
                <w:szCs w:val="21"/>
                <w:lang w:val="en-US" w:eastAsia="zh-CN"/>
              </w:rPr>
              <w:t>16400.00</w:t>
            </w:r>
          </w:p>
        </w:tc>
        <w:tc>
          <w:tcPr>
            <w:tcW w:w="87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eastAsia="zh-CN"/>
              </w:rPr>
              <w:t>其中：环境保护投资（万元）</w:t>
            </w: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sz w:val="21"/>
                <w:szCs w:val="21"/>
                <w:lang w:val="en-US"/>
              </w:rPr>
            </w:pPr>
            <w:r>
              <w:rPr>
                <w:rFonts w:hint="eastAsia" w:cs="Times New Roman" w:eastAsiaTheme="minorEastAsia"/>
                <w:bCs/>
                <w:color w:val="auto"/>
                <w:sz w:val="21"/>
                <w:szCs w:val="21"/>
                <w:lang w:val="en-US" w:eastAsia="zh-CN"/>
              </w:rPr>
              <w:t>274.00</w:t>
            </w:r>
          </w:p>
        </w:tc>
        <w:tc>
          <w:tcPr>
            <w:tcW w:w="74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sz w:val="21"/>
                <w:szCs w:val="21"/>
                <w:lang w:eastAsia="zh-CN"/>
              </w:rPr>
            </w:pPr>
            <w:r>
              <w:rPr>
                <w:rFonts w:hint="eastAsia" w:cs="Times New Roman" w:eastAsiaTheme="minorEastAsia"/>
                <w:bCs/>
                <w:sz w:val="21"/>
                <w:szCs w:val="21"/>
                <w:lang w:eastAsia="zh-CN"/>
              </w:rPr>
              <w:t>实际总投资占环境保护投资比例</w:t>
            </w:r>
          </w:p>
        </w:tc>
        <w:tc>
          <w:tcPr>
            <w:tcW w:w="78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sz w:val="21"/>
                <w:szCs w:val="21"/>
                <w:lang w:val="en-US" w:eastAsia="zh-CN"/>
              </w:rPr>
            </w:pPr>
            <w:r>
              <w:rPr>
                <w:rFonts w:hint="eastAsia" w:cs="Times New Roman" w:eastAsiaTheme="minorEastAsia"/>
                <w:bCs/>
                <w:sz w:val="21"/>
                <w:szCs w:val="21"/>
                <w:lang w:val="en-US" w:eastAsia="zh-CN"/>
              </w:rPr>
              <w:t>1.7</w:t>
            </w:r>
            <w:r>
              <w:rPr>
                <w:rFonts w:hint="default" w:ascii="Times New Roman" w:hAnsi="Times New Roman" w:cs="Times New Roman" w:eastAsiaTheme="minorEastAsia"/>
                <w:bCs/>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82"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color w:val="000000"/>
                <w:sz w:val="21"/>
                <w:szCs w:val="21"/>
                <w:lang w:eastAsia="zh-CN"/>
              </w:rPr>
            </w:pPr>
            <w:r>
              <w:rPr>
                <w:rFonts w:hint="default" w:ascii="Times New Roman" w:hAnsi="Times New Roman" w:cs="Times New Roman" w:eastAsiaTheme="minorEastAsia"/>
                <w:b/>
                <w:bCs/>
                <w:color w:val="000000"/>
                <w:sz w:val="21"/>
                <w:szCs w:val="21"/>
              </w:rPr>
              <w:t>实际总投资</w:t>
            </w:r>
            <w:r>
              <w:rPr>
                <w:rFonts w:hint="eastAsia" w:cs="Times New Roman" w:eastAsiaTheme="minorEastAsia"/>
                <w:b/>
                <w:bCs/>
                <w:color w:val="000000"/>
                <w:sz w:val="21"/>
                <w:szCs w:val="21"/>
                <w:lang w:eastAsia="zh-CN"/>
              </w:rPr>
              <w:t>（万元）</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16400.00</w:t>
            </w:r>
          </w:p>
        </w:tc>
        <w:tc>
          <w:tcPr>
            <w:tcW w:w="87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eastAsia="zh-CN"/>
              </w:rPr>
              <w:t>其中：环境保护投资（万元）</w:t>
            </w: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274.00</w:t>
            </w:r>
          </w:p>
        </w:tc>
        <w:tc>
          <w:tcPr>
            <w:tcW w:w="74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sz w:val="21"/>
                <w:szCs w:val="21"/>
                <w:lang w:val="en-US" w:eastAsia="zh-CN"/>
              </w:rPr>
            </w:pPr>
          </w:p>
        </w:tc>
        <w:tc>
          <w:tcPr>
            <w:tcW w:w="7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85"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spacing w:val="-10"/>
                <w:sz w:val="21"/>
                <w:szCs w:val="21"/>
                <w:lang w:eastAsia="zh-CN"/>
              </w:rPr>
            </w:pPr>
            <w:r>
              <w:rPr>
                <w:rFonts w:hint="default" w:ascii="Times New Roman" w:hAnsi="Times New Roman" w:cs="Times New Roman" w:eastAsiaTheme="minorEastAsia"/>
                <w:b/>
                <w:bCs/>
                <w:color w:val="000000"/>
                <w:spacing w:val="-10"/>
                <w:sz w:val="21"/>
                <w:szCs w:val="21"/>
                <w:lang w:eastAsia="zh-CN"/>
              </w:rPr>
              <w:t>设计建设规模</w:t>
            </w:r>
          </w:p>
        </w:tc>
        <w:tc>
          <w:tcPr>
            <w:tcW w:w="4122"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补充建设污水管网122489米，包含D630×12涂塑复合钢管2400米，D530×12涂塑复合钢管6600米，D426×10涂塑复合钢管4870米</w:t>
            </w:r>
            <w:r>
              <w:rPr>
                <w:rFonts w:hint="eastAsia"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lang w:val="en-US" w:eastAsia="zh-CN"/>
              </w:rPr>
              <w:t>HDPE双壁波纹管</w:t>
            </w:r>
            <w:r>
              <w:rPr>
                <w:rFonts w:hint="eastAsia"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lang w:val="en-US" w:eastAsia="zh-CN"/>
              </w:rPr>
              <w:t>DN500</w:t>
            </w:r>
            <w:r>
              <w:rPr>
                <w:rFonts w:hint="eastAsia"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lang w:val="en-US" w:eastAsia="zh-CN"/>
              </w:rPr>
              <w:t>200米，HDPE 双壁波纹管</w:t>
            </w:r>
            <w:r>
              <w:rPr>
                <w:rFonts w:hint="eastAsia"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lang w:val="en-US" w:eastAsia="zh-CN"/>
              </w:rPr>
              <w:t>DN400</w:t>
            </w:r>
            <w:r>
              <w:rPr>
                <w:rFonts w:hint="eastAsia"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lang w:val="en-US" w:eastAsia="zh-CN"/>
              </w:rPr>
              <w:t>5082 米</w:t>
            </w:r>
            <w:r>
              <w:rPr>
                <w:rFonts w:hint="eastAsia"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lang w:val="en-US" w:eastAsia="zh-CN"/>
              </w:rPr>
              <w:t>HDPE双壁波纹管</w:t>
            </w:r>
            <w:r>
              <w:rPr>
                <w:rFonts w:hint="eastAsia"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lang w:val="en-US" w:eastAsia="zh-CN"/>
              </w:rPr>
              <w:t>DN300</w:t>
            </w:r>
            <w:r>
              <w:rPr>
                <w:rFonts w:hint="eastAsia"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lang w:val="en-US" w:eastAsia="zh-CN"/>
              </w:rPr>
              <w:t>37033米，D325×8涂塑复合钢管8780米，φ200×4.9埋地排污、排水硬聚氯乙烯</w:t>
            </w:r>
            <w:r>
              <w:rPr>
                <w:rFonts w:hint="eastAsia"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lang w:val="en-US" w:eastAsia="zh-CN"/>
              </w:rPr>
              <w:t>PVC-U</w:t>
            </w:r>
            <w:r>
              <w:rPr>
                <w:rFonts w:hint="eastAsia"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lang w:val="en-US" w:eastAsia="zh-CN"/>
              </w:rPr>
              <w:t>二级支管52204米，D219x6涂塑复合钢管5110米，D108×6涂塑复合钢管210米，新建一体化污水提升泵站13座，钢筋混凝土化粪池188座，配套建设污水检查井、消能井、跌水井、埋地排污三级入户管等附属设施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01"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spacing w:val="-10"/>
                <w:sz w:val="21"/>
                <w:szCs w:val="21"/>
                <w:lang w:eastAsia="zh-CN"/>
              </w:rPr>
            </w:pPr>
            <w:r>
              <w:rPr>
                <w:rFonts w:hint="default" w:ascii="Times New Roman" w:hAnsi="Times New Roman" w:cs="Times New Roman" w:eastAsiaTheme="minorEastAsia"/>
                <w:b/>
                <w:bCs/>
                <w:spacing w:val="-10"/>
                <w:sz w:val="21"/>
                <w:szCs w:val="21"/>
              </w:rPr>
              <w:t>实际</w:t>
            </w:r>
            <w:r>
              <w:rPr>
                <w:rFonts w:hint="default" w:ascii="Times New Roman" w:hAnsi="Times New Roman" w:cs="Times New Roman" w:eastAsiaTheme="minorEastAsia"/>
                <w:b/>
                <w:bCs/>
                <w:spacing w:val="-10"/>
                <w:sz w:val="21"/>
                <w:szCs w:val="21"/>
                <w:lang w:eastAsia="zh-CN"/>
              </w:rPr>
              <w:t>建设规模</w:t>
            </w:r>
          </w:p>
        </w:tc>
        <w:tc>
          <w:tcPr>
            <w:tcW w:w="4122"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补充建设污水管网122489米，包含D630×12涂塑复合钢管2400米，D530×12涂塑复合钢管6600米，D426×10涂塑复合钢管4870米</w:t>
            </w:r>
            <w:r>
              <w:rPr>
                <w:rFonts w:hint="eastAsia"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lang w:val="en-US" w:eastAsia="zh-CN"/>
              </w:rPr>
              <w:t>HDPE双壁波纹管</w:t>
            </w:r>
            <w:r>
              <w:rPr>
                <w:rFonts w:hint="eastAsia"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lang w:val="en-US" w:eastAsia="zh-CN"/>
              </w:rPr>
              <w:t>DN500</w:t>
            </w:r>
            <w:r>
              <w:rPr>
                <w:rFonts w:hint="eastAsia"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lang w:val="en-US" w:eastAsia="zh-CN"/>
              </w:rPr>
              <w:t>200米，HDPE 双壁波纹管</w:t>
            </w:r>
            <w:r>
              <w:rPr>
                <w:rFonts w:hint="eastAsia"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lang w:val="en-US" w:eastAsia="zh-CN"/>
              </w:rPr>
              <w:t>DN400</w:t>
            </w:r>
            <w:r>
              <w:rPr>
                <w:rFonts w:hint="eastAsia"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lang w:val="en-US" w:eastAsia="zh-CN"/>
              </w:rPr>
              <w:t>5082 米</w:t>
            </w:r>
            <w:r>
              <w:rPr>
                <w:rFonts w:hint="eastAsia"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lang w:val="en-US" w:eastAsia="zh-CN"/>
              </w:rPr>
              <w:t>HDPE双壁波纹管</w:t>
            </w:r>
            <w:r>
              <w:rPr>
                <w:rFonts w:hint="eastAsia"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lang w:val="en-US" w:eastAsia="zh-CN"/>
              </w:rPr>
              <w:t>DN300</w:t>
            </w:r>
            <w:r>
              <w:rPr>
                <w:rFonts w:hint="eastAsia"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lang w:val="en-US" w:eastAsia="zh-CN"/>
              </w:rPr>
              <w:t>37033米，D325×8涂塑复合钢管8780米，φ200×4.9埋地排污、排水硬聚氯乙烯</w:t>
            </w:r>
            <w:r>
              <w:rPr>
                <w:rFonts w:hint="eastAsia"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lang w:val="en-US" w:eastAsia="zh-CN"/>
              </w:rPr>
              <w:t>PVC-U</w:t>
            </w:r>
            <w:r>
              <w:rPr>
                <w:rFonts w:hint="eastAsia"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lang w:val="en-US" w:eastAsia="zh-CN"/>
              </w:rPr>
              <w:t>二级支管52204米，D219x6涂塑复合钢管5110米，D108×6涂塑复合钢管210米，新建一体化污水提升泵站13座，钢筋混凝土化粪池188座，配套建设污水检查井、消能井、跌水井、埋地排污三级入户管等附属设施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spacing w:val="-10"/>
                <w:sz w:val="21"/>
                <w:szCs w:val="21"/>
                <w:lang w:eastAsia="zh-CN"/>
              </w:rPr>
            </w:pPr>
            <w:r>
              <w:rPr>
                <w:rFonts w:hint="default" w:ascii="Times New Roman" w:hAnsi="Times New Roman" w:cs="Times New Roman" w:eastAsiaTheme="minorEastAsia"/>
                <w:b/>
                <w:bCs/>
                <w:spacing w:val="-10"/>
                <w:sz w:val="21"/>
                <w:szCs w:val="21"/>
                <w:lang w:eastAsia="zh-CN"/>
              </w:rPr>
              <w:t>建设项目开工建设日期</w:t>
            </w:r>
          </w:p>
        </w:tc>
        <w:tc>
          <w:tcPr>
            <w:tcW w:w="4122"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20</w:t>
            </w:r>
            <w:r>
              <w:rPr>
                <w:rFonts w:hint="eastAsia" w:cs="Times New Roman" w:eastAsiaTheme="minorEastAsia"/>
                <w:color w:val="000000"/>
                <w:sz w:val="21"/>
                <w:szCs w:val="21"/>
                <w:lang w:val="en-US" w:eastAsia="zh-CN"/>
              </w:rPr>
              <w:t>22</w:t>
            </w:r>
            <w:r>
              <w:rPr>
                <w:rFonts w:hint="default" w:ascii="Times New Roman" w:hAnsi="Times New Roman" w:cs="Times New Roman" w:eastAsiaTheme="minorEastAsia"/>
                <w:color w:val="000000"/>
                <w:sz w:val="21"/>
                <w:szCs w:val="21"/>
                <w:lang w:val="en-US" w:eastAsia="zh-CN"/>
              </w:rPr>
              <w:t>年</w:t>
            </w:r>
            <w:r>
              <w:rPr>
                <w:rFonts w:hint="eastAsia" w:cs="Times New Roman" w:eastAsiaTheme="minorEastAsia"/>
                <w:color w:val="000000"/>
                <w:sz w:val="21"/>
                <w:szCs w:val="21"/>
                <w:lang w:val="en-US" w:eastAsia="zh-CN"/>
              </w:rPr>
              <w:t>7</w:t>
            </w:r>
            <w:r>
              <w:rPr>
                <w:rFonts w:hint="default" w:ascii="Times New Roman" w:hAnsi="Times New Roman" w:cs="Times New Roman" w:eastAsiaTheme="minorEastAsia"/>
                <w:color w:val="000000"/>
                <w:sz w:val="21"/>
                <w:szCs w:val="21"/>
                <w:lang w:val="en-US" w:eastAsia="zh-CN"/>
              </w:rPr>
              <w:t>月1日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90"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spacing w:val="-10"/>
                <w:sz w:val="21"/>
                <w:szCs w:val="21"/>
                <w:lang w:eastAsia="zh-CN"/>
              </w:rPr>
            </w:pPr>
            <w:r>
              <w:rPr>
                <w:rFonts w:hint="default" w:ascii="Times New Roman" w:hAnsi="Times New Roman" w:cs="Times New Roman" w:eastAsiaTheme="minorEastAsia"/>
                <w:b/>
                <w:bCs/>
                <w:spacing w:val="-10"/>
                <w:sz w:val="21"/>
                <w:szCs w:val="21"/>
                <w:lang w:eastAsia="zh-CN"/>
              </w:rPr>
              <w:t>投入试运行日期</w:t>
            </w:r>
          </w:p>
        </w:tc>
        <w:tc>
          <w:tcPr>
            <w:tcW w:w="4122"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202</w:t>
            </w:r>
            <w:r>
              <w:rPr>
                <w:rFonts w:hint="eastAsia" w:cs="Times New Roman" w:eastAsiaTheme="minorEastAsia"/>
                <w:color w:val="000000"/>
                <w:sz w:val="21"/>
                <w:szCs w:val="21"/>
                <w:lang w:val="en-US" w:eastAsia="zh-CN"/>
              </w:rPr>
              <w:t>4</w:t>
            </w:r>
            <w:r>
              <w:rPr>
                <w:rFonts w:hint="default" w:ascii="Times New Roman" w:hAnsi="Times New Roman" w:cs="Times New Roman" w:eastAsiaTheme="minorEastAsia"/>
                <w:color w:val="000000"/>
                <w:sz w:val="21"/>
                <w:szCs w:val="21"/>
                <w:lang w:val="en-US" w:eastAsia="zh-CN"/>
              </w:rPr>
              <w:t>年</w:t>
            </w:r>
            <w:r>
              <w:rPr>
                <w:rFonts w:hint="eastAsia" w:cs="Times New Roman" w:eastAsiaTheme="minorEastAsia"/>
                <w:color w:val="000000"/>
                <w:sz w:val="21"/>
                <w:szCs w:val="21"/>
                <w:lang w:val="en-US" w:eastAsia="zh-CN"/>
              </w:rPr>
              <w:t>1</w:t>
            </w:r>
            <w:r>
              <w:rPr>
                <w:rFonts w:hint="default" w:ascii="Times New Roman" w:hAnsi="Times New Roman" w:cs="Times New Roman" w:eastAsiaTheme="minorEastAsia"/>
                <w:color w:val="000000"/>
                <w:sz w:val="21"/>
                <w:szCs w:val="21"/>
                <w:lang w:val="en-US" w:eastAsia="zh-CN"/>
              </w:rPr>
              <w:t>月1</w:t>
            </w:r>
            <w:r>
              <w:rPr>
                <w:rFonts w:hint="eastAsia" w:cs="Times New Roman" w:eastAsiaTheme="minorEastAsia"/>
                <w:color w:val="000000"/>
                <w:sz w:val="21"/>
                <w:szCs w:val="21"/>
                <w:lang w:val="en-US" w:eastAsia="zh-CN"/>
              </w:rPr>
              <w:t>0</w:t>
            </w:r>
            <w:r>
              <w:rPr>
                <w:rFonts w:hint="default" w:ascii="Times New Roman" w:hAnsi="Times New Roman" w:cs="Times New Roman" w:eastAsiaTheme="minorEastAsia"/>
                <w:color w:val="000000"/>
                <w:sz w:val="21"/>
                <w:szCs w:val="21"/>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261" w:hRule="atLeast"/>
          <w:jc w:val="center"/>
        </w:trPr>
        <w:tc>
          <w:tcPr>
            <w:tcW w:w="877" w:type="pct"/>
            <w:vAlign w:val="center"/>
          </w:tcPr>
          <w:p>
            <w:pPr>
              <w:spacing w:line="440" w:lineRule="exact"/>
              <w:jc w:val="center"/>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项目建设过程简述（项目立项~试运行）</w:t>
            </w:r>
          </w:p>
          <w:p>
            <w:pPr>
              <w:spacing w:line="440" w:lineRule="exact"/>
              <w:jc w:val="center"/>
              <w:rPr>
                <w:rFonts w:hint="default" w:ascii="Times New Roman" w:hAnsi="Times New Roman" w:cs="Times New Roman" w:eastAsiaTheme="minorEastAsia"/>
                <w:b/>
                <w:bCs/>
                <w:color w:val="000000"/>
                <w:sz w:val="21"/>
                <w:szCs w:val="21"/>
              </w:rPr>
            </w:pPr>
          </w:p>
        </w:tc>
        <w:tc>
          <w:tcPr>
            <w:tcW w:w="4122" w:type="pct"/>
            <w:gridSpan w:val="6"/>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sz w:val="21"/>
                <w:szCs w:val="21"/>
                <w:lang w:val="en-US" w:eastAsia="zh-CN"/>
              </w:rPr>
              <w:t>2021年8月14日取得了《重庆市万州区发展和改革委员会关于万州区2022年镇乡污水管网补充工程可行性研究报告的批复》，文号：万州发改审资环[2021]32号；2022年5月7日取得了《重庆市万州区发展和改革委员会关于万州区2022年镇乡污水管网补充工程概算的批复》，文号：万州发改审资环[2022]27号；2022年6月21日取得了《重庆市万州区生态环境局关于202</w:t>
            </w:r>
            <w:r>
              <w:rPr>
                <w:rFonts w:hint="eastAsia" w:cs="Times New Roman" w:eastAsiaTheme="minorEastAsia"/>
                <w:sz w:val="21"/>
                <w:szCs w:val="21"/>
                <w:lang w:val="en-US" w:eastAsia="zh-CN"/>
              </w:rPr>
              <w:t>2</w:t>
            </w:r>
            <w:r>
              <w:rPr>
                <w:rFonts w:hint="default" w:ascii="Times New Roman" w:hAnsi="Times New Roman" w:cs="Times New Roman" w:eastAsiaTheme="minorEastAsia"/>
                <w:sz w:val="21"/>
                <w:szCs w:val="21"/>
                <w:lang w:val="en-US" w:eastAsia="zh-CN"/>
              </w:rPr>
              <w:t>年镇乡污水管网补充工程环境影响评价的复函》。于2022年7月1日开始施工建设，于2024年1月10日建成。</w:t>
            </w:r>
          </w:p>
        </w:tc>
      </w:tr>
    </w:tbl>
    <w:p>
      <w:pPr>
        <w:spacing w:line="440" w:lineRule="exact"/>
        <w:jc w:val="both"/>
        <w:outlineLvl w:val="0"/>
        <w:rPr>
          <w:rFonts w:hint="default" w:ascii="Times New Roman" w:hAnsi="Times New Roman" w:cs="Times New Roman"/>
          <w:b/>
          <w:bCs w:val="0"/>
          <w:sz w:val="28"/>
          <w:szCs w:val="28"/>
          <w:lang w:val="en-US" w:eastAsia="zh-CN"/>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440" w:lineRule="exact"/>
        <w:jc w:val="both"/>
        <w:outlineLvl w:val="0"/>
        <w:rPr>
          <w:rFonts w:hint="default" w:ascii="Times New Roman" w:hAnsi="Times New Roman" w:eastAsia="宋体" w:cs="Times New Roman"/>
          <w:b/>
          <w:bCs w:val="0"/>
          <w:sz w:val="28"/>
          <w:szCs w:val="28"/>
        </w:rPr>
      </w:pPr>
      <w:r>
        <w:rPr>
          <w:rFonts w:hint="default" w:ascii="Times New Roman" w:hAnsi="Times New Roman" w:cs="Times New Roman"/>
          <w:b/>
          <w:bCs w:val="0"/>
          <w:sz w:val="28"/>
          <w:szCs w:val="28"/>
          <w:lang w:val="en-US" w:eastAsia="zh-CN"/>
        </w:rPr>
        <w:t>二、</w:t>
      </w:r>
      <w:r>
        <w:rPr>
          <w:rFonts w:hint="default" w:ascii="Times New Roman" w:hAnsi="Times New Roman" w:eastAsia="宋体" w:cs="Times New Roman"/>
          <w:b/>
          <w:bCs w:val="0"/>
          <w:sz w:val="28"/>
          <w:szCs w:val="28"/>
        </w:rPr>
        <w:t>调查范围、因子、目标、重点</w:t>
      </w:r>
    </w:p>
    <w:tbl>
      <w:tblPr>
        <w:tblStyle w:val="25"/>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71"/>
        <w:gridCol w:w="88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22" w:hRule="atLeast"/>
          <w:jc w:val="center"/>
        </w:trPr>
        <w:tc>
          <w:tcPr>
            <w:tcW w:w="254" w:type="pct"/>
            <w:vAlign w:val="center"/>
          </w:tcPr>
          <w:p>
            <w:pPr>
              <w:autoSpaceDE w:val="0"/>
              <w:autoSpaceDN w:val="0"/>
              <w:adjustRightInd w:val="0"/>
              <w:spacing w:line="440" w:lineRule="exact"/>
              <w:jc w:val="center"/>
              <w:rPr>
                <w:rFonts w:hint="default" w:ascii="Times New Roman" w:hAnsi="Times New Roman" w:cs="Times New Roman" w:eastAsiaTheme="minorEastAsia"/>
                <w:b/>
                <w:bCs/>
                <w:color w:val="000000"/>
                <w:sz w:val="24"/>
                <w:szCs w:val="24"/>
              </w:rPr>
            </w:pPr>
            <w:r>
              <w:rPr>
                <w:rFonts w:hint="default" w:ascii="Times New Roman" w:hAnsi="Times New Roman" w:cs="Times New Roman" w:eastAsiaTheme="minorEastAsia"/>
                <w:b/>
                <w:bCs/>
                <w:color w:val="000000"/>
                <w:sz w:val="24"/>
                <w:szCs w:val="24"/>
              </w:rPr>
              <w:t>调查</w:t>
            </w:r>
          </w:p>
          <w:p>
            <w:pPr>
              <w:autoSpaceDE w:val="0"/>
              <w:autoSpaceDN w:val="0"/>
              <w:adjustRightInd w:val="0"/>
              <w:spacing w:line="440" w:lineRule="exact"/>
              <w:jc w:val="center"/>
              <w:rPr>
                <w:rFonts w:hint="default" w:ascii="Times New Roman" w:hAnsi="Times New Roman" w:cs="Times New Roman" w:eastAsiaTheme="minorEastAsia"/>
                <w:b/>
                <w:bCs/>
                <w:color w:val="000000"/>
                <w:sz w:val="24"/>
                <w:szCs w:val="24"/>
              </w:rPr>
            </w:pPr>
            <w:r>
              <w:rPr>
                <w:rFonts w:hint="default" w:ascii="Times New Roman" w:hAnsi="Times New Roman" w:cs="Times New Roman" w:eastAsiaTheme="minorEastAsia"/>
                <w:b/>
                <w:bCs/>
                <w:color w:val="000000"/>
                <w:sz w:val="24"/>
                <w:szCs w:val="24"/>
              </w:rPr>
              <w:t>范围</w:t>
            </w:r>
          </w:p>
        </w:tc>
        <w:tc>
          <w:tcPr>
            <w:tcW w:w="4745" w:type="pct"/>
          </w:tcPr>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2.1 调查范围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rPr>
              <w:t>本次竣工环境保护验收调查范围</w:t>
            </w:r>
            <w:r>
              <w:rPr>
                <w:rFonts w:hint="default" w:ascii="Times New Roman" w:hAnsi="Times New Roman" w:cs="Times New Roman" w:eastAsiaTheme="minorEastAsia"/>
                <w:sz w:val="24"/>
                <w:szCs w:val="24"/>
                <w:lang w:eastAsia="zh-CN"/>
              </w:rPr>
              <w:t>包括主体工程及临时工程。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eastAsia="zh-CN"/>
              </w:rPr>
              <w:t>主体工程内容为：</w:t>
            </w:r>
            <w:r>
              <w:rPr>
                <w:rFonts w:hint="default" w:ascii="Times New Roman" w:hAnsi="Times New Roman" w:cs="Times New Roman" w:eastAsiaTheme="minorEastAsia"/>
                <w:sz w:val="24"/>
                <w:szCs w:val="24"/>
              </w:rPr>
              <w:t>管网铺设</w:t>
            </w:r>
            <w:r>
              <w:rPr>
                <w:rFonts w:hint="default" w:ascii="Times New Roman" w:hAnsi="Times New Roman" w:cs="Times New Roman" w:eastAsiaTheme="minorEastAsia"/>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临时工程内容为：导流、施工便道、料场、临时施工区、渣场等。</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本次竣工环境保护验收调查范围如下：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eastAsia="zh-CN"/>
              </w:rPr>
              <w:t>（1）生态环境：主体工程施工区域以及临时工程区域外扩</w:t>
            </w:r>
            <w:r>
              <w:rPr>
                <w:rFonts w:hint="default" w:ascii="Times New Roman" w:hAnsi="Times New Roman" w:cs="Times New Roman" w:eastAsiaTheme="minorEastAsia"/>
                <w:sz w:val="24"/>
                <w:szCs w:val="24"/>
                <w:lang w:val="en-US" w:eastAsia="zh-CN"/>
              </w:rPr>
              <w:t>200m的生态环境保护目标</w:t>
            </w:r>
            <w:r>
              <w:rPr>
                <w:rFonts w:hint="default" w:ascii="Times New Roman" w:hAnsi="Times New Roman" w:cs="Times New Roman" w:eastAsiaTheme="minorEastAsia"/>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（2）固体废物：项目施工期固体废物处置情况及去向；</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cs="Times New Roman" w:eastAsiaTheme="minorEastAsia"/>
                <w:sz w:val="24"/>
                <w:szCs w:val="24"/>
                <w:lang w:val="en-US" w:eastAsia="zh-CN"/>
              </w:rPr>
              <w:t>（3）其他：施工期临时工程拆除及迹地恢复情况，</w:t>
            </w:r>
            <w:r>
              <w:rPr>
                <w:rFonts w:hint="default" w:ascii="Times New Roman" w:hAnsi="Times New Roman" w:cs="Times New Roman"/>
                <w:sz w:val="24"/>
              </w:rPr>
              <w:t>环评及批复提出的各项环保措施</w:t>
            </w:r>
            <w:r>
              <w:rPr>
                <w:rFonts w:hint="default" w:ascii="Times New Roman" w:hAnsi="Times New Roman" w:cs="Times New Roman"/>
                <w:sz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87" w:hRule="atLeast"/>
          <w:jc w:val="center"/>
        </w:trPr>
        <w:tc>
          <w:tcPr>
            <w:tcW w:w="254" w:type="pct"/>
            <w:vAlign w:val="center"/>
          </w:tcPr>
          <w:p>
            <w:pPr>
              <w:autoSpaceDE w:val="0"/>
              <w:autoSpaceDN w:val="0"/>
              <w:adjustRightInd w:val="0"/>
              <w:spacing w:line="440" w:lineRule="exact"/>
              <w:jc w:val="center"/>
              <w:rPr>
                <w:rFonts w:hint="default" w:ascii="Times New Roman" w:hAnsi="Times New Roman" w:cs="Times New Roman" w:eastAsiaTheme="minorEastAsia"/>
                <w:b/>
                <w:bCs/>
                <w:color w:val="000000"/>
                <w:sz w:val="24"/>
                <w:szCs w:val="24"/>
              </w:rPr>
            </w:pPr>
            <w:r>
              <w:rPr>
                <w:rFonts w:hint="default" w:ascii="Times New Roman" w:hAnsi="Times New Roman" w:cs="Times New Roman" w:eastAsiaTheme="minorEastAsia"/>
                <w:b/>
                <w:bCs/>
                <w:color w:val="000000"/>
                <w:sz w:val="24"/>
                <w:szCs w:val="24"/>
              </w:rPr>
              <w:t>调查</w:t>
            </w:r>
          </w:p>
          <w:p>
            <w:pPr>
              <w:autoSpaceDE w:val="0"/>
              <w:autoSpaceDN w:val="0"/>
              <w:adjustRightInd w:val="0"/>
              <w:spacing w:line="440" w:lineRule="exact"/>
              <w:jc w:val="center"/>
              <w:rPr>
                <w:rFonts w:hint="default" w:ascii="Times New Roman" w:hAnsi="Times New Roman" w:cs="Times New Roman" w:eastAsiaTheme="minorEastAsia"/>
                <w:b/>
                <w:bCs/>
                <w:color w:val="000000"/>
                <w:sz w:val="24"/>
                <w:szCs w:val="24"/>
              </w:rPr>
            </w:pPr>
            <w:r>
              <w:rPr>
                <w:rFonts w:hint="default" w:ascii="Times New Roman" w:hAnsi="Times New Roman" w:cs="Times New Roman" w:eastAsiaTheme="minorEastAsia"/>
                <w:b/>
                <w:bCs/>
                <w:color w:val="000000"/>
                <w:sz w:val="24"/>
                <w:szCs w:val="24"/>
              </w:rPr>
              <w:t>因子</w:t>
            </w:r>
          </w:p>
        </w:tc>
        <w:tc>
          <w:tcPr>
            <w:tcW w:w="4745" w:type="pct"/>
          </w:tcPr>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2.2 调查因子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b/>
                <w:color w:val="000000"/>
                <w:sz w:val="24"/>
                <w:szCs w:val="24"/>
                <w:lang w:eastAsia="zh-CN"/>
              </w:rPr>
            </w:pPr>
            <w:r>
              <w:rPr>
                <w:rFonts w:hint="default" w:ascii="Times New Roman" w:hAnsi="Times New Roman" w:cs="Times New Roman" w:eastAsiaTheme="minorEastAsia"/>
                <w:sz w:val="24"/>
                <w:szCs w:val="24"/>
              </w:rPr>
              <w:t>（1）生态环境：水土流失、场地绿化、</w:t>
            </w:r>
            <w:r>
              <w:rPr>
                <w:rFonts w:hint="default" w:ascii="Times New Roman" w:hAnsi="Times New Roman" w:cs="Times New Roman" w:eastAsiaTheme="minorEastAsia"/>
                <w:sz w:val="24"/>
                <w:szCs w:val="24"/>
                <w:lang w:eastAsia="zh-CN"/>
              </w:rPr>
              <w:t>动植物影响。</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rPr>
              <w:t>）固体废物：</w:t>
            </w:r>
            <w:r>
              <w:rPr>
                <w:rFonts w:hint="default" w:ascii="Times New Roman" w:hAnsi="Times New Roman" w:cs="Times New Roman" w:eastAsiaTheme="minorEastAsia"/>
                <w:sz w:val="24"/>
                <w:szCs w:val="24"/>
                <w:lang w:eastAsia="zh-CN"/>
              </w:rPr>
              <w:t>施工期产生的生活垃圾、土石方</w:t>
            </w:r>
            <w:r>
              <w:rPr>
                <w:rFonts w:hint="default" w:ascii="Times New Roman" w:hAnsi="Times New Roman" w:cs="Times New Roman" w:eastAsiaTheme="minorEastAsia"/>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eastAsia="zh-CN"/>
              </w:rPr>
              <w:t>）其他：临时工程拆除及迹地恢复情况。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11" w:hRule="atLeast"/>
          <w:jc w:val="center"/>
        </w:trPr>
        <w:tc>
          <w:tcPr>
            <w:tcW w:w="254" w:type="pct"/>
            <w:vAlign w:val="center"/>
          </w:tcPr>
          <w:p>
            <w:pPr>
              <w:autoSpaceDE w:val="0"/>
              <w:autoSpaceDN w:val="0"/>
              <w:adjustRightInd w:val="0"/>
              <w:spacing w:line="440" w:lineRule="exact"/>
              <w:jc w:val="center"/>
              <w:rPr>
                <w:rFonts w:hint="eastAsia" w:ascii="Times New Roman" w:hAnsi="Times New Roman" w:cs="Times New Roman" w:eastAsiaTheme="minorEastAsia"/>
                <w:b/>
                <w:bCs/>
                <w:color w:val="000000"/>
                <w:sz w:val="24"/>
                <w:szCs w:val="24"/>
                <w:lang w:eastAsia="zh-CN"/>
              </w:rPr>
            </w:pPr>
            <w:r>
              <w:rPr>
                <w:rFonts w:hint="eastAsia" w:cs="Times New Roman" w:eastAsiaTheme="minorEastAsia"/>
                <w:b/>
                <w:bCs/>
                <w:color w:val="000000"/>
                <w:sz w:val="24"/>
                <w:szCs w:val="24"/>
                <w:lang w:eastAsia="zh-CN"/>
              </w:rPr>
              <w:t>环境敏感目标</w:t>
            </w:r>
          </w:p>
        </w:tc>
        <w:tc>
          <w:tcPr>
            <w:tcW w:w="4745" w:type="pct"/>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b/>
                <w:sz w:val="24"/>
                <w:szCs w:val="24"/>
                <w:lang w:eastAsia="zh-CN"/>
              </w:rPr>
            </w:pPr>
            <w:r>
              <w:rPr>
                <w:rFonts w:hint="eastAsia" w:ascii="Times New Roman" w:hAnsi="Times New Roman"/>
                <w:b/>
                <w:sz w:val="24"/>
                <w:szCs w:val="24"/>
                <w:lang w:val="en-US" w:eastAsia="zh-CN"/>
              </w:rPr>
              <w:t xml:space="preserve">2.3 </w:t>
            </w:r>
            <w:r>
              <w:rPr>
                <w:rFonts w:ascii="Times New Roman" w:hAnsi="Times New Roman"/>
                <w:b/>
                <w:sz w:val="24"/>
                <w:szCs w:val="24"/>
              </w:rPr>
              <w:t>环境</w:t>
            </w:r>
            <w:r>
              <w:rPr>
                <w:rFonts w:ascii="Times New Roman" w:hAnsi="Times New Roman"/>
                <w:b/>
                <w:sz w:val="24"/>
              </w:rPr>
              <w:t>敏感</w:t>
            </w:r>
            <w:r>
              <w:rPr>
                <w:rFonts w:hint="eastAsia" w:ascii="Times New Roman" w:hAnsi="Times New Roman"/>
                <w:b/>
                <w:sz w:val="24"/>
                <w:lang w:eastAsia="zh-CN"/>
              </w:rPr>
              <w:t>目标</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bCs/>
                <w:sz w:val="24"/>
                <w:lang w:eastAsia="zh-CN"/>
              </w:rPr>
            </w:pPr>
            <w:r>
              <w:rPr>
                <w:rFonts w:hint="eastAsia" w:ascii="Times New Roman" w:hAnsi="Times New Roman"/>
                <w:bCs/>
                <w:sz w:val="24"/>
                <w:lang w:eastAsia="zh-CN"/>
              </w:rPr>
              <w:t>本项目位于重庆市万州区，不涉及饮用水源保护区、自然保护区、风景名胜区、重点文物保护单位、名胜古迹等敏感保护目标。项目在生产过程中损毁的土地得到及时复垦，使施工建设中被扰动、破坏的植被得到有效的恢复，有效防止损毁土地区域水土流失的发生，使项目周边环境得到明显改善，保护生物多样性。</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bCs/>
                <w:sz w:val="24"/>
                <w:lang w:val="en-US" w:eastAsia="zh-CN"/>
              </w:rPr>
            </w:pPr>
            <w:r>
              <w:rPr>
                <w:rFonts w:hint="eastAsia" w:ascii="Times New Roman" w:hAnsi="Times New Roman"/>
                <w:bCs/>
                <w:sz w:val="24"/>
                <w:lang w:eastAsia="zh-CN"/>
              </w:rPr>
              <w:t>本项目周边</w:t>
            </w:r>
            <w:r>
              <w:rPr>
                <w:rFonts w:hint="eastAsia" w:ascii="Times New Roman" w:hAnsi="Times New Roman"/>
                <w:bCs/>
                <w:sz w:val="24"/>
                <w:lang w:val="en-US" w:eastAsia="zh-CN"/>
              </w:rPr>
              <w:t>2</w:t>
            </w:r>
            <w:r>
              <w:rPr>
                <w:rFonts w:hint="eastAsia" w:ascii="Times New Roman" w:hAnsi="Times New Roman"/>
                <w:bCs/>
                <w:sz w:val="24"/>
                <w:lang w:eastAsia="zh-CN"/>
              </w:rPr>
              <w:t>00m范围内环境敏感目标详见表</w:t>
            </w:r>
            <w:r>
              <w:rPr>
                <w:rFonts w:hint="eastAsia" w:ascii="Times New Roman" w:hAnsi="Times New Roman"/>
                <w:bCs/>
                <w:sz w:val="24"/>
                <w:lang w:val="en-US" w:eastAsia="zh-CN"/>
              </w:rPr>
              <w:t>2-1。</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lang w:val="en-US" w:eastAsia="zh-CN"/>
              </w:rPr>
              <w:t>2-1</w:t>
            </w:r>
            <w:r>
              <w:rPr>
                <w:rFonts w:ascii="Times New Roman" w:hAnsi="Times New Roman"/>
                <w:b/>
                <w:sz w:val="24"/>
                <w:szCs w:val="24"/>
              </w:rPr>
              <w:t xml:space="preserve">  </w:t>
            </w:r>
            <w:r>
              <w:rPr>
                <w:rFonts w:hint="eastAsia" w:ascii="Times New Roman" w:hAnsi="Times New Roman"/>
                <w:b/>
                <w:sz w:val="24"/>
                <w:szCs w:val="24"/>
                <w:lang w:eastAsia="zh-CN"/>
              </w:rPr>
              <w:t>本</w:t>
            </w:r>
            <w:r>
              <w:rPr>
                <w:rFonts w:ascii="Times New Roman" w:hAnsi="Times New Roman"/>
                <w:b/>
                <w:sz w:val="24"/>
                <w:szCs w:val="24"/>
              </w:rPr>
              <w:t>项目周边环境敏感点统计表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2890"/>
              <w:gridCol w:w="1447"/>
              <w:gridCol w:w="2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pct"/>
                  <w:noWrap w:val="0"/>
                  <w:vAlign w:val="center"/>
                </w:tcPr>
                <w:p>
                  <w:pPr>
                    <w:spacing w:line="300" w:lineRule="exact"/>
                    <w:jc w:val="center"/>
                    <w:rPr>
                      <w:color w:val="000000"/>
                      <w:sz w:val="21"/>
                      <w:szCs w:val="21"/>
                    </w:rPr>
                  </w:pPr>
                  <w:r>
                    <w:rPr>
                      <w:rFonts w:hAnsi="宋体"/>
                      <w:color w:val="000000"/>
                      <w:sz w:val="21"/>
                      <w:szCs w:val="21"/>
                    </w:rPr>
                    <w:t>项目</w:t>
                  </w:r>
                </w:p>
              </w:tc>
              <w:tc>
                <w:tcPr>
                  <w:tcW w:w="1684" w:type="pct"/>
                  <w:noWrap w:val="0"/>
                  <w:vAlign w:val="center"/>
                </w:tcPr>
                <w:p>
                  <w:pPr>
                    <w:spacing w:line="300" w:lineRule="exact"/>
                    <w:jc w:val="center"/>
                    <w:rPr>
                      <w:color w:val="000000"/>
                      <w:sz w:val="21"/>
                      <w:szCs w:val="21"/>
                    </w:rPr>
                  </w:pPr>
                  <w:r>
                    <w:rPr>
                      <w:rFonts w:hAnsi="宋体"/>
                      <w:color w:val="000000"/>
                      <w:sz w:val="21"/>
                      <w:szCs w:val="21"/>
                    </w:rPr>
                    <w:t>敏感点及保护目标</w:t>
                  </w:r>
                </w:p>
              </w:tc>
              <w:tc>
                <w:tcPr>
                  <w:tcW w:w="843" w:type="pct"/>
                  <w:noWrap w:val="0"/>
                  <w:vAlign w:val="center"/>
                </w:tcPr>
                <w:p>
                  <w:pPr>
                    <w:spacing w:line="300" w:lineRule="exact"/>
                    <w:jc w:val="center"/>
                    <w:rPr>
                      <w:color w:val="000000"/>
                      <w:sz w:val="21"/>
                      <w:szCs w:val="21"/>
                    </w:rPr>
                  </w:pPr>
                  <w:r>
                    <w:rPr>
                      <w:rFonts w:hAnsi="宋体"/>
                      <w:color w:val="000000"/>
                      <w:sz w:val="21"/>
                      <w:szCs w:val="21"/>
                    </w:rPr>
                    <w:t>距管道边线距离（米）</w:t>
                  </w:r>
                </w:p>
              </w:tc>
              <w:tc>
                <w:tcPr>
                  <w:tcW w:w="1684" w:type="pct"/>
                  <w:noWrap w:val="0"/>
                  <w:vAlign w:val="center"/>
                </w:tcPr>
                <w:p>
                  <w:pPr>
                    <w:spacing w:line="300" w:lineRule="exact"/>
                    <w:jc w:val="center"/>
                    <w:rPr>
                      <w:color w:val="000000"/>
                      <w:sz w:val="21"/>
                      <w:szCs w:val="21"/>
                    </w:rPr>
                  </w:pPr>
                  <w:r>
                    <w:rPr>
                      <w:rFonts w:hAnsi="宋体"/>
                      <w:color w:val="000000"/>
                      <w:sz w:val="21"/>
                      <w:szCs w:val="21"/>
                    </w:rPr>
                    <w:t>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pct"/>
                  <w:noWrap w:val="0"/>
                  <w:vAlign w:val="center"/>
                </w:tcPr>
                <w:p>
                  <w:pPr>
                    <w:spacing w:line="300" w:lineRule="exact"/>
                    <w:ind w:left="-105" w:leftChars="-50" w:right="-105" w:rightChars="-50"/>
                    <w:jc w:val="center"/>
                    <w:rPr>
                      <w:color w:val="000000"/>
                      <w:sz w:val="21"/>
                      <w:szCs w:val="21"/>
                    </w:rPr>
                  </w:pPr>
                  <w:r>
                    <w:rPr>
                      <w:rFonts w:hAnsi="宋体"/>
                      <w:color w:val="000000"/>
                      <w:sz w:val="21"/>
                      <w:szCs w:val="21"/>
                    </w:rPr>
                    <w:t>环境空气</w:t>
                  </w:r>
                </w:p>
              </w:tc>
              <w:tc>
                <w:tcPr>
                  <w:tcW w:w="1684" w:type="pct"/>
                  <w:noWrap w:val="0"/>
                  <w:vAlign w:val="center"/>
                </w:tcPr>
                <w:p>
                  <w:pPr>
                    <w:spacing w:line="300" w:lineRule="exact"/>
                    <w:ind w:left="-105" w:leftChars="-50" w:right="-105" w:rightChars="-50"/>
                    <w:jc w:val="center"/>
                    <w:rPr>
                      <w:rFonts w:hint="eastAsia"/>
                      <w:color w:val="000000"/>
                      <w:sz w:val="21"/>
                      <w:szCs w:val="21"/>
                    </w:rPr>
                  </w:pPr>
                  <w:r>
                    <w:rPr>
                      <w:rFonts w:hAnsi="宋体"/>
                      <w:color w:val="000000"/>
                      <w:sz w:val="21"/>
                      <w:szCs w:val="21"/>
                    </w:rPr>
                    <w:t>管网沿线两侧</w:t>
                  </w:r>
                  <w:r>
                    <w:rPr>
                      <w:color w:val="000000"/>
                      <w:sz w:val="21"/>
                      <w:szCs w:val="21"/>
                    </w:rPr>
                    <w:t>200</w:t>
                  </w:r>
                  <w:r>
                    <w:rPr>
                      <w:rFonts w:hAnsi="宋体"/>
                      <w:color w:val="000000"/>
                      <w:sz w:val="21"/>
                      <w:szCs w:val="21"/>
                    </w:rPr>
                    <w:t>米内的居民</w:t>
                  </w:r>
                  <w:r>
                    <w:rPr>
                      <w:rFonts w:hint="eastAsia" w:hAnsi="宋体"/>
                      <w:color w:val="000000"/>
                      <w:sz w:val="21"/>
                      <w:szCs w:val="21"/>
                    </w:rPr>
                    <w:t>、机关、学校、医院等</w:t>
                  </w:r>
                </w:p>
              </w:tc>
              <w:tc>
                <w:tcPr>
                  <w:tcW w:w="843" w:type="pct"/>
                  <w:noWrap w:val="0"/>
                  <w:vAlign w:val="center"/>
                </w:tcPr>
                <w:p>
                  <w:pPr>
                    <w:spacing w:line="300" w:lineRule="exact"/>
                    <w:jc w:val="center"/>
                    <w:rPr>
                      <w:color w:val="000000"/>
                      <w:sz w:val="21"/>
                      <w:szCs w:val="21"/>
                    </w:rPr>
                  </w:pPr>
                  <w:r>
                    <w:rPr>
                      <w:color w:val="000000"/>
                      <w:sz w:val="21"/>
                      <w:szCs w:val="21"/>
                    </w:rPr>
                    <w:t>3</w:t>
                  </w:r>
                  <w:r>
                    <w:rPr>
                      <w:rFonts w:hAnsi="宋体"/>
                      <w:color w:val="000000"/>
                      <w:sz w:val="21"/>
                      <w:szCs w:val="21"/>
                    </w:rPr>
                    <w:t>～</w:t>
                  </w:r>
                  <w:r>
                    <w:rPr>
                      <w:color w:val="000000"/>
                      <w:sz w:val="21"/>
                      <w:szCs w:val="21"/>
                    </w:rPr>
                    <w:t>200</w:t>
                  </w:r>
                </w:p>
              </w:tc>
              <w:tc>
                <w:tcPr>
                  <w:tcW w:w="1684" w:type="pct"/>
                  <w:noWrap w:val="0"/>
                  <w:vAlign w:val="center"/>
                </w:tcPr>
                <w:p>
                  <w:pPr>
                    <w:spacing w:line="300" w:lineRule="exact"/>
                    <w:jc w:val="center"/>
                    <w:rPr>
                      <w:color w:val="000000"/>
                      <w:sz w:val="21"/>
                      <w:szCs w:val="21"/>
                    </w:rPr>
                  </w:pPr>
                  <w:r>
                    <w:rPr>
                      <w:rFonts w:hAnsi="宋体"/>
                      <w:color w:val="000000"/>
                      <w:sz w:val="21"/>
                      <w:szCs w:val="21"/>
                    </w:rPr>
                    <w:t>《环境空气质量标准》</w:t>
                  </w:r>
                  <w:r>
                    <w:rPr>
                      <w:rFonts w:hint="eastAsia"/>
                      <w:color w:val="000000"/>
                      <w:sz w:val="21"/>
                      <w:szCs w:val="21"/>
                      <w:lang w:eastAsia="zh-CN"/>
                    </w:rPr>
                    <w:t>（</w:t>
                  </w:r>
                  <w:r>
                    <w:rPr>
                      <w:color w:val="000000"/>
                      <w:sz w:val="21"/>
                      <w:szCs w:val="21"/>
                    </w:rPr>
                    <w:t>GB3095-</w:t>
                  </w:r>
                  <w:r>
                    <w:rPr>
                      <w:rFonts w:hint="eastAsia"/>
                      <w:color w:val="000000"/>
                      <w:sz w:val="21"/>
                      <w:szCs w:val="21"/>
                      <w:lang w:val="en-US" w:eastAsia="zh-CN"/>
                    </w:rPr>
                    <w:t>2012</w:t>
                  </w:r>
                  <w:r>
                    <w:rPr>
                      <w:rFonts w:hint="eastAsia"/>
                      <w:color w:val="000000"/>
                      <w:sz w:val="21"/>
                      <w:szCs w:val="21"/>
                      <w:lang w:eastAsia="zh-CN"/>
                    </w:rPr>
                    <w:t>）</w:t>
                  </w:r>
                  <w:r>
                    <w:rPr>
                      <w:rFonts w:hAnsi="宋体"/>
                      <w:color w:val="000000"/>
                      <w:sz w:val="21"/>
                      <w:szCs w:val="21"/>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pct"/>
                  <w:noWrap w:val="0"/>
                  <w:vAlign w:val="center"/>
                </w:tcPr>
                <w:p>
                  <w:pPr>
                    <w:spacing w:line="300" w:lineRule="exact"/>
                    <w:jc w:val="center"/>
                    <w:rPr>
                      <w:color w:val="000000"/>
                      <w:sz w:val="21"/>
                      <w:szCs w:val="21"/>
                    </w:rPr>
                  </w:pPr>
                  <w:r>
                    <w:rPr>
                      <w:rFonts w:hAnsi="宋体"/>
                      <w:color w:val="000000"/>
                      <w:sz w:val="21"/>
                      <w:szCs w:val="21"/>
                    </w:rPr>
                    <w:t>声环境</w:t>
                  </w:r>
                </w:p>
              </w:tc>
              <w:tc>
                <w:tcPr>
                  <w:tcW w:w="1684" w:type="pct"/>
                  <w:noWrap w:val="0"/>
                  <w:vAlign w:val="center"/>
                </w:tcPr>
                <w:p>
                  <w:pPr>
                    <w:spacing w:line="300" w:lineRule="exact"/>
                    <w:ind w:left="-105" w:leftChars="-50" w:right="-105" w:rightChars="-50"/>
                    <w:jc w:val="center"/>
                    <w:rPr>
                      <w:rFonts w:ascii="Times New Roman" w:hAnsi="宋体" w:eastAsia="宋体" w:cs="Times New Roman"/>
                      <w:color w:val="000000"/>
                      <w:sz w:val="21"/>
                      <w:szCs w:val="21"/>
                    </w:rPr>
                  </w:pPr>
                  <w:r>
                    <w:rPr>
                      <w:rFonts w:ascii="Times New Roman" w:hAnsi="宋体" w:eastAsia="宋体" w:cs="Times New Roman"/>
                      <w:color w:val="000000"/>
                      <w:sz w:val="21"/>
                      <w:szCs w:val="21"/>
                    </w:rPr>
                    <w:t>管网沿线两侧200米内的居民</w:t>
                  </w:r>
                  <w:r>
                    <w:rPr>
                      <w:rFonts w:hint="eastAsia" w:ascii="Times New Roman" w:hAnsi="宋体" w:eastAsia="宋体" w:cs="Times New Roman"/>
                      <w:color w:val="000000"/>
                      <w:sz w:val="21"/>
                      <w:szCs w:val="21"/>
                    </w:rPr>
                    <w:t>、机关、学校、医院等</w:t>
                  </w:r>
                </w:p>
              </w:tc>
              <w:tc>
                <w:tcPr>
                  <w:tcW w:w="843" w:type="pct"/>
                  <w:noWrap w:val="0"/>
                  <w:vAlign w:val="center"/>
                </w:tcPr>
                <w:p>
                  <w:pPr>
                    <w:spacing w:line="300" w:lineRule="exact"/>
                    <w:jc w:val="center"/>
                    <w:rPr>
                      <w:color w:val="000000"/>
                      <w:sz w:val="21"/>
                      <w:szCs w:val="21"/>
                    </w:rPr>
                  </w:pPr>
                  <w:r>
                    <w:rPr>
                      <w:color w:val="000000"/>
                      <w:sz w:val="21"/>
                      <w:szCs w:val="21"/>
                    </w:rPr>
                    <w:t>3</w:t>
                  </w:r>
                  <w:r>
                    <w:rPr>
                      <w:rFonts w:hAnsi="宋体"/>
                      <w:color w:val="000000"/>
                      <w:sz w:val="21"/>
                      <w:szCs w:val="21"/>
                    </w:rPr>
                    <w:t>～</w:t>
                  </w:r>
                  <w:r>
                    <w:rPr>
                      <w:color w:val="000000"/>
                      <w:sz w:val="21"/>
                      <w:szCs w:val="21"/>
                    </w:rPr>
                    <w:t>200</w:t>
                  </w:r>
                </w:p>
              </w:tc>
              <w:tc>
                <w:tcPr>
                  <w:tcW w:w="1684" w:type="pct"/>
                  <w:noWrap w:val="0"/>
                  <w:vAlign w:val="center"/>
                </w:tcPr>
                <w:p>
                  <w:pPr>
                    <w:spacing w:line="300" w:lineRule="exact"/>
                    <w:jc w:val="center"/>
                    <w:rPr>
                      <w:color w:val="000000"/>
                      <w:sz w:val="21"/>
                      <w:szCs w:val="21"/>
                    </w:rPr>
                  </w:pPr>
                  <w:r>
                    <w:rPr>
                      <w:rFonts w:hAnsi="宋体"/>
                      <w:color w:val="000000"/>
                      <w:sz w:val="21"/>
                      <w:szCs w:val="21"/>
                    </w:rPr>
                    <w:t>《声环境质量标准》（</w:t>
                  </w:r>
                  <w:r>
                    <w:rPr>
                      <w:color w:val="000000"/>
                      <w:sz w:val="21"/>
                      <w:szCs w:val="21"/>
                    </w:rPr>
                    <w:t>GB3096-2008</w:t>
                  </w:r>
                  <w:r>
                    <w:rPr>
                      <w:rFonts w:hAnsi="宋体"/>
                      <w:color w:val="000000"/>
                      <w:sz w:val="21"/>
                      <w:szCs w:val="21"/>
                    </w:rPr>
                    <w:t>）</w:t>
                  </w:r>
                  <w:r>
                    <w:rPr>
                      <w:color w:val="000000"/>
                      <w:sz w:val="21"/>
                      <w:szCs w:val="21"/>
                    </w:rPr>
                    <w:t>2</w:t>
                  </w:r>
                  <w:r>
                    <w:rPr>
                      <w:rFonts w:hAnsi="宋体"/>
                      <w:color w:val="000000"/>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pct"/>
                  <w:noWrap w:val="0"/>
                  <w:vAlign w:val="center"/>
                </w:tcPr>
                <w:p>
                  <w:pPr>
                    <w:spacing w:line="300" w:lineRule="exact"/>
                    <w:ind w:left="-105" w:leftChars="-50" w:right="-105" w:rightChars="-50"/>
                    <w:jc w:val="center"/>
                    <w:rPr>
                      <w:color w:val="000000"/>
                      <w:sz w:val="21"/>
                      <w:szCs w:val="21"/>
                    </w:rPr>
                  </w:pPr>
                  <w:r>
                    <w:rPr>
                      <w:rFonts w:hAnsi="宋体"/>
                      <w:color w:val="000000"/>
                      <w:sz w:val="21"/>
                      <w:szCs w:val="21"/>
                    </w:rPr>
                    <w:t>地表水</w:t>
                  </w:r>
                </w:p>
              </w:tc>
              <w:tc>
                <w:tcPr>
                  <w:tcW w:w="1684" w:type="pct"/>
                  <w:noWrap w:val="0"/>
                  <w:vAlign w:val="center"/>
                </w:tcPr>
                <w:p>
                  <w:pPr>
                    <w:spacing w:line="300" w:lineRule="exact"/>
                    <w:ind w:left="-105" w:leftChars="-50" w:right="-105" w:rightChars="-50"/>
                    <w:jc w:val="center"/>
                    <w:rPr>
                      <w:rFonts w:hint="eastAsia" w:ascii="Times New Roman" w:hAnsi="宋体" w:eastAsia="宋体" w:cs="Times New Roman"/>
                      <w:color w:val="000000"/>
                      <w:sz w:val="21"/>
                      <w:szCs w:val="21"/>
                      <w:lang w:val="en-US" w:eastAsia="zh-CN"/>
                    </w:rPr>
                  </w:pPr>
                  <w:r>
                    <w:rPr>
                      <w:rFonts w:hint="eastAsia" w:ascii="Times New Roman" w:hAnsi="宋体" w:eastAsia="宋体" w:cs="Times New Roman"/>
                      <w:color w:val="000000"/>
                      <w:sz w:val="21"/>
                      <w:szCs w:val="21"/>
                      <w:lang w:val="en-US" w:eastAsia="zh-CN"/>
                    </w:rPr>
                    <w:t>长江、苎溪河、五桥河、</w:t>
                  </w:r>
                  <w:r>
                    <w:rPr>
                      <w:rFonts w:hint="eastAsia" w:ascii="Times New Roman" w:hAnsi="宋体" w:eastAsia="宋体" w:cs="Times New Roman"/>
                      <w:color w:val="000000"/>
                      <w:sz w:val="21"/>
                      <w:szCs w:val="21"/>
                      <w:lang w:eastAsia="zh-CN"/>
                    </w:rPr>
                    <w:t>瀼渡河、</w:t>
                  </w:r>
                  <w:r>
                    <w:rPr>
                      <w:rFonts w:hint="eastAsia" w:ascii="Times New Roman" w:hAnsi="宋体" w:eastAsia="宋体" w:cs="Times New Roman"/>
                      <w:color w:val="000000"/>
                      <w:sz w:val="21"/>
                      <w:szCs w:val="21"/>
                      <w:lang w:val="en-US" w:eastAsia="zh-CN"/>
                    </w:rPr>
                    <w:t>培文河</w:t>
                  </w:r>
                </w:p>
              </w:tc>
              <w:tc>
                <w:tcPr>
                  <w:tcW w:w="843" w:type="pct"/>
                  <w:noWrap w:val="0"/>
                  <w:vAlign w:val="center"/>
                </w:tcPr>
                <w:p>
                  <w:pPr>
                    <w:pStyle w:val="101"/>
                    <w:widowControl w:val="0"/>
                    <w:spacing w:before="0" w:after="0" w:line="300" w:lineRule="exact"/>
                    <w:rPr>
                      <w:rFonts w:hint="eastAsia" w:eastAsia="宋体"/>
                      <w:color w:val="000000"/>
                      <w:kern w:val="2"/>
                      <w:sz w:val="21"/>
                      <w:szCs w:val="21"/>
                    </w:rPr>
                  </w:pPr>
                  <w:r>
                    <w:rPr>
                      <w:rFonts w:hint="eastAsia" w:eastAsia="宋体"/>
                      <w:color w:val="000000"/>
                      <w:kern w:val="2"/>
                      <w:sz w:val="21"/>
                      <w:szCs w:val="21"/>
                      <w:lang w:val="en-US" w:eastAsia="zh-CN"/>
                    </w:rPr>
                    <w:t>300</w:t>
                  </w:r>
                  <w:r>
                    <w:rPr>
                      <w:rFonts w:hint="eastAsia" w:eastAsia="宋体"/>
                      <w:color w:val="000000"/>
                      <w:kern w:val="2"/>
                      <w:sz w:val="21"/>
                      <w:szCs w:val="21"/>
                    </w:rPr>
                    <w:t>/</w:t>
                  </w:r>
                  <w:r>
                    <w:rPr>
                      <w:rFonts w:hint="eastAsia" w:eastAsia="宋体"/>
                      <w:color w:val="000000"/>
                      <w:kern w:val="2"/>
                      <w:sz w:val="21"/>
                      <w:szCs w:val="21"/>
                      <w:lang w:eastAsia="zh-CN"/>
                    </w:rPr>
                    <w:t>四周</w:t>
                  </w:r>
                </w:p>
              </w:tc>
              <w:tc>
                <w:tcPr>
                  <w:tcW w:w="1684" w:type="pct"/>
                  <w:noWrap w:val="0"/>
                  <w:vAlign w:val="center"/>
                </w:tcPr>
                <w:p>
                  <w:pPr>
                    <w:pStyle w:val="101"/>
                    <w:widowControl w:val="0"/>
                    <w:spacing w:line="300" w:lineRule="exact"/>
                    <w:rPr>
                      <w:rFonts w:eastAsia="宋体"/>
                      <w:snapToGrid w:val="0"/>
                      <w:color w:val="000000"/>
                      <w:kern w:val="24"/>
                      <w:sz w:val="21"/>
                      <w:szCs w:val="21"/>
                    </w:rPr>
                  </w:pPr>
                  <w:r>
                    <w:rPr>
                      <w:rFonts w:hAnsi="宋体" w:eastAsia="宋体"/>
                      <w:snapToGrid w:val="0"/>
                      <w:color w:val="000000"/>
                      <w:kern w:val="24"/>
                      <w:sz w:val="21"/>
                      <w:szCs w:val="21"/>
                    </w:rPr>
                    <w:t>《地表水环境质量标准》（</w:t>
                  </w:r>
                  <w:r>
                    <w:rPr>
                      <w:rFonts w:eastAsia="宋体"/>
                      <w:snapToGrid w:val="0"/>
                      <w:color w:val="000000"/>
                      <w:kern w:val="24"/>
                      <w:sz w:val="21"/>
                      <w:szCs w:val="21"/>
                    </w:rPr>
                    <w:t>GB3838-2002</w:t>
                  </w:r>
                  <w:r>
                    <w:rPr>
                      <w:rFonts w:hAnsi="宋体" w:eastAsia="宋体"/>
                      <w:snapToGrid w:val="0"/>
                      <w:color w:val="000000"/>
                      <w:kern w:val="24"/>
                      <w:sz w:val="21"/>
                      <w:szCs w:val="21"/>
                    </w:rPr>
                    <w:t>）</w:t>
                  </w:r>
                  <w:r>
                    <w:rPr>
                      <w:rFonts w:hint="eastAsia" w:hAnsi="宋体" w:eastAsia="宋体"/>
                      <w:snapToGrid w:val="0"/>
                      <w:color w:val="000000"/>
                      <w:kern w:val="24"/>
                      <w:sz w:val="21"/>
                      <w:szCs w:val="21"/>
                    </w:rPr>
                    <w:t>Ⅲ</w:t>
                  </w:r>
                  <w:r>
                    <w:rPr>
                      <w:rFonts w:hAnsi="宋体" w:eastAsia="宋体"/>
                      <w:snapToGrid w:val="0"/>
                      <w:color w:val="000000"/>
                      <w:kern w:val="24"/>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pct"/>
                  <w:noWrap w:val="0"/>
                  <w:vAlign w:val="center"/>
                </w:tcPr>
                <w:p>
                  <w:pPr>
                    <w:spacing w:line="300" w:lineRule="exact"/>
                    <w:ind w:left="-105" w:leftChars="-50" w:right="-105" w:rightChars="-50"/>
                    <w:jc w:val="center"/>
                    <w:rPr>
                      <w:color w:val="000000"/>
                      <w:sz w:val="21"/>
                      <w:szCs w:val="21"/>
                    </w:rPr>
                  </w:pPr>
                  <w:r>
                    <w:rPr>
                      <w:rFonts w:hAnsi="宋体"/>
                      <w:color w:val="000000"/>
                      <w:sz w:val="21"/>
                      <w:szCs w:val="21"/>
                    </w:rPr>
                    <w:t>生态环境</w:t>
                  </w:r>
                </w:p>
              </w:tc>
              <w:tc>
                <w:tcPr>
                  <w:tcW w:w="4211" w:type="pct"/>
                  <w:gridSpan w:val="3"/>
                  <w:noWrap w:val="0"/>
                  <w:vAlign w:val="center"/>
                </w:tcPr>
                <w:p>
                  <w:pPr>
                    <w:pStyle w:val="101"/>
                    <w:widowControl w:val="0"/>
                    <w:spacing w:before="0" w:after="0" w:line="300" w:lineRule="exact"/>
                    <w:rPr>
                      <w:rFonts w:eastAsia="宋体"/>
                      <w:color w:val="000000"/>
                      <w:kern w:val="2"/>
                      <w:sz w:val="21"/>
                      <w:szCs w:val="21"/>
                    </w:rPr>
                  </w:pPr>
                  <w:r>
                    <w:rPr>
                      <w:rFonts w:hAnsi="宋体" w:eastAsia="宋体"/>
                      <w:bCs/>
                      <w:snapToGrid w:val="0"/>
                      <w:color w:val="000000"/>
                      <w:kern w:val="24"/>
                      <w:sz w:val="21"/>
                      <w:szCs w:val="21"/>
                    </w:rPr>
                    <w:t>工程管线两侧</w:t>
                  </w:r>
                  <w:r>
                    <w:rPr>
                      <w:rFonts w:eastAsia="宋体"/>
                      <w:color w:val="000000"/>
                      <w:kern w:val="2"/>
                      <w:sz w:val="21"/>
                      <w:szCs w:val="21"/>
                    </w:rPr>
                    <w:t>50</w:t>
                  </w:r>
                  <w:r>
                    <w:rPr>
                      <w:rFonts w:hAnsi="宋体" w:eastAsia="宋体"/>
                      <w:color w:val="000000"/>
                      <w:kern w:val="2"/>
                      <w:sz w:val="21"/>
                      <w:szCs w:val="21"/>
                    </w:rPr>
                    <w:t>米范围内的地表植被、土壤、水土流失等</w:t>
                  </w:r>
                </w:p>
              </w:tc>
            </w:tr>
          </w:tbl>
          <w:p>
            <w:pPr>
              <w:pStyle w:val="2"/>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700" w:hRule="atLeast"/>
          <w:jc w:val="center"/>
        </w:trPr>
        <w:tc>
          <w:tcPr>
            <w:tcW w:w="254" w:type="pct"/>
            <w:vAlign w:val="center"/>
          </w:tcPr>
          <w:p>
            <w:pPr>
              <w:tabs>
                <w:tab w:val="left" w:pos="2640"/>
              </w:tabs>
              <w:spacing w:line="440" w:lineRule="exact"/>
              <w:jc w:val="center"/>
              <w:rPr>
                <w:rFonts w:hint="default" w:ascii="Times New Roman" w:hAnsi="Times New Roman" w:cs="Times New Roman" w:eastAsiaTheme="minorEastAsia"/>
                <w:b/>
                <w:bCs/>
                <w:color w:val="000000"/>
                <w:sz w:val="24"/>
                <w:szCs w:val="24"/>
              </w:rPr>
            </w:pPr>
            <w:r>
              <w:rPr>
                <w:rFonts w:hint="default" w:ascii="Times New Roman" w:hAnsi="Times New Roman" w:cs="Times New Roman" w:eastAsiaTheme="minorEastAsia"/>
                <w:b/>
                <w:bCs/>
                <w:color w:val="000000"/>
                <w:sz w:val="24"/>
                <w:szCs w:val="24"/>
              </w:rPr>
              <w:t>调查</w:t>
            </w:r>
          </w:p>
          <w:p>
            <w:pPr>
              <w:autoSpaceDE w:val="0"/>
              <w:autoSpaceDN w:val="0"/>
              <w:adjustRightInd w:val="0"/>
              <w:spacing w:line="440" w:lineRule="exact"/>
              <w:jc w:val="center"/>
              <w:rPr>
                <w:rFonts w:hint="default" w:ascii="Times New Roman" w:hAnsi="Times New Roman" w:cs="Times New Roman" w:eastAsiaTheme="minorEastAsia"/>
                <w:b/>
                <w:bCs/>
                <w:color w:val="000000"/>
                <w:sz w:val="24"/>
                <w:szCs w:val="24"/>
              </w:rPr>
            </w:pPr>
            <w:r>
              <w:rPr>
                <w:rFonts w:hint="default" w:ascii="Times New Roman" w:hAnsi="Times New Roman" w:cs="Times New Roman" w:eastAsiaTheme="minorEastAsia"/>
                <w:b/>
                <w:bCs/>
                <w:color w:val="000000"/>
                <w:sz w:val="24"/>
                <w:szCs w:val="24"/>
              </w:rPr>
              <w:t>重点</w:t>
            </w:r>
          </w:p>
        </w:tc>
        <w:tc>
          <w:tcPr>
            <w:tcW w:w="4745" w:type="pct"/>
            <w:vAlign w:val="top"/>
          </w:tcPr>
          <w:p>
            <w:pPr>
              <w:tabs>
                <w:tab w:val="left" w:pos="2640"/>
              </w:tabs>
              <w:adjustRightInd w:val="0"/>
              <w:snapToGrid w:val="0"/>
              <w:spacing w:line="360" w:lineRule="auto"/>
              <w:jc w:val="both"/>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2.</w:t>
            </w:r>
            <w:r>
              <w:rPr>
                <w:rFonts w:hint="eastAsia" w:cs="Times New Roman" w:eastAsiaTheme="minorEastAsia"/>
                <w:b/>
                <w:bCs/>
                <w:sz w:val="24"/>
                <w:szCs w:val="24"/>
                <w:lang w:val="en-US" w:eastAsia="zh-CN"/>
              </w:rPr>
              <w:t>4</w:t>
            </w:r>
            <w:r>
              <w:rPr>
                <w:rFonts w:hint="default" w:ascii="Times New Roman" w:hAnsi="Times New Roman" w:cs="Times New Roman" w:eastAsiaTheme="minorEastAsia"/>
                <w:b/>
                <w:bCs/>
                <w:sz w:val="24"/>
                <w:szCs w:val="24"/>
                <w:lang w:val="en-US" w:eastAsia="zh-CN"/>
              </w:rPr>
              <w:t xml:space="preserve"> 调查重点</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sz w:val="24"/>
                <w:szCs w:val="24"/>
                <w:lang w:eastAsia="zh-CN"/>
              </w:rPr>
              <w:t>生态环境影响</w:t>
            </w:r>
            <w:r>
              <w:rPr>
                <w:rFonts w:hint="default" w:ascii="Times New Roman" w:hAnsi="Times New Roman" w:cs="Times New Roman" w:eastAsiaTheme="minorEastAsia"/>
                <w:sz w:val="24"/>
                <w:szCs w:val="24"/>
              </w:rPr>
              <w:t>；</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w:t>
            </w:r>
            <w:r>
              <w:rPr>
                <w:rFonts w:hint="default" w:ascii="Times New Roman" w:hAnsi="Times New Roman" w:cs="Times New Roman" w:eastAsiaTheme="minorEastAsia"/>
                <w:sz w:val="24"/>
                <w:szCs w:val="24"/>
                <w:lang w:eastAsia="zh-CN"/>
              </w:rPr>
              <w:t>水土保持</w:t>
            </w:r>
            <w:r>
              <w:rPr>
                <w:rFonts w:hint="default" w:ascii="Times New Roman" w:hAnsi="Times New Roman" w:cs="Times New Roman" w:eastAsiaTheme="minorEastAsia"/>
                <w:sz w:val="24"/>
                <w:szCs w:val="24"/>
              </w:rPr>
              <w:t>效果；</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rPr>
              <w:t>3、</w:t>
            </w:r>
            <w:r>
              <w:rPr>
                <w:rFonts w:hint="default" w:ascii="Times New Roman" w:hAnsi="Times New Roman" w:cs="Times New Roman" w:eastAsiaTheme="minorEastAsia"/>
                <w:sz w:val="24"/>
                <w:szCs w:val="24"/>
                <w:lang w:eastAsia="zh-CN"/>
              </w:rPr>
              <w:t>固体废物处置及去向；</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4、临时工程拆除及迹地恢复情况。</w:t>
            </w:r>
          </w:p>
          <w:p>
            <w:pPr>
              <w:tabs>
                <w:tab w:val="left" w:pos="2640"/>
              </w:tabs>
              <w:adjustRightInd w:val="0"/>
              <w:snapToGrid w:val="0"/>
              <w:spacing w:line="360" w:lineRule="auto"/>
              <w:ind w:firstLine="480" w:firstLineChars="200"/>
              <w:jc w:val="both"/>
              <w:rPr>
                <w:rFonts w:hint="eastAsia" w:eastAsiaTheme="minorEastAsia"/>
                <w:lang w:val="en-US" w:eastAsia="zh-CN"/>
              </w:rPr>
            </w:pPr>
            <w:r>
              <w:rPr>
                <w:rFonts w:hint="eastAsia" w:ascii="Times New Roman" w:hAnsi="Times New Roman" w:cs="Times New Roman" w:eastAsiaTheme="minorEastAsia"/>
                <w:sz w:val="24"/>
                <w:szCs w:val="24"/>
                <w:lang w:val="en-US" w:eastAsia="zh-CN"/>
              </w:rPr>
              <w:t>5、</w:t>
            </w:r>
            <w:r>
              <w:rPr>
                <w:rFonts w:hint="eastAsia" w:cs="Times New Roman" w:eastAsiaTheme="minorEastAsia"/>
                <w:sz w:val="24"/>
                <w:szCs w:val="24"/>
                <w:lang w:val="en-US" w:eastAsia="zh-CN"/>
              </w:rPr>
              <w:t>各工程</w:t>
            </w:r>
            <w:r>
              <w:rPr>
                <w:rFonts w:hint="eastAsia" w:ascii="Times New Roman" w:hAnsi="Times New Roman" w:cs="Times New Roman" w:eastAsiaTheme="minorEastAsia"/>
                <w:sz w:val="24"/>
                <w:szCs w:val="24"/>
                <w:lang w:val="en-US" w:eastAsia="zh-CN"/>
              </w:rPr>
              <w:t>复绿情况</w:t>
            </w:r>
            <w:r>
              <w:rPr>
                <w:rFonts w:hint="eastAsia" w:cs="Times New Roman" w:eastAsiaTheme="minorEastAsia"/>
                <w:sz w:val="24"/>
                <w:szCs w:val="24"/>
                <w:lang w:val="en-US" w:eastAsia="zh-CN"/>
              </w:rPr>
              <w:t>。</w:t>
            </w:r>
          </w:p>
          <w:p>
            <w:pPr>
              <w:tabs>
                <w:tab w:val="left" w:pos="2640"/>
              </w:tabs>
              <w:adjustRightInd w:val="0"/>
              <w:snapToGrid w:val="0"/>
              <w:spacing w:line="360" w:lineRule="auto"/>
              <w:jc w:val="both"/>
              <w:rPr>
                <w:rFonts w:hint="default" w:ascii="Times New Roman" w:hAnsi="Times New Roman" w:cs="Times New Roman" w:eastAsiaTheme="minorEastAsia"/>
                <w:sz w:val="24"/>
                <w:szCs w:val="24"/>
                <w:lang w:val="en-US" w:eastAsia="zh-CN"/>
              </w:rPr>
            </w:pPr>
          </w:p>
        </w:tc>
      </w:tr>
    </w:tbl>
    <w:p>
      <w:pPr>
        <w:spacing w:line="440" w:lineRule="exact"/>
        <w:jc w:val="both"/>
        <w:outlineLvl w:val="0"/>
        <w:rPr>
          <w:rFonts w:hint="default" w:ascii="Times New Roman" w:hAnsi="Times New Roman" w:cs="Times New Roman"/>
          <w:b/>
          <w:color w:val="000000"/>
          <w:sz w:val="28"/>
          <w:szCs w:val="28"/>
          <w:lang w:val="en-US" w:eastAsia="zh-CN"/>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440" w:lineRule="exact"/>
        <w:jc w:val="both"/>
        <w:outlineLvl w:val="0"/>
        <w:rPr>
          <w:rFonts w:hint="default" w:ascii="Times New Roman" w:hAnsi="Times New Roman" w:eastAsia="宋体" w:cs="Times New Roman"/>
          <w:b/>
          <w:color w:val="000000"/>
          <w:sz w:val="28"/>
          <w:szCs w:val="28"/>
        </w:rPr>
      </w:pPr>
      <w:r>
        <w:rPr>
          <w:rFonts w:hint="default" w:ascii="Times New Roman" w:hAnsi="Times New Roman" w:cs="Times New Roman"/>
          <w:b/>
          <w:color w:val="000000"/>
          <w:sz w:val="28"/>
          <w:szCs w:val="28"/>
          <w:lang w:val="en-US" w:eastAsia="zh-CN"/>
        </w:rPr>
        <w:t>三、</w:t>
      </w:r>
      <w:r>
        <w:rPr>
          <w:rFonts w:hint="default" w:ascii="Times New Roman" w:hAnsi="Times New Roman" w:eastAsia="宋体" w:cs="Times New Roman"/>
          <w:b/>
          <w:color w:val="000000"/>
          <w:sz w:val="28"/>
          <w:szCs w:val="28"/>
        </w:rPr>
        <w:t>验收执行标准</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7"/>
        <w:gridCol w:w="88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45" w:hRule="atLeast"/>
          <w:jc w:val="center"/>
        </w:trPr>
        <w:tc>
          <w:tcPr>
            <w:tcW w:w="246" w:type="pct"/>
            <w:vAlign w:val="center"/>
          </w:tcPr>
          <w:p>
            <w:pPr>
              <w:autoSpaceDE w:val="0"/>
              <w:autoSpaceDN w:val="0"/>
              <w:adjustRightInd w:val="0"/>
              <w:spacing w:line="440" w:lineRule="exact"/>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环境</w:t>
            </w:r>
          </w:p>
          <w:p>
            <w:pPr>
              <w:autoSpaceDE w:val="0"/>
              <w:autoSpaceDN w:val="0"/>
              <w:adjustRightInd w:val="0"/>
              <w:spacing w:line="440" w:lineRule="exact"/>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质量</w:t>
            </w:r>
          </w:p>
          <w:p>
            <w:pPr>
              <w:autoSpaceDE w:val="0"/>
              <w:autoSpaceDN w:val="0"/>
              <w:adjustRightInd w:val="0"/>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sz w:val="24"/>
                <w:szCs w:val="24"/>
              </w:rPr>
              <w:t>标准</w:t>
            </w:r>
          </w:p>
        </w:tc>
        <w:tc>
          <w:tcPr>
            <w:tcW w:w="4753" w:type="pct"/>
          </w:tcPr>
          <w:p>
            <w:pPr>
              <w:keepNext w:val="0"/>
              <w:keepLines w:val="0"/>
              <w:pageBreakBefore w:val="0"/>
              <w:widowControl w:val="0"/>
              <w:tabs>
                <w:tab w:val="left" w:pos="2640"/>
              </w:tabs>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000000"/>
                <w:sz w:val="24"/>
                <w:szCs w:val="24"/>
                <w:lang w:val="en-US" w:eastAsia="zh-CN"/>
              </w:rPr>
            </w:pPr>
            <w:r>
              <w:rPr>
                <w:rFonts w:hint="default" w:ascii="Times New Roman" w:hAnsi="Times New Roman" w:cs="Times New Roman"/>
                <w:b/>
                <w:bCs/>
                <w:color w:val="000000"/>
                <w:sz w:val="24"/>
                <w:szCs w:val="24"/>
                <w:lang w:val="en-US" w:eastAsia="zh-CN"/>
              </w:rPr>
              <w:t>3.1 环境质量标准</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lang w:eastAsia="zh-CN"/>
              </w:rPr>
              <w:t>）地表水环境</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项目区域属</w:t>
            </w:r>
            <w:r>
              <w:rPr>
                <w:rFonts w:hint="eastAsia" w:ascii="Times New Roman" w:hAnsi="Times New Roman" w:eastAsia="宋体" w:cs="Times New Roman"/>
                <w:sz w:val="24"/>
                <w:lang w:val="en-US" w:eastAsia="zh-CN"/>
              </w:rPr>
              <w:t>长江、苎溪河、五桥河、瀼渡河、培文河</w:t>
            </w:r>
            <w:r>
              <w:rPr>
                <w:rFonts w:hint="default" w:ascii="Times New Roman" w:hAnsi="Times New Roman" w:cs="Times New Roman" w:eastAsiaTheme="minorEastAsia"/>
                <w:sz w:val="24"/>
                <w:szCs w:val="24"/>
                <w:lang w:eastAsia="zh-CN"/>
              </w:rPr>
              <w:t>，根据重庆市《人民政府批转重庆市地表水环境功能类别调整方案的通知》（渝府发[201</w:t>
            </w:r>
            <w:r>
              <w:rPr>
                <w:rFonts w:hint="eastAsia" w:cs="Times New Roman" w:eastAsiaTheme="minorEastAsia"/>
                <w:sz w:val="24"/>
                <w:szCs w:val="24"/>
                <w:lang w:val="en-US" w:eastAsia="zh-CN"/>
              </w:rPr>
              <w:t>2</w:t>
            </w:r>
            <w:r>
              <w:rPr>
                <w:rFonts w:hint="default" w:ascii="Times New Roman" w:hAnsi="Times New Roman" w:cs="Times New Roman" w:eastAsiaTheme="minorEastAsia"/>
                <w:sz w:val="24"/>
                <w:szCs w:val="24"/>
                <w:lang w:eastAsia="zh-CN"/>
              </w:rPr>
              <w:t>]4号），</w:t>
            </w:r>
            <w:r>
              <w:rPr>
                <w:rFonts w:hint="eastAsia" w:ascii="Times New Roman" w:hAnsi="Times New Roman" w:eastAsia="宋体" w:cs="Times New Roman"/>
                <w:sz w:val="24"/>
                <w:lang w:val="en-US" w:eastAsia="zh-CN"/>
              </w:rPr>
              <w:t>长江、苎溪河、五桥河、瀼渡河、培文河</w:t>
            </w:r>
            <w:r>
              <w:rPr>
                <w:rFonts w:hint="default" w:ascii="Times New Roman" w:hAnsi="Times New Roman" w:cs="Times New Roman" w:eastAsiaTheme="minorEastAsia"/>
                <w:sz w:val="24"/>
                <w:szCs w:val="24"/>
                <w:lang w:eastAsia="zh-CN"/>
              </w:rPr>
              <w:t>地表水功能区划分为Ⅲ类，执行《地表水环境质量标准》（GB3838-2002）Ⅲ类水域标准，其标准值见表5-2。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sz w:val="24"/>
                <w:szCs w:val="24"/>
              </w:rPr>
            </w:pPr>
            <w:r>
              <w:rPr>
                <w:rFonts w:hint="default" w:ascii="Times New Roman" w:hAnsi="Times New Roman" w:cs="Times New Roman"/>
                <w:b/>
                <w:sz w:val="24"/>
                <w:szCs w:val="24"/>
              </w:rPr>
              <w:t>表</w:t>
            </w:r>
            <w:r>
              <w:rPr>
                <w:rFonts w:hint="default" w:ascii="Times New Roman" w:hAnsi="Times New Roman" w:cs="Times New Roman"/>
                <w:b/>
                <w:sz w:val="24"/>
                <w:szCs w:val="24"/>
                <w:lang w:val="en-US" w:eastAsia="zh-CN"/>
              </w:rPr>
              <w:t>3-1</w:t>
            </w:r>
            <w:r>
              <w:rPr>
                <w:rFonts w:hint="default" w:ascii="Times New Roman" w:hAnsi="Times New Roman" w:cs="Times New Roman"/>
                <w:b/>
                <w:sz w:val="24"/>
                <w:szCs w:val="24"/>
              </w:rPr>
              <w:t xml:space="preserve">  </w:t>
            </w:r>
            <w:r>
              <w:rPr>
                <w:rFonts w:hint="default" w:ascii="Times New Roman" w:hAnsi="Times New Roman" w:cs="Times New Roman"/>
                <w:b/>
                <w:bCs/>
                <w:sz w:val="24"/>
                <w:szCs w:val="24"/>
              </w:rPr>
              <w:t>《地表水环境质量标准》（GB3838-2002）</w:t>
            </w:r>
            <w:r>
              <w:rPr>
                <w:rFonts w:hint="default" w:ascii="Times New Roman" w:hAnsi="Times New Roman" w:cs="Times New Roman"/>
                <w:b/>
                <w:sz w:val="24"/>
                <w:szCs w:val="24"/>
                <w:lang w:val="en-GB"/>
              </w:rPr>
              <w:t>单位：mg/L（pH无量纲）</w:t>
            </w: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autofit"/>
              <w:tblCellMar>
                <w:top w:w="0" w:type="dxa"/>
                <w:left w:w="28" w:type="dxa"/>
                <w:bottom w:w="0" w:type="dxa"/>
                <w:right w:w="28" w:type="dxa"/>
              </w:tblCellMar>
            </w:tblPr>
            <w:tblGrid>
              <w:gridCol w:w="1613"/>
              <w:gridCol w:w="1349"/>
              <w:gridCol w:w="1405"/>
              <w:gridCol w:w="1253"/>
              <w:gridCol w:w="1409"/>
              <w:gridCol w:w="156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939" w:type="pct"/>
                  <w:noWrap w:val="0"/>
                  <w:vAlign w:val="center"/>
                </w:tcPr>
                <w:p>
                  <w:pPr>
                    <w:snapToGrid w:val="0"/>
                    <w:jc w:val="center"/>
                    <w:rPr>
                      <w:rFonts w:hint="default" w:ascii="Times New Roman" w:hAnsi="Times New Roman" w:cs="Times New Roman"/>
                      <w:snapToGrid w:val="0"/>
                      <w:kern w:val="0"/>
                      <w:szCs w:val="21"/>
                    </w:rPr>
                  </w:pPr>
                  <w:r>
                    <w:rPr>
                      <w:rFonts w:hint="default" w:ascii="Times New Roman" w:hAnsi="Times New Roman" w:cs="Times New Roman"/>
                      <w:snapToGrid w:val="0"/>
                      <w:kern w:val="0"/>
                      <w:szCs w:val="21"/>
                    </w:rPr>
                    <w:t>污染物</w:t>
                  </w:r>
                </w:p>
              </w:tc>
              <w:tc>
                <w:tcPr>
                  <w:tcW w:w="785" w:type="pct"/>
                  <w:noWrap w:val="0"/>
                  <w:vAlign w:val="center"/>
                </w:tcPr>
                <w:p>
                  <w:pPr>
                    <w:snapToGrid w:val="0"/>
                    <w:jc w:val="center"/>
                    <w:rPr>
                      <w:rFonts w:hint="default" w:ascii="Times New Roman" w:hAnsi="Times New Roman" w:cs="Times New Roman"/>
                      <w:snapToGrid w:val="0"/>
                      <w:kern w:val="0"/>
                      <w:szCs w:val="21"/>
                    </w:rPr>
                  </w:pPr>
                  <w:r>
                    <w:rPr>
                      <w:rFonts w:hint="default" w:ascii="Times New Roman" w:hAnsi="Times New Roman" w:cs="Times New Roman"/>
                      <w:snapToGrid w:val="0"/>
                      <w:kern w:val="0"/>
                      <w:szCs w:val="21"/>
                    </w:rPr>
                    <w:t>pH</w:t>
                  </w:r>
                </w:p>
              </w:tc>
              <w:tc>
                <w:tcPr>
                  <w:tcW w:w="818" w:type="pct"/>
                  <w:noWrap w:val="0"/>
                  <w:vAlign w:val="center"/>
                </w:tcPr>
                <w:p>
                  <w:pPr>
                    <w:snapToGrid w:val="0"/>
                    <w:jc w:val="center"/>
                    <w:rPr>
                      <w:rFonts w:hint="default" w:ascii="Times New Roman" w:hAnsi="Times New Roman" w:cs="Times New Roman"/>
                      <w:snapToGrid w:val="0"/>
                      <w:kern w:val="0"/>
                      <w:szCs w:val="21"/>
                    </w:rPr>
                  </w:pPr>
                  <w:r>
                    <w:rPr>
                      <w:rFonts w:hint="default" w:ascii="Times New Roman" w:hAnsi="Times New Roman" w:cs="Times New Roman"/>
                      <w:snapToGrid w:val="0"/>
                      <w:kern w:val="0"/>
                      <w:szCs w:val="21"/>
                    </w:rPr>
                    <w:t>COD</w:t>
                  </w:r>
                </w:p>
              </w:tc>
              <w:tc>
                <w:tcPr>
                  <w:tcW w:w="729" w:type="pct"/>
                  <w:noWrap w:val="0"/>
                  <w:vAlign w:val="center"/>
                </w:tcPr>
                <w:p>
                  <w:pPr>
                    <w:snapToGrid w:val="0"/>
                    <w:jc w:val="center"/>
                    <w:rPr>
                      <w:rFonts w:hint="default" w:ascii="Times New Roman" w:hAnsi="Times New Roman" w:cs="Times New Roman"/>
                      <w:snapToGrid w:val="0"/>
                      <w:kern w:val="0"/>
                      <w:szCs w:val="21"/>
                    </w:rPr>
                  </w:pPr>
                  <w:r>
                    <w:rPr>
                      <w:rFonts w:hint="default" w:ascii="Times New Roman" w:hAnsi="Times New Roman" w:cs="Times New Roman"/>
                      <w:szCs w:val="21"/>
                    </w:rPr>
                    <w:t>BOD</w:t>
                  </w:r>
                  <w:r>
                    <w:rPr>
                      <w:rFonts w:hint="default" w:ascii="Times New Roman" w:hAnsi="Times New Roman" w:cs="Times New Roman"/>
                      <w:szCs w:val="21"/>
                      <w:vertAlign w:val="subscript"/>
                    </w:rPr>
                    <w:t>5</w:t>
                  </w:r>
                </w:p>
              </w:tc>
              <w:tc>
                <w:tcPr>
                  <w:tcW w:w="820" w:type="pct"/>
                  <w:noWrap w:val="0"/>
                  <w:vAlign w:val="center"/>
                </w:tcPr>
                <w:p>
                  <w:pPr>
                    <w:snapToGrid w:val="0"/>
                    <w:jc w:val="center"/>
                    <w:rPr>
                      <w:rFonts w:hint="default" w:ascii="Times New Roman" w:hAnsi="Times New Roman" w:cs="Times New Roman"/>
                      <w:snapToGrid w:val="0"/>
                      <w:kern w:val="0"/>
                      <w:szCs w:val="21"/>
                    </w:rPr>
                  </w:pPr>
                  <w:r>
                    <w:rPr>
                      <w:rFonts w:hint="default" w:ascii="Times New Roman" w:hAnsi="Times New Roman" w:cs="Times New Roman"/>
                      <w:snapToGrid w:val="0"/>
                      <w:kern w:val="0"/>
                      <w:szCs w:val="21"/>
                    </w:rPr>
                    <w:t>NH</w:t>
                  </w:r>
                  <w:r>
                    <w:rPr>
                      <w:rFonts w:hint="default" w:ascii="Times New Roman" w:hAnsi="Times New Roman" w:cs="Times New Roman"/>
                      <w:snapToGrid w:val="0"/>
                      <w:kern w:val="0"/>
                      <w:szCs w:val="21"/>
                      <w:vertAlign w:val="subscript"/>
                    </w:rPr>
                    <w:t>3</w:t>
                  </w:r>
                  <w:r>
                    <w:rPr>
                      <w:rFonts w:hint="default" w:ascii="Times New Roman" w:hAnsi="Times New Roman" w:cs="Times New Roman"/>
                      <w:snapToGrid w:val="0"/>
                      <w:kern w:val="0"/>
                      <w:szCs w:val="21"/>
                    </w:rPr>
                    <w:t>-N</w:t>
                  </w:r>
                </w:p>
              </w:tc>
              <w:tc>
                <w:tcPr>
                  <w:tcW w:w="909" w:type="pct"/>
                  <w:noWrap w:val="0"/>
                  <w:vAlign w:val="center"/>
                </w:tcPr>
                <w:p>
                  <w:pPr>
                    <w:snapToGrid w:val="0"/>
                    <w:jc w:val="center"/>
                    <w:rPr>
                      <w:rFonts w:hint="default" w:ascii="Times New Roman" w:hAnsi="Times New Roman" w:cs="Times New Roman"/>
                      <w:snapToGrid w:val="0"/>
                      <w:kern w:val="0"/>
                      <w:szCs w:val="21"/>
                    </w:rPr>
                  </w:pPr>
                  <w:r>
                    <w:rPr>
                      <w:rFonts w:hint="default" w:ascii="Times New Roman" w:hAnsi="Times New Roman" w:cs="Times New Roman"/>
                      <w:snapToGrid w:val="0"/>
                      <w:kern w:val="0"/>
                      <w:szCs w:val="21"/>
                    </w:rPr>
                    <w:t>石油类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939" w:type="pct"/>
                  <w:noWrap w:val="0"/>
                  <w:vAlign w:val="center"/>
                </w:tcPr>
                <w:p>
                  <w:pPr>
                    <w:snapToGrid w:val="0"/>
                    <w:jc w:val="center"/>
                    <w:rPr>
                      <w:rFonts w:hint="default" w:ascii="Times New Roman" w:hAnsi="Times New Roman" w:cs="Times New Roman"/>
                      <w:snapToGrid w:val="0"/>
                      <w:kern w:val="0"/>
                      <w:szCs w:val="21"/>
                    </w:rPr>
                  </w:pPr>
                  <w:r>
                    <w:rPr>
                      <w:rFonts w:hint="default" w:ascii="Times New Roman" w:hAnsi="Times New Roman" w:cs="Times New Roman"/>
                      <w:snapToGrid w:val="0"/>
                      <w:kern w:val="0"/>
                      <w:szCs w:val="21"/>
                    </w:rPr>
                    <w:t>标准值</w:t>
                  </w:r>
                </w:p>
              </w:tc>
              <w:tc>
                <w:tcPr>
                  <w:tcW w:w="785" w:type="pct"/>
                  <w:noWrap w:val="0"/>
                  <w:vAlign w:val="center"/>
                </w:tcPr>
                <w:p>
                  <w:pPr>
                    <w:adjustRightInd w:val="0"/>
                    <w:snapToGrid w:val="0"/>
                    <w:jc w:val="center"/>
                    <w:rPr>
                      <w:rFonts w:hint="default" w:ascii="Times New Roman" w:hAnsi="Times New Roman" w:cs="Times New Roman"/>
                      <w:snapToGrid w:val="0"/>
                      <w:kern w:val="0"/>
                      <w:szCs w:val="21"/>
                    </w:rPr>
                  </w:pPr>
                  <w:r>
                    <w:rPr>
                      <w:rFonts w:hint="default" w:ascii="Times New Roman" w:hAnsi="Times New Roman" w:cs="Times New Roman"/>
                      <w:snapToGrid w:val="0"/>
                      <w:kern w:val="0"/>
                      <w:szCs w:val="21"/>
                    </w:rPr>
                    <w:t>6～9</w:t>
                  </w:r>
                </w:p>
              </w:tc>
              <w:tc>
                <w:tcPr>
                  <w:tcW w:w="818"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≤20</w:t>
                  </w:r>
                </w:p>
              </w:tc>
              <w:tc>
                <w:tcPr>
                  <w:tcW w:w="729"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w:t>
                  </w:r>
                </w:p>
              </w:tc>
              <w:tc>
                <w:tcPr>
                  <w:tcW w:w="820"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≤1.0</w:t>
                  </w:r>
                </w:p>
              </w:tc>
              <w:tc>
                <w:tcPr>
                  <w:tcW w:w="909"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≤0.05</w:t>
                  </w:r>
                </w:p>
              </w:tc>
            </w:tr>
          </w:tbl>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zh-CN" w:eastAsia="zh-CN"/>
              </w:rPr>
            </w:pPr>
            <w:r>
              <w:rPr>
                <w:rFonts w:hint="default" w:ascii="Times New Roman" w:hAnsi="Times New Roman" w:cs="Times New Roman" w:eastAsiaTheme="minorEastAsia"/>
                <w:sz w:val="24"/>
                <w:szCs w:val="24"/>
                <w:lang w:val="zh-CN" w:eastAsia="zh-CN"/>
              </w:rPr>
              <w:t>（</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lang w:val="zh-CN" w:eastAsia="zh-CN"/>
              </w:rPr>
              <w:t>）大气环境</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zh-CN" w:eastAsia="zh-CN"/>
              </w:rPr>
            </w:pPr>
            <w:r>
              <w:rPr>
                <w:rFonts w:hint="default" w:ascii="Times New Roman" w:hAnsi="Times New Roman" w:cs="Times New Roman" w:eastAsiaTheme="minorEastAsia"/>
                <w:sz w:val="24"/>
                <w:szCs w:val="24"/>
                <w:lang w:val="zh-CN" w:eastAsia="zh-CN"/>
              </w:rPr>
              <w:t>项目位于</w:t>
            </w:r>
            <w:r>
              <w:rPr>
                <w:rFonts w:hint="eastAsia" w:cs="Times New Roman" w:eastAsiaTheme="minorEastAsia"/>
                <w:sz w:val="24"/>
                <w:szCs w:val="24"/>
                <w:lang w:val="zh-CN" w:eastAsia="zh-CN"/>
              </w:rPr>
              <w:t>万州区</w:t>
            </w:r>
            <w:r>
              <w:rPr>
                <w:rFonts w:hint="default" w:ascii="Times New Roman" w:hAnsi="Times New Roman" w:cs="Times New Roman" w:eastAsiaTheme="minorEastAsia"/>
                <w:sz w:val="24"/>
                <w:szCs w:val="24"/>
                <w:lang w:val="zh-CN" w:eastAsia="zh-CN"/>
              </w:rPr>
              <w:t>，按照环境质量功能区划分规定，属于二类区，执行《环境空气质量标准》（GB3095-2012）二级标准，标准值见表3-2。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lang w:val="zh-CN"/>
              </w:rPr>
            </w:pPr>
            <w:r>
              <w:rPr>
                <w:rFonts w:hint="default" w:ascii="Times New Roman" w:hAnsi="Times New Roman" w:cs="Times New Roman"/>
                <w:b/>
                <w:bCs/>
                <w:sz w:val="24"/>
                <w:szCs w:val="24"/>
              </w:rPr>
              <w:t xml:space="preserve">表3-2 </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环境空气质量标准</w:t>
            </w:r>
          </w:p>
          <w:tbl>
            <w:tblPr>
              <w:tblStyle w:val="2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48"/>
              <w:gridCol w:w="2149"/>
              <w:gridCol w:w="2150"/>
              <w:gridCol w:w="21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pct"/>
                  <w:vMerge w:val="restart"/>
                  <w:tcBorders>
                    <w:tl2br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 xml:space="preserve">          浓度</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污染物</w:t>
                  </w:r>
                </w:p>
              </w:tc>
              <w:tc>
                <w:tcPr>
                  <w:tcW w:w="3750"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浓度限值（ug/m</w:t>
                  </w:r>
                  <w:r>
                    <w:rPr>
                      <w:rFonts w:hint="default" w:ascii="Times New Roman" w:hAnsi="Times New Roman" w:eastAsia="宋体" w:cs="Times New Roman"/>
                      <w:b w:val="0"/>
                      <w:bCs/>
                      <w:szCs w:val="21"/>
                      <w:vertAlign w:val="superscript"/>
                    </w:rPr>
                    <w:t>3</w:t>
                  </w:r>
                  <w:r>
                    <w:rPr>
                      <w:rFonts w:hint="default" w:ascii="Times New Roman" w:hAnsi="Times New Roman" w:eastAsia="宋体" w:cs="Times New Roman"/>
                      <w:b w:val="0"/>
                      <w:bCs/>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szCs w:val="21"/>
                    </w:rPr>
                  </w:pP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1小时平均</w:t>
                  </w:r>
                </w:p>
              </w:tc>
              <w:tc>
                <w:tcPr>
                  <w:tcW w:w="125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cs="Times New Roman"/>
                      <w:b w:val="0"/>
                      <w:bCs/>
                      <w:szCs w:val="21"/>
                      <w:lang w:val="en-US" w:eastAsia="zh-CN"/>
                    </w:rPr>
                    <w:t>24小时</w:t>
                  </w:r>
                  <w:r>
                    <w:rPr>
                      <w:rFonts w:hint="default" w:ascii="Times New Roman" w:hAnsi="Times New Roman" w:eastAsia="宋体" w:cs="Times New Roman"/>
                      <w:b w:val="0"/>
                      <w:bCs/>
                      <w:szCs w:val="21"/>
                    </w:rPr>
                    <w:t>平均</w:t>
                  </w:r>
                </w:p>
              </w:tc>
              <w:tc>
                <w:tcPr>
                  <w:tcW w:w="125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年平均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SO</w:t>
                  </w:r>
                  <w:r>
                    <w:rPr>
                      <w:rFonts w:hint="default" w:ascii="Times New Roman" w:hAnsi="Times New Roman" w:eastAsia="宋体" w:cs="Times New Roman"/>
                      <w:b w:val="0"/>
                      <w:bCs/>
                      <w:szCs w:val="21"/>
                      <w:vertAlign w:val="subscript"/>
                    </w:rPr>
                    <w:t>2</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500</w:t>
                  </w:r>
                </w:p>
              </w:tc>
              <w:tc>
                <w:tcPr>
                  <w:tcW w:w="125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150</w:t>
                  </w:r>
                </w:p>
              </w:tc>
              <w:tc>
                <w:tcPr>
                  <w:tcW w:w="125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N0</w:t>
                  </w:r>
                  <w:r>
                    <w:rPr>
                      <w:rFonts w:hint="default" w:ascii="Times New Roman" w:hAnsi="Times New Roman" w:eastAsia="宋体" w:cs="Times New Roman"/>
                      <w:b w:val="0"/>
                      <w:bCs/>
                      <w:szCs w:val="21"/>
                      <w:vertAlign w:val="subscript"/>
                    </w:rPr>
                    <w:t>2</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200</w:t>
                  </w:r>
                </w:p>
              </w:tc>
              <w:tc>
                <w:tcPr>
                  <w:tcW w:w="125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cr/>
                  </w:r>
                  <w:r>
                    <w:rPr>
                      <w:rFonts w:hint="default" w:ascii="Times New Roman" w:hAnsi="Times New Roman" w:eastAsia="宋体" w:cs="Times New Roman"/>
                      <w:b w:val="0"/>
                      <w:bCs/>
                      <w:szCs w:val="21"/>
                    </w:rPr>
                    <w:t>0</w:t>
                  </w:r>
                </w:p>
              </w:tc>
              <w:tc>
                <w:tcPr>
                  <w:tcW w:w="125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TSP</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w:t>
                  </w:r>
                </w:p>
              </w:tc>
              <w:tc>
                <w:tcPr>
                  <w:tcW w:w="125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300</w:t>
                  </w:r>
                </w:p>
              </w:tc>
              <w:tc>
                <w:tcPr>
                  <w:tcW w:w="125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 xml:space="preserve"> PM</w:t>
                  </w:r>
                  <w:r>
                    <w:rPr>
                      <w:rFonts w:hint="default" w:ascii="Times New Roman" w:hAnsi="Times New Roman" w:eastAsia="宋体" w:cs="Times New Roman"/>
                      <w:b w:val="0"/>
                      <w:bCs/>
                      <w:szCs w:val="21"/>
                      <w:vertAlign w:val="subscript"/>
                    </w:rPr>
                    <w:t>10</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w:t>
                  </w:r>
                </w:p>
              </w:tc>
              <w:tc>
                <w:tcPr>
                  <w:tcW w:w="125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150</w:t>
                  </w:r>
                </w:p>
              </w:tc>
              <w:tc>
                <w:tcPr>
                  <w:tcW w:w="125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color w:val="auto"/>
                    </w:rPr>
                    <w:t>PM</w:t>
                  </w:r>
                  <w:r>
                    <w:rPr>
                      <w:rFonts w:hint="default" w:ascii="Times New Roman" w:hAnsi="Times New Roman" w:eastAsia="宋体" w:cs="Times New Roman"/>
                      <w:b w:val="0"/>
                      <w:bCs/>
                      <w:color w:val="auto"/>
                      <w:vertAlign w:val="subscript"/>
                    </w:rPr>
                    <w:t>2.5</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2"/>
                      <w:sz w:val="21"/>
                      <w:lang w:val="en-US" w:eastAsia="zh-CN" w:bidi="ar-SA"/>
                    </w:rPr>
                  </w:pPr>
                  <w:r>
                    <w:rPr>
                      <w:rFonts w:hint="default" w:ascii="Times New Roman" w:hAnsi="Times New Roman" w:cs="Times New Roman"/>
                      <w:b w:val="0"/>
                      <w:bCs/>
                      <w:color w:val="auto"/>
                    </w:rPr>
                    <w:t>/</w:t>
                  </w:r>
                </w:p>
              </w:tc>
              <w:tc>
                <w:tcPr>
                  <w:tcW w:w="1250" w:type="pct"/>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2"/>
                      <w:sz w:val="21"/>
                      <w:lang w:val="en-US" w:eastAsia="zh-CN" w:bidi="ar-SA"/>
                    </w:rPr>
                  </w:pPr>
                  <w:r>
                    <w:rPr>
                      <w:rFonts w:hint="default" w:ascii="Times New Roman" w:hAnsi="Times New Roman" w:cs="Times New Roman"/>
                      <w:b w:val="0"/>
                      <w:bCs/>
                      <w:color w:val="auto"/>
                    </w:rPr>
                    <w:t>75</w:t>
                  </w:r>
                </w:p>
              </w:tc>
              <w:tc>
                <w:tcPr>
                  <w:tcW w:w="1251" w:type="pct"/>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2"/>
                      <w:sz w:val="21"/>
                      <w:lang w:val="en-US" w:eastAsia="zh-CN" w:bidi="ar-SA"/>
                    </w:rPr>
                  </w:pPr>
                  <w:r>
                    <w:rPr>
                      <w:rFonts w:hint="default" w:ascii="Times New Roman" w:hAnsi="Times New Roman" w:cs="Times New Roman"/>
                      <w:b w:val="0"/>
                      <w:bCs/>
                      <w:color w:val="auto"/>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color w:val="auto"/>
                    </w:rPr>
                    <w:t>CO</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2"/>
                      <w:sz w:val="21"/>
                      <w:lang w:val="en-US" w:eastAsia="zh-CN" w:bidi="ar-SA"/>
                    </w:rPr>
                  </w:pPr>
                  <w:r>
                    <w:rPr>
                      <w:rFonts w:hint="default" w:ascii="Times New Roman" w:hAnsi="Times New Roman" w:cs="Times New Roman"/>
                      <w:b w:val="0"/>
                      <w:bCs/>
                      <w:color w:val="auto"/>
                    </w:rPr>
                    <w:t>10000</w:t>
                  </w:r>
                </w:p>
              </w:tc>
              <w:tc>
                <w:tcPr>
                  <w:tcW w:w="1250" w:type="pct"/>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2"/>
                      <w:sz w:val="21"/>
                      <w:lang w:val="en-US" w:eastAsia="zh-CN" w:bidi="ar-SA"/>
                    </w:rPr>
                  </w:pPr>
                  <w:r>
                    <w:rPr>
                      <w:rFonts w:hint="default" w:ascii="Times New Roman" w:hAnsi="Times New Roman" w:cs="Times New Roman"/>
                      <w:b w:val="0"/>
                      <w:bCs/>
                      <w:color w:val="auto"/>
                    </w:rPr>
                    <w:t>400</w:t>
                  </w:r>
                </w:p>
              </w:tc>
              <w:tc>
                <w:tcPr>
                  <w:tcW w:w="1251" w:type="pct"/>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2"/>
                      <w:sz w:val="21"/>
                      <w:lang w:val="en-US" w:eastAsia="zh-CN" w:bidi="ar-SA"/>
                    </w:rPr>
                  </w:pPr>
                  <w:r>
                    <w:rPr>
                      <w:rFonts w:hint="default" w:ascii="Times New Roman" w:hAnsi="Times New Roman" w:cs="Times New Roman"/>
                      <w:b w:val="0"/>
                      <w:bCs/>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O</w:t>
                  </w:r>
                  <w:r>
                    <w:rPr>
                      <w:rFonts w:hint="default" w:ascii="Times New Roman" w:hAnsi="Times New Roman" w:eastAsia="宋体" w:cs="Times New Roman"/>
                      <w:b w:val="0"/>
                      <w:bCs/>
                      <w:color w:val="auto"/>
                      <w:vertAlign w:val="subscript"/>
                    </w:rPr>
                    <w:t>3</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2"/>
                      <w:sz w:val="21"/>
                      <w:lang w:val="en-US" w:eastAsia="zh-CN" w:bidi="ar-SA"/>
                    </w:rPr>
                  </w:pPr>
                  <w:r>
                    <w:rPr>
                      <w:rFonts w:hint="default" w:ascii="Times New Roman" w:hAnsi="Times New Roman" w:cs="Times New Roman"/>
                      <w:b w:val="0"/>
                      <w:bCs/>
                      <w:color w:val="auto"/>
                    </w:rPr>
                    <w:t>200</w:t>
                  </w:r>
                </w:p>
              </w:tc>
              <w:tc>
                <w:tcPr>
                  <w:tcW w:w="1250" w:type="pct"/>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2"/>
                      <w:sz w:val="21"/>
                      <w:lang w:val="en-US" w:eastAsia="zh-CN" w:bidi="ar-SA"/>
                    </w:rPr>
                  </w:pPr>
                  <w:r>
                    <w:rPr>
                      <w:rFonts w:hint="default" w:ascii="Times New Roman" w:hAnsi="Times New Roman" w:cs="Times New Roman"/>
                      <w:b w:val="0"/>
                      <w:bCs/>
                      <w:color w:val="auto"/>
                    </w:rPr>
                    <w:t>160</w:t>
                  </w:r>
                </w:p>
              </w:tc>
              <w:tc>
                <w:tcPr>
                  <w:tcW w:w="1251" w:type="pct"/>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2"/>
                      <w:sz w:val="21"/>
                      <w:lang w:val="en-US" w:eastAsia="zh-CN" w:bidi="ar-SA"/>
                    </w:rPr>
                  </w:pPr>
                  <w:r>
                    <w:rPr>
                      <w:rFonts w:hint="default" w:ascii="Times New Roman" w:hAnsi="Times New Roman" w:cs="Times New Roman"/>
                      <w:b w:val="0"/>
                      <w:bCs/>
                      <w:color w:val="auto"/>
                    </w:rPr>
                    <w:t>/</w:t>
                  </w:r>
                </w:p>
              </w:tc>
            </w:tr>
          </w:tbl>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zh-CN" w:eastAsia="zh-CN"/>
              </w:rPr>
            </w:pPr>
            <w:r>
              <w:rPr>
                <w:rFonts w:hint="default" w:ascii="Times New Roman" w:hAnsi="Times New Roman" w:cs="Times New Roman" w:eastAsiaTheme="minorEastAsia"/>
                <w:sz w:val="24"/>
                <w:szCs w:val="24"/>
                <w:lang w:val="zh-CN" w:eastAsia="zh-CN"/>
              </w:rPr>
              <w:t>（</w:t>
            </w: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val="zh-CN" w:eastAsia="zh-CN"/>
              </w:rPr>
              <w:t>）声环境</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zh-CN" w:eastAsia="zh-CN"/>
              </w:rPr>
            </w:pPr>
            <w:r>
              <w:rPr>
                <w:rFonts w:hint="default" w:ascii="Times New Roman" w:hAnsi="Times New Roman" w:cs="Times New Roman" w:eastAsiaTheme="minorEastAsia"/>
                <w:sz w:val="24"/>
                <w:szCs w:val="24"/>
                <w:lang w:val="en-US" w:eastAsia="zh-CN"/>
              </w:rPr>
              <w:t>本项目位于</w:t>
            </w:r>
            <w:r>
              <w:rPr>
                <w:rFonts w:hint="eastAsia" w:cs="Times New Roman" w:eastAsiaTheme="minorEastAsia"/>
                <w:sz w:val="24"/>
                <w:szCs w:val="24"/>
                <w:lang w:val="en-US" w:eastAsia="zh-CN"/>
              </w:rPr>
              <w:t>万州区</w:t>
            </w:r>
            <w:r>
              <w:rPr>
                <w:rFonts w:hint="default" w:ascii="Times New Roman" w:hAnsi="Times New Roman" w:cs="Times New Roman" w:eastAsiaTheme="minorEastAsia"/>
                <w:sz w:val="24"/>
                <w:szCs w:val="24"/>
                <w:lang w:val="en-US" w:eastAsia="zh-CN"/>
              </w:rPr>
              <w:t>，根据《声环境功能区划分技术规范》（GB/T15190-2014）的相关规定，项目所在区域声环境质量现状执行《声环境质量标准》（GB3096-2008）中2类标准</w:t>
            </w:r>
            <w:r>
              <w:rPr>
                <w:rFonts w:hint="default" w:ascii="Times New Roman" w:hAnsi="Times New Roman" w:cs="Times New Roman" w:eastAsiaTheme="minorEastAsia"/>
                <w:sz w:val="24"/>
                <w:szCs w:val="24"/>
                <w:lang w:val="zh-CN" w:eastAsia="zh-CN"/>
              </w:rPr>
              <w:t>，标准值详见表3-3。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表3-3 </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 xml:space="preserve">声环境质量标准 </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单位：dB(A)</w:t>
            </w:r>
          </w:p>
          <w:tbl>
            <w:tblPr>
              <w:tblStyle w:val="25"/>
              <w:tblW w:w="499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811"/>
              <w:gridCol w:w="2173"/>
              <w:gridCol w:w="1737"/>
              <w:gridCol w:w="186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636"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标准</w:t>
                  </w:r>
                </w:p>
              </w:tc>
              <w:tc>
                <w:tcPr>
                  <w:tcW w:w="1265"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标准级别</w:t>
                  </w:r>
                </w:p>
              </w:tc>
              <w:tc>
                <w:tcPr>
                  <w:tcW w:w="101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昼间</w:t>
                  </w:r>
                </w:p>
              </w:tc>
              <w:tc>
                <w:tcPr>
                  <w:tcW w:w="1086"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636"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GB3096—2008</w:t>
                  </w:r>
                </w:p>
              </w:tc>
              <w:tc>
                <w:tcPr>
                  <w:tcW w:w="1265"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2类标准</w:t>
                  </w:r>
                </w:p>
              </w:tc>
              <w:tc>
                <w:tcPr>
                  <w:tcW w:w="101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60</w:t>
                  </w:r>
                </w:p>
              </w:tc>
              <w:tc>
                <w:tcPr>
                  <w:tcW w:w="1086"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50</w:t>
                  </w:r>
                </w:p>
              </w:tc>
            </w:tr>
          </w:tbl>
          <w:p>
            <w:pPr>
              <w:numPr>
                <w:ilvl w:val="0"/>
                <w:numId w:val="1"/>
              </w:numPr>
              <w:tabs>
                <w:tab w:val="left" w:pos="2640"/>
              </w:tabs>
              <w:spacing w:line="440" w:lineRule="exact"/>
              <w:ind w:firstLine="480" w:firstLineChars="200"/>
              <w:rPr>
                <w:rFonts w:hint="eastAsia"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生态功能和水土保持</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根据《重庆市生态功能区划（修编）》，项目所在区域属于</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三峡库区（腹地）平行岭谷低山-丘陵生态功能区，主导生态功能为生物多样性保护和水文调蓄，辅助功能有水土保持、水源涵养和地质灾害防治。</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 xml:space="preserve"> 本项目评价区对应地表属于西南土石山区，执行《开发建设项目水土保持防治标准》（GB50434-2008）三级标准。土壤侵蚀水土流失量参照执行《土壤侵蚀分类分级标准》（SL190-2007），详见表3-4。</w:t>
            </w:r>
          </w:p>
          <w:p>
            <w:pPr>
              <w:adjustRightInd w:val="0"/>
              <w:snapToGrid w:val="0"/>
              <w:ind w:firstLine="482" w:firstLineChars="20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表3-4</w:t>
            </w:r>
            <w:r>
              <w:rPr>
                <w:rFonts w:hint="default" w:ascii="Times New Roman" w:hAnsi="Times New Roman" w:eastAsia="宋体" w:cs="Times New Roman"/>
                <w:b/>
                <w:bCs/>
                <w:sz w:val="24"/>
              </w:rPr>
              <w:tab/>
            </w:r>
            <w:r>
              <w:rPr>
                <w:rFonts w:hint="default" w:ascii="Times New Roman" w:hAnsi="Times New Roman" w:eastAsia="宋体" w:cs="Times New Roman"/>
                <w:b/>
                <w:bCs/>
                <w:sz w:val="24"/>
              </w:rPr>
              <w:t>土壤侵蚀轻度分级标准</w:t>
            </w:r>
          </w:p>
          <w:tbl>
            <w:tblPr>
              <w:tblStyle w:val="2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337"/>
              <w:gridCol w:w="3251"/>
              <w:gridCol w:w="30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59" w:type="pct"/>
                  <w:noWrap w:val="0"/>
                  <w:vAlign w:val="center"/>
                </w:tcPr>
                <w:p>
                  <w:pPr>
                    <w:pStyle w:val="93"/>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级别</w:t>
                  </w:r>
                </w:p>
              </w:tc>
              <w:tc>
                <w:tcPr>
                  <w:tcW w:w="1890" w:type="pct"/>
                  <w:noWrap w:val="0"/>
                  <w:vAlign w:val="center"/>
                </w:tcPr>
                <w:p>
                  <w:pPr>
                    <w:pStyle w:val="93"/>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平均侵蚀模数t/(km</w:t>
                  </w:r>
                  <w:r>
                    <w:rPr>
                      <w:rFonts w:hint="default" w:ascii="Times New Roman" w:hAnsi="Times New Roman" w:eastAsia="宋体" w:cs="Times New Roman"/>
                      <w:b/>
                      <w:sz w:val="21"/>
                      <w:szCs w:val="21"/>
                      <w:vertAlign w:val="superscript"/>
                      <w:lang w:val="en-US"/>
                    </w:rPr>
                    <w:t>2</w:t>
                  </w:r>
                  <w:r>
                    <w:rPr>
                      <w:rFonts w:hint="default" w:ascii="Times New Roman" w:hAnsi="Times New Roman" w:eastAsia="宋体" w:cs="Times New Roman"/>
                      <w:b/>
                      <w:sz w:val="21"/>
                      <w:szCs w:val="21"/>
                    </w:rPr>
                    <w:t>.a)</w:t>
                  </w:r>
                </w:p>
              </w:tc>
              <w:tc>
                <w:tcPr>
                  <w:tcW w:w="1750" w:type="pct"/>
                  <w:noWrap w:val="0"/>
                  <w:vAlign w:val="center"/>
                </w:tcPr>
                <w:p>
                  <w:pPr>
                    <w:pStyle w:val="93"/>
                    <w:adjustRightInd w:val="0"/>
                    <w:snapToGrid w:val="0"/>
                    <w:jc w:val="center"/>
                    <w:rPr>
                      <w:rFonts w:hint="default" w:ascii="Times New Roman" w:hAnsi="Times New Roman" w:eastAsia="宋体" w:cs="Times New Roman"/>
                      <w:b/>
                      <w:sz w:val="21"/>
                      <w:szCs w:val="21"/>
                      <w:lang w:val="en-GB" w:eastAsia="zh-CN"/>
                    </w:rPr>
                  </w:pPr>
                  <w:r>
                    <w:rPr>
                      <w:rFonts w:hint="default" w:ascii="Times New Roman" w:hAnsi="Times New Roman" w:eastAsia="宋体" w:cs="Times New Roman"/>
                      <w:b/>
                      <w:sz w:val="21"/>
                      <w:szCs w:val="21"/>
                    </w:rPr>
                    <w:t>平均流失厚度</w:t>
                  </w:r>
                  <w:r>
                    <w:rPr>
                      <w:rFonts w:hint="default" w:ascii="Times New Roman" w:hAnsi="Times New Roman" w:eastAsia="宋体" w:cs="Times New Roman"/>
                      <w:b/>
                      <w:sz w:val="21"/>
                      <w:szCs w:val="21"/>
                      <w:lang w:val="en-GB"/>
                    </w:rPr>
                    <w:t>（mm/a</w:t>
                  </w:r>
                  <w:r>
                    <w:rPr>
                      <w:rFonts w:hint="default" w:ascii="Times New Roman" w:hAnsi="Times New Roman" w:eastAsia="宋体" w:cs="Times New Roman"/>
                      <w:b/>
                      <w:sz w:val="21"/>
                      <w:szCs w:val="21"/>
                      <w:lang w:val="en-GB"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59" w:type="pct"/>
                  <w:noWrap w:val="0"/>
                  <w:vAlign w:val="center"/>
                </w:tcPr>
                <w:p>
                  <w:pPr>
                    <w:pStyle w:val="93"/>
                    <w:adjustRightInd w:val="0"/>
                    <w:snapToGrid w:val="0"/>
                    <w:jc w:val="center"/>
                    <w:rPr>
                      <w:rFonts w:hint="default" w:ascii="Times New Roman" w:hAnsi="Times New Roman" w:eastAsia="宋体" w:cs="Times New Roman"/>
                      <w:color w:val="000000"/>
                      <w:sz w:val="21"/>
                      <w:szCs w:val="21"/>
                      <w:lang w:val="en-US" w:bidi="ar-SA"/>
                    </w:rPr>
                  </w:pPr>
                  <w:r>
                    <w:rPr>
                      <w:rFonts w:hint="default" w:ascii="Times New Roman" w:hAnsi="Times New Roman" w:eastAsia="宋体" w:cs="Times New Roman"/>
                      <w:color w:val="000000"/>
                      <w:sz w:val="21"/>
                      <w:szCs w:val="21"/>
                      <w:lang w:val="en-US" w:bidi="ar-SA"/>
                    </w:rPr>
                    <w:t>微度</w:t>
                  </w:r>
                </w:p>
              </w:tc>
              <w:tc>
                <w:tcPr>
                  <w:tcW w:w="1890" w:type="pct"/>
                  <w:noWrap w:val="0"/>
                  <w:vAlign w:val="center"/>
                </w:tcPr>
                <w:p>
                  <w:pPr>
                    <w:pStyle w:val="93"/>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1750" w:type="pct"/>
                  <w:noWrap w:val="0"/>
                  <w:vAlign w:val="center"/>
                </w:tcPr>
                <w:p>
                  <w:pPr>
                    <w:pStyle w:val="93"/>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59" w:type="pct"/>
                  <w:noWrap w:val="0"/>
                  <w:vAlign w:val="center"/>
                </w:tcPr>
                <w:p>
                  <w:pPr>
                    <w:pStyle w:val="93"/>
                    <w:adjustRightInd w:val="0"/>
                    <w:snapToGrid w:val="0"/>
                    <w:jc w:val="center"/>
                    <w:rPr>
                      <w:rFonts w:hint="default" w:ascii="Times New Roman" w:hAnsi="Times New Roman" w:eastAsia="宋体" w:cs="Times New Roman"/>
                      <w:color w:val="000000"/>
                      <w:sz w:val="21"/>
                      <w:szCs w:val="21"/>
                      <w:lang w:val="en-US" w:bidi="ar-SA"/>
                    </w:rPr>
                  </w:pPr>
                  <w:r>
                    <w:rPr>
                      <w:rFonts w:hint="default" w:ascii="Times New Roman" w:hAnsi="Times New Roman" w:eastAsia="宋体" w:cs="Times New Roman"/>
                      <w:color w:val="000000"/>
                      <w:sz w:val="21"/>
                      <w:szCs w:val="21"/>
                      <w:lang w:val="en-US" w:bidi="ar-SA"/>
                    </w:rPr>
                    <w:t>轻度</w:t>
                  </w:r>
                </w:p>
              </w:tc>
              <w:tc>
                <w:tcPr>
                  <w:tcW w:w="1890" w:type="pct"/>
                  <w:noWrap w:val="0"/>
                  <w:vAlign w:val="center"/>
                </w:tcPr>
                <w:p>
                  <w:pPr>
                    <w:pStyle w:val="93"/>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500-2500</w:t>
                  </w:r>
                </w:p>
              </w:tc>
              <w:tc>
                <w:tcPr>
                  <w:tcW w:w="1750" w:type="pct"/>
                  <w:noWrap w:val="0"/>
                  <w:vAlign w:val="center"/>
                </w:tcPr>
                <w:p>
                  <w:pPr>
                    <w:pStyle w:val="93"/>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0.37-1.9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59" w:type="pct"/>
                  <w:noWrap w:val="0"/>
                  <w:vAlign w:val="center"/>
                </w:tcPr>
                <w:p>
                  <w:pPr>
                    <w:pStyle w:val="93"/>
                    <w:adjustRightInd w:val="0"/>
                    <w:snapToGrid w:val="0"/>
                    <w:jc w:val="center"/>
                    <w:rPr>
                      <w:rFonts w:hint="default" w:ascii="Times New Roman" w:hAnsi="Times New Roman" w:eastAsia="宋体" w:cs="Times New Roman"/>
                      <w:color w:val="000000"/>
                      <w:sz w:val="21"/>
                      <w:szCs w:val="21"/>
                      <w:lang w:val="en-US" w:bidi="ar-SA"/>
                    </w:rPr>
                  </w:pPr>
                  <w:r>
                    <w:rPr>
                      <w:rFonts w:hint="default" w:ascii="Times New Roman" w:hAnsi="Times New Roman" w:eastAsia="宋体" w:cs="Times New Roman"/>
                      <w:color w:val="000000"/>
                      <w:sz w:val="21"/>
                      <w:szCs w:val="21"/>
                      <w:lang w:val="en-US" w:bidi="ar-SA"/>
                    </w:rPr>
                    <w:t>中度</w:t>
                  </w:r>
                </w:p>
              </w:tc>
              <w:tc>
                <w:tcPr>
                  <w:tcW w:w="1890" w:type="pct"/>
                  <w:noWrap w:val="0"/>
                  <w:vAlign w:val="center"/>
                </w:tcPr>
                <w:p>
                  <w:pPr>
                    <w:pStyle w:val="93"/>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2500-5000</w:t>
                  </w:r>
                </w:p>
              </w:tc>
              <w:tc>
                <w:tcPr>
                  <w:tcW w:w="1750" w:type="pct"/>
                  <w:noWrap w:val="0"/>
                  <w:vAlign w:val="center"/>
                </w:tcPr>
                <w:p>
                  <w:pPr>
                    <w:pStyle w:val="93"/>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59" w:type="pct"/>
                  <w:noWrap w:val="0"/>
                  <w:vAlign w:val="center"/>
                </w:tcPr>
                <w:p>
                  <w:pPr>
                    <w:pStyle w:val="93"/>
                    <w:adjustRightInd w:val="0"/>
                    <w:snapToGrid w:val="0"/>
                    <w:jc w:val="center"/>
                    <w:rPr>
                      <w:rFonts w:hint="default" w:ascii="Times New Roman" w:hAnsi="Times New Roman" w:eastAsia="宋体" w:cs="Times New Roman"/>
                      <w:color w:val="000000"/>
                      <w:sz w:val="21"/>
                      <w:szCs w:val="21"/>
                      <w:lang w:val="en-US" w:bidi="ar-SA"/>
                    </w:rPr>
                  </w:pPr>
                  <w:r>
                    <w:rPr>
                      <w:rFonts w:hint="default" w:ascii="Times New Roman" w:hAnsi="Times New Roman" w:eastAsia="宋体" w:cs="Times New Roman"/>
                      <w:color w:val="000000"/>
                      <w:sz w:val="21"/>
                      <w:szCs w:val="21"/>
                      <w:lang w:val="en-US" w:bidi="ar-SA"/>
                    </w:rPr>
                    <w:t>强烈</w:t>
                  </w:r>
                </w:p>
              </w:tc>
              <w:tc>
                <w:tcPr>
                  <w:tcW w:w="1890" w:type="pct"/>
                  <w:noWrap w:val="0"/>
                  <w:vAlign w:val="center"/>
                </w:tcPr>
                <w:p>
                  <w:pPr>
                    <w:pStyle w:val="93"/>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5000-8000</w:t>
                  </w:r>
                </w:p>
              </w:tc>
              <w:tc>
                <w:tcPr>
                  <w:tcW w:w="1750" w:type="pct"/>
                  <w:noWrap w:val="0"/>
                  <w:vAlign w:val="center"/>
                </w:tcPr>
                <w:p>
                  <w:pPr>
                    <w:pStyle w:val="93"/>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59" w:type="pct"/>
                  <w:noWrap w:val="0"/>
                  <w:vAlign w:val="center"/>
                </w:tcPr>
                <w:p>
                  <w:pPr>
                    <w:pStyle w:val="93"/>
                    <w:adjustRightInd w:val="0"/>
                    <w:snapToGrid w:val="0"/>
                    <w:jc w:val="center"/>
                    <w:rPr>
                      <w:rFonts w:hint="default" w:ascii="Times New Roman" w:hAnsi="Times New Roman" w:eastAsia="宋体" w:cs="Times New Roman"/>
                      <w:color w:val="000000"/>
                      <w:sz w:val="21"/>
                      <w:szCs w:val="21"/>
                      <w:lang w:val="en-US" w:bidi="ar-SA"/>
                    </w:rPr>
                  </w:pPr>
                  <w:r>
                    <w:rPr>
                      <w:rFonts w:hint="default" w:ascii="Times New Roman" w:hAnsi="Times New Roman" w:eastAsia="宋体" w:cs="Times New Roman"/>
                      <w:color w:val="000000"/>
                      <w:sz w:val="21"/>
                      <w:szCs w:val="21"/>
                      <w:lang w:val="en-US" w:bidi="ar-SA"/>
                    </w:rPr>
                    <w:t>极烈</w:t>
                  </w:r>
                </w:p>
              </w:tc>
              <w:tc>
                <w:tcPr>
                  <w:tcW w:w="1890" w:type="pct"/>
                  <w:noWrap w:val="0"/>
                  <w:vAlign w:val="center"/>
                </w:tcPr>
                <w:p>
                  <w:pPr>
                    <w:pStyle w:val="93"/>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8000-15000</w:t>
                  </w:r>
                </w:p>
              </w:tc>
              <w:tc>
                <w:tcPr>
                  <w:tcW w:w="1750" w:type="pct"/>
                  <w:noWrap w:val="0"/>
                  <w:vAlign w:val="center"/>
                </w:tcPr>
                <w:p>
                  <w:pPr>
                    <w:pStyle w:val="93"/>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5.9-11.1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59" w:type="pct"/>
                  <w:noWrap w:val="0"/>
                  <w:vAlign w:val="center"/>
                </w:tcPr>
                <w:p>
                  <w:pPr>
                    <w:pStyle w:val="93"/>
                    <w:adjustRightInd w:val="0"/>
                    <w:snapToGrid w:val="0"/>
                    <w:jc w:val="center"/>
                    <w:rPr>
                      <w:rFonts w:hint="default" w:ascii="Times New Roman" w:hAnsi="Times New Roman" w:eastAsia="宋体" w:cs="Times New Roman"/>
                      <w:color w:val="000000"/>
                      <w:sz w:val="21"/>
                      <w:szCs w:val="21"/>
                      <w:lang w:val="en-US" w:bidi="ar-SA"/>
                    </w:rPr>
                  </w:pPr>
                  <w:r>
                    <w:rPr>
                      <w:rFonts w:hint="default" w:ascii="Times New Roman" w:hAnsi="Times New Roman" w:eastAsia="宋体" w:cs="Times New Roman"/>
                      <w:color w:val="000000"/>
                      <w:sz w:val="21"/>
                      <w:szCs w:val="21"/>
                      <w:lang w:val="en-US" w:bidi="ar-SA"/>
                    </w:rPr>
                    <w:t>剧烈</w:t>
                  </w:r>
                </w:p>
              </w:tc>
              <w:tc>
                <w:tcPr>
                  <w:tcW w:w="1890" w:type="pct"/>
                  <w:noWrap w:val="0"/>
                  <w:vAlign w:val="center"/>
                </w:tcPr>
                <w:p>
                  <w:pPr>
                    <w:pStyle w:val="93"/>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＞15000</w:t>
                  </w:r>
                </w:p>
              </w:tc>
              <w:tc>
                <w:tcPr>
                  <w:tcW w:w="1750" w:type="pct"/>
                  <w:noWrap w:val="0"/>
                  <w:vAlign w:val="center"/>
                </w:tcPr>
                <w:p>
                  <w:pPr>
                    <w:pStyle w:val="93"/>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＞11.1</w:t>
                  </w:r>
                </w:p>
              </w:tc>
            </w:tr>
          </w:tbl>
          <w:p>
            <w:pPr>
              <w:pStyle w:val="4"/>
              <w:numPr>
                <w:ilvl w:val="0"/>
                <w:numId w:val="0"/>
              </w:numPr>
              <w:rPr>
                <w:rFonts w:hint="default"/>
                <w:lang w:val="en-US" w:eastAsia="zh-CN"/>
              </w:rPr>
            </w:pPr>
          </w:p>
        </w:tc>
      </w:tr>
    </w:tbl>
    <w:p>
      <w:pPr>
        <w:autoSpaceDE w:val="0"/>
        <w:autoSpaceDN w:val="0"/>
        <w:adjustRightInd w:val="0"/>
        <w:spacing w:line="440" w:lineRule="exact"/>
        <w:jc w:val="left"/>
        <w:rPr>
          <w:rFonts w:hint="default" w:ascii="Times New Roman" w:hAnsi="Times New Roman" w:eastAsia="宋体" w:cs="Times New Roman"/>
          <w:b/>
          <w:color w:val="000000"/>
          <w:sz w:val="26"/>
          <w:szCs w:val="26"/>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7"/>
        <w:gridCol w:w="88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29" w:hRule="atLeast"/>
          <w:jc w:val="center"/>
        </w:trPr>
        <w:tc>
          <w:tcPr>
            <w:tcW w:w="239" w:type="pct"/>
            <w:shd w:val="clear" w:color="auto" w:fill="auto"/>
            <w:vAlign w:val="center"/>
          </w:tcPr>
          <w:p>
            <w:pPr>
              <w:autoSpaceDE w:val="0"/>
              <w:autoSpaceDN w:val="0"/>
              <w:adjustRightInd w:val="0"/>
              <w:spacing w:line="440" w:lineRule="exact"/>
              <w:jc w:val="left"/>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污染</w:t>
            </w:r>
          </w:p>
          <w:p>
            <w:pPr>
              <w:autoSpaceDE w:val="0"/>
              <w:autoSpaceDN w:val="0"/>
              <w:adjustRightInd w:val="0"/>
              <w:spacing w:line="440" w:lineRule="exact"/>
              <w:jc w:val="left"/>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物排</w:t>
            </w:r>
          </w:p>
          <w:p>
            <w:pPr>
              <w:autoSpaceDE w:val="0"/>
              <w:autoSpaceDN w:val="0"/>
              <w:adjustRightInd w:val="0"/>
              <w:spacing w:line="440" w:lineRule="exact"/>
              <w:jc w:val="left"/>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放标</w:t>
            </w:r>
          </w:p>
          <w:p>
            <w:pPr>
              <w:spacing w:line="440" w:lineRule="exact"/>
              <w:jc w:val="left"/>
              <w:outlineLvl w:val="0"/>
              <w:rPr>
                <w:rFonts w:hint="default" w:ascii="Times New Roman" w:hAnsi="Times New Roman" w:eastAsia="宋体" w:cs="Times New Roman"/>
                <w:b/>
                <w:color w:val="000000"/>
                <w:sz w:val="28"/>
                <w:szCs w:val="28"/>
              </w:rPr>
            </w:pPr>
            <w:r>
              <w:rPr>
                <w:rFonts w:hint="default" w:ascii="Times New Roman" w:hAnsi="Times New Roman" w:eastAsia="宋体" w:cs="Times New Roman"/>
                <w:b/>
                <w:bCs/>
                <w:color w:val="000000"/>
                <w:sz w:val="24"/>
                <w:szCs w:val="24"/>
              </w:rPr>
              <w:t>准</w:t>
            </w:r>
          </w:p>
        </w:tc>
        <w:tc>
          <w:tcPr>
            <w:tcW w:w="4760" w:type="pct"/>
            <w:shd w:val="clear" w:color="auto" w:fill="auto"/>
          </w:tcPr>
          <w:p>
            <w:pPr>
              <w:keepNext w:val="0"/>
              <w:keepLines w:val="0"/>
              <w:pageBreakBefore w:val="0"/>
              <w:widowControl w:val="0"/>
              <w:tabs>
                <w:tab w:val="left" w:pos="2640"/>
              </w:tabs>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3.2 污染物排放标准</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zh-CN" w:eastAsia="zh-CN"/>
              </w:rPr>
              <w:t>（</w:t>
            </w: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lang w:val="zh-CN" w:eastAsia="zh-CN"/>
              </w:rPr>
              <w:t>）</w:t>
            </w:r>
            <w:r>
              <w:rPr>
                <w:rFonts w:hint="default" w:ascii="Times New Roman" w:hAnsi="Times New Roman" w:cs="Times New Roman" w:eastAsiaTheme="minorEastAsia"/>
                <w:sz w:val="24"/>
                <w:szCs w:val="24"/>
                <w:lang w:val="en-US" w:eastAsia="zh-CN"/>
              </w:rPr>
              <w:t>废水</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zh-CN" w:eastAsia="zh-CN"/>
              </w:rPr>
            </w:pPr>
            <w:r>
              <w:rPr>
                <w:rFonts w:hint="default" w:ascii="Times New Roman" w:hAnsi="Times New Roman" w:cs="Times New Roman" w:eastAsiaTheme="minorEastAsia"/>
                <w:sz w:val="24"/>
                <w:szCs w:val="24"/>
                <w:lang w:val="en-US" w:eastAsia="zh-CN"/>
              </w:rPr>
              <w:t>本项目施工期施工废水和运营期生产废水经三级沉淀后回用，不外排；施工期生活污水依托周边居民点现有污水处理设施处理</w:t>
            </w:r>
            <w:r>
              <w:rPr>
                <w:rFonts w:hint="default" w:ascii="Times New Roman" w:hAnsi="Times New Roman" w:cs="Times New Roman"/>
                <w:sz w:val="24"/>
                <w:szCs w:val="24"/>
              </w:rPr>
              <w:t>。</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zh-CN" w:eastAsia="zh-CN"/>
              </w:rPr>
            </w:pPr>
            <w:r>
              <w:rPr>
                <w:rFonts w:hint="default" w:ascii="Times New Roman" w:hAnsi="Times New Roman" w:cs="Times New Roman" w:eastAsiaTheme="minorEastAsia"/>
                <w:sz w:val="24"/>
                <w:szCs w:val="24"/>
                <w:lang w:val="zh-CN" w:eastAsia="zh-CN"/>
              </w:rPr>
              <w:t>（</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lang w:val="zh-CN" w:eastAsia="zh-CN"/>
              </w:rPr>
              <w:t>）废气</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本项目施工期废气执行《大气污染物综合排放标准》（DB50/418-2016）中</w:t>
            </w:r>
            <w:r>
              <w:rPr>
                <w:rFonts w:hint="eastAsia"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其他区域</w:t>
            </w:r>
            <w:r>
              <w:rPr>
                <w:rFonts w:hint="eastAsia"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的标准限值，见表3-4。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表3-4  《大气污染物综合排放标准》（DB50/418-2016）其他区域标准</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5"/>
              <w:gridCol w:w="3120"/>
              <w:gridCol w:w="3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1206" w:type="pct"/>
                  <w:vMerge w:val="restart"/>
                  <w:noWrap w:val="0"/>
                  <w:vAlign w:val="center"/>
                </w:tcPr>
                <w:p>
                  <w:pPr>
                    <w:adjustRightInd w:val="0"/>
                    <w:snapToGrid w:val="0"/>
                    <w:spacing w:line="240" w:lineRule="exact"/>
                    <w:jc w:val="center"/>
                    <w:rPr>
                      <w:rFonts w:hint="default" w:ascii="Times New Roman" w:hAnsi="Times New Roman" w:cs="Times New Roman"/>
                      <w:bCs/>
                    </w:rPr>
                  </w:pPr>
                  <w:r>
                    <w:rPr>
                      <w:rFonts w:hint="default" w:ascii="Times New Roman" w:hAnsi="Times New Roman" w:cs="Times New Roman"/>
                      <w:bCs/>
                    </w:rPr>
                    <w:t>污染物</w:t>
                  </w:r>
                </w:p>
              </w:tc>
              <w:tc>
                <w:tcPr>
                  <w:tcW w:w="3794" w:type="pct"/>
                  <w:gridSpan w:val="2"/>
                  <w:noWrap w:val="0"/>
                  <w:vAlign w:val="center"/>
                </w:tcPr>
                <w:p>
                  <w:pPr>
                    <w:adjustRightInd w:val="0"/>
                    <w:snapToGrid w:val="0"/>
                    <w:spacing w:line="240" w:lineRule="exact"/>
                    <w:jc w:val="center"/>
                    <w:rPr>
                      <w:rFonts w:hint="default" w:ascii="Times New Roman" w:hAnsi="Times New Roman" w:cs="Times New Roman"/>
                      <w:bCs/>
                    </w:rPr>
                  </w:pPr>
                  <w:r>
                    <w:rPr>
                      <w:rFonts w:hint="default" w:ascii="Times New Roman" w:hAnsi="Times New Roman" w:cs="Times New Roman"/>
                      <w:bCs/>
                    </w:rPr>
                    <w:t>无组织排放监控浓度限值（mg/m</w:t>
                  </w:r>
                  <w:r>
                    <w:rPr>
                      <w:rFonts w:hint="default" w:ascii="Times New Roman" w:hAnsi="Times New Roman" w:cs="Times New Roman"/>
                      <w:bCs/>
                      <w:vertAlign w:val="superscript"/>
                    </w:rPr>
                    <w:t>3</w:t>
                  </w:r>
                  <w:r>
                    <w:rPr>
                      <w:rFonts w:hint="default" w:ascii="Times New Roman" w:hAnsi="Times New Roman" w:cs="Times New Roman"/>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1206" w:type="pct"/>
                  <w:vMerge w:val="continue"/>
                  <w:noWrap w:val="0"/>
                  <w:vAlign w:val="center"/>
                </w:tcPr>
                <w:p>
                  <w:pPr>
                    <w:adjustRightInd w:val="0"/>
                    <w:snapToGrid w:val="0"/>
                    <w:spacing w:line="240" w:lineRule="exact"/>
                    <w:jc w:val="center"/>
                    <w:rPr>
                      <w:rFonts w:hint="default" w:ascii="Times New Roman" w:hAnsi="Times New Roman" w:cs="Times New Roman"/>
                      <w:bCs/>
                    </w:rPr>
                  </w:pPr>
                </w:p>
              </w:tc>
              <w:tc>
                <w:tcPr>
                  <w:tcW w:w="1814" w:type="pct"/>
                  <w:noWrap w:val="0"/>
                  <w:vAlign w:val="center"/>
                </w:tcPr>
                <w:p>
                  <w:pPr>
                    <w:adjustRightInd w:val="0"/>
                    <w:snapToGrid w:val="0"/>
                    <w:spacing w:line="240" w:lineRule="exact"/>
                    <w:jc w:val="center"/>
                    <w:rPr>
                      <w:rFonts w:hint="default" w:ascii="Times New Roman" w:hAnsi="Times New Roman" w:cs="Times New Roman"/>
                      <w:bCs/>
                    </w:rPr>
                  </w:pPr>
                  <w:r>
                    <w:rPr>
                      <w:rFonts w:hint="default" w:ascii="Times New Roman" w:hAnsi="Times New Roman" w:cs="Times New Roman"/>
                      <w:bCs/>
                    </w:rPr>
                    <w:t>监控点</w:t>
                  </w:r>
                </w:p>
              </w:tc>
              <w:tc>
                <w:tcPr>
                  <w:tcW w:w="1980" w:type="pct"/>
                  <w:noWrap w:val="0"/>
                  <w:vAlign w:val="center"/>
                </w:tcPr>
                <w:p>
                  <w:pPr>
                    <w:adjustRightInd w:val="0"/>
                    <w:snapToGrid w:val="0"/>
                    <w:spacing w:line="240" w:lineRule="exact"/>
                    <w:jc w:val="center"/>
                    <w:rPr>
                      <w:rFonts w:hint="default" w:ascii="Times New Roman" w:hAnsi="Times New Roman" w:cs="Times New Roman"/>
                      <w:bCs/>
                    </w:rPr>
                  </w:pPr>
                  <w:r>
                    <w:rPr>
                      <w:rFonts w:hint="default" w:ascii="Times New Roman" w:hAnsi="Times New Roman" w:cs="Times New Roman"/>
                      <w:bCs/>
                    </w:rPr>
                    <w:t>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1206"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颗粒物</w:t>
                  </w:r>
                </w:p>
              </w:tc>
              <w:tc>
                <w:tcPr>
                  <w:tcW w:w="1814" w:type="pct"/>
                  <w:noWrap w:val="0"/>
                  <w:vAlign w:val="center"/>
                </w:tcPr>
                <w:p>
                  <w:pPr>
                    <w:widowControl/>
                    <w:adjustRightInd w:val="0"/>
                    <w:snapToGrid w:val="0"/>
                    <w:spacing w:line="240" w:lineRule="exact"/>
                    <w:jc w:val="center"/>
                    <w:rPr>
                      <w:rFonts w:hint="default" w:ascii="Times New Roman" w:hAnsi="Times New Roman" w:cs="Times New Roman"/>
                      <w:bCs/>
                    </w:rPr>
                  </w:pPr>
                  <w:r>
                    <w:rPr>
                      <w:rFonts w:hint="default" w:ascii="Times New Roman" w:hAnsi="Times New Roman" w:cs="Times New Roman"/>
                      <w:bCs/>
                    </w:rPr>
                    <w:t>周界外浓度最高点</w:t>
                  </w:r>
                </w:p>
              </w:tc>
              <w:tc>
                <w:tcPr>
                  <w:tcW w:w="1980" w:type="pct"/>
                  <w:noWrap w:val="0"/>
                  <w:vAlign w:val="center"/>
                </w:tcPr>
                <w:p>
                  <w:pPr>
                    <w:widowControl/>
                    <w:adjustRightInd w:val="0"/>
                    <w:snapToGrid w:val="0"/>
                    <w:spacing w:line="240" w:lineRule="exact"/>
                    <w:jc w:val="center"/>
                    <w:rPr>
                      <w:rFonts w:hint="default" w:ascii="Times New Roman" w:hAnsi="Times New Roman" w:cs="Times New Roman"/>
                      <w:bCs/>
                    </w:rPr>
                  </w:pPr>
                  <w:r>
                    <w:rPr>
                      <w:rFonts w:hint="default" w:ascii="Times New Roman" w:hAnsi="Times New Roman" w:cs="Times New Roman"/>
                      <w:bC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1206" w:type="pct"/>
                  <w:noWrap w:val="0"/>
                  <w:vAlign w:val="center"/>
                </w:tcPr>
                <w:p>
                  <w:pPr>
                    <w:widowControl/>
                    <w:adjustRightInd w:val="0"/>
                    <w:snapToGrid w:val="0"/>
                    <w:spacing w:line="240" w:lineRule="exact"/>
                    <w:jc w:val="center"/>
                    <w:rPr>
                      <w:rFonts w:hint="default" w:ascii="Times New Roman" w:hAnsi="Times New Roman" w:eastAsia="宋体" w:cs="Times New Roman"/>
                      <w:bCs/>
                    </w:rPr>
                  </w:pPr>
                  <w:r>
                    <w:rPr>
                      <w:rFonts w:hint="default" w:ascii="Times New Roman" w:hAnsi="Times New Roman" w:eastAsia="宋体" w:cs="Times New Roman"/>
                      <w:bCs/>
                    </w:rPr>
                    <w:t>氮氧化物</w:t>
                  </w:r>
                </w:p>
              </w:tc>
              <w:tc>
                <w:tcPr>
                  <w:tcW w:w="3120" w:type="dxa"/>
                  <w:noWrap w:val="0"/>
                  <w:vAlign w:val="center"/>
                </w:tcPr>
                <w:p>
                  <w:pPr>
                    <w:widowControl/>
                    <w:adjustRightInd w:val="0"/>
                    <w:snapToGrid w:val="0"/>
                    <w:spacing w:line="240" w:lineRule="exact"/>
                    <w:jc w:val="center"/>
                    <w:rPr>
                      <w:rFonts w:hint="default" w:ascii="Times New Roman" w:hAnsi="Times New Roman" w:eastAsia="宋体" w:cs="Times New Roman"/>
                      <w:bCs/>
                    </w:rPr>
                  </w:pPr>
                  <w:r>
                    <w:rPr>
                      <w:rFonts w:hint="default" w:ascii="Times New Roman" w:hAnsi="Times New Roman" w:eastAsia="宋体" w:cs="Times New Roman"/>
                      <w:bCs/>
                    </w:rPr>
                    <w:t>周界外浓度最高点</w:t>
                  </w:r>
                </w:p>
              </w:tc>
              <w:tc>
                <w:tcPr>
                  <w:tcW w:w="3406" w:type="dxa"/>
                  <w:noWrap w:val="0"/>
                  <w:vAlign w:val="center"/>
                </w:tcPr>
                <w:p>
                  <w:pPr>
                    <w:widowControl/>
                    <w:adjustRightInd w:val="0"/>
                    <w:snapToGrid w:val="0"/>
                    <w:spacing w:line="240" w:lineRule="exact"/>
                    <w:jc w:val="center"/>
                    <w:rPr>
                      <w:rFonts w:hint="default" w:ascii="Times New Roman" w:hAnsi="Times New Roman" w:eastAsia="宋体" w:cs="Times New Roman"/>
                      <w:bCs/>
                    </w:rPr>
                  </w:pPr>
                  <w:r>
                    <w:rPr>
                      <w:rFonts w:hint="default" w:ascii="Times New Roman" w:hAnsi="Times New Roman" w:eastAsia="宋体" w:cs="Times New Roman"/>
                      <w:bCs/>
                    </w:rPr>
                    <w:t>0.12</w:t>
                  </w:r>
                </w:p>
              </w:tc>
            </w:tr>
          </w:tbl>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zh-CN" w:eastAsia="zh-CN"/>
              </w:rPr>
            </w:pPr>
            <w:r>
              <w:rPr>
                <w:rFonts w:hint="default" w:ascii="Times New Roman" w:hAnsi="Times New Roman" w:cs="Times New Roman" w:eastAsiaTheme="minorEastAsia"/>
                <w:sz w:val="24"/>
                <w:szCs w:val="24"/>
                <w:lang w:val="en-US" w:eastAsia="zh-CN"/>
              </w:rPr>
              <w:t>（3）噪声</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施工期噪声执行《建筑施工场界环境噪声排放标准》（GB12523-2011）中的相关标准。具体标准见表3-5。运营期无噪声产生。</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表3-5  《建筑施工场界环境噪声排放标准》（GB12523-2011）  单位：dB（A）</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29"/>
              <w:gridCol w:w="3188"/>
              <w:gridCol w:w="1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109" w:type="pct"/>
                  <w:noWrap w:val="0"/>
                  <w:vAlign w:val="center"/>
                </w:tcPr>
                <w:p>
                  <w:pPr>
                    <w:pStyle w:val="94"/>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标准</w:t>
                  </w:r>
                </w:p>
              </w:tc>
              <w:tc>
                <w:tcPr>
                  <w:tcW w:w="1853" w:type="pct"/>
                  <w:noWrap w:val="0"/>
                  <w:vAlign w:val="center"/>
                </w:tcPr>
                <w:p>
                  <w:pPr>
                    <w:pStyle w:val="94"/>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昼间</w:t>
                  </w:r>
                </w:p>
              </w:tc>
              <w:tc>
                <w:tcPr>
                  <w:tcW w:w="1037" w:type="pct"/>
                  <w:noWrap w:val="0"/>
                  <w:vAlign w:val="center"/>
                </w:tcPr>
                <w:p>
                  <w:pPr>
                    <w:pStyle w:val="94"/>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109" w:type="pct"/>
                  <w:noWrap w:val="0"/>
                  <w:vAlign w:val="center"/>
                </w:tcPr>
                <w:p>
                  <w:pPr>
                    <w:pStyle w:val="94"/>
                    <w:spacing w:line="240" w:lineRule="auto"/>
                    <w:rPr>
                      <w:rFonts w:hint="default" w:ascii="Times New Roman" w:hAnsi="Times New Roman" w:cs="Times New Roman"/>
                      <w:sz w:val="21"/>
                      <w:szCs w:val="21"/>
                      <w:lang w:val="en-US" w:eastAsia="zh-CN"/>
                    </w:rPr>
                  </w:pPr>
                  <w:r>
                    <w:rPr>
                      <w:rFonts w:hint="default" w:ascii="Times New Roman" w:hAnsi="Times New Roman" w:cs="Times New Roman"/>
                      <w:bCs/>
                      <w:sz w:val="21"/>
                      <w:szCs w:val="21"/>
                      <w:lang w:val="en-US" w:eastAsia="zh-CN"/>
                    </w:rPr>
                    <w:t>《建筑施工场界环境噪声排放标准》（GB12523-2011）</w:t>
                  </w:r>
                </w:p>
              </w:tc>
              <w:tc>
                <w:tcPr>
                  <w:tcW w:w="1853" w:type="pct"/>
                  <w:noWrap w:val="0"/>
                  <w:vAlign w:val="center"/>
                </w:tcPr>
                <w:p>
                  <w:pPr>
                    <w:pStyle w:val="94"/>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w:t>
                  </w:r>
                </w:p>
              </w:tc>
              <w:tc>
                <w:tcPr>
                  <w:tcW w:w="1037" w:type="pct"/>
                  <w:noWrap w:val="0"/>
                  <w:vAlign w:val="center"/>
                </w:tcPr>
                <w:p>
                  <w:pPr>
                    <w:pStyle w:val="94"/>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55</w:t>
                  </w:r>
                </w:p>
              </w:tc>
            </w:tr>
          </w:tbl>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zh-CN" w:eastAsia="zh-CN"/>
              </w:rPr>
            </w:pPr>
            <w:r>
              <w:rPr>
                <w:rFonts w:hint="default" w:ascii="Times New Roman" w:hAnsi="Times New Roman" w:cs="Times New Roman" w:eastAsiaTheme="minorEastAsia"/>
                <w:sz w:val="24"/>
                <w:szCs w:val="24"/>
                <w:lang w:val="en-US" w:eastAsia="zh-CN"/>
              </w:rPr>
              <w:t>（4）固体废物</w:t>
            </w:r>
          </w:p>
          <w:p>
            <w:pPr>
              <w:tabs>
                <w:tab w:val="left" w:pos="2640"/>
              </w:tabs>
              <w:adjustRightInd w:val="0"/>
              <w:snapToGrid w:val="0"/>
              <w:spacing w:line="360" w:lineRule="auto"/>
              <w:ind w:firstLine="480" w:firstLineChars="200"/>
              <w:jc w:val="both"/>
              <w:rPr>
                <w:rFonts w:hint="default" w:ascii="Times New Roman" w:hAnsi="Times New Roman" w:eastAsia="宋体" w:cs="Times New Roman"/>
                <w:b/>
                <w:color w:val="000000"/>
                <w:sz w:val="28"/>
                <w:szCs w:val="28"/>
              </w:rPr>
            </w:pPr>
            <w:r>
              <w:rPr>
                <w:rFonts w:hint="default" w:ascii="Times New Roman" w:hAnsi="Times New Roman" w:cs="Times New Roman" w:eastAsiaTheme="minorEastAsia"/>
                <w:sz w:val="24"/>
                <w:szCs w:val="24"/>
                <w:lang w:val="en-US" w:eastAsia="zh-CN"/>
              </w:rPr>
              <w:t>项目施工期一般工业固体废物执行《一般工业固体废物贮存和填埋污染控制标准》（GB18599-2020），运营期无固体废物产生。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2" w:hRule="atLeast"/>
          <w:jc w:val="center"/>
        </w:trPr>
        <w:tc>
          <w:tcPr>
            <w:tcW w:w="239" w:type="pct"/>
            <w:shd w:val="clear" w:color="auto" w:fill="auto"/>
          </w:tcPr>
          <w:p>
            <w:pPr>
              <w:autoSpaceDE w:val="0"/>
              <w:autoSpaceDN w:val="0"/>
              <w:adjustRightInd w:val="0"/>
              <w:spacing w:line="440" w:lineRule="exact"/>
              <w:jc w:val="center"/>
              <w:rPr>
                <w:rFonts w:hint="default" w:ascii="Times New Roman" w:hAnsi="Times New Roman" w:eastAsia="宋体" w:cs="Times New Roman"/>
                <w:b/>
                <w:bCs/>
                <w:color w:val="000000"/>
                <w:sz w:val="24"/>
                <w:szCs w:val="24"/>
                <w:lang w:val="zh-CN"/>
              </w:rPr>
            </w:pPr>
            <w:r>
              <w:rPr>
                <w:rFonts w:hint="default" w:ascii="Times New Roman" w:hAnsi="Times New Roman" w:eastAsia="宋体" w:cs="Times New Roman"/>
                <w:b/>
                <w:bCs/>
                <w:color w:val="000000"/>
                <w:sz w:val="24"/>
                <w:szCs w:val="24"/>
                <w:lang w:val="zh-CN"/>
              </w:rPr>
              <w:t>总量</w:t>
            </w:r>
          </w:p>
          <w:p>
            <w:pPr>
              <w:autoSpaceDE w:val="0"/>
              <w:autoSpaceDN w:val="0"/>
              <w:adjustRightInd w:val="0"/>
              <w:spacing w:line="440" w:lineRule="exact"/>
              <w:jc w:val="center"/>
              <w:rPr>
                <w:rFonts w:hint="default" w:ascii="Times New Roman" w:hAnsi="Times New Roman" w:eastAsia="宋体" w:cs="Times New Roman"/>
                <w:b/>
                <w:bCs/>
                <w:color w:val="000000"/>
                <w:sz w:val="24"/>
                <w:szCs w:val="24"/>
                <w:lang w:val="zh-CN"/>
              </w:rPr>
            </w:pPr>
            <w:r>
              <w:rPr>
                <w:rFonts w:hint="default" w:ascii="Times New Roman" w:hAnsi="Times New Roman" w:eastAsia="宋体" w:cs="Times New Roman"/>
                <w:b/>
                <w:bCs/>
                <w:color w:val="000000"/>
                <w:sz w:val="24"/>
                <w:szCs w:val="24"/>
                <w:lang w:val="zh-CN"/>
              </w:rPr>
              <w:t>控制</w:t>
            </w:r>
          </w:p>
          <w:p>
            <w:pPr>
              <w:spacing w:line="440" w:lineRule="exact"/>
              <w:jc w:val="center"/>
              <w:outlineLvl w:val="0"/>
              <w:rPr>
                <w:rFonts w:hint="default" w:ascii="Times New Roman" w:hAnsi="Times New Roman" w:eastAsia="宋体" w:cs="Times New Roman"/>
                <w:b/>
                <w:color w:val="000000"/>
                <w:sz w:val="28"/>
                <w:szCs w:val="28"/>
              </w:rPr>
            </w:pPr>
            <w:r>
              <w:rPr>
                <w:rFonts w:hint="default" w:ascii="Times New Roman" w:hAnsi="Times New Roman" w:eastAsia="宋体" w:cs="Times New Roman"/>
                <w:b/>
                <w:bCs/>
                <w:color w:val="000000"/>
                <w:sz w:val="24"/>
                <w:szCs w:val="24"/>
                <w:lang w:val="zh-CN"/>
              </w:rPr>
              <w:t>指标</w:t>
            </w:r>
          </w:p>
        </w:tc>
        <w:tc>
          <w:tcPr>
            <w:tcW w:w="4760" w:type="pct"/>
            <w:shd w:val="clear" w:color="auto" w:fill="auto"/>
          </w:tcPr>
          <w:p>
            <w:pPr>
              <w:keepNext w:val="0"/>
              <w:keepLines w:val="0"/>
              <w:pageBreakBefore w:val="0"/>
              <w:widowControl w:val="0"/>
              <w:tabs>
                <w:tab w:val="left" w:pos="2640"/>
              </w:tabs>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3.3 总量控制指标</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根据环评文件，本项目为城市排水工程，营运期无污染物排放，不设置总量控制指标。</w:t>
            </w:r>
          </w:p>
          <w:p>
            <w:pPr>
              <w:spacing w:line="440" w:lineRule="exact"/>
              <w:ind w:firstLine="480" w:firstLineChars="200"/>
              <w:outlineLvl w:val="0"/>
              <w:rPr>
                <w:rFonts w:hint="default" w:ascii="Times New Roman" w:hAnsi="Times New Roman" w:eastAsia="宋体" w:cs="Times New Roman"/>
                <w:color w:val="000000"/>
                <w:sz w:val="24"/>
                <w:szCs w:val="24"/>
              </w:rPr>
            </w:pPr>
          </w:p>
        </w:tc>
      </w:tr>
    </w:tbl>
    <w:p>
      <w:pPr>
        <w:spacing w:line="440" w:lineRule="exact"/>
        <w:jc w:val="both"/>
        <w:outlineLvl w:val="0"/>
        <w:rPr>
          <w:rFonts w:hint="default" w:ascii="Times New Roman" w:hAnsi="Times New Roman" w:cs="Times New Roman"/>
          <w:b/>
          <w:color w:val="000000"/>
          <w:sz w:val="28"/>
          <w:szCs w:val="28"/>
          <w:lang w:val="en-US" w:eastAsia="zh-CN"/>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440" w:lineRule="exact"/>
        <w:jc w:val="both"/>
        <w:outlineLvl w:val="0"/>
        <w:rPr>
          <w:rFonts w:hint="default" w:ascii="Times New Roman" w:hAnsi="Times New Roman" w:eastAsia="宋体" w:cs="Times New Roman"/>
          <w:b/>
          <w:color w:val="000000"/>
          <w:sz w:val="28"/>
          <w:szCs w:val="28"/>
        </w:rPr>
      </w:pPr>
      <w:r>
        <w:rPr>
          <w:rFonts w:hint="default" w:ascii="Times New Roman" w:hAnsi="Times New Roman" w:cs="Times New Roman"/>
          <w:b/>
          <w:color w:val="000000"/>
          <w:sz w:val="28"/>
          <w:szCs w:val="28"/>
          <w:lang w:val="en-US" w:eastAsia="zh-CN"/>
        </w:rPr>
        <w:t>四、</w:t>
      </w:r>
      <w:r>
        <w:rPr>
          <w:rFonts w:hint="default" w:ascii="Times New Roman" w:hAnsi="Times New Roman" w:eastAsia="宋体" w:cs="Times New Roman"/>
          <w:b/>
          <w:color w:val="000000"/>
          <w:sz w:val="28"/>
          <w:szCs w:val="28"/>
        </w:rPr>
        <w:t>工程概况</w:t>
      </w:r>
    </w:p>
    <w:tbl>
      <w:tblPr>
        <w:tblStyle w:val="25"/>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5"/>
        <w:gridCol w:w="72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01" w:type="pct"/>
            <w:vAlign w:val="center"/>
          </w:tcPr>
          <w:p>
            <w:pPr>
              <w:autoSpaceDE w:val="0"/>
              <w:autoSpaceDN w:val="0"/>
              <w:adjustRightInd w:val="0"/>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sz w:val="24"/>
                <w:szCs w:val="24"/>
              </w:rPr>
              <w:t>项目名称</w:t>
            </w:r>
          </w:p>
        </w:tc>
        <w:tc>
          <w:tcPr>
            <w:tcW w:w="3898" w:type="pct"/>
            <w:vAlign w:val="center"/>
          </w:tcPr>
          <w:p>
            <w:pPr>
              <w:autoSpaceDE w:val="0"/>
              <w:autoSpaceDN w:val="0"/>
              <w:adjustRightInd w:val="0"/>
              <w:snapToGrid w:val="0"/>
              <w:ind w:firstLine="424" w:firstLineChars="177"/>
              <w:jc w:val="center"/>
              <w:rPr>
                <w:rFonts w:hint="eastAsia" w:ascii="Times New Roman" w:hAnsi="Times New Roman" w:eastAsia="宋体" w:cs="Times New Roman"/>
                <w:color w:val="000000"/>
                <w:sz w:val="24"/>
                <w:szCs w:val="24"/>
                <w:lang w:eastAsia="zh-CN"/>
              </w:rPr>
            </w:pPr>
            <w:r>
              <w:rPr>
                <w:rFonts w:hint="eastAsia" w:cs="Times New Roman"/>
                <w:color w:val="000000"/>
                <w:sz w:val="24"/>
                <w:lang w:eastAsia="zh-CN"/>
              </w:rPr>
              <w:t>万州区2022年镇乡污水管网补充工程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1101" w:type="pct"/>
            <w:vAlign w:val="center"/>
          </w:tcPr>
          <w:p>
            <w:pPr>
              <w:tabs>
                <w:tab w:val="left" w:pos="2640"/>
              </w:tabs>
              <w:autoSpaceDE w:val="0"/>
              <w:autoSpaceDN w:val="0"/>
              <w:adjustRightInd w:val="0"/>
              <w:snapToGrid w:val="0"/>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项目地理位置图</w:t>
            </w:r>
          </w:p>
          <w:p>
            <w:pPr>
              <w:autoSpaceDE w:val="0"/>
              <w:autoSpaceDN w:val="0"/>
              <w:adjustRightInd w:val="0"/>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sz w:val="24"/>
                <w:szCs w:val="24"/>
              </w:rPr>
              <w:t>（附地理位置图）</w:t>
            </w:r>
          </w:p>
        </w:tc>
        <w:tc>
          <w:tcPr>
            <w:tcW w:w="3898" w:type="pct"/>
          </w:tcPr>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万州区地处四川盆地东缘，重庆市东北边缘。东邻云阳县，西连忠县、梁平区。南与石柱土家族自治县和湖北省利川市接壤，北接开州区和四川省开江县。</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工程地理位置详见下图4-1。</w:t>
            </w:r>
          </w:p>
          <w:p>
            <w:pPr>
              <w:tabs>
                <w:tab w:val="left" w:pos="2640"/>
              </w:tabs>
              <w:adjustRightInd w:val="0"/>
              <w:snapToGrid w:val="0"/>
              <w:spacing w:line="360" w:lineRule="auto"/>
              <w:jc w:val="both"/>
              <w:rPr>
                <w:rFonts w:hint="default" w:ascii="Times New Roman" w:hAnsi="Times New Roman" w:cs="Times New Roman" w:eastAsiaTheme="minorEastAsia"/>
                <w:sz w:val="24"/>
                <w:szCs w:val="24"/>
                <w:lang w:val="en-US" w:eastAsia="zh-CN"/>
              </w:rPr>
            </w:pPr>
            <w:r>
              <w:rPr>
                <w:rFonts w:ascii="宋体" w:hAnsi="宋体" w:eastAsia="宋体" w:cs="Times New Roman"/>
                <w:kern w:val="0"/>
                <w:sz w:val="24"/>
                <w:lang w:bidi="ar"/>
              </w:rPr>
              <w:fldChar w:fldCharType="begin"/>
            </w:r>
            <w:r>
              <w:rPr>
                <w:rFonts w:ascii="宋体" w:hAnsi="宋体" w:eastAsia="宋体" w:cs="Times New Roman"/>
                <w:kern w:val="0"/>
                <w:sz w:val="24"/>
                <w:lang w:bidi="ar"/>
              </w:rPr>
              <w:instrText xml:space="preserve">INCLUDEPICTURE \d "C:\\Users\\Administrator\\AppData\\Roaming\\Tencent\\Users\\2416187742\\QQ\\WinTemp\\RichOle\\C]S]PJ}3P3Y@Z28IQ``ZJN5.png" \* MERGEFORMATINET </w:instrText>
            </w:r>
            <w:r>
              <w:rPr>
                <w:rFonts w:ascii="宋体" w:hAnsi="宋体" w:eastAsia="宋体" w:cs="Times New Roman"/>
                <w:kern w:val="0"/>
                <w:sz w:val="24"/>
                <w:lang w:bidi="ar"/>
              </w:rPr>
              <w:fldChar w:fldCharType="separate"/>
            </w:r>
            <w:r>
              <w:rPr>
                <w:rFonts w:ascii="宋体" w:hAnsi="宋体" w:eastAsia="宋体" w:cs="Times New Roman"/>
                <w:kern w:val="0"/>
                <w:sz w:val="24"/>
                <w:lang w:bidi="ar"/>
              </w:rPr>
              <w:drawing>
                <wp:inline distT="0" distB="0" distL="114300" distR="114300">
                  <wp:extent cx="4572000" cy="2941320"/>
                  <wp:effectExtent l="0" t="0" r="0" b="1143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9"/>
                          <a:stretch>
                            <a:fillRect/>
                          </a:stretch>
                        </pic:blipFill>
                        <pic:spPr>
                          <a:xfrm>
                            <a:off x="0" y="0"/>
                            <a:ext cx="4572000" cy="2941320"/>
                          </a:xfrm>
                          <a:prstGeom prst="rect">
                            <a:avLst/>
                          </a:prstGeom>
                          <a:noFill/>
                          <a:ln>
                            <a:noFill/>
                          </a:ln>
                        </pic:spPr>
                      </pic:pic>
                    </a:graphicData>
                  </a:graphic>
                </wp:inline>
              </w:drawing>
            </w:r>
            <w:r>
              <w:rPr>
                <w:rFonts w:ascii="宋体" w:hAnsi="宋体" w:eastAsia="宋体" w:cs="Times New Roman"/>
                <w:kern w:val="0"/>
                <w:sz w:val="24"/>
                <w:lang w:bidi="ar"/>
              </w:rPr>
              <w:fldChar w:fldCharType="end"/>
            </w:r>
          </w:p>
          <w:p>
            <w:pPr>
              <w:tabs>
                <w:tab w:val="left" w:pos="2640"/>
              </w:tabs>
              <w:adjustRightInd w:val="0"/>
              <w:snapToGrid w:val="0"/>
              <w:spacing w:line="360" w:lineRule="auto"/>
              <w:jc w:val="both"/>
              <w:rPr>
                <w:rFonts w:hint="default" w:ascii="Times New Roman" w:hAnsi="Times New Roman" w:cs="Times New Roman" w:eastAsiaTheme="minorEastAsia"/>
                <w:sz w:val="24"/>
                <w:szCs w:val="24"/>
                <w:lang w:val="en-US" w:eastAsia="zh-CN"/>
              </w:rPr>
            </w:pPr>
            <w:r>
              <w:rPr>
                <w:rFonts w:ascii="宋体" w:hAnsi="宋体" w:eastAsia="宋体" w:cs="Times New Roman"/>
                <w:kern w:val="0"/>
                <w:sz w:val="24"/>
                <w:lang w:bidi="ar"/>
              </w:rPr>
              <w:fldChar w:fldCharType="begin"/>
            </w:r>
            <w:r>
              <w:rPr>
                <w:rFonts w:ascii="宋体" w:hAnsi="宋体" w:eastAsia="宋体" w:cs="Times New Roman"/>
                <w:kern w:val="0"/>
                <w:sz w:val="24"/>
                <w:lang w:bidi="ar"/>
              </w:rPr>
              <w:instrText xml:space="preserve">INCLUDEPICTURE \d "C:\\Users\\Administrator\\AppData\\Roaming\\Tencent\\Users\\2416187742\\QQ\\WinTemp\\RichOle\\X`E%DJRQYU_}O$ST@(M9[]H.png" \* MERGEFORMATINET </w:instrText>
            </w:r>
            <w:r>
              <w:rPr>
                <w:rFonts w:ascii="宋体" w:hAnsi="宋体" w:eastAsia="宋体" w:cs="Times New Roman"/>
                <w:kern w:val="0"/>
                <w:sz w:val="24"/>
                <w:lang w:bidi="ar"/>
              </w:rPr>
              <w:fldChar w:fldCharType="separate"/>
            </w:r>
            <w:r>
              <w:rPr>
                <w:rFonts w:ascii="宋体" w:hAnsi="宋体" w:eastAsia="宋体" w:cs="Times New Roman"/>
                <w:kern w:val="0"/>
                <w:sz w:val="24"/>
                <w:lang w:bidi="ar"/>
              </w:rPr>
              <w:drawing>
                <wp:inline distT="0" distB="0" distL="114300" distR="114300">
                  <wp:extent cx="4493895" cy="3914775"/>
                  <wp:effectExtent l="0" t="0" r="1905" b="9525"/>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10"/>
                          <a:stretch>
                            <a:fillRect/>
                          </a:stretch>
                        </pic:blipFill>
                        <pic:spPr>
                          <a:xfrm>
                            <a:off x="0" y="0"/>
                            <a:ext cx="4493895" cy="3914775"/>
                          </a:xfrm>
                          <a:prstGeom prst="rect">
                            <a:avLst/>
                          </a:prstGeom>
                          <a:noFill/>
                          <a:ln>
                            <a:noFill/>
                          </a:ln>
                        </pic:spPr>
                      </pic:pic>
                    </a:graphicData>
                  </a:graphic>
                </wp:inline>
              </w:drawing>
            </w:r>
            <w:r>
              <w:rPr>
                <w:rFonts w:ascii="宋体" w:hAnsi="宋体" w:eastAsia="宋体" w:cs="Times New Roman"/>
                <w:kern w:val="0"/>
                <w:sz w:val="24"/>
                <w:lang w:bidi="ar"/>
              </w:rPr>
              <w:fldChar w:fldCharType="end"/>
            </w:r>
            <w:r>
              <w:rPr>
                <w:rFonts w:ascii="宋体" w:hAnsi="宋体" w:eastAsia="宋体" w:cs="Times New Roman"/>
                <w:kern w:val="0"/>
                <w:sz w:val="24"/>
                <w:lang w:bidi="ar"/>
              </w:rPr>
              <w:fldChar w:fldCharType="begin"/>
            </w:r>
            <w:r>
              <w:rPr>
                <w:rFonts w:ascii="宋体" w:hAnsi="宋体" w:eastAsia="宋体" w:cs="Times New Roman"/>
                <w:kern w:val="0"/>
                <w:sz w:val="24"/>
                <w:lang w:bidi="ar"/>
              </w:rPr>
              <w:instrText xml:space="preserve">INCLUDEPICTURE \d "C:\\Users\\Administrator\\AppData\\Roaming\\Tencent\\Users\\2416187742\\QQ\\WinTemp\\RichOle\\(YIVAHXTWL[D1SF)JBUU8JA.png" \* MERGEFORMATINET </w:instrText>
            </w:r>
            <w:r>
              <w:rPr>
                <w:rFonts w:ascii="宋体" w:hAnsi="宋体" w:eastAsia="宋体" w:cs="Times New Roman"/>
                <w:kern w:val="0"/>
                <w:sz w:val="24"/>
                <w:lang w:bidi="ar"/>
              </w:rPr>
              <w:fldChar w:fldCharType="separate"/>
            </w:r>
            <w:r>
              <w:rPr>
                <w:rFonts w:ascii="宋体" w:hAnsi="宋体" w:eastAsia="宋体" w:cs="Times New Roman"/>
                <w:kern w:val="0"/>
                <w:sz w:val="24"/>
                <w:lang w:bidi="ar"/>
              </w:rPr>
              <w:drawing>
                <wp:inline distT="0" distB="0" distL="114300" distR="114300">
                  <wp:extent cx="4502150" cy="3416935"/>
                  <wp:effectExtent l="0" t="0" r="12700" b="12065"/>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11"/>
                          <a:stretch>
                            <a:fillRect/>
                          </a:stretch>
                        </pic:blipFill>
                        <pic:spPr>
                          <a:xfrm>
                            <a:off x="0" y="0"/>
                            <a:ext cx="4502150" cy="3416935"/>
                          </a:xfrm>
                          <a:prstGeom prst="rect">
                            <a:avLst/>
                          </a:prstGeom>
                          <a:noFill/>
                          <a:ln>
                            <a:noFill/>
                          </a:ln>
                        </pic:spPr>
                      </pic:pic>
                    </a:graphicData>
                  </a:graphic>
                </wp:inline>
              </w:drawing>
            </w:r>
            <w:r>
              <w:rPr>
                <w:rFonts w:ascii="宋体" w:hAnsi="宋体" w:eastAsia="宋体" w:cs="Times New Roman"/>
                <w:kern w:val="0"/>
                <w:sz w:val="24"/>
                <w:lang w:bidi="ar"/>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lang w:val="en-US" w:eastAsia="zh-CN"/>
              </w:rPr>
            </w:pPr>
            <w:r>
              <w:rPr>
                <w:rFonts w:ascii="宋体" w:hAnsi="宋体" w:eastAsia="宋体" w:cs="Times New Roman"/>
                <w:kern w:val="0"/>
                <w:sz w:val="24"/>
                <w:lang w:bidi="ar"/>
              </w:rPr>
              <w:fldChar w:fldCharType="begin"/>
            </w:r>
            <w:r>
              <w:rPr>
                <w:rFonts w:ascii="宋体" w:hAnsi="宋体" w:eastAsia="宋体" w:cs="Times New Roman"/>
                <w:kern w:val="0"/>
                <w:sz w:val="24"/>
                <w:lang w:bidi="ar"/>
              </w:rPr>
              <w:instrText xml:space="preserve">INCLUDEPICTURE \d "C:\\Users\\Administrator\\AppData\\Roaming\\Tencent\\Users\\2416187742\\QQ\\WinTemp\\RichOle\\0`MF0OOBJ$E[DG3N57]C%%K.png" \* MERGEFORMATINET </w:instrText>
            </w:r>
            <w:r>
              <w:rPr>
                <w:rFonts w:ascii="宋体" w:hAnsi="宋体" w:eastAsia="宋体" w:cs="Times New Roman"/>
                <w:kern w:val="0"/>
                <w:sz w:val="24"/>
                <w:lang w:bidi="ar"/>
              </w:rPr>
              <w:fldChar w:fldCharType="separate"/>
            </w:r>
            <w:r>
              <w:rPr>
                <w:rFonts w:ascii="宋体" w:hAnsi="宋体" w:eastAsia="宋体" w:cs="Times New Roman"/>
                <w:kern w:val="0"/>
                <w:sz w:val="24"/>
                <w:lang w:bidi="ar"/>
              </w:rPr>
              <w:drawing>
                <wp:inline distT="0" distB="0" distL="114300" distR="114300">
                  <wp:extent cx="4519930" cy="3425825"/>
                  <wp:effectExtent l="0" t="0" r="13970" b="3175"/>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2"/>
                          <a:stretch>
                            <a:fillRect/>
                          </a:stretch>
                        </pic:blipFill>
                        <pic:spPr>
                          <a:xfrm>
                            <a:off x="0" y="0"/>
                            <a:ext cx="4519930" cy="3425825"/>
                          </a:xfrm>
                          <a:prstGeom prst="rect">
                            <a:avLst/>
                          </a:prstGeom>
                          <a:noFill/>
                          <a:ln>
                            <a:noFill/>
                          </a:ln>
                        </pic:spPr>
                      </pic:pic>
                    </a:graphicData>
                  </a:graphic>
                </wp:inline>
              </w:drawing>
            </w:r>
            <w:r>
              <w:rPr>
                <w:rFonts w:ascii="宋体" w:hAnsi="宋体" w:eastAsia="宋体" w:cs="Times New Roman"/>
                <w:kern w:val="0"/>
                <w:sz w:val="24"/>
                <w:lang w:bidi="ar"/>
              </w:rPr>
              <w:fldChar w:fldCharType="end"/>
            </w:r>
            <w:r>
              <w:rPr>
                <w:rFonts w:ascii="宋体" w:hAnsi="宋体" w:eastAsia="宋体" w:cs="Times New Roman"/>
                <w:kern w:val="0"/>
                <w:sz w:val="24"/>
                <w:lang w:bidi="ar"/>
              </w:rPr>
              <w:fldChar w:fldCharType="begin"/>
            </w:r>
            <w:r>
              <w:rPr>
                <w:rFonts w:ascii="宋体" w:hAnsi="宋体" w:eastAsia="宋体" w:cs="Times New Roman"/>
                <w:kern w:val="0"/>
                <w:sz w:val="24"/>
                <w:lang w:bidi="ar"/>
              </w:rPr>
              <w:instrText xml:space="preserve">INCLUDEPICTURE \d "C:\\Users\\Administrator\\AppData\\Roaming\\Tencent\\Users\\2416187742\\QQ\\WinTemp\\RichOle\\}B~GG_I71}8(Z}[NZ5_PS`5.png" \* MERGEFORMATINET </w:instrText>
            </w:r>
            <w:r>
              <w:rPr>
                <w:rFonts w:ascii="宋体" w:hAnsi="宋体" w:eastAsia="宋体" w:cs="Times New Roman"/>
                <w:kern w:val="0"/>
                <w:sz w:val="24"/>
                <w:lang w:bidi="ar"/>
              </w:rPr>
              <w:fldChar w:fldCharType="separate"/>
            </w:r>
            <w:r>
              <w:rPr>
                <w:rFonts w:ascii="宋体" w:hAnsi="宋体" w:eastAsia="宋体" w:cs="Times New Roman"/>
                <w:kern w:val="0"/>
                <w:sz w:val="24"/>
                <w:lang w:bidi="ar"/>
              </w:rPr>
              <w:drawing>
                <wp:inline distT="0" distB="0" distL="114300" distR="114300">
                  <wp:extent cx="4558030" cy="3122930"/>
                  <wp:effectExtent l="0" t="0" r="13970" b="127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13"/>
                          <a:stretch>
                            <a:fillRect/>
                          </a:stretch>
                        </pic:blipFill>
                        <pic:spPr>
                          <a:xfrm>
                            <a:off x="0" y="0"/>
                            <a:ext cx="4558030" cy="3122930"/>
                          </a:xfrm>
                          <a:prstGeom prst="rect">
                            <a:avLst/>
                          </a:prstGeom>
                          <a:noFill/>
                          <a:ln>
                            <a:noFill/>
                          </a:ln>
                        </pic:spPr>
                      </pic:pic>
                    </a:graphicData>
                  </a:graphic>
                </wp:inline>
              </w:drawing>
            </w:r>
            <w:r>
              <w:rPr>
                <w:rFonts w:ascii="宋体" w:hAnsi="宋体" w:eastAsia="宋体" w:cs="Times New Roman"/>
                <w:kern w:val="0"/>
                <w:sz w:val="24"/>
                <w:lang w:bidi="ar"/>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kern w:val="0"/>
                <w:sz w:val="24"/>
                <w:lang w:bidi="ar"/>
              </w:rPr>
            </w:pPr>
            <w:r>
              <w:rPr>
                <w:kern w:val="0"/>
                <w:sz w:val="24"/>
                <w:lang w:bidi="ar"/>
              </w:rPr>
              <w:drawing>
                <wp:inline distT="0" distB="0" distL="114300" distR="114300">
                  <wp:extent cx="4534535" cy="2633980"/>
                  <wp:effectExtent l="0" t="0" r="18415" b="13970"/>
                  <wp:docPr id="11" name="图片 11" descr="170971666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09716668019"/>
                          <pic:cNvPicPr>
                            <a:picLocks noChangeAspect="1"/>
                          </pic:cNvPicPr>
                        </pic:nvPicPr>
                        <pic:blipFill>
                          <a:blip r:embed="rId14"/>
                          <a:stretch>
                            <a:fillRect/>
                          </a:stretch>
                        </pic:blipFill>
                        <pic:spPr>
                          <a:xfrm>
                            <a:off x="0" y="0"/>
                            <a:ext cx="4534535" cy="2633980"/>
                          </a:xfrm>
                          <a:prstGeom prst="rect">
                            <a:avLst/>
                          </a:prstGeom>
                        </pic:spPr>
                      </pic:pic>
                    </a:graphicData>
                  </a:graphic>
                </wp:inline>
              </w:drawing>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"C:\\Users\\Administrator\\AppData\\Roaming\\Tencent\\Users\\2416187742\\QQ\\WinTemp\\RichOle\\RNM5F)A1]${89AV9XCM`MQT.png"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4504690" cy="2646680"/>
                  <wp:effectExtent l="0" t="0" r="10160" b="1270"/>
                  <wp:docPr id="1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56"/>
                          <pic:cNvPicPr>
                            <a:picLocks noChangeAspect="1"/>
                          </pic:cNvPicPr>
                        </pic:nvPicPr>
                        <pic:blipFill>
                          <a:blip r:embed="rId15"/>
                          <a:stretch>
                            <a:fillRect/>
                          </a:stretch>
                        </pic:blipFill>
                        <pic:spPr>
                          <a:xfrm>
                            <a:off x="0" y="0"/>
                            <a:ext cx="4504690" cy="2646680"/>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"C:\\Users\\Administrator\\AppData\\Roaming\\Tencent\\Users\\2416187742\\QQ\\WinTemp\\RichOle\\Y600DHVGNJA)A){0{$)}086.png"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4603750" cy="2723515"/>
                  <wp:effectExtent l="0" t="0" r="6350" b="635"/>
                  <wp:docPr id="13"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56"/>
                          <pic:cNvPicPr>
                            <a:picLocks noChangeAspect="1"/>
                          </pic:cNvPicPr>
                        </pic:nvPicPr>
                        <pic:blipFill>
                          <a:blip r:embed="rId16"/>
                          <a:stretch>
                            <a:fillRect/>
                          </a:stretch>
                        </pic:blipFill>
                        <pic:spPr>
                          <a:xfrm>
                            <a:off x="0" y="0"/>
                            <a:ext cx="4603750" cy="2723515"/>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"C:\\Users\\Administrator\\AppData\\Roaming\\Tencent\\Users\\2416187742\\QQ\\WinTemp\\RichOle\\G4XX87DLBQ2862L3K4QYYI0.png"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4528820" cy="2962275"/>
                  <wp:effectExtent l="0" t="0" r="5080" b="9525"/>
                  <wp:docPr id="1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56"/>
                          <pic:cNvPicPr>
                            <a:picLocks noChangeAspect="1"/>
                          </pic:cNvPicPr>
                        </pic:nvPicPr>
                        <pic:blipFill>
                          <a:blip r:embed="rId17"/>
                          <a:stretch>
                            <a:fillRect/>
                          </a:stretch>
                        </pic:blipFill>
                        <pic:spPr>
                          <a:xfrm>
                            <a:off x="0" y="0"/>
                            <a:ext cx="4528820" cy="2962275"/>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kern w:val="0"/>
                <w:sz w:val="24"/>
                <w:lang w:bidi="ar"/>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"C:\\Users\\Administrator\\AppData\\Roaming\\Tencent\\Users\\2416187742\\QQ\\WinTemp\\RichOle\\X%LX`F`~393[ZBY8UM7}X@L.png"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4481830" cy="2816860"/>
                  <wp:effectExtent l="0" t="0" r="13970" b="2540"/>
                  <wp:docPr id="15"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IMG_256"/>
                          <pic:cNvPicPr>
                            <a:picLocks noChangeAspect="1"/>
                          </pic:cNvPicPr>
                        </pic:nvPicPr>
                        <pic:blipFill>
                          <a:blip r:embed="rId18"/>
                          <a:stretch>
                            <a:fillRect/>
                          </a:stretch>
                        </pic:blipFill>
                        <pic:spPr>
                          <a:xfrm>
                            <a:off x="0" y="0"/>
                            <a:ext cx="4481830" cy="2816860"/>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"C:\\Users\\Administrator\\AppData\\Roaming\\Tencent\\Users\\2416187742\\QQ\\WinTemp\\RichOle\\A(Y(CWFZO{JINHW2%9IINNW.png"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4438015" cy="3099435"/>
                  <wp:effectExtent l="0" t="0" r="635" b="5715"/>
                  <wp:docPr id="1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IMG_256"/>
                          <pic:cNvPicPr>
                            <a:picLocks noChangeAspect="1"/>
                          </pic:cNvPicPr>
                        </pic:nvPicPr>
                        <pic:blipFill>
                          <a:blip r:embed="rId19"/>
                          <a:stretch>
                            <a:fillRect/>
                          </a:stretch>
                        </pic:blipFill>
                        <pic:spPr>
                          <a:xfrm>
                            <a:off x="0" y="0"/>
                            <a:ext cx="4438015" cy="3099435"/>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rPr>
            </w:pPr>
            <w:r>
              <w:rPr>
                <w:rFonts w:hint="default" w:ascii="Times New Roman" w:hAnsi="Times New Roman" w:cs="Times New Roman"/>
                <w:b/>
                <w:bCs/>
                <w:sz w:val="24"/>
                <w:szCs w:val="24"/>
                <w:lang w:val="en-US" w:eastAsia="zh-CN"/>
              </w:rPr>
              <w:t>图4-1  项目地理位置图</w:t>
            </w: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宋体" w:cs="Times New Roman"/>
          <w:b/>
          <w:color w:val="000000"/>
          <w:sz w:val="26"/>
          <w:szCs w:val="26"/>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0" w:hRule="atLeast"/>
        </w:trPr>
        <w:tc>
          <w:tcPr>
            <w:tcW w:w="14174" w:type="dxa"/>
          </w:tcPr>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 xml:space="preserve">4.1 </w:t>
            </w:r>
            <w:r>
              <w:rPr>
                <w:rFonts w:hint="default" w:ascii="Times New Roman" w:hAnsi="Times New Roman" w:cs="Times New Roman"/>
                <w:b/>
                <w:bCs/>
                <w:sz w:val="24"/>
                <w:szCs w:val="24"/>
              </w:rPr>
              <w:t>主要工程内容及规模</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表4-1   工程内容一览表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065"/>
              <w:gridCol w:w="4724"/>
              <w:gridCol w:w="4724"/>
              <w:gridCol w:w="2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工程</w:t>
                  </w:r>
                </w:p>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名称</w:t>
                  </w:r>
                </w:p>
              </w:tc>
              <w:tc>
                <w:tcPr>
                  <w:tcW w:w="381"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建设内容</w:t>
                  </w:r>
                </w:p>
              </w:tc>
              <w:tc>
                <w:tcPr>
                  <w:tcW w:w="1694"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环评时计划的</w:t>
                  </w:r>
                  <w:r>
                    <w:rPr>
                      <w:rFonts w:hint="default" w:ascii="Times New Roman" w:hAnsi="Times New Roman" w:cs="Times New Roman"/>
                      <w:color w:val="000000" w:themeColor="text1"/>
                      <w:szCs w:val="21"/>
                      <w14:textFill>
                        <w14:solidFill>
                          <w14:schemeClr w14:val="tx1"/>
                        </w14:solidFill>
                      </w14:textFill>
                    </w:rPr>
                    <w:t>建设规模</w:t>
                  </w:r>
                </w:p>
              </w:tc>
              <w:tc>
                <w:tcPr>
                  <w:tcW w:w="1694" w:type="pct"/>
                  <w:noWrap w:val="0"/>
                  <w:vAlign w:val="center"/>
                </w:tcPr>
                <w:p>
                  <w:pPr>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实际建设规模</w:t>
                  </w:r>
                </w:p>
              </w:tc>
              <w:tc>
                <w:tcPr>
                  <w:tcW w:w="996" w:type="pct"/>
                  <w:noWrap w:val="0"/>
                  <w:vAlign w:val="center"/>
                </w:tcPr>
                <w:p>
                  <w:pPr>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变化原因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b/>
                      <w:bCs/>
                      <w:kern w:val="0"/>
                      <w:sz w:val="21"/>
                      <w:szCs w:val="21"/>
                      <w:lang w:eastAsia="zh-CN"/>
                    </w:rPr>
                    <w:t>分水镇污水管网补充工程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主体工程</w:t>
                  </w: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管网铺设</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本项目补充建设污水管网约39960米。</w:t>
                  </w:r>
                </w:p>
              </w:tc>
              <w:tc>
                <w:tcPr>
                  <w:tcW w:w="1694"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本项目补充建设污水管网约39960米。</w:t>
                  </w:r>
                </w:p>
              </w:tc>
              <w:tc>
                <w:tcPr>
                  <w:tcW w:w="996"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附属工程</w:t>
                  </w: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附属设施</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新建C30现浇水泥混凝土污水检查井（∅700）1330 座；新建4立方钢筋混凝土化粪池30座，新建6立方钢筋混凝土化粪池5座，新建9立方钢筋混凝土化粪池5座。 </w:t>
                  </w:r>
                </w:p>
              </w:tc>
              <w:tc>
                <w:tcPr>
                  <w:tcW w:w="1694"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新建C30现浇水泥混凝土污水检查井（∅700）1330 座；新建4立方钢筋混凝土化粪池30座，新建6立方钢筋混凝土化粪池5座，新建9立方钢筋混凝土化粪池5座。 </w:t>
                  </w:r>
                </w:p>
              </w:tc>
              <w:tc>
                <w:tcPr>
                  <w:tcW w:w="996"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辅助工程</w:t>
                  </w: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施工便道</w:t>
                  </w:r>
                </w:p>
              </w:tc>
              <w:tc>
                <w:tcPr>
                  <w:tcW w:w="1694" w:type="pct"/>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利用已建道路</w:t>
                  </w:r>
                </w:p>
              </w:tc>
              <w:tc>
                <w:tcPr>
                  <w:tcW w:w="1694"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利用已建道路</w:t>
                  </w:r>
                </w:p>
              </w:tc>
              <w:tc>
                <w:tcPr>
                  <w:tcW w:w="996"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施工营地</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不设集中施工营地，依托附近生活设施</w:t>
                  </w:r>
                </w:p>
              </w:tc>
              <w:tc>
                <w:tcPr>
                  <w:tcW w:w="1694"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不设集中施工营地，依托附近生活设施</w:t>
                  </w:r>
                </w:p>
              </w:tc>
              <w:tc>
                <w:tcPr>
                  <w:tcW w:w="996"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道路修复</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沥青路面基层破除及恢复700 平方米</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水泥混凝土路面破除及恢复 500 平方米；水泥混凝土院坝破除及恢复200 平方米；人行道、基层破除及恢复 500 平方米。</w:t>
                  </w:r>
                </w:p>
              </w:tc>
              <w:tc>
                <w:tcPr>
                  <w:tcW w:w="1694"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沥青路面基层破除及恢复700 平方米</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水泥混凝土路面破除及恢复 500 平方米；水泥混凝土院坝破除及恢复200 平方米；人行道、基层破除及恢复 500 平方米。</w:t>
                  </w:r>
                </w:p>
              </w:tc>
              <w:tc>
                <w:tcPr>
                  <w:tcW w:w="996"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环保工程</w:t>
                  </w: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废气</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施工期设置围挡、施工场地洒水</w:t>
                  </w:r>
                </w:p>
              </w:tc>
              <w:tc>
                <w:tcPr>
                  <w:tcW w:w="1694"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施工期设置围挡、施工场地洒水</w:t>
                  </w:r>
                </w:p>
              </w:tc>
              <w:tc>
                <w:tcPr>
                  <w:tcW w:w="996"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废水</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施工期生活污水依托附近生活污水收集处理设施</w:t>
                  </w:r>
                </w:p>
              </w:tc>
              <w:tc>
                <w:tcPr>
                  <w:tcW w:w="1694"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施工期生活污水依托附近生活污水收集处理设施</w:t>
                  </w:r>
                </w:p>
              </w:tc>
              <w:tc>
                <w:tcPr>
                  <w:tcW w:w="996"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绿化</w:t>
                  </w:r>
                </w:p>
              </w:tc>
              <w:tc>
                <w:tcPr>
                  <w:tcW w:w="1694" w:type="pct"/>
                  <w:noWrap w:val="0"/>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恢复地表植被、</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道路恢复</w:t>
                  </w:r>
                </w:p>
              </w:tc>
              <w:tc>
                <w:tcPr>
                  <w:tcW w:w="1694"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恢复地表植被、</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道路恢复</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水土保持</w:t>
                  </w:r>
                </w:p>
              </w:tc>
              <w:tc>
                <w:tcPr>
                  <w:tcW w:w="1694" w:type="pct"/>
                  <w:noWrap w:val="0"/>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边坡防护，水土流失治理工程</w:t>
                  </w:r>
                </w:p>
              </w:tc>
              <w:tc>
                <w:tcPr>
                  <w:tcW w:w="1694"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边坡防护，水土流失治理工程</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b/>
                      <w:bCs/>
                      <w:color w:val="auto"/>
                      <w:sz w:val="21"/>
                      <w:szCs w:val="21"/>
                      <w:lang w:eastAsia="zh-CN"/>
                    </w:rPr>
                    <w:t>李河</w:t>
                  </w:r>
                  <w:r>
                    <w:rPr>
                      <w:rFonts w:hint="default" w:ascii="Times New Roman" w:hAnsi="Times New Roman" w:cs="Times New Roman"/>
                      <w:b/>
                      <w:bCs/>
                      <w:color w:val="auto"/>
                      <w:sz w:val="21"/>
                      <w:szCs w:val="21"/>
                      <w:lang w:eastAsia="zh-CN"/>
                    </w:rPr>
                    <w:t>镇污水管网补充工程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dxa"/>
                  <w:noWrap w:val="0"/>
                  <w:vAlign w:val="center"/>
                </w:tcPr>
                <w:p>
                  <w:pPr>
                    <w:rPr>
                      <w:rFonts w:hint="default" w:eastAsia="宋体"/>
                      <w:color w:val="auto"/>
                      <w:sz w:val="21"/>
                      <w:szCs w:val="21"/>
                      <w:lang w:val="en-US" w:eastAsia="zh-CN"/>
                    </w:rPr>
                  </w:pPr>
                  <w:r>
                    <w:rPr>
                      <w:rFonts w:hint="eastAsia" w:eastAsia="宋体"/>
                      <w:color w:val="auto"/>
                      <w:sz w:val="21"/>
                      <w:szCs w:val="21"/>
                      <w:lang w:val="en-US" w:eastAsia="zh-CN"/>
                    </w:rPr>
                    <w:t>主体工程</w:t>
                  </w:r>
                </w:p>
              </w:tc>
              <w:tc>
                <w:tcPr>
                  <w:tcW w:w="1065" w:type="dxa"/>
                  <w:noWrap w:val="0"/>
                  <w:vAlign w:val="center"/>
                </w:tcPr>
                <w:p>
                  <w:pPr>
                    <w:rPr>
                      <w:rFonts w:hint="default" w:eastAsia="宋体"/>
                      <w:color w:val="auto"/>
                      <w:sz w:val="21"/>
                      <w:szCs w:val="21"/>
                      <w:lang w:val="en-US" w:eastAsia="zh-CN"/>
                    </w:rPr>
                  </w:pPr>
                  <w:r>
                    <w:rPr>
                      <w:rFonts w:hint="eastAsia" w:eastAsia="宋体"/>
                      <w:color w:val="auto"/>
                      <w:sz w:val="21"/>
                      <w:szCs w:val="21"/>
                      <w:lang w:val="en-US" w:eastAsia="zh-CN"/>
                    </w:rPr>
                    <w:t>管网铺设</w:t>
                  </w:r>
                </w:p>
              </w:tc>
              <w:tc>
                <w:tcPr>
                  <w:tcW w:w="4724" w:type="dxa"/>
                  <w:noWrap w:val="0"/>
                  <w:vAlign w:val="center"/>
                </w:tcPr>
                <w:p>
                  <w:pPr>
                    <w:rPr>
                      <w:rFonts w:hint="default" w:eastAsia="宋体"/>
                      <w:color w:val="auto"/>
                      <w:sz w:val="21"/>
                      <w:szCs w:val="21"/>
                      <w:lang w:val="en-US" w:eastAsia="zh-CN"/>
                    </w:rPr>
                  </w:pPr>
                  <w:r>
                    <w:rPr>
                      <w:rFonts w:hint="eastAsia" w:eastAsia="宋体"/>
                      <w:color w:val="auto"/>
                      <w:sz w:val="21"/>
                      <w:szCs w:val="21"/>
                      <w:lang w:val="en-US" w:eastAsia="zh-CN"/>
                    </w:rPr>
                    <w:t>补充建设污水管网约 12267 米。</w:t>
                  </w:r>
                </w:p>
              </w:tc>
              <w:tc>
                <w:tcPr>
                  <w:tcW w:w="4724" w:type="dxa"/>
                  <w:noWrap w:val="0"/>
                  <w:vAlign w:val="center"/>
                </w:tcPr>
                <w:p>
                  <w:pPr>
                    <w:rPr>
                      <w:rFonts w:hint="default" w:ascii="Times New Roman" w:hAnsi="Times New Roman" w:eastAsia="宋体" w:cs="Times New Roman"/>
                      <w:color w:val="4BACC6" w:themeColor="accent5"/>
                      <w:sz w:val="21"/>
                      <w:szCs w:val="21"/>
                      <w:lang w:eastAsia="zh-CN"/>
                      <w14:textFill>
                        <w14:solidFill>
                          <w14:schemeClr w14:val="accent5"/>
                        </w14:solidFill>
                      </w14:textFill>
                    </w:rPr>
                  </w:pPr>
                  <w:r>
                    <w:rPr>
                      <w:rFonts w:hint="eastAsia" w:eastAsia="宋体"/>
                      <w:color w:val="auto"/>
                      <w:sz w:val="21"/>
                      <w:szCs w:val="21"/>
                      <w:lang w:val="en-US" w:eastAsia="zh-CN"/>
                    </w:rPr>
                    <w:t>补充建设污水管网约 12267 米。</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dxa"/>
                  <w:noWrap w:val="0"/>
                  <w:vAlign w:val="center"/>
                </w:tcPr>
                <w:p>
                  <w:pPr>
                    <w:rPr>
                      <w:rFonts w:hint="default" w:eastAsia="宋体"/>
                      <w:color w:val="auto"/>
                      <w:sz w:val="21"/>
                      <w:szCs w:val="21"/>
                      <w:lang w:val="en-US" w:eastAsia="zh-CN"/>
                    </w:rPr>
                  </w:pPr>
                  <w:r>
                    <w:rPr>
                      <w:rFonts w:hint="eastAsia" w:eastAsia="宋体"/>
                      <w:color w:val="auto"/>
                      <w:sz w:val="21"/>
                      <w:szCs w:val="21"/>
                      <w:lang w:val="en-US" w:eastAsia="zh-CN"/>
                    </w:rPr>
                    <w:t>附属工程</w:t>
                  </w:r>
                </w:p>
              </w:tc>
              <w:tc>
                <w:tcPr>
                  <w:tcW w:w="1065" w:type="dxa"/>
                  <w:noWrap w:val="0"/>
                  <w:vAlign w:val="center"/>
                </w:tcPr>
                <w:p>
                  <w:pPr>
                    <w:rPr>
                      <w:rFonts w:hint="default" w:eastAsia="宋体"/>
                      <w:color w:val="auto"/>
                      <w:sz w:val="21"/>
                      <w:szCs w:val="21"/>
                      <w:lang w:val="en-US" w:eastAsia="zh-CN"/>
                    </w:rPr>
                  </w:pPr>
                  <w:r>
                    <w:rPr>
                      <w:rFonts w:hint="eastAsia" w:eastAsia="宋体"/>
                      <w:color w:val="auto"/>
                      <w:sz w:val="21"/>
                      <w:szCs w:val="21"/>
                      <w:lang w:val="en-US" w:eastAsia="zh-CN"/>
                    </w:rPr>
                    <w:t>附属设施</w:t>
                  </w:r>
                </w:p>
              </w:tc>
              <w:tc>
                <w:tcPr>
                  <w:tcW w:w="4724" w:type="dxa"/>
                  <w:noWrap w:val="0"/>
                  <w:vAlign w:val="center"/>
                </w:tcPr>
                <w:p>
                  <w:pPr>
                    <w:rPr>
                      <w:rFonts w:hint="default" w:eastAsia="宋体"/>
                      <w:color w:val="auto"/>
                      <w:sz w:val="21"/>
                      <w:szCs w:val="21"/>
                      <w:lang w:val="en-US" w:eastAsia="zh-CN"/>
                    </w:rPr>
                  </w:pPr>
                  <w:r>
                    <w:rPr>
                      <w:rFonts w:hint="eastAsia" w:eastAsia="宋体"/>
                      <w:color w:val="auto"/>
                      <w:sz w:val="21"/>
                      <w:szCs w:val="21"/>
                      <w:lang w:val="en-US" w:eastAsia="zh-CN"/>
                    </w:rPr>
                    <w:t>新建 C30 现浇水泥混凝土污水检查井(∅700)141 座；新建 4 立方米钢筋混凝土化粪池 10 座；新建 6 立方米钢筋混凝土化粪池 5 座；新建 4 立方米钢筋混凝土化粪池 3 座。</w:t>
                  </w:r>
                </w:p>
              </w:tc>
              <w:tc>
                <w:tcPr>
                  <w:tcW w:w="4724" w:type="dxa"/>
                  <w:noWrap w:val="0"/>
                  <w:vAlign w:val="center"/>
                </w:tcPr>
                <w:p>
                  <w:pP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olor w:val="auto"/>
                      <w:sz w:val="21"/>
                      <w:szCs w:val="21"/>
                      <w:lang w:val="en-US" w:eastAsia="zh-CN"/>
                    </w:rPr>
                    <w:t>新建 C30 现浇水泥混凝土污水检查井(∅700)141 座；新建 4 立方米钢筋混凝土化粪池 10 座；新建 6 立方米钢筋混凝土化粪池 5 座；新建 4 立方米钢筋混凝土化粪池 3 座。</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dxa"/>
                  <w:vMerge w:val="restart"/>
                  <w:noWrap w:val="0"/>
                  <w:vAlign w:val="center"/>
                </w:tcPr>
                <w:p>
                  <w:pPr>
                    <w:rPr>
                      <w:rFonts w:hint="default" w:eastAsia="宋体"/>
                      <w:color w:val="auto"/>
                      <w:sz w:val="21"/>
                      <w:szCs w:val="21"/>
                      <w:lang w:val="en-US" w:eastAsia="zh-CN"/>
                    </w:rPr>
                  </w:pPr>
                  <w:r>
                    <w:rPr>
                      <w:rFonts w:hint="eastAsia" w:eastAsia="宋体"/>
                      <w:color w:val="auto"/>
                      <w:sz w:val="21"/>
                      <w:szCs w:val="21"/>
                      <w:lang w:val="en-US" w:eastAsia="zh-CN"/>
                    </w:rPr>
                    <w:t>辅助工程</w:t>
                  </w:r>
                </w:p>
              </w:tc>
              <w:tc>
                <w:tcPr>
                  <w:tcW w:w="1065" w:type="dxa"/>
                  <w:noWrap w:val="0"/>
                  <w:vAlign w:val="center"/>
                </w:tcPr>
                <w:p>
                  <w:pPr>
                    <w:rPr>
                      <w:rFonts w:hint="default" w:eastAsia="宋体"/>
                      <w:color w:val="auto"/>
                      <w:sz w:val="21"/>
                      <w:szCs w:val="21"/>
                      <w:lang w:val="en-US" w:eastAsia="zh-CN"/>
                    </w:rPr>
                  </w:pPr>
                  <w:r>
                    <w:rPr>
                      <w:rFonts w:hint="eastAsia" w:eastAsia="宋体"/>
                      <w:color w:val="auto"/>
                      <w:sz w:val="21"/>
                      <w:szCs w:val="21"/>
                      <w:lang w:val="en-US" w:eastAsia="zh-CN"/>
                    </w:rPr>
                    <w:t>施工便道</w:t>
                  </w:r>
                </w:p>
              </w:tc>
              <w:tc>
                <w:tcPr>
                  <w:tcW w:w="4724" w:type="dxa"/>
                  <w:noWrap w:val="0"/>
                  <w:vAlign w:val="center"/>
                </w:tcPr>
                <w:p>
                  <w:pPr>
                    <w:rPr>
                      <w:rFonts w:hint="default" w:eastAsia="宋体"/>
                      <w:color w:val="auto"/>
                      <w:sz w:val="21"/>
                      <w:szCs w:val="21"/>
                      <w:lang w:val="en-US" w:eastAsia="zh-CN"/>
                    </w:rPr>
                  </w:pPr>
                  <w:r>
                    <w:rPr>
                      <w:rFonts w:hint="eastAsia" w:eastAsia="宋体"/>
                      <w:color w:val="auto"/>
                      <w:sz w:val="21"/>
                      <w:szCs w:val="21"/>
                      <w:lang w:val="en-US" w:eastAsia="zh-CN"/>
                    </w:rPr>
                    <w:t>利用已建道路</w:t>
                  </w:r>
                </w:p>
              </w:tc>
              <w:tc>
                <w:tcPr>
                  <w:tcW w:w="4724" w:type="dxa"/>
                  <w:noWrap w:val="0"/>
                  <w:vAlign w:val="center"/>
                </w:tcPr>
                <w:p>
                  <w:pP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olor w:val="auto"/>
                      <w:sz w:val="21"/>
                      <w:szCs w:val="21"/>
                      <w:lang w:val="en-US" w:eastAsia="zh-CN"/>
                    </w:rPr>
                    <w:t>利用已建道路</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dxa"/>
                  <w:vMerge w:val="continue"/>
                  <w:noWrap w:val="0"/>
                  <w:vAlign w:val="center"/>
                </w:tcPr>
                <w:p>
                  <w:pPr>
                    <w:rPr>
                      <w:rFonts w:hint="default" w:eastAsia="宋体"/>
                      <w:color w:val="auto"/>
                      <w:sz w:val="21"/>
                      <w:szCs w:val="21"/>
                      <w:lang w:val="en-US" w:eastAsia="zh-CN"/>
                    </w:rPr>
                  </w:pPr>
                </w:p>
              </w:tc>
              <w:tc>
                <w:tcPr>
                  <w:tcW w:w="1065" w:type="dxa"/>
                  <w:noWrap w:val="0"/>
                  <w:vAlign w:val="center"/>
                </w:tcPr>
                <w:p>
                  <w:pPr>
                    <w:rPr>
                      <w:rFonts w:hint="default" w:eastAsia="宋体"/>
                      <w:color w:val="auto"/>
                      <w:sz w:val="21"/>
                      <w:szCs w:val="21"/>
                      <w:lang w:val="en-US" w:eastAsia="zh-CN"/>
                    </w:rPr>
                  </w:pPr>
                  <w:r>
                    <w:rPr>
                      <w:rFonts w:hint="eastAsia" w:eastAsia="宋体"/>
                      <w:color w:val="auto"/>
                      <w:sz w:val="21"/>
                      <w:szCs w:val="21"/>
                      <w:lang w:val="en-US" w:eastAsia="zh-CN"/>
                    </w:rPr>
                    <w:t>施工营地</w:t>
                  </w:r>
                </w:p>
              </w:tc>
              <w:tc>
                <w:tcPr>
                  <w:tcW w:w="4724" w:type="dxa"/>
                  <w:noWrap w:val="0"/>
                  <w:vAlign w:val="center"/>
                </w:tcPr>
                <w:p>
                  <w:pPr>
                    <w:rPr>
                      <w:rFonts w:hint="default" w:eastAsia="宋体"/>
                      <w:color w:val="auto"/>
                      <w:sz w:val="21"/>
                      <w:szCs w:val="21"/>
                      <w:lang w:val="en-US" w:eastAsia="zh-CN"/>
                    </w:rPr>
                  </w:pPr>
                  <w:r>
                    <w:rPr>
                      <w:rFonts w:hint="eastAsia" w:eastAsia="宋体"/>
                      <w:color w:val="auto"/>
                      <w:sz w:val="21"/>
                      <w:szCs w:val="21"/>
                      <w:lang w:val="en-US" w:eastAsia="zh-CN"/>
                    </w:rPr>
                    <w:t>不设集中施工营地，依托附近生活设施</w:t>
                  </w:r>
                </w:p>
              </w:tc>
              <w:tc>
                <w:tcPr>
                  <w:tcW w:w="4724" w:type="dxa"/>
                  <w:noWrap w:val="0"/>
                  <w:vAlign w:val="center"/>
                </w:tcPr>
                <w:p>
                  <w:pP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olor w:val="auto"/>
                      <w:sz w:val="21"/>
                      <w:szCs w:val="21"/>
                      <w:lang w:val="en-US" w:eastAsia="zh-CN"/>
                    </w:rPr>
                    <w:t>不设集中施工营地，依托附近生活设施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dxa"/>
                  <w:vMerge w:val="continue"/>
                  <w:noWrap w:val="0"/>
                  <w:vAlign w:val="center"/>
                </w:tcPr>
                <w:p>
                  <w:pPr>
                    <w:rPr>
                      <w:rFonts w:hint="default" w:eastAsia="宋体"/>
                      <w:color w:val="auto"/>
                      <w:sz w:val="21"/>
                      <w:szCs w:val="21"/>
                      <w:lang w:val="en-US" w:eastAsia="zh-CN"/>
                    </w:rPr>
                  </w:pPr>
                </w:p>
              </w:tc>
              <w:tc>
                <w:tcPr>
                  <w:tcW w:w="1065" w:type="dxa"/>
                  <w:noWrap w:val="0"/>
                  <w:vAlign w:val="center"/>
                </w:tcPr>
                <w:p>
                  <w:pPr>
                    <w:rPr>
                      <w:rFonts w:hint="default" w:eastAsia="宋体"/>
                      <w:color w:val="auto"/>
                      <w:sz w:val="21"/>
                      <w:szCs w:val="21"/>
                      <w:lang w:val="en-US" w:eastAsia="zh-CN"/>
                    </w:rPr>
                  </w:pPr>
                  <w:r>
                    <w:rPr>
                      <w:rFonts w:hint="eastAsia" w:eastAsia="宋体"/>
                      <w:color w:val="auto"/>
                      <w:sz w:val="21"/>
                      <w:szCs w:val="21"/>
                      <w:lang w:val="en-US" w:eastAsia="zh-CN"/>
                    </w:rPr>
                    <w:t>道路修复</w:t>
                  </w:r>
                </w:p>
              </w:tc>
              <w:tc>
                <w:tcPr>
                  <w:tcW w:w="4724" w:type="dxa"/>
                  <w:noWrap w:val="0"/>
                  <w:vAlign w:val="center"/>
                </w:tcPr>
                <w:p>
                  <w:pPr>
                    <w:rPr>
                      <w:rFonts w:hint="default" w:eastAsia="宋体"/>
                      <w:color w:val="auto"/>
                      <w:sz w:val="21"/>
                      <w:szCs w:val="21"/>
                      <w:lang w:val="en-US" w:eastAsia="zh-CN"/>
                    </w:rPr>
                  </w:pPr>
                  <w:r>
                    <w:rPr>
                      <w:rFonts w:hint="eastAsia" w:eastAsia="宋体"/>
                      <w:color w:val="auto"/>
                      <w:sz w:val="21"/>
                      <w:szCs w:val="21"/>
                      <w:lang w:val="en-US" w:eastAsia="zh-CN"/>
                    </w:rPr>
                    <w:t>沥青路面、基层破除及恢复 3404 平方米；水泥混凝土院坝破除及恢复 1750 平方米。</w:t>
                  </w:r>
                </w:p>
              </w:tc>
              <w:tc>
                <w:tcPr>
                  <w:tcW w:w="4724" w:type="dxa"/>
                  <w:noWrap w:val="0"/>
                  <w:vAlign w:val="center"/>
                </w:tcPr>
                <w:p>
                  <w:pP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olor w:val="auto"/>
                      <w:sz w:val="21"/>
                      <w:szCs w:val="21"/>
                      <w:lang w:val="en-US" w:eastAsia="zh-CN"/>
                    </w:rPr>
                    <w:t>沥青路面、基层破除及恢复 3404 平方米；水泥混凝土院坝破除及恢复 1750 平方米。</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dxa"/>
                  <w:vMerge w:val="restart"/>
                  <w:noWrap w:val="0"/>
                  <w:vAlign w:val="center"/>
                </w:tcPr>
                <w:p>
                  <w:pPr>
                    <w:rPr>
                      <w:rFonts w:hint="default" w:eastAsia="宋体"/>
                      <w:color w:val="auto"/>
                      <w:sz w:val="21"/>
                      <w:szCs w:val="21"/>
                      <w:lang w:val="en-US" w:eastAsia="zh-CN"/>
                    </w:rPr>
                  </w:pPr>
                  <w:r>
                    <w:rPr>
                      <w:rFonts w:hint="eastAsia" w:eastAsia="宋体"/>
                      <w:color w:val="auto"/>
                      <w:sz w:val="21"/>
                      <w:szCs w:val="21"/>
                      <w:lang w:val="en-US" w:eastAsia="zh-CN"/>
                    </w:rPr>
                    <w:t>环保工程</w:t>
                  </w:r>
                </w:p>
              </w:tc>
              <w:tc>
                <w:tcPr>
                  <w:tcW w:w="1065" w:type="dxa"/>
                  <w:noWrap w:val="0"/>
                  <w:vAlign w:val="center"/>
                </w:tcPr>
                <w:p>
                  <w:pPr>
                    <w:rPr>
                      <w:rFonts w:hint="default" w:eastAsia="宋体"/>
                      <w:color w:val="auto"/>
                      <w:sz w:val="21"/>
                      <w:szCs w:val="21"/>
                      <w:lang w:val="en-US" w:eastAsia="zh-CN"/>
                    </w:rPr>
                  </w:pPr>
                  <w:r>
                    <w:rPr>
                      <w:rFonts w:hint="eastAsia" w:eastAsia="宋体"/>
                      <w:color w:val="auto"/>
                      <w:sz w:val="21"/>
                      <w:szCs w:val="21"/>
                      <w:lang w:val="en-US" w:eastAsia="zh-CN"/>
                    </w:rPr>
                    <w:t>废气</w:t>
                  </w:r>
                </w:p>
              </w:tc>
              <w:tc>
                <w:tcPr>
                  <w:tcW w:w="4724" w:type="dxa"/>
                  <w:noWrap w:val="0"/>
                  <w:vAlign w:val="center"/>
                </w:tcPr>
                <w:p>
                  <w:pPr>
                    <w:rPr>
                      <w:rFonts w:hint="default" w:eastAsia="宋体"/>
                      <w:color w:val="auto"/>
                      <w:sz w:val="21"/>
                      <w:szCs w:val="21"/>
                      <w:lang w:val="en-US" w:eastAsia="zh-CN"/>
                    </w:rPr>
                  </w:pPr>
                  <w:r>
                    <w:rPr>
                      <w:rFonts w:hint="eastAsia" w:eastAsia="宋体"/>
                      <w:color w:val="auto"/>
                      <w:sz w:val="21"/>
                      <w:szCs w:val="21"/>
                      <w:lang w:val="en-US" w:eastAsia="zh-CN"/>
                    </w:rPr>
                    <w:t>施工期设置围挡、施工场地洒水</w:t>
                  </w:r>
                </w:p>
              </w:tc>
              <w:tc>
                <w:tcPr>
                  <w:tcW w:w="4724" w:type="dxa"/>
                  <w:noWrap w:val="0"/>
                  <w:vAlign w:val="center"/>
                </w:tcPr>
                <w:p>
                  <w:pP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olor w:val="auto"/>
                      <w:sz w:val="21"/>
                      <w:szCs w:val="21"/>
                      <w:lang w:val="en-US" w:eastAsia="zh-CN"/>
                    </w:rPr>
                    <w:t>施工期设置围挡、施工场地洒水</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dxa"/>
                  <w:vMerge w:val="continue"/>
                  <w:noWrap w:val="0"/>
                  <w:vAlign w:val="center"/>
                </w:tcPr>
                <w:p>
                  <w:pPr>
                    <w:rPr>
                      <w:rFonts w:hint="default" w:eastAsia="宋体"/>
                      <w:color w:val="auto"/>
                      <w:sz w:val="21"/>
                      <w:szCs w:val="21"/>
                      <w:lang w:val="en-US" w:eastAsia="zh-CN"/>
                    </w:rPr>
                  </w:pPr>
                </w:p>
              </w:tc>
              <w:tc>
                <w:tcPr>
                  <w:tcW w:w="1065" w:type="dxa"/>
                  <w:noWrap w:val="0"/>
                  <w:vAlign w:val="center"/>
                </w:tcPr>
                <w:p>
                  <w:pPr>
                    <w:rPr>
                      <w:rFonts w:hint="default" w:eastAsia="宋体"/>
                      <w:color w:val="auto"/>
                      <w:sz w:val="21"/>
                      <w:szCs w:val="21"/>
                      <w:lang w:val="en-US" w:eastAsia="zh-CN"/>
                    </w:rPr>
                  </w:pPr>
                  <w:r>
                    <w:rPr>
                      <w:rFonts w:hint="eastAsia" w:eastAsia="宋体"/>
                      <w:color w:val="auto"/>
                      <w:sz w:val="21"/>
                      <w:szCs w:val="21"/>
                      <w:lang w:val="en-US" w:eastAsia="zh-CN"/>
                    </w:rPr>
                    <w:t>废水</w:t>
                  </w:r>
                </w:p>
              </w:tc>
              <w:tc>
                <w:tcPr>
                  <w:tcW w:w="4724" w:type="dxa"/>
                  <w:noWrap w:val="0"/>
                  <w:vAlign w:val="center"/>
                </w:tcPr>
                <w:p>
                  <w:pPr>
                    <w:rPr>
                      <w:rFonts w:hint="default" w:eastAsia="宋体"/>
                      <w:color w:val="auto"/>
                      <w:sz w:val="21"/>
                      <w:szCs w:val="21"/>
                      <w:lang w:val="en-US" w:eastAsia="zh-CN"/>
                    </w:rPr>
                  </w:pPr>
                  <w:r>
                    <w:rPr>
                      <w:rFonts w:hint="eastAsia" w:eastAsia="宋体"/>
                      <w:color w:val="auto"/>
                      <w:sz w:val="21"/>
                      <w:szCs w:val="21"/>
                      <w:lang w:val="en-US" w:eastAsia="zh-CN"/>
                    </w:rPr>
                    <w:t>施工期生活污水依托附近生活污水收集处理设施</w:t>
                  </w:r>
                </w:p>
              </w:tc>
              <w:tc>
                <w:tcPr>
                  <w:tcW w:w="4724" w:type="dxa"/>
                  <w:noWrap w:val="0"/>
                  <w:vAlign w:val="center"/>
                </w:tcPr>
                <w:p>
                  <w:pP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olor w:val="auto"/>
                      <w:sz w:val="21"/>
                      <w:szCs w:val="21"/>
                      <w:lang w:val="en-US" w:eastAsia="zh-CN"/>
                    </w:rPr>
                    <w:t>施工期生活污水依托附近生活污水收集处理设施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dxa"/>
                  <w:vMerge w:val="continue"/>
                  <w:noWrap w:val="0"/>
                  <w:vAlign w:val="center"/>
                </w:tcPr>
                <w:p>
                  <w:pPr>
                    <w:rPr>
                      <w:rFonts w:hint="default" w:eastAsia="宋体"/>
                      <w:color w:val="auto"/>
                      <w:sz w:val="21"/>
                      <w:szCs w:val="21"/>
                      <w:lang w:val="en-US" w:eastAsia="zh-CN"/>
                    </w:rPr>
                  </w:pPr>
                </w:p>
              </w:tc>
              <w:tc>
                <w:tcPr>
                  <w:tcW w:w="1065" w:type="dxa"/>
                  <w:noWrap w:val="0"/>
                  <w:vAlign w:val="center"/>
                </w:tcPr>
                <w:p>
                  <w:pPr>
                    <w:rPr>
                      <w:rFonts w:hint="default" w:eastAsia="宋体"/>
                      <w:color w:val="auto"/>
                      <w:sz w:val="21"/>
                      <w:szCs w:val="21"/>
                      <w:lang w:val="en-US" w:eastAsia="zh-CN"/>
                    </w:rPr>
                  </w:pPr>
                  <w:r>
                    <w:rPr>
                      <w:rFonts w:hint="eastAsia" w:eastAsia="宋体"/>
                      <w:color w:val="auto"/>
                      <w:sz w:val="21"/>
                      <w:szCs w:val="21"/>
                      <w:lang w:val="en-US" w:eastAsia="zh-CN"/>
                    </w:rPr>
                    <w:t>绿化</w:t>
                  </w:r>
                </w:p>
              </w:tc>
              <w:tc>
                <w:tcPr>
                  <w:tcW w:w="4724" w:type="dxa"/>
                  <w:noWrap w:val="0"/>
                  <w:vAlign w:val="center"/>
                </w:tcPr>
                <w:p>
                  <w:pPr>
                    <w:rPr>
                      <w:rFonts w:hint="default" w:eastAsia="宋体"/>
                      <w:color w:val="auto"/>
                      <w:sz w:val="21"/>
                      <w:szCs w:val="21"/>
                      <w:lang w:val="en-US" w:eastAsia="zh-CN"/>
                    </w:rPr>
                  </w:pPr>
                  <w:r>
                    <w:rPr>
                      <w:rFonts w:hint="eastAsia" w:eastAsia="宋体"/>
                      <w:color w:val="auto"/>
                      <w:sz w:val="21"/>
                      <w:szCs w:val="21"/>
                      <w:lang w:val="en-US" w:eastAsia="zh-CN"/>
                    </w:rPr>
                    <w:t>恢复地表植被、道路恢复</w:t>
                  </w:r>
                </w:p>
              </w:tc>
              <w:tc>
                <w:tcPr>
                  <w:tcW w:w="4724" w:type="dxa"/>
                  <w:noWrap w:val="0"/>
                  <w:vAlign w:val="center"/>
                </w:tcPr>
                <w:p>
                  <w:pP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olor w:val="auto"/>
                      <w:sz w:val="21"/>
                      <w:szCs w:val="21"/>
                      <w:lang w:val="en-US" w:eastAsia="zh-CN"/>
                    </w:rPr>
                    <w:t>恢复地表植被、道路恢复</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dxa"/>
                  <w:vMerge w:val="continue"/>
                  <w:noWrap w:val="0"/>
                  <w:vAlign w:val="center"/>
                </w:tcPr>
                <w:p>
                  <w:pPr>
                    <w:rPr>
                      <w:rFonts w:hint="default" w:eastAsia="宋体"/>
                      <w:color w:val="auto"/>
                      <w:sz w:val="21"/>
                      <w:szCs w:val="21"/>
                      <w:lang w:val="en-US" w:eastAsia="zh-CN"/>
                    </w:rPr>
                  </w:pPr>
                </w:p>
              </w:tc>
              <w:tc>
                <w:tcPr>
                  <w:tcW w:w="1065" w:type="dxa"/>
                  <w:noWrap w:val="0"/>
                  <w:vAlign w:val="center"/>
                </w:tcPr>
                <w:p>
                  <w:pPr>
                    <w:rPr>
                      <w:rFonts w:hint="default" w:eastAsia="宋体"/>
                      <w:color w:val="auto"/>
                      <w:sz w:val="21"/>
                      <w:szCs w:val="21"/>
                      <w:lang w:val="en-US" w:eastAsia="zh-CN"/>
                    </w:rPr>
                  </w:pPr>
                  <w:r>
                    <w:rPr>
                      <w:rFonts w:hint="eastAsia" w:eastAsia="宋体"/>
                      <w:color w:val="auto"/>
                      <w:sz w:val="21"/>
                      <w:szCs w:val="21"/>
                      <w:lang w:val="en-US" w:eastAsia="zh-CN"/>
                    </w:rPr>
                    <w:t>水土保持</w:t>
                  </w:r>
                </w:p>
              </w:tc>
              <w:tc>
                <w:tcPr>
                  <w:tcW w:w="4724" w:type="dxa"/>
                  <w:noWrap w:val="0"/>
                  <w:vAlign w:val="center"/>
                </w:tcPr>
                <w:p>
                  <w:pPr>
                    <w:rPr>
                      <w:rFonts w:hint="default" w:eastAsia="宋体"/>
                      <w:color w:val="auto"/>
                      <w:sz w:val="21"/>
                      <w:szCs w:val="21"/>
                      <w:lang w:val="en-US" w:eastAsia="zh-CN"/>
                    </w:rPr>
                  </w:pPr>
                  <w:r>
                    <w:rPr>
                      <w:rFonts w:hint="eastAsia" w:eastAsia="宋体"/>
                      <w:color w:val="auto"/>
                      <w:sz w:val="21"/>
                      <w:szCs w:val="21"/>
                      <w:lang w:val="en-US" w:eastAsia="zh-CN"/>
                    </w:rPr>
                    <w:t>边坡防护，水土流失治理工程</w:t>
                  </w:r>
                </w:p>
              </w:tc>
              <w:tc>
                <w:tcPr>
                  <w:tcW w:w="4724" w:type="dxa"/>
                  <w:noWrap w:val="0"/>
                  <w:vAlign w:val="center"/>
                </w:tcPr>
                <w:p>
                  <w:pP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olor w:val="auto"/>
                      <w:sz w:val="21"/>
                      <w:szCs w:val="21"/>
                      <w:lang w:val="en-US" w:eastAsia="zh-CN"/>
                    </w:rPr>
                    <w:t>边坡防护，水土流失治理工程</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000" w:type="pct"/>
                  <w:gridSpan w:val="5"/>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高粱镇污水管网补充工程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主体工程</w:t>
                  </w:r>
                </w:p>
              </w:tc>
              <w:tc>
                <w:tcPr>
                  <w:tcW w:w="381" w:type="pct"/>
                  <w:noWrap w:val="0"/>
                  <w:vAlign w:val="center"/>
                </w:tcPr>
                <w:p>
                  <w:pP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管网铺设</w:t>
                  </w:r>
                </w:p>
              </w:tc>
              <w:tc>
                <w:tcPr>
                  <w:tcW w:w="1694" w:type="pct"/>
                  <w:noWrap w:val="0"/>
                  <w:vAlign w:val="center"/>
                </w:tcPr>
                <w:p>
                  <w:pP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补充建设污水管网约14200米</w:t>
                  </w:r>
                </w:p>
              </w:tc>
              <w:tc>
                <w:tcPr>
                  <w:tcW w:w="1694" w:type="pct"/>
                  <w:noWrap w:val="0"/>
                  <w:vAlign w:val="center"/>
                </w:tcPr>
                <w:p>
                  <w:pPr>
                    <w:rPr>
                      <w:color w:val="auto"/>
                      <w:sz w:val="21"/>
                      <w:szCs w:val="21"/>
                    </w:rPr>
                  </w:pPr>
                  <w:r>
                    <w:rPr>
                      <w:rFonts w:hint="eastAsia" w:ascii="Times New Roman" w:hAnsi="Times New Roman" w:eastAsia="宋体" w:cs="Times New Roman"/>
                      <w:color w:val="auto"/>
                      <w:sz w:val="21"/>
                      <w:szCs w:val="21"/>
                      <w:lang w:val="en-US" w:eastAsia="zh-CN"/>
                    </w:rPr>
                    <w:t>补充建设污水管网约14200米</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附属工程</w:t>
                  </w:r>
                </w:p>
              </w:tc>
              <w:tc>
                <w:tcPr>
                  <w:tcW w:w="381" w:type="pct"/>
                  <w:noWrap w:val="0"/>
                  <w:vAlign w:val="center"/>
                </w:tcPr>
                <w:p>
                  <w:pP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附属设施</w:t>
                  </w:r>
                </w:p>
              </w:tc>
              <w:tc>
                <w:tcPr>
                  <w:tcW w:w="1694" w:type="pct"/>
                  <w:noWrap w:val="0"/>
                  <w:vAlign w:val="center"/>
                </w:tcPr>
                <w:p>
                  <w:pP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新建C30现浇水泥混凝土污水检查井（∅700）262 座；新建9立方米钢筋混凝土化粪池11座；</w:t>
                  </w:r>
                </w:p>
              </w:tc>
              <w:tc>
                <w:tcPr>
                  <w:tcW w:w="1694" w:type="pct"/>
                  <w:noWrap w:val="0"/>
                  <w:vAlign w:val="center"/>
                </w:tcPr>
                <w:p>
                  <w:pPr>
                    <w:rPr>
                      <w:color w:val="auto"/>
                      <w:sz w:val="21"/>
                      <w:szCs w:val="21"/>
                    </w:rPr>
                  </w:pPr>
                  <w:r>
                    <w:rPr>
                      <w:rFonts w:hint="eastAsia" w:ascii="Times New Roman" w:hAnsi="Times New Roman" w:eastAsia="宋体" w:cs="Times New Roman"/>
                      <w:color w:val="auto"/>
                      <w:sz w:val="21"/>
                      <w:szCs w:val="21"/>
                      <w:lang w:val="en-US" w:eastAsia="zh-CN"/>
                    </w:rPr>
                    <w:t>新建C30现浇水泥混凝土污水检查井（∅700）262 座；新建9立方米钢筋混凝土化粪池11座；</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辅助工程</w:t>
                  </w:r>
                </w:p>
              </w:tc>
              <w:tc>
                <w:tcPr>
                  <w:tcW w:w="381" w:type="pct"/>
                  <w:noWrap w:val="0"/>
                  <w:vAlign w:val="center"/>
                </w:tcPr>
                <w:p>
                  <w:pP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施工便道</w:t>
                  </w:r>
                </w:p>
              </w:tc>
              <w:tc>
                <w:tcPr>
                  <w:tcW w:w="1694" w:type="pct"/>
                  <w:noWrap w:val="0"/>
                  <w:vAlign w:val="center"/>
                </w:tcPr>
                <w:p>
                  <w:pP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利用已建道路</w:t>
                  </w:r>
                </w:p>
              </w:tc>
              <w:tc>
                <w:tcPr>
                  <w:tcW w:w="1694" w:type="pct"/>
                  <w:noWrap w:val="0"/>
                  <w:vAlign w:val="center"/>
                </w:tcPr>
                <w:p>
                  <w:pPr>
                    <w:rPr>
                      <w:color w:val="auto"/>
                      <w:sz w:val="21"/>
                      <w:szCs w:val="21"/>
                    </w:rPr>
                  </w:pPr>
                  <w:r>
                    <w:rPr>
                      <w:rFonts w:hint="eastAsia" w:ascii="Times New Roman" w:hAnsi="Times New Roman" w:eastAsia="宋体" w:cs="Times New Roman"/>
                      <w:color w:val="auto"/>
                      <w:sz w:val="21"/>
                      <w:szCs w:val="21"/>
                      <w:lang w:val="en-US" w:eastAsia="zh-CN"/>
                    </w:rPr>
                    <w:t>利用已建道路</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rPr>
                      <w:rFonts w:hint="default" w:ascii="Times New Roman" w:hAnsi="Times New Roman" w:eastAsia="宋体" w:cs="Times New Roman"/>
                      <w:color w:val="auto"/>
                      <w:sz w:val="21"/>
                      <w:szCs w:val="21"/>
                      <w:lang w:val="en-US" w:eastAsia="zh-CN"/>
                    </w:rPr>
                  </w:pPr>
                </w:p>
              </w:tc>
              <w:tc>
                <w:tcPr>
                  <w:tcW w:w="381" w:type="pct"/>
                  <w:noWrap w:val="0"/>
                  <w:vAlign w:val="center"/>
                </w:tcPr>
                <w:p>
                  <w:pP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施工营地</w:t>
                  </w:r>
                </w:p>
              </w:tc>
              <w:tc>
                <w:tcPr>
                  <w:tcW w:w="1694" w:type="pct"/>
                  <w:noWrap w:val="0"/>
                  <w:vAlign w:val="center"/>
                </w:tcPr>
                <w:p>
                  <w:pP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不设集中施工营地，依托附近生活设施</w:t>
                  </w:r>
                </w:p>
              </w:tc>
              <w:tc>
                <w:tcPr>
                  <w:tcW w:w="1694" w:type="pct"/>
                  <w:noWrap w:val="0"/>
                  <w:vAlign w:val="center"/>
                </w:tcPr>
                <w:p>
                  <w:pPr>
                    <w:rPr>
                      <w:color w:val="auto"/>
                      <w:sz w:val="21"/>
                      <w:szCs w:val="21"/>
                    </w:rPr>
                  </w:pPr>
                  <w:r>
                    <w:rPr>
                      <w:rFonts w:hint="eastAsia" w:ascii="Times New Roman" w:hAnsi="Times New Roman" w:eastAsia="宋体" w:cs="Times New Roman"/>
                      <w:color w:val="auto"/>
                      <w:sz w:val="21"/>
                      <w:szCs w:val="21"/>
                      <w:lang w:val="en-US" w:eastAsia="zh-CN"/>
                    </w:rPr>
                    <w:t>不设集中施工营地，依托附近生活设施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rPr>
                      <w:rFonts w:hint="default" w:ascii="Times New Roman" w:hAnsi="Times New Roman" w:eastAsia="宋体" w:cs="Times New Roman"/>
                      <w:color w:val="auto"/>
                      <w:sz w:val="21"/>
                      <w:szCs w:val="21"/>
                      <w:lang w:val="en-US" w:eastAsia="zh-CN"/>
                    </w:rPr>
                  </w:pPr>
                </w:p>
              </w:tc>
              <w:tc>
                <w:tcPr>
                  <w:tcW w:w="381" w:type="pct"/>
                  <w:noWrap w:val="0"/>
                  <w:vAlign w:val="center"/>
                </w:tcPr>
                <w:p>
                  <w:pP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道路修复</w:t>
                  </w:r>
                </w:p>
              </w:tc>
              <w:tc>
                <w:tcPr>
                  <w:tcW w:w="1694" w:type="pct"/>
                  <w:noWrap w:val="0"/>
                  <w:vAlign w:val="center"/>
                </w:tcPr>
                <w:p>
                  <w:pP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沥青路面、基层破除及恢复 5020 平方米；水泥混凝土院坝破除及恢复 2950 平方米。</w:t>
                  </w:r>
                </w:p>
              </w:tc>
              <w:tc>
                <w:tcPr>
                  <w:tcW w:w="1694" w:type="pct"/>
                  <w:noWrap w:val="0"/>
                  <w:vAlign w:val="center"/>
                </w:tcPr>
                <w:p>
                  <w:pPr>
                    <w:rPr>
                      <w:color w:val="auto"/>
                      <w:sz w:val="21"/>
                      <w:szCs w:val="21"/>
                    </w:rPr>
                  </w:pPr>
                  <w:r>
                    <w:rPr>
                      <w:rFonts w:hint="eastAsia" w:ascii="Times New Roman" w:hAnsi="Times New Roman" w:eastAsia="宋体" w:cs="Times New Roman"/>
                      <w:color w:val="auto"/>
                      <w:sz w:val="21"/>
                      <w:szCs w:val="21"/>
                      <w:lang w:val="en-US" w:eastAsia="zh-CN"/>
                    </w:rPr>
                    <w:t>沥青路面、基层破除及恢复 5020 平方米；水泥混凝土院坝破除及恢复 2950 平方米。</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环保工程</w:t>
                  </w:r>
                </w:p>
              </w:tc>
              <w:tc>
                <w:tcPr>
                  <w:tcW w:w="381" w:type="pct"/>
                  <w:noWrap w:val="0"/>
                  <w:vAlign w:val="center"/>
                </w:tcPr>
                <w:p>
                  <w:pP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w:t>
                  </w:r>
                </w:p>
              </w:tc>
              <w:tc>
                <w:tcPr>
                  <w:tcW w:w="1694" w:type="pct"/>
                  <w:noWrap w:val="0"/>
                  <w:vAlign w:val="center"/>
                </w:tcPr>
                <w:p>
                  <w:pP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施工期设置围挡、施工场地洒水</w:t>
                  </w:r>
                </w:p>
              </w:tc>
              <w:tc>
                <w:tcPr>
                  <w:tcW w:w="1694" w:type="pct"/>
                  <w:noWrap w:val="0"/>
                  <w:vAlign w:val="center"/>
                </w:tcPr>
                <w:p>
                  <w:pPr>
                    <w:rPr>
                      <w:color w:val="auto"/>
                      <w:sz w:val="21"/>
                      <w:szCs w:val="21"/>
                    </w:rPr>
                  </w:pPr>
                  <w:r>
                    <w:rPr>
                      <w:rFonts w:hint="eastAsia" w:ascii="Times New Roman" w:hAnsi="Times New Roman" w:eastAsia="宋体" w:cs="Times New Roman"/>
                      <w:color w:val="auto"/>
                      <w:sz w:val="21"/>
                      <w:szCs w:val="21"/>
                      <w:lang w:val="en-US" w:eastAsia="zh-CN"/>
                    </w:rPr>
                    <w:t>施工期设置围挡、施工场地洒水</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rPr>
                      <w:rFonts w:hint="default" w:ascii="Times New Roman" w:hAnsi="Times New Roman" w:eastAsia="宋体" w:cs="Times New Roman"/>
                      <w:color w:val="auto"/>
                      <w:sz w:val="21"/>
                      <w:szCs w:val="21"/>
                      <w:lang w:val="en-US" w:eastAsia="zh-CN"/>
                    </w:rPr>
                  </w:pPr>
                </w:p>
              </w:tc>
              <w:tc>
                <w:tcPr>
                  <w:tcW w:w="381" w:type="pct"/>
                  <w:noWrap w:val="0"/>
                  <w:vAlign w:val="center"/>
                </w:tcPr>
                <w:p>
                  <w:pP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w:t>
                  </w:r>
                </w:p>
              </w:tc>
              <w:tc>
                <w:tcPr>
                  <w:tcW w:w="1694" w:type="pct"/>
                  <w:noWrap w:val="0"/>
                  <w:vAlign w:val="center"/>
                </w:tcPr>
                <w:p>
                  <w:pP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施工期生活污水依托附近生活污水收集处理设施</w:t>
                  </w:r>
                </w:p>
              </w:tc>
              <w:tc>
                <w:tcPr>
                  <w:tcW w:w="1694" w:type="pct"/>
                  <w:noWrap w:val="0"/>
                  <w:vAlign w:val="center"/>
                </w:tcPr>
                <w:p>
                  <w:pPr>
                    <w:rPr>
                      <w:color w:val="auto"/>
                      <w:sz w:val="21"/>
                      <w:szCs w:val="21"/>
                    </w:rPr>
                  </w:pPr>
                  <w:r>
                    <w:rPr>
                      <w:rFonts w:hint="eastAsia" w:ascii="Times New Roman" w:hAnsi="Times New Roman" w:eastAsia="宋体" w:cs="Times New Roman"/>
                      <w:color w:val="auto"/>
                      <w:sz w:val="21"/>
                      <w:szCs w:val="21"/>
                      <w:lang w:val="en-US" w:eastAsia="zh-CN"/>
                    </w:rPr>
                    <w:t>施工期生活污水依托附近生活污水收集处理设施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rPr>
                      <w:rFonts w:hint="default" w:ascii="Times New Roman" w:hAnsi="Times New Roman" w:eastAsia="宋体" w:cs="Times New Roman"/>
                      <w:color w:val="auto"/>
                      <w:sz w:val="21"/>
                      <w:szCs w:val="21"/>
                      <w:lang w:val="en-US" w:eastAsia="zh-CN"/>
                    </w:rPr>
                  </w:pPr>
                </w:p>
              </w:tc>
              <w:tc>
                <w:tcPr>
                  <w:tcW w:w="381" w:type="pct"/>
                  <w:noWrap w:val="0"/>
                  <w:vAlign w:val="center"/>
                </w:tcPr>
                <w:p>
                  <w:pP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绿化</w:t>
                  </w:r>
                </w:p>
              </w:tc>
              <w:tc>
                <w:tcPr>
                  <w:tcW w:w="1694" w:type="pct"/>
                  <w:noWrap w:val="0"/>
                  <w:vAlign w:val="center"/>
                </w:tcPr>
                <w:p>
                  <w:pP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恢复地表植被、道路恢复</w:t>
                  </w:r>
                </w:p>
              </w:tc>
              <w:tc>
                <w:tcPr>
                  <w:tcW w:w="1694" w:type="pct"/>
                  <w:noWrap w:val="0"/>
                  <w:vAlign w:val="center"/>
                </w:tcPr>
                <w:p>
                  <w:pPr>
                    <w:rPr>
                      <w:color w:val="auto"/>
                      <w:sz w:val="21"/>
                      <w:szCs w:val="21"/>
                    </w:rPr>
                  </w:pPr>
                  <w:r>
                    <w:rPr>
                      <w:rFonts w:hint="eastAsia" w:ascii="Times New Roman" w:hAnsi="Times New Roman" w:eastAsia="宋体" w:cs="Times New Roman"/>
                      <w:color w:val="auto"/>
                      <w:sz w:val="21"/>
                      <w:szCs w:val="21"/>
                      <w:lang w:val="en-US" w:eastAsia="zh-CN"/>
                    </w:rPr>
                    <w:t>恢复地表植被、道路恢复</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rPr>
                      <w:rFonts w:hint="default" w:ascii="Times New Roman" w:hAnsi="Times New Roman" w:eastAsia="宋体" w:cs="Times New Roman"/>
                      <w:color w:val="auto"/>
                      <w:sz w:val="21"/>
                      <w:szCs w:val="21"/>
                      <w:lang w:val="en-US" w:eastAsia="zh-CN"/>
                    </w:rPr>
                  </w:pPr>
                </w:p>
              </w:tc>
              <w:tc>
                <w:tcPr>
                  <w:tcW w:w="381" w:type="pct"/>
                  <w:noWrap w:val="0"/>
                  <w:vAlign w:val="center"/>
                </w:tcPr>
                <w:p>
                  <w:pP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水土保持</w:t>
                  </w:r>
                </w:p>
              </w:tc>
              <w:tc>
                <w:tcPr>
                  <w:tcW w:w="1694" w:type="pct"/>
                  <w:noWrap w:val="0"/>
                  <w:vAlign w:val="center"/>
                </w:tcPr>
                <w:p>
                  <w:pP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边坡防护，水土流失治理工程</w:t>
                  </w:r>
                </w:p>
              </w:tc>
              <w:tc>
                <w:tcPr>
                  <w:tcW w:w="1694" w:type="pct"/>
                  <w:noWrap w:val="0"/>
                  <w:vAlign w:val="center"/>
                </w:tcPr>
                <w:p>
                  <w:pPr>
                    <w:rPr>
                      <w:color w:val="auto"/>
                      <w:sz w:val="21"/>
                      <w:szCs w:val="21"/>
                    </w:rPr>
                  </w:pPr>
                  <w:r>
                    <w:rPr>
                      <w:rFonts w:hint="eastAsia" w:ascii="Times New Roman" w:hAnsi="Times New Roman" w:eastAsia="宋体" w:cs="Times New Roman"/>
                      <w:color w:val="auto"/>
                      <w:sz w:val="21"/>
                      <w:szCs w:val="21"/>
                      <w:lang w:val="en-US" w:eastAsia="zh-CN"/>
                    </w:rPr>
                    <w:t>边坡防护，水土流失治理工程</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大周镇</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主体工程</w:t>
                  </w: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管网铺设</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补充建设污水管网约2900米</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补充建设污水管网约2900米</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附属工程</w:t>
                  </w: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附属设施</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新建钢筋混凝土化粪池10座，配套污水检查井、三级入户管等附属设施。</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新建钢筋混凝土化粪池10座，配套污水检查井、三级入户管等附属设施。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辅助工程</w:t>
                  </w: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施工便道</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利用已建道路</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利用已建道路</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施工营地</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不设集中施工营地，依托附近生活设施</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不设集中施工营地，依托附近生活设施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道路修复</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沥青路面基层破除及恢300平方米</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水泥混凝土路面破除及恢100平方米；水泥混凝土院坝破除及恢100平方米；人行道、基层破除及恢复200平方米。</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沥青路面基层破除及恢300平方米</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水泥混凝土路面破除及恢100平方米；水泥混凝土院坝破除及恢100平方米；人行道、基层破除及恢复200平方米。</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环保工程</w:t>
                  </w: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废气</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施工期</w:t>
                  </w:r>
                  <w:r>
                    <w:rPr>
                      <w:rFonts w:hint="default" w:ascii="Times New Roman" w:hAnsi="Times New Roman" w:eastAsia="宋体" w:cs="Times New Roman"/>
                      <w:color w:val="000000" w:themeColor="text1"/>
                      <w:sz w:val="21"/>
                      <w:szCs w:val="21"/>
                      <w:lang w:eastAsia="zh-CN"/>
                      <w14:textFill>
                        <w14:solidFill>
                          <w14:schemeClr w14:val="tx1"/>
                        </w14:solidFill>
                      </w14:textFill>
                    </w:rPr>
                    <w:t>设置围挡、施工场地洒水</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施工期</w:t>
                  </w:r>
                  <w:r>
                    <w:rPr>
                      <w:rFonts w:hint="default" w:ascii="Times New Roman" w:hAnsi="Times New Roman" w:eastAsia="宋体" w:cs="Times New Roman"/>
                      <w:color w:val="000000" w:themeColor="text1"/>
                      <w:sz w:val="21"/>
                      <w:szCs w:val="21"/>
                      <w:lang w:eastAsia="zh-CN"/>
                      <w14:textFill>
                        <w14:solidFill>
                          <w14:schemeClr w14:val="tx1"/>
                        </w14:solidFill>
                      </w14:textFill>
                    </w:rPr>
                    <w:t>设置围挡、施工场地洒水</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废水</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施工期</w:t>
                  </w:r>
                  <w:r>
                    <w:rPr>
                      <w:rFonts w:hint="default" w:ascii="Times New Roman" w:hAnsi="Times New Roman" w:eastAsia="宋体" w:cs="Times New Roman"/>
                      <w:color w:val="000000" w:themeColor="text1"/>
                      <w:sz w:val="21"/>
                      <w:szCs w:val="21"/>
                      <w:lang w:eastAsia="zh-CN"/>
                      <w14:textFill>
                        <w14:solidFill>
                          <w14:schemeClr w14:val="tx1"/>
                        </w14:solidFill>
                      </w14:textFill>
                    </w:rPr>
                    <w:t>生活污水依托附近生活污水收集处理设施</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施工期</w:t>
                  </w:r>
                  <w:r>
                    <w:rPr>
                      <w:rFonts w:hint="default" w:ascii="Times New Roman" w:hAnsi="Times New Roman" w:eastAsia="宋体" w:cs="Times New Roman"/>
                      <w:color w:val="000000" w:themeColor="text1"/>
                      <w:sz w:val="21"/>
                      <w:szCs w:val="21"/>
                      <w:lang w:eastAsia="zh-CN"/>
                      <w14:textFill>
                        <w14:solidFill>
                          <w14:schemeClr w14:val="tx1"/>
                        </w14:solidFill>
                      </w14:textFill>
                    </w:rPr>
                    <w:t>生活污水依托附近生活污水收集处理设施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绿化</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恢复地表植被</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道路恢复</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恢复地表植被</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道路恢复</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水土保持</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边坡防护，水土流失治理工程</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边坡防护，水土流失治理工程</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b/>
                      <w:bCs/>
                      <w:color w:val="auto"/>
                      <w:sz w:val="21"/>
                      <w:szCs w:val="21"/>
                      <w:lang w:val="en-US" w:eastAsia="zh-CN"/>
                    </w:rPr>
                    <w:t>熊家镇</w:t>
                  </w:r>
                  <w:r>
                    <w:rPr>
                      <w:rFonts w:hint="eastAsia" w:ascii="Times New Roman" w:hAnsi="Times New Roman" w:eastAsia="宋体" w:cs="Times New Roman"/>
                      <w:b/>
                      <w:bCs/>
                      <w:color w:val="auto"/>
                      <w:sz w:val="21"/>
                      <w:szCs w:val="21"/>
                      <w:lang w:val="en-US" w:eastAsia="zh-CN"/>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主体工程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管网铺设</w:t>
                  </w:r>
                </w:p>
              </w:tc>
              <w:tc>
                <w:tcPr>
                  <w:tcW w:w="1694" w:type="pct"/>
                  <w:noWrap w:val="0"/>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补充建设污水管网约 11100 米。</w:t>
                  </w:r>
                </w:p>
              </w:tc>
              <w:tc>
                <w:tcPr>
                  <w:tcW w:w="1694"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补充建设污水管网约 11100 米。</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附属工程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color w:val="auto"/>
                      <w:sz w:val="21"/>
                      <w:szCs w:val="21"/>
                      <w:lang w:eastAsia="zh-CN"/>
                    </w:rPr>
                    <w:t>附属设施</w:t>
                  </w:r>
                </w:p>
              </w:tc>
              <w:tc>
                <w:tcPr>
                  <w:tcW w:w="1694" w:type="pct"/>
                  <w:noWrap w:val="0"/>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新建C30现浇水泥混凝土污水检查井(∅700)200 座；新建4立方米钢筋混凝土化粪池3座，新建6 立方米钢筋混凝土化粪池5座。</w:t>
                  </w:r>
                </w:p>
              </w:tc>
              <w:tc>
                <w:tcPr>
                  <w:tcW w:w="1694"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新建C30现浇水泥混凝土污水检查井(∅700)200 座；新建4立方米钢筋混凝土化粪池3座，新建6 立方米钢筋混凝土化粪池5座。</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辅助工程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施工便道</w:t>
                  </w:r>
                </w:p>
              </w:tc>
              <w:tc>
                <w:tcPr>
                  <w:tcW w:w="1694" w:type="pct"/>
                  <w:noWrap w:val="0"/>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利用已建道路</w:t>
                  </w:r>
                </w:p>
              </w:tc>
              <w:tc>
                <w:tcPr>
                  <w:tcW w:w="1694"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利用已建道路</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施工营地</w:t>
                  </w:r>
                </w:p>
              </w:tc>
              <w:tc>
                <w:tcPr>
                  <w:tcW w:w="1694" w:type="pct"/>
                  <w:noWrap w:val="0"/>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不设集中施工营地，依托附近生活设施</w:t>
                  </w:r>
                </w:p>
              </w:tc>
              <w:tc>
                <w:tcPr>
                  <w:tcW w:w="1694"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不设集中施工营地，依托附近生活设施</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color w:val="auto"/>
                      <w:sz w:val="21"/>
                      <w:szCs w:val="21"/>
                      <w:lang w:eastAsia="zh-CN"/>
                    </w:rPr>
                    <w:t>道路修复</w:t>
                  </w:r>
                </w:p>
              </w:tc>
              <w:tc>
                <w:tcPr>
                  <w:tcW w:w="1694" w:type="pct"/>
                  <w:noWrap w:val="0"/>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694"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环保工程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废气</w:t>
                  </w:r>
                </w:p>
              </w:tc>
              <w:tc>
                <w:tcPr>
                  <w:tcW w:w="1694" w:type="pct"/>
                  <w:noWrap w:val="0"/>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施工期</w:t>
                  </w:r>
                  <w:r>
                    <w:rPr>
                      <w:rFonts w:hint="default" w:ascii="Times New Roman" w:hAnsi="Times New Roman" w:eastAsia="宋体" w:cs="Times New Roman"/>
                      <w:color w:val="000000" w:themeColor="text1"/>
                      <w:sz w:val="21"/>
                      <w:szCs w:val="21"/>
                      <w:lang w:eastAsia="zh-CN"/>
                      <w14:textFill>
                        <w14:solidFill>
                          <w14:schemeClr w14:val="tx1"/>
                        </w14:solidFill>
                      </w14:textFill>
                    </w:rPr>
                    <w:t>设置围挡、施工场地洒水</w:t>
                  </w:r>
                </w:p>
              </w:tc>
              <w:tc>
                <w:tcPr>
                  <w:tcW w:w="1694"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施工期</w:t>
                  </w:r>
                  <w:r>
                    <w:rPr>
                      <w:rFonts w:hint="default" w:ascii="Times New Roman" w:hAnsi="Times New Roman" w:eastAsia="宋体" w:cs="Times New Roman"/>
                      <w:color w:val="000000" w:themeColor="text1"/>
                      <w:sz w:val="21"/>
                      <w:szCs w:val="21"/>
                      <w:lang w:eastAsia="zh-CN"/>
                      <w14:textFill>
                        <w14:solidFill>
                          <w14:schemeClr w14:val="tx1"/>
                        </w14:solidFill>
                      </w14:textFill>
                    </w:rPr>
                    <w:t>设置围挡、施工场地洒水</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废水</w:t>
                  </w:r>
                </w:p>
              </w:tc>
              <w:tc>
                <w:tcPr>
                  <w:tcW w:w="1694" w:type="pct"/>
                  <w:noWrap w:val="0"/>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施工期</w:t>
                  </w:r>
                  <w:r>
                    <w:rPr>
                      <w:rFonts w:hint="default" w:ascii="Times New Roman" w:hAnsi="Times New Roman" w:eastAsia="宋体" w:cs="Times New Roman"/>
                      <w:color w:val="000000" w:themeColor="text1"/>
                      <w:sz w:val="21"/>
                      <w:szCs w:val="21"/>
                      <w:lang w:eastAsia="zh-CN"/>
                      <w14:textFill>
                        <w14:solidFill>
                          <w14:schemeClr w14:val="tx1"/>
                        </w14:solidFill>
                      </w14:textFill>
                    </w:rPr>
                    <w:t>生活污水依托附近生活污水收集处理设施</w:t>
                  </w:r>
                </w:p>
              </w:tc>
              <w:tc>
                <w:tcPr>
                  <w:tcW w:w="1694"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施工期</w:t>
                  </w:r>
                  <w:r>
                    <w:rPr>
                      <w:rFonts w:hint="default" w:ascii="Times New Roman" w:hAnsi="Times New Roman" w:eastAsia="宋体" w:cs="Times New Roman"/>
                      <w:color w:val="000000" w:themeColor="text1"/>
                      <w:sz w:val="21"/>
                      <w:szCs w:val="21"/>
                      <w:lang w:eastAsia="zh-CN"/>
                      <w14:textFill>
                        <w14:solidFill>
                          <w14:schemeClr w14:val="tx1"/>
                        </w14:solidFill>
                      </w14:textFill>
                    </w:rPr>
                    <w:t>生活污水依托附近生活污水收集处理设施</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绿化</w:t>
                  </w:r>
                </w:p>
              </w:tc>
              <w:tc>
                <w:tcPr>
                  <w:tcW w:w="1694" w:type="pct"/>
                  <w:noWrap w:val="0"/>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恢复地表植被</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道路恢复</w:t>
                  </w:r>
                </w:p>
              </w:tc>
              <w:tc>
                <w:tcPr>
                  <w:tcW w:w="1694"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themeColor="text1"/>
                      <w:sz w:val="21"/>
                      <w:szCs w:val="21"/>
                      <w:lang w:eastAsia="zh-CN"/>
                      <w14:textFill>
                        <w14:solidFill>
                          <w14:schemeClr w14:val="tx1"/>
                        </w14:solidFill>
                      </w14:textFill>
                    </w:rPr>
                    <w:t>恢复地表植被</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道路恢复</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水土保持</w:t>
                  </w:r>
                </w:p>
              </w:tc>
              <w:tc>
                <w:tcPr>
                  <w:tcW w:w="1694" w:type="pct"/>
                  <w:noWrap w:val="0"/>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边坡防护，水土流失治理工程</w:t>
                  </w:r>
                </w:p>
              </w:tc>
              <w:tc>
                <w:tcPr>
                  <w:tcW w:w="1694"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边坡防护，水土流失治理工程</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b/>
                      <w:bCs/>
                      <w:color w:val="auto"/>
                      <w:sz w:val="21"/>
                      <w:szCs w:val="21"/>
                      <w:lang w:val="en-US" w:eastAsia="zh-CN"/>
                    </w:rPr>
                    <w:t>长岭镇凉水场</w:t>
                  </w:r>
                  <w:r>
                    <w:rPr>
                      <w:rFonts w:hint="default" w:ascii="Times New Roman" w:hAnsi="Times New Roman" w:eastAsia="宋体" w:cs="Times New Roman"/>
                      <w:b/>
                      <w:bCs/>
                      <w:color w:val="auto"/>
                      <w:sz w:val="21"/>
                      <w:szCs w:val="21"/>
                      <w:lang w:val="en-US" w:eastAsia="zh-CN"/>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主体工程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管网铺设</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补充建设污水管网约 14450 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补充建设污水管网约 14450 米。</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附属工程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附属设施</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新建C30现浇水泥混凝土污水检查井(∅700)259 座；消能井30座，新建4立方米钢筋混凝土化粪池12座；新建9立方米钢筋混凝土化粪池2座。</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新建C30现浇水泥混凝土污水检查井(∅700)259 座；消能井30座，新建4立方米钢筋混凝土化粪池12座；新建9立方米钢筋混凝土化粪池2座。</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辅助工程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施工便道</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利用已建道路</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利用已建道路</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施工营地</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不设集中施工营地，依托附近生活设施</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道路修复</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沥青路面、基层破除及恢复5589平方米；水泥混凝土院坝破除及恢复2700平方米。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沥青路面、基层破除及恢复5589平方米；水泥混凝土院坝破除及恢复2700平方米。</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环保工程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废气</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施工期设置围挡、施工场地洒水</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施工期设置围挡、施工场地洒水</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废水</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施工期生活污水依托附近生活污水收集处理设施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施工期生活污水依托附近生活污水收集处理设施</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绿化</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恢复地表植被、道路恢复</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恢复地表植被、道路恢复</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水土保持</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边坡防护，水土流失治理工程</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b/>
                      <w:bCs/>
                      <w:sz w:val="21"/>
                      <w:szCs w:val="21"/>
                      <w:lang w:eastAsia="zh-CN"/>
                    </w:rPr>
                    <w:t>长岭镇响滩场</w:t>
                  </w:r>
                  <w:r>
                    <w:rPr>
                      <w:rFonts w:hint="eastAsia" w:ascii="Times New Roman" w:hAnsi="Times New Roman" w:eastAsia="宋体" w:cs="Times New Roman"/>
                      <w:b/>
                      <w:bCs/>
                      <w:sz w:val="21"/>
                      <w:szCs w:val="21"/>
                      <w:lang w:eastAsia="zh-CN"/>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主体工程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管网铺设</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本项目补充建设污水管网约7700米。其中：HDPE双壁波纹管（DN300）2000米；D325×8涂塑复合钢管(架空)200米；∅200×4.9 埋地排污、排水硬聚氯乙烯（PVC-U）二级支管 2500米；∅110×3.2 埋地排污、排水硬聚氯乙烯（PVC-U）三级入户管3000米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本项目补充建设污水管网约7700米。其中：HDPE双壁波纹管（DN300）2000米；D325×8涂塑复合钢管(架空)200米；∅200×4.9 埋地排污、排水硬聚氯乙烯（PVC-U）二级支管 2500米；∅110×3.2 埋地排污、排水硬聚氯乙烯（PVC-U）三级入户管3000米</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附属工程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附属设施</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新建C30现浇水泥混凝土污水检查井(∅700)109座，消能井14 座；新建4立方米钢筋混凝土化粪池15座，既有化粪池清掏20立方米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新建C30现浇水泥混凝土污水检查井(∅700)109座，消能井14 座；新建4立方米钢筋混凝土化粪池15座，既有化粪池清掏20立方米</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辅助工程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施工便道</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利用已建道路</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利用已建道路</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施工营地</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不设集中施工营地，依托附近生活设施</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道路修复</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水泥混凝土路面破除及恢复800平方米；水泥混凝土院坝破除及恢复90平方米；人行道、基层破除及恢复200平方米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水泥混凝土路面破除及恢复800平方米；水泥混凝土院坝破除及恢复90平方米；人行道、基层破除及恢复200平方米</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环保工程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废气</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施工期设置围挡、施工场地洒水</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施工期设置围挡、施工场地洒水</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废水</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施工期生活污水依托附近生活污水收集处理设施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施工期生活污水依托附近生活污水收集处理设施</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绿化</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恢复地表植被、</w:t>
                  </w:r>
                  <w:r>
                    <w:rPr>
                      <w:rFonts w:hint="eastAsia" w:ascii="Times New Roman" w:hAnsi="Times New Roman" w:eastAsia="宋体" w:cs="Times New Roman"/>
                      <w:color w:val="auto"/>
                      <w:sz w:val="21"/>
                      <w:szCs w:val="21"/>
                      <w:lang w:val="en-US" w:eastAsia="zh-CN"/>
                    </w:rPr>
                    <w:t>道路恢复</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恢复地表植被、</w:t>
                  </w:r>
                  <w:r>
                    <w:rPr>
                      <w:rFonts w:hint="eastAsia" w:ascii="Times New Roman" w:hAnsi="Times New Roman" w:eastAsia="宋体" w:cs="Times New Roman"/>
                      <w:color w:val="auto"/>
                      <w:sz w:val="21"/>
                      <w:szCs w:val="21"/>
                      <w:lang w:val="en-US" w:eastAsia="zh-CN"/>
                    </w:rPr>
                    <w:t>道路恢复</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水土保持</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边坡防护，水土流失治理工程</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b/>
                      <w:bCs/>
                      <w:kern w:val="0"/>
                      <w:sz w:val="21"/>
                      <w:szCs w:val="21"/>
                      <w:lang w:eastAsia="zh-CN"/>
                    </w:rPr>
                    <w:t>长岭镇青石场</w:t>
                  </w:r>
                  <w:r>
                    <w:rPr>
                      <w:rFonts w:hint="eastAsia" w:ascii="Times New Roman" w:hAnsi="Times New Roman" w:eastAsia="宋体" w:cs="Times New Roman"/>
                      <w:b/>
                      <w:bCs/>
                      <w:kern w:val="0"/>
                      <w:sz w:val="21"/>
                      <w:szCs w:val="21"/>
                      <w:lang w:eastAsia="zh-CN"/>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主体工程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管网铺设</w:t>
                  </w:r>
                </w:p>
              </w:tc>
              <w:tc>
                <w:tcPr>
                  <w:tcW w:w="1694" w:type="pct"/>
                  <w:noWrap w:val="0"/>
                  <w:vAlign w:val="center"/>
                </w:tcPr>
                <w:p>
                  <w:pP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本项目补充建设污水管网约900米。其中：现状管网拆除新建HDPE 双壁波纹管（DN400）300 米；∅200×4.9埋地排污、排水硬聚氯乙烯（PVC-U）二级支管500米；∅110×3.2埋地排污、排水硬聚氯乙烯（PVC-U）三级入户管100米</w:t>
                  </w:r>
                </w:p>
              </w:tc>
              <w:tc>
                <w:tcPr>
                  <w:tcW w:w="1694" w:type="pct"/>
                  <w:noWrap w:val="0"/>
                  <w:vAlign w:val="center"/>
                </w:tcPr>
                <w:p>
                  <w:pP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本项目补充建设污水管网约900米。其中：现状管网拆除新建HDPE 双壁波纹管（DN400）300 米；∅200×4.9埋地排污、排水硬聚氯乙烯（PVC-U）二级支管500米；∅110×3.2埋地排污、排水硬聚氯乙烯（PVC-U）三级入户管100米</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附属工程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color w:val="auto"/>
                      <w:sz w:val="21"/>
                      <w:szCs w:val="21"/>
                      <w:lang w:eastAsia="zh-CN"/>
                    </w:rPr>
                    <w:t>附属设施</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新建 C30 现浇水泥混凝土污水检查井(∅700)14座；新建 4 立方米钢筋混凝土化粪池 4 座</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新建 C30 现浇水泥混凝土污水检查井(∅700)14座；新建 4 立方米钢筋混凝土化粪池 4 座</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辅助工程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施工便道</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利用已建道路</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利用已建道路</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施工营地</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不设集中施工营地，依托附近生活设施</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color w:val="auto"/>
                      <w:sz w:val="21"/>
                      <w:szCs w:val="21"/>
                      <w:lang w:eastAsia="zh-CN"/>
                    </w:rPr>
                    <w:t>道路修复</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水泥混凝土院坝破除及恢复 580 平方米；人行道、基层破除及恢复 50 平方米</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水泥混凝土院坝破除及恢复 580 平方米；人行道、基层破除及恢复 50 平方米</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环保工程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废气</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color w:val="auto"/>
                      <w:sz w:val="21"/>
                      <w:szCs w:val="21"/>
                    </w:rPr>
                    <w:t>施工期</w:t>
                  </w:r>
                  <w:r>
                    <w:rPr>
                      <w:color w:val="auto"/>
                      <w:sz w:val="21"/>
                      <w:szCs w:val="21"/>
                    </w:rPr>
                    <w:t>设置围挡、施工场地洒水</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color w:val="auto"/>
                      <w:sz w:val="21"/>
                      <w:szCs w:val="21"/>
                    </w:rPr>
                    <w:t>施工期</w:t>
                  </w:r>
                  <w:r>
                    <w:rPr>
                      <w:color w:val="auto"/>
                      <w:sz w:val="21"/>
                      <w:szCs w:val="21"/>
                    </w:rPr>
                    <w:t>设置围挡、施工场地洒水</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废水</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color w:val="auto"/>
                      <w:sz w:val="21"/>
                      <w:szCs w:val="21"/>
                    </w:rPr>
                    <w:t>施工期</w:t>
                  </w:r>
                  <w:r>
                    <w:rPr>
                      <w:color w:val="auto"/>
                      <w:sz w:val="21"/>
                      <w:szCs w:val="21"/>
                    </w:rPr>
                    <w:t>生活污水依托附近生活污水收集处理设施</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color w:val="auto"/>
                      <w:sz w:val="21"/>
                      <w:szCs w:val="21"/>
                    </w:rPr>
                    <w:t>施工期</w:t>
                  </w:r>
                  <w:r>
                    <w:rPr>
                      <w:color w:val="auto"/>
                      <w:sz w:val="21"/>
                      <w:szCs w:val="21"/>
                    </w:rPr>
                    <w:t>生活污水依托附近生活污水收集处理设施</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绿化</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水土保持</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边坡防护，水土流失治理工程</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b/>
                      <w:bCs/>
                      <w:sz w:val="21"/>
                      <w:szCs w:val="21"/>
                      <w:lang w:eastAsia="zh-CN"/>
                    </w:rPr>
                    <w:t>武陵镇石桥场</w:t>
                  </w:r>
                  <w:r>
                    <w:rPr>
                      <w:rFonts w:hint="eastAsia"/>
                      <w:b/>
                      <w:bCs/>
                      <w:sz w:val="21"/>
                      <w:szCs w:val="21"/>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主体工程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管网铺设</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本次设计范围包括石桥场规划镇区内污水主干管及二三级支管的补充设计以及对既有破损管网的修复、改建等，以及涉及提升泵站的设计工作。本项目补充建设污水管网约13100米。其中：HDPE 双壁波纹管（DN300）3000米，D325×8涂塑复合钢管（斜跌落管）300米，D108×6涂塑复合钢管（压力管）30米；D219×6涂塑复合钢管（压力管）270 米；∅200×4.9 埋地排污、排水硬聚氯乙烯（PVC-U）二级支管 3500 米；∅110×3.2埋地排污、排水硬聚氯乙烯（PVC-U）三级入户管 6000 米，一体化提升泵站（100t/d）1座；一体化提升泵站（50t/d）1 座</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本次设计范围包括石桥场规划镇区内污水主干管及二三级支管的补充设计以及对既有破损管网的修复、改建等，以及涉及提升泵站的设计工作。本项目补充建设污水管网约13100米。其中：HDPE 双壁波纹管（DN300）3000米，D325×8涂塑复合钢管（斜跌落管）300米，D108×6涂塑复合钢管（压力管）30米；D219×6涂塑复合钢管（压力管）270 米；∅200×4.9 埋地排污、排水硬聚氯乙烯（PVC-U）二级支管 3500 米；∅110×3.2埋地排污、排水硬聚氯乙烯（PVC-U）三级入户管 6000 米，一体化提升泵站（100t/d）1座；一体化提升泵站（50t/d）1 座</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附属工程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附属设施</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 C30 现浇水泥混凝土污水检查井(∅700)270 座；消能井 5 座；新建 9 立方米钢筋混凝土化粪池 12 座</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新建 C30 现浇水泥混凝土污水检查井(∅700)270 座；消能井 5 座；新建 9 立方米钢筋混凝土化粪池 12 座</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辅助工程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施工便道</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利用已建道路</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利用已建道路</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施工营地</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不设集中施工营地，依托附近生活设施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道路修复</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沥青路面破除及恢复800平方米；水泥混凝土路面破除及恢复650平方米；水泥混凝土院坝破除及恢复300平方米；人行道、基层破除及恢复600 平方米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沥青路面破除及恢复800平方米；水泥混凝土路面破除及恢复650平方米；水泥混凝土院坝破除及恢复300平方米；人行道、基层破除及恢复600 平方米</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环保工程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施工期设置围挡、施工场地洒水</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施工期设置围挡、施工场地洒水</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施工期生活污水依托附近生活污水收集处理设施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施工期生活污水依托附近生活污水收集处理设施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绿化</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恢复地表植被、道路恢复</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恢复地表植被、道路恢复</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水土保持</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边坡防护，水土流失治理工程</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武陵镇鹿井场</w:t>
                  </w:r>
                  <w:r>
                    <w:rPr>
                      <w:rFonts w:hint="default" w:ascii="Times New Roman" w:hAnsi="Times New Roman" w:cs="Times New Roman" w:eastAsiaTheme="minorEastAsia"/>
                      <w:b/>
                      <w:bCs/>
                      <w:color w:val="000000" w:themeColor="text1"/>
                      <w:sz w:val="21"/>
                      <w:lang w:eastAsia="zh-CN"/>
                      <w14:textFill>
                        <w14:solidFill>
                          <w14:schemeClr w14:val="tx1"/>
                        </w14:solidFill>
                      </w14:textFill>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主体工程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管网铺设</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本项目补充建设污水管网约9150米。其中：HDPE 双壁波纹管 （DN300）1100米，D325×8涂塑复合钢管(斜跌落管)230 米，D219×6 涂塑复合钢管(压力管)320 米，∅200×4.9埋地排污、排水硬聚氯乙烯（PVC-U）二级支管3500米；∅110×3.2 埋地排污、排水硬聚氯乙烯（PVC-U）三级入户管 4000米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本项目补充建设污水管网约9150米。其中：HDPE 双壁波纹管 （DN300）1100米，D325×8涂塑复合钢管(斜跌落管)230 米，D219×6 涂塑复合钢管(压力管)320 米，∅200×4.9埋地排污、排水硬聚氯乙烯（PVC-U）二级支管3500米；∅110×3.2 埋地排污、排水硬聚氯乙烯（PVC-U）三级入户管 4000米</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附属工程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color w:val="auto"/>
                      <w:sz w:val="21"/>
                      <w:szCs w:val="21"/>
                      <w:lang w:eastAsia="zh-CN"/>
                    </w:rPr>
                    <w:t>附属设施</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新建C30现浇水泥混凝土污水检查井(∅700)210 座；消能井11座；新建9立方米钢筋混凝土化粪池8座</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新建C30现浇水泥混凝土污水检查井(∅700)210 座；消能井11座；新建9立方米钢筋混凝土化粪池8座</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辅助工程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施工便道</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利用已建道路</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利用已建道路</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施工营地</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不设集中施工营地，依托附近生活设施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color w:val="auto"/>
                      <w:sz w:val="21"/>
                      <w:szCs w:val="21"/>
                      <w:lang w:eastAsia="zh-CN"/>
                    </w:rPr>
                    <w:t>道路修复</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沥青路面破除及恢复500平方米；水泥混凝土路面破除及恢复600平方米；水泥混凝土院坝破除及恢复400平方米；人行道、基层破除及恢复500 平方米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沥青路面破除及恢复500平方米；水泥混凝土路面破除及恢复600平方米；水泥混凝土院坝破除及恢复400平方米；人行道、基层破除及恢复500 平方米</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环保工程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废气</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施工期设置围挡、施工场地洒水</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施工期设置围挡、施工场地洒水</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废水</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施工期生活污水依托附近生活污水收集处理设施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施工期生活污水依托附近生活污水收集处理设施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绿化</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恢复地表植被、道路恢复</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恢复地表植被、道路恢复</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水土保持</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边坡防护，水土流失治理工程</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b/>
                      <w:bCs/>
                      <w:sz w:val="21"/>
                      <w:szCs w:val="21"/>
                      <w:lang w:eastAsia="zh-CN"/>
                    </w:rPr>
                    <w:t>龙沙镇岩口场</w:t>
                  </w:r>
                  <w:r>
                    <w:rPr>
                      <w:b/>
                      <w:bCs/>
                      <w:sz w:val="21"/>
                      <w:szCs w:val="21"/>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主体工程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管网铺设</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本项目补充建设污水管网约11000米。其中：HDPE 双壁波纹管（DN400）1500米，HDPE双壁波纹管（DN300）2000米，D325×8涂塑复合钢管（斜跌落管）400米，D219×6涂塑复合钢管（压力管）300米，∅200×4.9埋地排污、排水硬聚氯乙烯（PVC-U）二级支管2500米；∅110×3.2埋地排污、排水硬聚氯乙烯（PVC-U）三级入户管4300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本项目补充建设污水管网约11000米。其中：HDPE 双壁波纹管（DN400）1500米，HDPE双壁波纹管（DN300）2000米，D325×8涂塑复合钢管（斜跌落管）400米，D219×6涂塑复合钢管（压力管）300米，∅200×4.9埋地排污、排水硬聚氯乙烯（PVC-U）二级支管2500米；∅110×3.2埋地排污、排水硬聚氯乙烯（PVC-U）三级入户管4300米</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附属工程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附属设施</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新建C30现浇水泥混凝土污水检查井(∅700)141座；消能井4座；跌水井1座；新建一体化污水提升泵站（200t/d）1座；新建一体化污水提升泵站（50t/d）1 座；新建4立方米钢筋混凝土化粪池3座；新建6立方米钢筋混凝土化粪池2座；新建9立方米钢筋混凝土化粪池2座</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新建C30现浇水泥混凝土污水检查井(∅700)141座；消能井4座；跌水井1座；新建一体化污水提升泵站（200t/d）1座；新建一体化污水提升泵站（50t/d）1 座；新建4立方米钢筋混凝土化粪池3座；新建6立方米钢筋混凝土化粪池2座；新建9立方米钢筋混凝土化粪池2座</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辅助工程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施工便道</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利用已建道路</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利用已建道路</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施工营地</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不设集中施工营地，依托附近生活设施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道路修复</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沥青路面、基层破除及恢复5860平方米；水泥混凝土院坝破除及恢复1900平方米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沥青路面、基层破除及恢复5860平方米；水泥混凝土院坝破除及恢复1900平方米</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环保工程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施工期设置围挡、施工场地洒水</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施工期设置围挡、施工场地洒水</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施工期生活污水依托附近生活污水收集处理设施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施工期生活污水依托附近生活污水收集处理设施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绿化</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恢复地表植被、道路恢复</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恢复地表植被、道路恢复</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水土保持</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边坡防护，水土流失治理工程</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spacing w:line="320" w:lineRule="exact"/>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b/>
                      <w:bCs/>
                      <w:kern w:val="0"/>
                      <w:sz w:val="21"/>
                      <w:szCs w:val="21"/>
                      <w:lang w:eastAsia="zh-CN"/>
                    </w:rPr>
                    <w:t>龙沙镇龙安场</w:t>
                  </w:r>
                  <w:r>
                    <w:rPr>
                      <w:b/>
                      <w:bCs/>
                      <w:kern w:val="0"/>
                      <w:sz w:val="21"/>
                      <w:szCs w:val="21"/>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主体工程</w:t>
                  </w:r>
                </w:p>
              </w:tc>
              <w:tc>
                <w:tcPr>
                  <w:tcW w:w="381" w:type="pct"/>
                  <w:noWrap w:val="0"/>
                  <w:vAlign w:val="center"/>
                </w:tcPr>
                <w:p>
                  <w:pP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管网铺设</w:t>
                  </w:r>
                </w:p>
              </w:tc>
              <w:tc>
                <w:tcPr>
                  <w:tcW w:w="1694" w:type="pct"/>
                  <w:noWrap w:val="0"/>
                  <w:vAlign w:val="center"/>
                </w:tcPr>
                <w:p>
                  <w:pP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本项目补充建设污水管网约10900米。其中：HDPE 双壁波纹管（DN300）1500 米，D325×8涂塑复合钢管(斜跌落管)100米，D219×6涂塑复合钢管(斜跌落管)300 米， ∅200×4.9 埋地排污、排水硬聚氯乙烯（PVC-U）二级支3500米；∅110×3.2 埋地排污、排水硬聚氯乙烯（PVC-U）三级入户管5500米</w:t>
                  </w:r>
                </w:p>
              </w:tc>
              <w:tc>
                <w:tcPr>
                  <w:tcW w:w="1694" w:type="pct"/>
                  <w:noWrap w:val="0"/>
                  <w:vAlign w:val="center"/>
                </w:tcPr>
                <w:p>
                  <w:pP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kern w:val="0"/>
                      <w:szCs w:val="21"/>
                      <w:lang w:val="en-US" w:eastAsia="zh-CN"/>
                    </w:rPr>
                    <w:t>本项目补充建设污水管网约10900米。其中：HDPE 双壁波纹管（DN300）1500 米，D325×8涂塑复合钢管(斜跌落管)100米，D219×6涂塑复合钢管(斜跌落管)300 米， ∅200×4.9 埋地排污、排水硬聚氯乙烯（PVC-U）二级支3500米；∅110×3.2 埋地排污、排水硬聚氯乙烯（PVC-U）三级入户管5500米</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附属工程</w:t>
                  </w:r>
                </w:p>
              </w:tc>
              <w:tc>
                <w:tcPr>
                  <w:tcW w:w="381" w:type="pct"/>
                  <w:noWrap w:val="0"/>
                  <w:vAlign w:val="center"/>
                </w:tcPr>
                <w:p>
                  <w:pPr>
                    <w:rPr>
                      <w:rFonts w:hint="eastAsia" w:ascii="Times New Roman" w:hAnsi="Times New Roman" w:eastAsia="宋体" w:cs="Times New Roman"/>
                      <w:kern w:val="0"/>
                      <w:szCs w:val="21"/>
                    </w:rPr>
                  </w:pPr>
                  <w:r>
                    <w:rPr>
                      <w:rFonts w:hint="eastAsia" w:ascii="Times New Roman" w:hAnsi="Times New Roman" w:eastAsia="宋体" w:cs="Times New Roman"/>
                      <w:kern w:val="0"/>
                      <w:szCs w:val="21"/>
                      <w:lang w:eastAsia="zh-CN"/>
                    </w:rPr>
                    <w:t>附属设施</w:t>
                  </w:r>
                </w:p>
              </w:tc>
              <w:tc>
                <w:tcPr>
                  <w:tcW w:w="1694" w:type="pct"/>
                  <w:noWrap w:val="0"/>
                  <w:vAlign w:val="center"/>
                </w:tcPr>
                <w:p>
                  <w:pPr>
                    <w:rPr>
                      <w:rFonts w:hint="eastAsia" w:ascii="Times New Roman" w:hAnsi="Times New Roman" w:eastAsia="宋体" w:cs="Times New Roman"/>
                      <w:kern w:val="0"/>
                      <w:szCs w:val="21"/>
                    </w:rPr>
                  </w:pPr>
                  <w:r>
                    <w:rPr>
                      <w:rFonts w:hint="eastAsia" w:ascii="Times New Roman" w:hAnsi="Times New Roman" w:eastAsia="宋体" w:cs="Times New Roman"/>
                      <w:kern w:val="0"/>
                      <w:szCs w:val="21"/>
                      <w:lang w:val="en-US" w:eastAsia="zh-CN"/>
                    </w:rPr>
                    <w:t>新建C30现浇水泥混凝土污水检查井(∅700)266 座；消能井5座；新建4立方米钢筋混凝土化粪池7座；新建6立方米钢筋混凝土化粪池3座；新建9立方米钢筋混凝土化粪池3座</w:t>
                  </w:r>
                </w:p>
              </w:tc>
              <w:tc>
                <w:tcPr>
                  <w:tcW w:w="1694" w:type="pct"/>
                  <w:noWrap w:val="0"/>
                  <w:vAlign w:val="center"/>
                </w:tcPr>
                <w:p>
                  <w:pP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新建C30现浇水泥混凝土污水检查井(∅700)266 座；消能井5座；新建4立方米钢筋混凝土化粪池7座；新建6立方米钢筋混凝土化粪池3座；新建9立方米钢筋混凝土化粪池3座</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辅助工程</w:t>
                  </w:r>
                </w:p>
              </w:tc>
              <w:tc>
                <w:tcPr>
                  <w:tcW w:w="381" w:type="pct"/>
                  <w:noWrap w:val="0"/>
                  <w:vAlign w:val="center"/>
                </w:tcPr>
                <w:p>
                  <w:pP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施工便道</w:t>
                  </w:r>
                </w:p>
              </w:tc>
              <w:tc>
                <w:tcPr>
                  <w:tcW w:w="1694" w:type="pct"/>
                  <w:noWrap w:val="0"/>
                  <w:vAlign w:val="center"/>
                </w:tcPr>
                <w:p>
                  <w:pP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利用已建道路</w:t>
                  </w:r>
                </w:p>
              </w:tc>
              <w:tc>
                <w:tcPr>
                  <w:tcW w:w="1694" w:type="pct"/>
                  <w:noWrap w:val="0"/>
                  <w:vAlign w:val="center"/>
                </w:tcPr>
                <w:p>
                  <w:pP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rPr>
                    <w:t>利用已建道路</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rPr>
                      <w:rFonts w:hint="eastAsia" w:ascii="Times New Roman" w:hAnsi="Times New Roman" w:eastAsia="宋体" w:cs="Times New Roman"/>
                      <w:kern w:val="0"/>
                      <w:szCs w:val="21"/>
                    </w:rPr>
                  </w:pPr>
                </w:p>
              </w:tc>
              <w:tc>
                <w:tcPr>
                  <w:tcW w:w="381" w:type="pct"/>
                  <w:noWrap w:val="0"/>
                  <w:vAlign w:val="center"/>
                </w:tcPr>
                <w:p>
                  <w:pP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施工营地</w:t>
                  </w:r>
                </w:p>
              </w:tc>
              <w:tc>
                <w:tcPr>
                  <w:tcW w:w="1694" w:type="pct"/>
                  <w:noWrap w:val="0"/>
                  <w:vAlign w:val="center"/>
                </w:tcPr>
                <w:p>
                  <w:pP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不设集中施工营地，依托附近生活设施</w:t>
                  </w:r>
                </w:p>
              </w:tc>
              <w:tc>
                <w:tcPr>
                  <w:tcW w:w="1694" w:type="pct"/>
                  <w:noWrap w:val="0"/>
                  <w:vAlign w:val="center"/>
                </w:tcPr>
                <w:p>
                  <w:pP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rPr>
                    <w:t>不设集中施工营地，依托附近生活设施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rPr>
                      <w:rFonts w:hint="eastAsia" w:ascii="Times New Roman" w:hAnsi="Times New Roman" w:eastAsia="宋体" w:cs="Times New Roman"/>
                      <w:kern w:val="0"/>
                      <w:szCs w:val="21"/>
                    </w:rPr>
                  </w:pPr>
                </w:p>
              </w:tc>
              <w:tc>
                <w:tcPr>
                  <w:tcW w:w="381" w:type="pct"/>
                  <w:noWrap w:val="0"/>
                  <w:vAlign w:val="center"/>
                </w:tcPr>
                <w:p>
                  <w:pPr>
                    <w:rPr>
                      <w:rFonts w:hint="eastAsia" w:ascii="Times New Roman" w:hAnsi="Times New Roman" w:eastAsia="宋体" w:cs="Times New Roman"/>
                      <w:kern w:val="0"/>
                      <w:szCs w:val="21"/>
                    </w:rPr>
                  </w:pPr>
                  <w:r>
                    <w:rPr>
                      <w:rFonts w:hint="eastAsia" w:ascii="Times New Roman" w:hAnsi="Times New Roman" w:eastAsia="宋体" w:cs="Times New Roman"/>
                      <w:kern w:val="0"/>
                      <w:szCs w:val="21"/>
                      <w:lang w:eastAsia="zh-CN"/>
                    </w:rPr>
                    <w:t>道路修复</w:t>
                  </w:r>
                </w:p>
              </w:tc>
              <w:tc>
                <w:tcPr>
                  <w:tcW w:w="1694" w:type="pct"/>
                  <w:noWrap w:val="0"/>
                  <w:vAlign w:val="center"/>
                </w:tcPr>
                <w:p>
                  <w:pPr>
                    <w:rPr>
                      <w:rFonts w:hint="eastAsia" w:ascii="Times New Roman" w:hAnsi="Times New Roman" w:eastAsia="宋体" w:cs="Times New Roman"/>
                      <w:kern w:val="0"/>
                      <w:szCs w:val="21"/>
                    </w:rPr>
                  </w:pPr>
                  <w:r>
                    <w:rPr>
                      <w:rFonts w:hint="eastAsia" w:ascii="Times New Roman" w:hAnsi="Times New Roman" w:eastAsia="宋体" w:cs="Times New Roman"/>
                      <w:kern w:val="0"/>
                      <w:szCs w:val="21"/>
                      <w:lang w:val="en-US" w:eastAsia="zh-CN"/>
                    </w:rPr>
                    <w:t>沥青路面基层破除及恢复200平方米</w:t>
                  </w:r>
                  <w:r>
                    <w:rPr>
                      <w:rFonts w:hint="eastAsia" w:cs="Times New Roman"/>
                      <w:kern w:val="0"/>
                      <w:szCs w:val="21"/>
                      <w:lang w:val="en-US" w:eastAsia="zh-CN"/>
                    </w:rPr>
                    <w:t>，</w:t>
                  </w:r>
                  <w:r>
                    <w:rPr>
                      <w:rFonts w:hint="eastAsia" w:ascii="Times New Roman" w:hAnsi="Times New Roman" w:eastAsia="宋体" w:cs="Times New Roman"/>
                      <w:kern w:val="0"/>
                      <w:szCs w:val="21"/>
                      <w:lang w:val="en-US" w:eastAsia="zh-CN"/>
                    </w:rPr>
                    <w:t>水泥混凝土路面破除及恢复700平方米；水泥混凝土院坝破除及恢复400平方米；人行道、基层破除及恢复 300平方米</w:t>
                  </w:r>
                </w:p>
              </w:tc>
              <w:tc>
                <w:tcPr>
                  <w:tcW w:w="1694" w:type="pct"/>
                  <w:noWrap w:val="0"/>
                  <w:vAlign w:val="center"/>
                </w:tcPr>
                <w:p>
                  <w:pP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沥青路面基层破除及恢复200平方米</w:t>
                  </w:r>
                  <w:r>
                    <w:rPr>
                      <w:rFonts w:hint="eastAsia" w:cs="Times New Roman"/>
                      <w:kern w:val="0"/>
                      <w:szCs w:val="21"/>
                      <w:lang w:val="en-US" w:eastAsia="zh-CN"/>
                    </w:rPr>
                    <w:t>，</w:t>
                  </w:r>
                  <w:r>
                    <w:rPr>
                      <w:rFonts w:hint="eastAsia" w:ascii="Times New Roman" w:hAnsi="Times New Roman" w:eastAsia="宋体" w:cs="Times New Roman"/>
                      <w:kern w:val="0"/>
                      <w:szCs w:val="21"/>
                      <w:lang w:val="en-US" w:eastAsia="zh-CN"/>
                    </w:rPr>
                    <w:t>水泥混凝土路面破除及恢复700平方米；水泥混凝土院坝破除及恢复400平方米；人行道、基层破除及恢复 300平方米</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环保工程</w:t>
                  </w:r>
                </w:p>
              </w:tc>
              <w:tc>
                <w:tcPr>
                  <w:tcW w:w="381" w:type="pct"/>
                  <w:noWrap w:val="0"/>
                  <w:vAlign w:val="center"/>
                </w:tcPr>
                <w:p>
                  <w:pP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废气</w:t>
                  </w:r>
                </w:p>
              </w:tc>
              <w:tc>
                <w:tcPr>
                  <w:tcW w:w="1694" w:type="pct"/>
                  <w:noWrap w:val="0"/>
                  <w:vAlign w:val="center"/>
                </w:tcPr>
                <w:p>
                  <w:pP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施工期设置围挡、施工场地洒水</w:t>
                  </w:r>
                </w:p>
              </w:tc>
              <w:tc>
                <w:tcPr>
                  <w:tcW w:w="1694" w:type="pct"/>
                  <w:noWrap w:val="0"/>
                  <w:vAlign w:val="center"/>
                </w:tcPr>
                <w:p>
                  <w:pP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rPr>
                    <w:t>施工期设置围挡、施工场地洒水</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rPr>
                      <w:rFonts w:hint="eastAsia" w:ascii="Times New Roman" w:hAnsi="Times New Roman" w:eastAsia="宋体" w:cs="Times New Roman"/>
                      <w:kern w:val="0"/>
                      <w:szCs w:val="21"/>
                    </w:rPr>
                  </w:pPr>
                </w:p>
              </w:tc>
              <w:tc>
                <w:tcPr>
                  <w:tcW w:w="381" w:type="pct"/>
                  <w:noWrap w:val="0"/>
                  <w:vAlign w:val="center"/>
                </w:tcPr>
                <w:p>
                  <w:pP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废水</w:t>
                  </w:r>
                </w:p>
              </w:tc>
              <w:tc>
                <w:tcPr>
                  <w:tcW w:w="1694" w:type="pct"/>
                  <w:noWrap w:val="0"/>
                  <w:vAlign w:val="center"/>
                </w:tcPr>
                <w:p>
                  <w:pP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施工期生活污水依托附近生活污水收集处理设施</w:t>
                  </w:r>
                </w:p>
              </w:tc>
              <w:tc>
                <w:tcPr>
                  <w:tcW w:w="1694" w:type="pct"/>
                  <w:noWrap w:val="0"/>
                  <w:vAlign w:val="center"/>
                </w:tcPr>
                <w:p>
                  <w:pP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rPr>
                    <w:t>施工期生活污水依托附近生活污水收集处理设施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rPr>
                      <w:rFonts w:hint="eastAsia" w:ascii="Times New Roman" w:hAnsi="Times New Roman" w:eastAsia="宋体" w:cs="Times New Roman"/>
                      <w:kern w:val="0"/>
                      <w:szCs w:val="21"/>
                    </w:rPr>
                  </w:pPr>
                </w:p>
              </w:tc>
              <w:tc>
                <w:tcPr>
                  <w:tcW w:w="381" w:type="pct"/>
                  <w:noWrap w:val="0"/>
                  <w:vAlign w:val="center"/>
                </w:tcPr>
                <w:p>
                  <w:pP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绿化</w:t>
                  </w:r>
                </w:p>
              </w:tc>
              <w:tc>
                <w:tcPr>
                  <w:tcW w:w="1694" w:type="pct"/>
                  <w:noWrap w:val="0"/>
                  <w:vAlign w:val="center"/>
                </w:tcPr>
                <w:p>
                  <w:pP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恢复地表植被</w:t>
                  </w:r>
                  <w:r>
                    <w:rPr>
                      <w:rFonts w:hint="eastAsia" w:ascii="Times New Roman" w:hAnsi="Times New Roman" w:eastAsia="宋体" w:cs="Times New Roman"/>
                      <w:kern w:val="0"/>
                      <w:szCs w:val="21"/>
                      <w:lang w:eastAsia="zh-CN"/>
                    </w:rPr>
                    <w:t>、</w:t>
                  </w:r>
                  <w:r>
                    <w:rPr>
                      <w:rFonts w:hint="eastAsia" w:ascii="Times New Roman" w:hAnsi="Times New Roman" w:eastAsia="宋体" w:cs="Times New Roman"/>
                      <w:kern w:val="0"/>
                      <w:szCs w:val="21"/>
                      <w:lang w:val="en-US" w:eastAsia="zh-CN"/>
                    </w:rPr>
                    <w:t>道路恢复</w:t>
                  </w:r>
                </w:p>
              </w:tc>
              <w:tc>
                <w:tcPr>
                  <w:tcW w:w="1694" w:type="pct"/>
                  <w:noWrap w:val="0"/>
                  <w:vAlign w:val="center"/>
                </w:tcPr>
                <w:p>
                  <w:pP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rPr>
                    <w:t>恢复地表植被</w:t>
                  </w:r>
                  <w:r>
                    <w:rPr>
                      <w:rFonts w:hint="eastAsia" w:ascii="Times New Roman" w:hAnsi="Times New Roman" w:eastAsia="宋体" w:cs="Times New Roman"/>
                      <w:kern w:val="0"/>
                      <w:szCs w:val="21"/>
                      <w:lang w:eastAsia="zh-CN"/>
                    </w:rPr>
                    <w:t>、</w:t>
                  </w:r>
                  <w:r>
                    <w:rPr>
                      <w:rFonts w:hint="eastAsia" w:ascii="Times New Roman" w:hAnsi="Times New Roman" w:eastAsia="宋体" w:cs="Times New Roman"/>
                      <w:kern w:val="0"/>
                      <w:szCs w:val="21"/>
                      <w:lang w:val="en-US" w:eastAsia="zh-CN"/>
                    </w:rPr>
                    <w:t>道路恢复</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rPr>
                      <w:rFonts w:hint="eastAsia" w:ascii="Times New Roman" w:hAnsi="Times New Roman" w:eastAsia="宋体" w:cs="Times New Roman"/>
                      <w:kern w:val="0"/>
                      <w:szCs w:val="21"/>
                    </w:rPr>
                  </w:pPr>
                </w:p>
              </w:tc>
              <w:tc>
                <w:tcPr>
                  <w:tcW w:w="381" w:type="pct"/>
                  <w:noWrap w:val="0"/>
                  <w:vAlign w:val="center"/>
                </w:tcPr>
                <w:p>
                  <w:pP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水土保持</w:t>
                  </w:r>
                </w:p>
              </w:tc>
              <w:tc>
                <w:tcPr>
                  <w:tcW w:w="1694" w:type="pct"/>
                  <w:noWrap w:val="0"/>
                  <w:vAlign w:val="center"/>
                </w:tcPr>
                <w:p>
                  <w:pP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边坡防护，水土流失治理工程</w:t>
                  </w:r>
                </w:p>
              </w:tc>
              <w:tc>
                <w:tcPr>
                  <w:tcW w:w="1694" w:type="pct"/>
                  <w:noWrap w:val="0"/>
                  <w:vAlign w:val="center"/>
                </w:tcPr>
                <w:p>
                  <w:pP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rPr>
                    <w:t>边坡防护，水土流失治理工程</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b/>
                      <w:bCs/>
                      <w:color w:val="auto"/>
                      <w:sz w:val="21"/>
                      <w:szCs w:val="21"/>
                      <w:lang w:val="en-US" w:eastAsia="zh-CN"/>
                    </w:rPr>
                    <w:t>响水镇国家场</w:t>
                  </w:r>
                  <w:r>
                    <w:rPr>
                      <w:rFonts w:hint="default" w:ascii="Times New Roman" w:hAnsi="Times New Roman" w:eastAsia="宋体" w:cs="Times New Roman"/>
                      <w:b/>
                      <w:bCs/>
                      <w:color w:val="auto"/>
                      <w:sz w:val="21"/>
                      <w:szCs w:val="21"/>
                      <w:lang w:val="en-US" w:eastAsia="zh-CN"/>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主体工程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管网铺设</w:t>
                  </w:r>
                </w:p>
              </w:tc>
              <w:tc>
                <w:tcPr>
                  <w:tcW w:w="1694" w:type="pct"/>
                  <w:noWrap w:val="0"/>
                  <w:vAlign w:val="center"/>
                </w:tcPr>
                <w:p>
                  <w:pPr>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本项目补充建设污水管网约15200米。其中：HDPE 双壁波纹管（DN300）4000米，D325×8 塑复合钢管（斜跌落管）300米，D325×8 塑复合钢管（架空管）200米，D219×6 塑复合钢管（压力管）1000 米，∅200×4.9埋地排污、排水硬聚氯乙烯（PVC-U）二级支管3200米；∅110×3.2埋地排污、排水硬聚氯乙烯（PVC-U）三级入户管6500 米</w:t>
                  </w:r>
                  <w:r>
                    <w:rPr>
                      <w:rFonts w:hint="eastAsia"/>
                      <w:color w:val="auto"/>
                      <w:sz w:val="21"/>
                      <w:szCs w:val="21"/>
                      <w:lang w:eastAsia="zh-CN"/>
                    </w:rPr>
                    <w:t>。</w:t>
                  </w:r>
                </w:p>
              </w:tc>
              <w:tc>
                <w:tcPr>
                  <w:tcW w:w="1694" w:type="pct"/>
                  <w:noWrap w:val="0"/>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本项目补充建设污水管网约15200米。其中：HDPE 双壁波纹管（DN300）4000米，D325×8 塑复合钢管（斜跌落管）300米，D325×8 塑复合钢管（架空管）200米，D219×6 塑复合钢管（压力管）1000 米，∅200×4.9埋地排污、排水硬聚氯乙烯（PVC-U）二级支管3200米；∅110×3.2埋地排污、排水硬聚氯乙烯（PVC-U）三级入户管6500 米</w:t>
                  </w:r>
                  <w:r>
                    <w:rPr>
                      <w:rFonts w:hint="eastAsia"/>
                      <w:color w:val="auto"/>
                      <w:sz w:val="21"/>
                      <w:szCs w:val="21"/>
                      <w:lang w:eastAsia="zh-CN"/>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附属工程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color w:val="auto"/>
                      <w:sz w:val="21"/>
                      <w:szCs w:val="21"/>
                      <w:lang w:eastAsia="zh-CN"/>
                    </w:rPr>
                    <w:t>附属设施</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新建C30现浇水泥混凝土污水检查井(∅70</w:t>
                  </w:r>
                  <w:r>
                    <w:rPr>
                      <w:rFonts w:hint="eastAsia" w:ascii="Times New Roman" w:hAnsi="Times New Roman" w:eastAsia="宋体" w:cs="Times New Roman"/>
                      <w:color w:val="auto"/>
                      <w:sz w:val="21"/>
                      <w:szCs w:val="21"/>
                      <w:lang w:val="en-US" w:eastAsia="zh-CN"/>
                    </w:rPr>
                    <w:t>0)285座；新建6立方米钢筋混凝土化粪池2座，建 9 立方米钢筋混凝土化粪池3座。</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新建C30现浇水泥混凝土污水检查井(∅70</w:t>
                  </w:r>
                  <w:r>
                    <w:rPr>
                      <w:rFonts w:hint="eastAsia" w:ascii="Times New Roman" w:hAnsi="Times New Roman" w:eastAsia="宋体" w:cs="Times New Roman"/>
                      <w:color w:val="auto"/>
                      <w:sz w:val="21"/>
                      <w:szCs w:val="21"/>
                      <w:lang w:val="en-US" w:eastAsia="zh-CN"/>
                    </w:rPr>
                    <w:t>0)285座；新建6立方米钢筋混凝土化粪池2座，建 9 立方米钢筋混凝土化粪池3座。</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辅助工程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施工便道</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利用已建道路</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color w:val="auto"/>
                      <w:sz w:val="21"/>
                      <w:szCs w:val="21"/>
                    </w:rPr>
                    <w:t>利用已建道路</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施工营地</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color w:val="auto"/>
                      <w:sz w:val="21"/>
                      <w:szCs w:val="21"/>
                    </w:rPr>
                    <w:t>不设集中施工营地，依托附近生活设施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color w:val="auto"/>
                      <w:sz w:val="21"/>
                      <w:szCs w:val="21"/>
                      <w:lang w:eastAsia="zh-CN"/>
                    </w:rPr>
                    <w:t>道路修复</w:t>
                  </w:r>
                </w:p>
              </w:tc>
              <w:tc>
                <w:tcPr>
                  <w:tcW w:w="1694" w:type="pct"/>
                  <w:noWrap w:val="0"/>
                  <w:vAlign w:val="center"/>
                </w:tcPr>
                <w:p>
                  <w:pPr>
                    <w:adjustRightInd w:val="0"/>
                    <w:snapToGrid w:val="0"/>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沥青路面、基层破除及恢复2250平方米；水泥砼路面破除及恢复800平方米；水泥混凝土院坝破除及恢复1260平方米。</w:t>
                  </w:r>
                </w:p>
              </w:tc>
              <w:tc>
                <w:tcPr>
                  <w:tcW w:w="1694" w:type="pct"/>
                  <w:noWrap w:val="0"/>
                  <w:vAlign w:val="center"/>
                </w:tcPr>
                <w:p>
                  <w:pPr>
                    <w:adjustRightInd w:val="0"/>
                    <w:snapToGrid w:val="0"/>
                    <w:jc w:val="lef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沥青路面、基层破除及恢复2250平方米；水泥砼路面破除及恢复800平方米；水泥混凝土院坝破除及恢复1260平方米。</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环保工程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废气</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color w:val="auto"/>
                      <w:sz w:val="21"/>
                      <w:szCs w:val="21"/>
                    </w:rPr>
                    <w:t>施工期</w:t>
                  </w:r>
                  <w:r>
                    <w:rPr>
                      <w:color w:val="auto"/>
                      <w:sz w:val="21"/>
                      <w:szCs w:val="21"/>
                    </w:rPr>
                    <w:t>设置围挡、施工场地洒水</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施工期</w:t>
                  </w:r>
                  <w:r>
                    <w:rPr>
                      <w:color w:val="auto"/>
                      <w:sz w:val="21"/>
                      <w:szCs w:val="21"/>
                    </w:rPr>
                    <w:t>设置围挡、施工场地洒水</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废水</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color w:val="auto"/>
                      <w:sz w:val="21"/>
                      <w:szCs w:val="21"/>
                    </w:rPr>
                    <w:t>施工期</w:t>
                  </w:r>
                  <w:r>
                    <w:rPr>
                      <w:color w:val="auto"/>
                      <w:sz w:val="21"/>
                      <w:szCs w:val="21"/>
                    </w:rPr>
                    <w:t>生活污水依托附近生活污水收集处理设施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施工期</w:t>
                  </w:r>
                  <w:r>
                    <w:rPr>
                      <w:color w:val="auto"/>
                      <w:sz w:val="21"/>
                      <w:szCs w:val="21"/>
                    </w:rPr>
                    <w:t>生活污水依托附近生活污水收集处理设施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绿化</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水土保持</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color w:val="auto"/>
                      <w:sz w:val="21"/>
                      <w:szCs w:val="21"/>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color w:val="auto"/>
                      <w:sz w:val="21"/>
                      <w:szCs w:val="21"/>
                    </w:rPr>
                    <w:t>边坡防护，水土流失治理工程</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sz w:val="21"/>
                      <w:szCs w:val="21"/>
                    </w:rPr>
                  </w:pPr>
                  <w:r>
                    <w:rPr>
                      <w:rFonts w:hint="eastAsia" w:cs="Times New Roman"/>
                      <w:b/>
                      <w:bCs/>
                      <w:sz w:val="21"/>
                      <w:szCs w:val="21"/>
                      <w:lang w:eastAsia="zh-CN"/>
                    </w:rPr>
                    <w:t>甘宁镇河口场</w:t>
                  </w:r>
                  <w:r>
                    <w:rPr>
                      <w:rFonts w:hint="default" w:ascii="Times New Roman" w:hAnsi="Times New Roman" w:eastAsia="宋体" w:cs="Times New Roman"/>
                      <w:b/>
                      <w:bCs/>
                      <w:sz w:val="21"/>
                      <w:szCs w:val="21"/>
                      <w:lang w:eastAsia="zh-CN"/>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color w:val="000000"/>
                      <w:sz w:val="21"/>
                      <w:szCs w:val="21"/>
                    </w:rPr>
                  </w:pPr>
                  <w:r>
                    <w:rPr>
                      <w:color w:val="auto"/>
                      <w:sz w:val="21"/>
                      <w:szCs w:val="21"/>
                    </w:rPr>
                    <w:t>主体工程</w:t>
                  </w:r>
                </w:p>
              </w:tc>
              <w:tc>
                <w:tcPr>
                  <w:tcW w:w="381" w:type="pct"/>
                  <w:noWrap w:val="0"/>
                  <w:vAlign w:val="center"/>
                </w:tcPr>
                <w:p>
                  <w:pPr>
                    <w:spacing w:line="320" w:lineRule="exact"/>
                    <w:rPr>
                      <w:color w:val="000000"/>
                      <w:sz w:val="21"/>
                      <w:szCs w:val="21"/>
                    </w:rPr>
                  </w:pPr>
                  <w:r>
                    <w:rPr>
                      <w:color w:val="auto"/>
                      <w:sz w:val="21"/>
                      <w:szCs w:val="21"/>
                    </w:rPr>
                    <w:t>管网铺设</w:t>
                  </w:r>
                </w:p>
              </w:tc>
              <w:tc>
                <w:tcPr>
                  <w:tcW w:w="1694" w:type="pct"/>
                  <w:noWrap w:val="0"/>
                  <w:vAlign w:val="center"/>
                </w:tcPr>
                <w:p>
                  <w:pPr>
                    <w:adjustRightInd w:val="0"/>
                    <w:snapToGrid w:val="0"/>
                    <w:jc w:val="left"/>
                    <w:rPr>
                      <w:rFonts w:hint="eastAsia"/>
                      <w:color w:val="000000"/>
                      <w:sz w:val="21"/>
                      <w:szCs w:val="21"/>
                    </w:rPr>
                  </w:pPr>
                  <w:r>
                    <w:rPr>
                      <w:rFonts w:hint="eastAsia" w:ascii="Times New Roman" w:hAnsi="Times New Roman" w:eastAsia="宋体" w:cs="Times New Roman"/>
                      <w:color w:val="auto"/>
                      <w:sz w:val="21"/>
                      <w:szCs w:val="21"/>
                      <w:lang w:val="en-US" w:eastAsia="zh-CN"/>
                    </w:rPr>
                    <w:t>本项目补充建设污水管网约13530米。其中：HDPE 双壁波纹管（DN400）100米；HDPE 双壁波纹管（DN300）3000米，D108×6 涂塑复合钢管(压力)130 米，D426×10 涂塑复合钢管(连续混凝土梁)300 米；∅200×4.9 埋地排污、排水硬聚氯乙烯（PVC-U）二级支管3500米；D219×6涂塑复合钢管（压力管）1500米∅110×3.2 埋地排污、排水硬聚氯乙烯（PVC-U）三级入户管5000米。</w:t>
                  </w:r>
                </w:p>
              </w:tc>
              <w:tc>
                <w:tcPr>
                  <w:tcW w:w="1694" w:type="pct"/>
                  <w:noWrap w:val="0"/>
                  <w:vAlign w:val="center"/>
                </w:tcPr>
                <w:p>
                  <w:pPr>
                    <w:adjustRightInd w:val="0"/>
                    <w:snapToGrid w:val="0"/>
                    <w:jc w:val="left"/>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auto"/>
                      <w:sz w:val="21"/>
                      <w:szCs w:val="21"/>
                      <w:lang w:val="en-US" w:eastAsia="zh-CN"/>
                    </w:rPr>
                    <w:t>本项目补充建设污水管网约13530米。其中：HDPE 双壁波纹管（DN400）100米；HDPE 双壁波纹管（DN300）3000米，D108×6 涂塑复合钢管(压力)130 米，D426×10 涂塑复合钢管(连续混凝土梁)300 米；∅200×4.9 埋地排污、排水硬聚氯乙烯（PVC-U）二级支管3500米；D219×6涂塑复合钢管（压力管）1500米∅110×3.2 埋地排污、排水硬聚氯乙烯（PVC-U）三级入户管5000米。</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color w:val="auto"/>
                      <w:sz w:val="21"/>
                      <w:szCs w:val="21"/>
                    </w:rPr>
                  </w:pPr>
                  <w:r>
                    <w:rPr>
                      <w:color w:val="auto"/>
                      <w:sz w:val="21"/>
                      <w:szCs w:val="21"/>
                    </w:rPr>
                    <w:t>附属工程</w:t>
                  </w:r>
                </w:p>
              </w:tc>
              <w:tc>
                <w:tcPr>
                  <w:tcW w:w="381" w:type="pct"/>
                  <w:noWrap w:val="0"/>
                  <w:vAlign w:val="center"/>
                </w:tcPr>
                <w:p>
                  <w:pPr>
                    <w:spacing w:line="320" w:lineRule="exact"/>
                    <w:rPr>
                      <w:rFonts w:hint="eastAsia"/>
                      <w:color w:val="auto"/>
                      <w:sz w:val="21"/>
                      <w:szCs w:val="21"/>
                      <w:lang w:eastAsia="zh-CN"/>
                    </w:rPr>
                  </w:pPr>
                  <w:r>
                    <w:rPr>
                      <w:rFonts w:hint="eastAsia"/>
                      <w:color w:val="auto"/>
                      <w:sz w:val="21"/>
                      <w:szCs w:val="21"/>
                      <w:lang w:eastAsia="zh-CN"/>
                    </w:rPr>
                    <w:t>附属设施</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eastAsia"/>
                      <w:color w:val="auto"/>
                      <w:sz w:val="21"/>
                      <w:szCs w:val="21"/>
                      <w:lang w:val="en-US" w:eastAsia="zh-CN"/>
                    </w:rPr>
                    <w:t>新建C30现浇水泥混凝土污水检查井(∅70</w:t>
                  </w:r>
                  <w:r>
                    <w:rPr>
                      <w:rFonts w:hint="eastAsia" w:ascii="Times New Roman" w:hAnsi="Times New Roman" w:eastAsia="宋体" w:cs="Times New Roman"/>
                      <w:color w:val="auto"/>
                      <w:sz w:val="21"/>
                      <w:szCs w:val="21"/>
                      <w:lang w:val="en-US" w:eastAsia="zh-CN"/>
                    </w:rPr>
                    <w:t>0)230座；新建4立方米钢筋混凝土化粪池7座，建 6立方米钢筋混凝土化粪池5 座。新建9立方米钢筋混凝土化粪池3座。</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新建C30现浇水泥混凝土污水检查井(∅70</w:t>
                  </w:r>
                  <w:r>
                    <w:rPr>
                      <w:rFonts w:hint="eastAsia" w:ascii="Times New Roman" w:hAnsi="Times New Roman" w:eastAsia="宋体" w:cs="Times New Roman"/>
                      <w:color w:val="auto"/>
                      <w:sz w:val="21"/>
                      <w:szCs w:val="21"/>
                      <w:lang w:val="en-US" w:eastAsia="zh-CN"/>
                    </w:rPr>
                    <w:t>0)230座；新建4立方米钢筋混凝土化粪池7座，建 6立方米钢筋混凝土化粪池5 座。新建9立方米钢筋混凝土化粪池3座。</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color w:val="auto"/>
                      <w:sz w:val="21"/>
                      <w:szCs w:val="21"/>
                    </w:rPr>
                  </w:pPr>
                  <w:r>
                    <w:rPr>
                      <w:color w:val="auto"/>
                      <w:sz w:val="21"/>
                      <w:szCs w:val="21"/>
                    </w:rPr>
                    <w:t>辅助工程</w:t>
                  </w:r>
                </w:p>
              </w:tc>
              <w:tc>
                <w:tcPr>
                  <w:tcW w:w="381" w:type="pct"/>
                  <w:noWrap w:val="0"/>
                  <w:vAlign w:val="center"/>
                </w:tcPr>
                <w:p>
                  <w:pPr>
                    <w:spacing w:line="320" w:lineRule="exact"/>
                    <w:rPr>
                      <w:rFonts w:hint="eastAsia"/>
                      <w:color w:val="auto"/>
                      <w:sz w:val="21"/>
                      <w:szCs w:val="21"/>
                      <w:lang w:eastAsia="zh-CN"/>
                    </w:rPr>
                  </w:pPr>
                  <w:r>
                    <w:rPr>
                      <w:color w:val="auto"/>
                      <w:sz w:val="21"/>
                      <w:szCs w:val="21"/>
                    </w:rPr>
                    <w:t>施工便道</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color w:val="auto"/>
                      <w:sz w:val="21"/>
                      <w:szCs w:val="21"/>
                    </w:rPr>
                    <w:t>利用已建道路</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color w:val="auto"/>
                      <w:sz w:val="21"/>
                      <w:szCs w:val="21"/>
                    </w:rPr>
                    <w:t>利用已建道路</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rFonts w:hint="eastAsia"/>
                      <w:color w:val="auto"/>
                      <w:sz w:val="21"/>
                      <w:szCs w:val="21"/>
                      <w:lang w:eastAsia="zh-CN"/>
                    </w:rPr>
                  </w:pPr>
                  <w:r>
                    <w:rPr>
                      <w:color w:val="auto"/>
                      <w:sz w:val="21"/>
                      <w:szCs w:val="21"/>
                    </w:rPr>
                    <w:t>施工营地</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color w:val="auto"/>
                      <w:sz w:val="21"/>
                      <w:szCs w:val="21"/>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color w:val="auto"/>
                      <w:sz w:val="21"/>
                      <w:szCs w:val="21"/>
                    </w:rPr>
                    <w:t>不设集中施工营地，依托附近生活设施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rFonts w:hint="eastAsia"/>
                      <w:color w:val="auto"/>
                      <w:sz w:val="21"/>
                      <w:szCs w:val="21"/>
                      <w:lang w:eastAsia="zh-CN"/>
                    </w:rPr>
                  </w:pPr>
                  <w:r>
                    <w:rPr>
                      <w:rFonts w:hint="eastAsia"/>
                      <w:color w:val="auto"/>
                      <w:sz w:val="21"/>
                      <w:szCs w:val="21"/>
                      <w:lang w:eastAsia="zh-CN"/>
                    </w:rPr>
                    <w:t>道路修复</w:t>
                  </w:r>
                </w:p>
              </w:tc>
              <w:tc>
                <w:tcPr>
                  <w:tcW w:w="1694" w:type="pct"/>
                  <w:noWrap w:val="0"/>
                  <w:vAlign w:val="center"/>
                </w:tcPr>
                <w:p>
                  <w:pPr>
                    <w:adjustRightInd w:val="0"/>
                    <w:snapToGrid w:val="0"/>
                    <w:jc w:val="left"/>
                    <w:rPr>
                      <w:rFonts w:hint="eastAsia" w:ascii="Times New Roman" w:hAnsi="Times New Roman" w:eastAsia="宋体" w:cs="Times New Roman"/>
                      <w:color w:val="auto"/>
                      <w:sz w:val="21"/>
                      <w:szCs w:val="21"/>
                      <w:lang w:eastAsia="zh-CN"/>
                    </w:rPr>
                  </w:pPr>
                  <w:r>
                    <w:rPr>
                      <w:rFonts w:hint="eastAsia"/>
                      <w:color w:val="auto"/>
                      <w:sz w:val="21"/>
                      <w:szCs w:val="21"/>
                      <w:lang w:val="en-US" w:eastAsia="zh-CN"/>
                    </w:rPr>
                    <w:t>沥青路面基层破除及恢复750平方米， 水泥混凝土路面破除及恢复500平方米；水泥混凝土院坝破除及恢复200平方米；人行道、基层破除及恢复600平方米。</w:t>
                  </w:r>
                </w:p>
              </w:tc>
              <w:tc>
                <w:tcPr>
                  <w:tcW w:w="1694" w:type="pct"/>
                  <w:noWrap w:val="0"/>
                  <w:vAlign w:val="center"/>
                </w:tcPr>
                <w:p>
                  <w:pPr>
                    <w:adjustRightInd w:val="0"/>
                    <w:snapToGrid w:val="0"/>
                    <w:jc w:val="left"/>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沥青路面基层破除及恢复750平方米， 水泥混凝土路面破除及恢复500平方米；水泥混凝土院坝破除及恢复200平方米；人行道、基层破除及恢复600平方米。</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color w:val="auto"/>
                      <w:sz w:val="21"/>
                      <w:szCs w:val="21"/>
                    </w:rPr>
                  </w:pPr>
                  <w:r>
                    <w:rPr>
                      <w:color w:val="auto"/>
                      <w:sz w:val="21"/>
                      <w:szCs w:val="21"/>
                    </w:rPr>
                    <w:t>环保工程</w:t>
                  </w:r>
                </w:p>
              </w:tc>
              <w:tc>
                <w:tcPr>
                  <w:tcW w:w="381" w:type="pct"/>
                  <w:noWrap w:val="0"/>
                  <w:vAlign w:val="center"/>
                </w:tcPr>
                <w:p>
                  <w:pPr>
                    <w:spacing w:line="320" w:lineRule="exact"/>
                    <w:rPr>
                      <w:rFonts w:hint="eastAsia"/>
                      <w:color w:val="auto"/>
                      <w:sz w:val="21"/>
                      <w:szCs w:val="21"/>
                      <w:lang w:eastAsia="zh-CN"/>
                    </w:rPr>
                  </w:pPr>
                  <w:r>
                    <w:rPr>
                      <w:color w:val="auto"/>
                      <w:sz w:val="21"/>
                      <w:szCs w:val="21"/>
                    </w:rPr>
                    <w:t>废气</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eastAsia"/>
                      <w:color w:val="auto"/>
                      <w:sz w:val="21"/>
                      <w:szCs w:val="21"/>
                    </w:rPr>
                    <w:t>施工期</w:t>
                  </w:r>
                  <w:r>
                    <w:rPr>
                      <w:color w:val="auto"/>
                      <w:sz w:val="21"/>
                      <w:szCs w:val="21"/>
                    </w:rPr>
                    <w:t>设置围挡、施工场地洒水</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施工期</w:t>
                  </w:r>
                  <w:r>
                    <w:rPr>
                      <w:color w:val="auto"/>
                      <w:sz w:val="21"/>
                      <w:szCs w:val="21"/>
                    </w:rPr>
                    <w:t>设置围挡、施工场地洒水</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rFonts w:hint="eastAsia"/>
                      <w:color w:val="auto"/>
                      <w:sz w:val="21"/>
                      <w:szCs w:val="21"/>
                      <w:lang w:eastAsia="zh-CN"/>
                    </w:rPr>
                  </w:pPr>
                  <w:r>
                    <w:rPr>
                      <w:color w:val="auto"/>
                      <w:sz w:val="21"/>
                      <w:szCs w:val="21"/>
                    </w:rPr>
                    <w:t>废水</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eastAsia"/>
                      <w:color w:val="auto"/>
                      <w:sz w:val="21"/>
                      <w:szCs w:val="21"/>
                    </w:rPr>
                    <w:t>施工期</w:t>
                  </w:r>
                  <w:r>
                    <w:rPr>
                      <w:color w:val="auto"/>
                      <w:sz w:val="21"/>
                      <w:szCs w:val="21"/>
                    </w:rPr>
                    <w:t>生活污水依托附近生活污水收集处理设施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施工期</w:t>
                  </w:r>
                  <w:r>
                    <w:rPr>
                      <w:color w:val="auto"/>
                      <w:sz w:val="21"/>
                      <w:szCs w:val="21"/>
                    </w:rPr>
                    <w:t>生活污水依托附近生活污水收集处理设施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rFonts w:hint="eastAsia"/>
                      <w:color w:val="auto"/>
                      <w:sz w:val="21"/>
                      <w:szCs w:val="21"/>
                      <w:lang w:eastAsia="zh-CN"/>
                    </w:rPr>
                  </w:pPr>
                  <w:r>
                    <w:rPr>
                      <w:color w:val="auto"/>
                      <w:sz w:val="21"/>
                      <w:szCs w:val="21"/>
                    </w:rPr>
                    <w:t>绿化</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rFonts w:hint="eastAsia"/>
                      <w:color w:val="auto"/>
                      <w:sz w:val="21"/>
                      <w:szCs w:val="21"/>
                      <w:lang w:eastAsia="zh-CN"/>
                    </w:rPr>
                  </w:pPr>
                  <w:r>
                    <w:rPr>
                      <w:color w:val="auto"/>
                      <w:sz w:val="21"/>
                      <w:szCs w:val="21"/>
                    </w:rPr>
                    <w:t>水土保持</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color w:val="auto"/>
                      <w:sz w:val="21"/>
                      <w:szCs w:val="21"/>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color w:val="auto"/>
                      <w:sz w:val="21"/>
                      <w:szCs w:val="21"/>
                    </w:rPr>
                    <w:t>边坡防护，水土流失治理工程</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sz w:val="21"/>
                      <w:szCs w:val="21"/>
                    </w:rPr>
                  </w:pPr>
                  <w:r>
                    <w:rPr>
                      <w:rFonts w:hint="eastAsia" w:cs="Times New Roman"/>
                      <w:b/>
                      <w:bCs/>
                      <w:sz w:val="21"/>
                      <w:szCs w:val="21"/>
                      <w:lang w:eastAsia="zh-CN"/>
                    </w:rPr>
                    <w:t>分水镇培文场</w:t>
                  </w:r>
                  <w:r>
                    <w:rPr>
                      <w:rFonts w:hint="default" w:ascii="Times New Roman" w:hAnsi="Times New Roman" w:eastAsia="宋体" w:cs="Times New Roman"/>
                      <w:b/>
                      <w:bCs/>
                      <w:sz w:val="21"/>
                      <w:szCs w:val="21"/>
                      <w:lang w:eastAsia="zh-CN"/>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主体工程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管网铺设</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补充建设污水管网约</w:t>
                  </w:r>
                  <w:r>
                    <w:rPr>
                      <w:rFonts w:hint="eastAsia" w:ascii="Times New Roman" w:hAnsi="Times New Roman" w:eastAsia="宋体" w:cs="Times New Roman"/>
                      <w:color w:val="auto"/>
                      <w:sz w:val="21"/>
                      <w:szCs w:val="21"/>
                      <w:lang w:val="en-US" w:eastAsia="zh-CN"/>
                    </w:rPr>
                    <w:t>1928</w:t>
                  </w:r>
                  <w:r>
                    <w:rPr>
                      <w:rFonts w:hint="eastAsia" w:ascii="Times New Roman" w:hAnsi="Times New Roman" w:eastAsia="宋体" w:cs="Times New Roman"/>
                      <w:color w:val="auto"/>
                      <w:sz w:val="21"/>
                      <w:szCs w:val="21"/>
                      <w:lang w:eastAsia="zh-CN"/>
                    </w:rPr>
                    <w:t>米。其中：改性高密度聚乙烯HDPE-IW六棱结构壁管（DN300）</w:t>
                  </w:r>
                  <w:r>
                    <w:rPr>
                      <w:rFonts w:hint="eastAsia" w:ascii="Times New Roman" w:hAnsi="Times New Roman" w:eastAsia="宋体" w:cs="Times New Roman"/>
                      <w:color w:val="auto"/>
                      <w:sz w:val="21"/>
                      <w:szCs w:val="21"/>
                      <w:lang w:val="en-US" w:eastAsia="zh-CN"/>
                    </w:rPr>
                    <w:t>607</w:t>
                  </w:r>
                  <w:r>
                    <w:rPr>
                      <w:rFonts w:hint="eastAsia" w:ascii="Times New Roman" w:hAnsi="Times New Roman" w:eastAsia="宋体" w:cs="Times New Roman"/>
                      <w:color w:val="auto"/>
                      <w:sz w:val="21"/>
                      <w:szCs w:val="21"/>
                      <w:lang w:eastAsia="zh-CN"/>
                    </w:rPr>
                    <w:t>米，D325×8涂塑复合钢管(架空)</w:t>
                  </w:r>
                  <w:r>
                    <w:rPr>
                      <w:rFonts w:hint="eastAsia" w:ascii="Times New Roman" w:hAnsi="Times New Roman" w:eastAsia="宋体" w:cs="Times New Roman"/>
                      <w:color w:val="auto"/>
                      <w:sz w:val="21"/>
                      <w:szCs w:val="21"/>
                      <w:lang w:val="en-US" w:eastAsia="zh-CN"/>
                    </w:rPr>
                    <w:t>491</w:t>
                  </w:r>
                  <w:r>
                    <w:rPr>
                      <w:rFonts w:hint="eastAsia" w:ascii="Times New Roman" w:hAnsi="Times New Roman" w:eastAsia="宋体" w:cs="Times New Roman"/>
                      <w:color w:val="auto"/>
                      <w:sz w:val="21"/>
                      <w:szCs w:val="21"/>
                      <w:lang w:eastAsia="zh-CN"/>
                    </w:rPr>
                    <w:t>米，D</w:t>
                  </w:r>
                  <w:r>
                    <w:rPr>
                      <w:rFonts w:hint="eastAsia" w:ascii="Times New Roman" w:hAnsi="Times New Roman" w:eastAsia="宋体" w:cs="Times New Roman"/>
                      <w:color w:val="auto"/>
                      <w:sz w:val="21"/>
                      <w:szCs w:val="21"/>
                      <w:lang w:val="en-US" w:eastAsia="zh-CN"/>
                    </w:rPr>
                    <w:t>219</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6</w:t>
                  </w:r>
                  <w:r>
                    <w:rPr>
                      <w:rFonts w:hint="eastAsia" w:ascii="Times New Roman" w:hAnsi="Times New Roman" w:eastAsia="宋体" w:cs="Times New Roman"/>
                      <w:color w:val="auto"/>
                      <w:sz w:val="21"/>
                      <w:szCs w:val="21"/>
                      <w:lang w:eastAsia="zh-CN"/>
                    </w:rPr>
                    <w:t>涂塑复合钢管(架空)</w:t>
                  </w:r>
                  <w:r>
                    <w:rPr>
                      <w:rFonts w:hint="eastAsia" w:ascii="Times New Roman" w:hAnsi="Times New Roman" w:eastAsia="宋体" w:cs="Times New Roman"/>
                      <w:color w:val="auto"/>
                      <w:sz w:val="21"/>
                      <w:szCs w:val="21"/>
                      <w:lang w:val="en-US" w:eastAsia="zh-CN"/>
                    </w:rPr>
                    <w:t>230</w:t>
                  </w:r>
                  <w:r>
                    <w:rPr>
                      <w:rFonts w:hint="eastAsia" w:ascii="Times New Roman" w:hAnsi="Times New Roman" w:eastAsia="宋体" w:cs="Times New Roman"/>
                      <w:color w:val="auto"/>
                      <w:sz w:val="21"/>
                      <w:szCs w:val="21"/>
                      <w:lang w:eastAsia="zh-CN"/>
                    </w:rPr>
                    <w:t>米，∅</w:t>
                  </w:r>
                  <w:r>
                    <w:rPr>
                      <w:rFonts w:hint="default" w:ascii="Times New Roman" w:hAnsi="Times New Roman" w:eastAsia="宋体" w:cs="Times New Roman"/>
                      <w:color w:val="auto"/>
                      <w:sz w:val="21"/>
                      <w:szCs w:val="21"/>
                      <w:lang w:eastAsia="zh-CN"/>
                    </w:rPr>
                    <w:t>200×4.9</w:t>
                  </w:r>
                  <w:r>
                    <w:rPr>
                      <w:rFonts w:hint="eastAsia" w:ascii="Times New Roman" w:hAnsi="Times New Roman" w:eastAsia="宋体" w:cs="Times New Roman"/>
                      <w:color w:val="auto"/>
                      <w:sz w:val="21"/>
                      <w:szCs w:val="21"/>
                      <w:lang w:eastAsia="zh-CN"/>
                    </w:rPr>
                    <w:t>埋地排污、排水硬聚氯乙烯（PVC-U）二级支管</w:t>
                  </w:r>
                  <w:r>
                    <w:rPr>
                      <w:rFonts w:hint="eastAsia" w:ascii="Times New Roman" w:hAnsi="Times New Roman" w:eastAsia="宋体" w:cs="Times New Roman"/>
                      <w:color w:val="auto"/>
                      <w:sz w:val="21"/>
                      <w:szCs w:val="21"/>
                      <w:lang w:val="en-US" w:eastAsia="zh-CN"/>
                    </w:rPr>
                    <w:t>600</w:t>
                  </w:r>
                  <w:r>
                    <w:rPr>
                      <w:rFonts w:hint="eastAsia" w:ascii="Times New Roman" w:hAnsi="Times New Roman" w:eastAsia="宋体" w:cs="Times New Roman"/>
                      <w:color w:val="auto"/>
                      <w:sz w:val="21"/>
                      <w:szCs w:val="21"/>
                      <w:lang w:eastAsia="zh-CN"/>
                    </w:rPr>
                    <w:t>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补充建设污水管网约</w:t>
                  </w:r>
                  <w:r>
                    <w:rPr>
                      <w:rFonts w:hint="eastAsia" w:ascii="Times New Roman" w:hAnsi="Times New Roman" w:eastAsia="宋体" w:cs="Times New Roman"/>
                      <w:color w:val="auto"/>
                      <w:sz w:val="21"/>
                      <w:szCs w:val="21"/>
                      <w:lang w:val="en-US" w:eastAsia="zh-CN"/>
                    </w:rPr>
                    <w:t>1928</w:t>
                  </w:r>
                  <w:r>
                    <w:rPr>
                      <w:rFonts w:hint="eastAsia" w:ascii="Times New Roman" w:hAnsi="Times New Roman" w:eastAsia="宋体" w:cs="Times New Roman"/>
                      <w:color w:val="auto"/>
                      <w:sz w:val="21"/>
                      <w:szCs w:val="21"/>
                      <w:lang w:eastAsia="zh-CN"/>
                    </w:rPr>
                    <w:t>米。其中：改性高密度聚乙烯HDPE-IW六棱结构壁管（DN300）</w:t>
                  </w:r>
                  <w:r>
                    <w:rPr>
                      <w:rFonts w:hint="eastAsia" w:ascii="Times New Roman" w:hAnsi="Times New Roman" w:eastAsia="宋体" w:cs="Times New Roman"/>
                      <w:color w:val="auto"/>
                      <w:sz w:val="21"/>
                      <w:szCs w:val="21"/>
                      <w:lang w:val="en-US" w:eastAsia="zh-CN"/>
                    </w:rPr>
                    <w:t>607</w:t>
                  </w:r>
                  <w:r>
                    <w:rPr>
                      <w:rFonts w:hint="eastAsia" w:ascii="Times New Roman" w:hAnsi="Times New Roman" w:eastAsia="宋体" w:cs="Times New Roman"/>
                      <w:color w:val="auto"/>
                      <w:sz w:val="21"/>
                      <w:szCs w:val="21"/>
                      <w:lang w:eastAsia="zh-CN"/>
                    </w:rPr>
                    <w:t>米，D325×8涂塑复合钢管(架空)</w:t>
                  </w:r>
                  <w:r>
                    <w:rPr>
                      <w:rFonts w:hint="eastAsia" w:ascii="Times New Roman" w:hAnsi="Times New Roman" w:eastAsia="宋体" w:cs="Times New Roman"/>
                      <w:color w:val="auto"/>
                      <w:sz w:val="21"/>
                      <w:szCs w:val="21"/>
                      <w:lang w:val="en-US" w:eastAsia="zh-CN"/>
                    </w:rPr>
                    <w:t>491</w:t>
                  </w:r>
                  <w:r>
                    <w:rPr>
                      <w:rFonts w:hint="eastAsia" w:ascii="Times New Roman" w:hAnsi="Times New Roman" w:eastAsia="宋体" w:cs="Times New Roman"/>
                      <w:color w:val="auto"/>
                      <w:sz w:val="21"/>
                      <w:szCs w:val="21"/>
                      <w:lang w:eastAsia="zh-CN"/>
                    </w:rPr>
                    <w:t>米，D</w:t>
                  </w:r>
                  <w:r>
                    <w:rPr>
                      <w:rFonts w:hint="eastAsia" w:ascii="Times New Roman" w:hAnsi="Times New Roman" w:eastAsia="宋体" w:cs="Times New Roman"/>
                      <w:color w:val="auto"/>
                      <w:sz w:val="21"/>
                      <w:szCs w:val="21"/>
                      <w:lang w:val="en-US" w:eastAsia="zh-CN"/>
                    </w:rPr>
                    <w:t>219</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6</w:t>
                  </w:r>
                  <w:r>
                    <w:rPr>
                      <w:rFonts w:hint="eastAsia" w:ascii="Times New Roman" w:hAnsi="Times New Roman" w:eastAsia="宋体" w:cs="Times New Roman"/>
                      <w:color w:val="auto"/>
                      <w:sz w:val="21"/>
                      <w:szCs w:val="21"/>
                      <w:lang w:eastAsia="zh-CN"/>
                    </w:rPr>
                    <w:t>涂塑复合钢管(架空)</w:t>
                  </w:r>
                  <w:r>
                    <w:rPr>
                      <w:rFonts w:hint="eastAsia" w:ascii="Times New Roman" w:hAnsi="Times New Roman" w:eastAsia="宋体" w:cs="Times New Roman"/>
                      <w:color w:val="auto"/>
                      <w:sz w:val="21"/>
                      <w:szCs w:val="21"/>
                      <w:lang w:val="en-US" w:eastAsia="zh-CN"/>
                    </w:rPr>
                    <w:t>230</w:t>
                  </w:r>
                  <w:r>
                    <w:rPr>
                      <w:rFonts w:hint="eastAsia" w:ascii="Times New Roman" w:hAnsi="Times New Roman" w:eastAsia="宋体" w:cs="Times New Roman"/>
                      <w:color w:val="auto"/>
                      <w:sz w:val="21"/>
                      <w:szCs w:val="21"/>
                      <w:lang w:eastAsia="zh-CN"/>
                    </w:rPr>
                    <w:t>米，∅</w:t>
                  </w:r>
                  <w:r>
                    <w:rPr>
                      <w:rFonts w:hint="default" w:ascii="Times New Roman" w:hAnsi="Times New Roman" w:eastAsia="宋体" w:cs="Times New Roman"/>
                      <w:color w:val="auto"/>
                      <w:sz w:val="21"/>
                      <w:szCs w:val="21"/>
                      <w:lang w:eastAsia="zh-CN"/>
                    </w:rPr>
                    <w:t>200×4.9</w:t>
                  </w:r>
                  <w:r>
                    <w:rPr>
                      <w:rFonts w:hint="eastAsia" w:ascii="Times New Roman" w:hAnsi="Times New Roman" w:eastAsia="宋体" w:cs="Times New Roman"/>
                      <w:color w:val="auto"/>
                      <w:sz w:val="21"/>
                      <w:szCs w:val="21"/>
                      <w:lang w:eastAsia="zh-CN"/>
                    </w:rPr>
                    <w:t>埋地排污、排水硬聚氯乙烯（PVC-U）二级支管</w:t>
                  </w:r>
                  <w:r>
                    <w:rPr>
                      <w:rFonts w:hint="eastAsia" w:ascii="Times New Roman" w:hAnsi="Times New Roman" w:eastAsia="宋体" w:cs="Times New Roman"/>
                      <w:color w:val="auto"/>
                      <w:sz w:val="21"/>
                      <w:szCs w:val="21"/>
                      <w:lang w:val="en-US" w:eastAsia="zh-CN"/>
                    </w:rPr>
                    <w:t>600</w:t>
                  </w:r>
                  <w:r>
                    <w:rPr>
                      <w:rFonts w:hint="eastAsia" w:ascii="Times New Roman" w:hAnsi="Times New Roman" w:eastAsia="宋体" w:cs="Times New Roman"/>
                      <w:color w:val="auto"/>
                      <w:sz w:val="21"/>
                      <w:szCs w:val="21"/>
                      <w:lang w:eastAsia="zh-CN"/>
                    </w:rPr>
                    <w:t>米</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附属工程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附属设施</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新建C30现浇水泥混凝土污水检查井</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∅700)</w:t>
                  </w:r>
                  <w:r>
                    <w:rPr>
                      <w:rFonts w:hint="eastAsia" w:ascii="Times New Roman" w:hAnsi="Times New Roman" w:eastAsia="宋体" w:cs="Times New Roman"/>
                      <w:color w:val="auto"/>
                      <w:sz w:val="21"/>
                      <w:szCs w:val="21"/>
                      <w:lang w:val="en-US" w:eastAsia="zh-CN"/>
                    </w:rPr>
                    <w:t>82</w:t>
                  </w:r>
                  <w:r>
                    <w:rPr>
                      <w:rFonts w:hint="eastAsia" w:ascii="Times New Roman" w:hAnsi="Times New Roman" w:eastAsia="宋体" w:cs="Times New Roman"/>
                      <w:color w:val="auto"/>
                      <w:sz w:val="21"/>
                      <w:szCs w:val="21"/>
                      <w:lang w:eastAsia="zh-CN"/>
                    </w:rPr>
                    <w:t>座；新建</w:t>
                  </w: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lang w:eastAsia="zh-CN"/>
                    </w:rPr>
                    <w:t>立方米钢筋混凝土化粪池</w:t>
                  </w:r>
                  <w:r>
                    <w:rPr>
                      <w:rFonts w:hint="eastAsia" w:ascii="Times New Roman" w:hAnsi="Times New Roman" w:eastAsia="宋体" w:cs="Times New Roman"/>
                      <w:color w:val="auto"/>
                      <w:sz w:val="21"/>
                      <w:szCs w:val="21"/>
                      <w:lang w:val="en-US" w:eastAsia="zh-CN"/>
                    </w:rPr>
                    <w:t>6</w:t>
                  </w:r>
                  <w:r>
                    <w:rPr>
                      <w:rFonts w:hint="eastAsia" w:ascii="Times New Roman" w:hAnsi="Times New Roman" w:eastAsia="宋体" w:cs="Times New Roman"/>
                      <w:color w:val="auto"/>
                      <w:sz w:val="21"/>
                      <w:szCs w:val="21"/>
                      <w:lang w:eastAsia="zh-CN"/>
                    </w:rPr>
                    <w:t>座。</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新建C30现浇水泥混凝土污水检查井</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∅700)</w:t>
                  </w:r>
                  <w:r>
                    <w:rPr>
                      <w:rFonts w:hint="eastAsia" w:ascii="Times New Roman" w:hAnsi="Times New Roman" w:eastAsia="宋体" w:cs="Times New Roman"/>
                      <w:color w:val="auto"/>
                      <w:sz w:val="21"/>
                      <w:szCs w:val="21"/>
                      <w:lang w:val="en-US" w:eastAsia="zh-CN"/>
                    </w:rPr>
                    <w:t>82</w:t>
                  </w:r>
                  <w:r>
                    <w:rPr>
                      <w:rFonts w:hint="eastAsia" w:ascii="Times New Roman" w:hAnsi="Times New Roman" w:eastAsia="宋体" w:cs="Times New Roman"/>
                      <w:color w:val="auto"/>
                      <w:sz w:val="21"/>
                      <w:szCs w:val="21"/>
                      <w:lang w:eastAsia="zh-CN"/>
                    </w:rPr>
                    <w:t>座；新建</w:t>
                  </w: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lang w:eastAsia="zh-CN"/>
                    </w:rPr>
                    <w:t>立方米钢筋混凝土化粪池</w:t>
                  </w:r>
                  <w:r>
                    <w:rPr>
                      <w:rFonts w:hint="eastAsia" w:ascii="Times New Roman" w:hAnsi="Times New Roman" w:eastAsia="宋体" w:cs="Times New Roman"/>
                      <w:color w:val="auto"/>
                      <w:sz w:val="21"/>
                      <w:szCs w:val="21"/>
                      <w:lang w:val="en-US" w:eastAsia="zh-CN"/>
                    </w:rPr>
                    <w:t>6</w:t>
                  </w:r>
                  <w:r>
                    <w:rPr>
                      <w:rFonts w:hint="eastAsia" w:ascii="Times New Roman" w:hAnsi="Times New Roman" w:eastAsia="宋体" w:cs="Times New Roman"/>
                      <w:color w:val="auto"/>
                      <w:sz w:val="21"/>
                      <w:szCs w:val="21"/>
                      <w:lang w:eastAsia="zh-CN"/>
                    </w:rPr>
                    <w:t>座。</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辅助工程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施工便道</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利用已建道路</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利用已建道路</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施工营地</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不设集中施工营地，依托附近生活设施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道路修复</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水泥混凝土院坝破除及恢复</w:t>
                  </w:r>
                  <w:r>
                    <w:rPr>
                      <w:rFonts w:hint="eastAsia" w:ascii="Times New Roman" w:hAnsi="Times New Roman" w:eastAsia="宋体" w:cs="Times New Roman"/>
                      <w:color w:val="auto"/>
                      <w:sz w:val="21"/>
                      <w:szCs w:val="21"/>
                      <w:lang w:val="en-US" w:eastAsia="zh-CN"/>
                    </w:rPr>
                    <w:t>1093</w:t>
                  </w:r>
                  <w:r>
                    <w:rPr>
                      <w:rFonts w:hint="eastAsia" w:ascii="Times New Roman" w:hAnsi="Times New Roman" w:eastAsia="宋体" w:cs="Times New Roman"/>
                      <w:color w:val="auto"/>
                      <w:sz w:val="21"/>
                      <w:szCs w:val="21"/>
                      <w:lang w:eastAsia="zh-CN"/>
                    </w:rPr>
                    <w:t>平方米，人行道、基层破除及恢复</w:t>
                  </w:r>
                  <w:r>
                    <w:rPr>
                      <w:rFonts w:hint="eastAsia" w:ascii="Times New Roman" w:hAnsi="Times New Roman" w:eastAsia="宋体" w:cs="Times New Roman"/>
                      <w:color w:val="auto"/>
                      <w:sz w:val="21"/>
                      <w:szCs w:val="21"/>
                      <w:lang w:val="en-US" w:eastAsia="zh-CN"/>
                    </w:rPr>
                    <w:t>91</w:t>
                  </w:r>
                  <w:r>
                    <w:rPr>
                      <w:rFonts w:hint="eastAsia" w:ascii="Times New Roman" w:hAnsi="Times New Roman" w:eastAsia="宋体" w:cs="Times New Roman"/>
                      <w:color w:val="auto"/>
                      <w:sz w:val="21"/>
                      <w:szCs w:val="21"/>
                      <w:lang w:eastAsia="zh-CN"/>
                    </w:rPr>
                    <w:t>平方米。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水泥混凝土院坝破除及恢复</w:t>
                  </w:r>
                  <w:r>
                    <w:rPr>
                      <w:rFonts w:hint="eastAsia" w:ascii="Times New Roman" w:hAnsi="Times New Roman" w:eastAsia="宋体" w:cs="Times New Roman"/>
                      <w:color w:val="auto"/>
                      <w:sz w:val="21"/>
                      <w:szCs w:val="21"/>
                      <w:lang w:val="en-US" w:eastAsia="zh-CN"/>
                    </w:rPr>
                    <w:t>1093</w:t>
                  </w:r>
                  <w:r>
                    <w:rPr>
                      <w:rFonts w:hint="eastAsia" w:ascii="Times New Roman" w:hAnsi="Times New Roman" w:eastAsia="宋体" w:cs="Times New Roman"/>
                      <w:color w:val="auto"/>
                      <w:sz w:val="21"/>
                      <w:szCs w:val="21"/>
                      <w:lang w:eastAsia="zh-CN"/>
                    </w:rPr>
                    <w:t>平方米，人行道、基层破除及恢复</w:t>
                  </w:r>
                  <w:r>
                    <w:rPr>
                      <w:rFonts w:hint="eastAsia" w:ascii="Times New Roman" w:hAnsi="Times New Roman" w:eastAsia="宋体" w:cs="Times New Roman"/>
                      <w:color w:val="auto"/>
                      <w:sz w:val="21"/>
                      <w:szCs w:val="21"/>
                      <w:lang w:val="en-US" w:eastAsia="zh-CN"/>
                    </w:rPr>
                    <w:t>91</w:t>
                  </w:r>
                  <w:r>
                    <w:rPr>
                      <w:rFonts w:hint="eastAsia" w:ascii="Times New Roman" w:hAnsi="Times New Roman" w:eastAsia="宋体" w:cs="Times New Roman"/>
                      <w:color w:val="auto"/>
                      <w:sz w:val="21"/>
                      <w:szCs w:val="21"/>
                      <w:lang w:eastAsia="zh-CN"/>
                    </w:rPr>
                    <w:t>平方米。</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环保工程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废气</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施工期</w:t>
                  </w:r>
                  <w:r>
                    <w:rPr>
                      <w:rFonts w:hint="default" w:ascii="Times New Roman" w:hAnsi="Times New Roman" w:eastAsia="宋体" w:cs="Times New Roman"/>
                      <w:color w:val="auto"/>
                      <w:sz w:val="21"/>
                      <w:szCs w:val="21"/>
                      <w:lang w:eastAsia="zh-CN"/>
                    </w:rPr>
                    <w:t>设置围挡、施工场地洒水</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施工期</w:t>
                  </w:r>
                  <w:r>
                    <w:rPr>
                      <w:rFonts w:hint="default" w:ascii="Times New Roman" w:hAnsi="Times New Roman" w:eastAsia="宋体" w:cs="Times New Roman"/>
                      <w:color w:val="auto"/>
                      <w:sz w:val="21"/>
                      <w:szCs w:val="21"/>
                      <w:lang w:eastAsia="zh-CN"/>
                    </w:rPr>
                    <w:t>设置围挡、施工场地洒水</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施工期</w:t>
                  </w:r>
                  <w:r>
                    <w:rPr>
                      <w:rFonts w:hint="default" w:ascii="Times New Roman" w:hAnsi="Times New Roman" w:eastAsia="宋体" w:cs="Times New Roman"/>
                      <w:color w:val="auto"/>
                      <w:sz w:val="21"/>
                      <w:szCs w:val="21"/>
                      <w:lang w:eastAsia="zh-CN"/>
                    </w:rPr>
                    <w:t>生活污水依托附近生活污水收集处理设施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施工期</w:t>
                  </w:r>
                  <w:r>
                    <w:rPr>
                      <w:rFonts w:hint="default" w:ascii="Times New Roman" w:hAnsi="Times New Roman" w:eastAsia="宋体" w:cs="Times New Roman"/>
                      <w:color w:val="auto"/>
                      <w:sz w:val="21"/>
                      <w:szCs w:val="21"/>
                      <w:lang w:eastAsia="zh-CN"/>
                    </w:rPr>
                    <w:t>生活污水依托附近生活污水收集处理设施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绿化</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恢复地表植被</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道路恢复</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恢复地表植被</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道路恢复</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水土保持</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边坡防护，水土流失治理工程</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sz w:val="21"/>
                      <w:szCs w:val="21"/>
                    </w:rPr>
                  </w:pPr>
                  <w:r>
                    <w:rPr>
                      <w:rFonts w:hint="eastAsia" w:cs="Times New Roman"/>
                      <w:b/>
                      <w:bCs/>
                      <w:sz w:val="21"/>
                      <w:szCs w:val="21"/>
                      <w:lang w:eastAsia="zh-CN"/>
                    </w:rPr>
                    <w:t>李河镇高升场</w:t>
                  </w:r>
                  <w:r>
                    <w:rPr>
                      <w:rFonts w:hint="eastAsia" w:ascii="Times New Roman" w:hAnsi="Times New Roman" w:eastAsia="宋体" w:cs="Times New Roman"/>
                      <w:b/>
                      <w:bCs/>
                      <w:sz w:val="21"/>
                      <w:szCs w:val="21"/>
                      <w:lang w:eastAsia="zh-CN"/>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主体工程</w:t>
                  </w:r>
                </w:p>
              </w:tc>
              <w:tc>
                <w:tcPr>
                  <w:tcW w:w="381" w:type="pct"/>
                  <w:noWrap w:val="0"/>
                  <w:vAlign w:val="center"/>
                </w:tcPr>
                <w:p>
                  <w:pP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管网铺设</w:t>
                  </w:r>
                </w:p>
              </w:tc>
              <w:tc>
                <w:tcPr>
                  <w:tcW w:w="1694" w:type="pct"/>
                  <w:noWrap w:val="0"/>
                  <w:vAlign w:val="center"/>
                </w:tcPr>
                <w:p>
                  <w:pP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本项目补充建设污水管网约4812米。其中：HDPE 双壁波纹管（DN300）2218 米，D325×8涂塑复合钢管640 米；D219×6涂塑复合钢管200 米</w:t>
                  </w:r>
                </w:p>
              </w:tc>
              <w:tc>
                <w:tcPr>
                  <w:tcW w:w="1694" w:type="pct"/>
                  <w:noWrap w:val="0"/>
                  <w:vAlign w:val="center"/>
                </w:tcPr>
                <w:p>
                  <w:pPr>
                    <w:rPr>
                      <w:rFonts w:hint="eastAsia" w:ascii="Times New Roman" w:hAnsi="Times New Roman" w:eastAsia="宋体" w:cs="Times New Roman"/>
                      <w:kern w:val="0"/>
                      <w:sz w:val="21"/>
                      <w:lang w:val="en-US" w:eastAsia="zh-CN" w:bidi="ar-SA"/>
                    </w:rPr>
                  </w:pPr>
                  <w:r>
                    <w:rPr>
                      <w:rFonts w:hint="eastAsia" w:ascii="Times New Roman" w:hAnsi="Times New Roman" w:eastAsia="宋体" w:cs="Times New Roman"/>
                      <w:color w:val="auto"/>
                      <w:sz w:val="21"/>
                      <w:szCs w:val="21"/>
                      <w:lang w:val="en-US" w:eastAsia="zh-CN"/>
                    </w:rPr>
                    <w:t>本项目补充建设污水管网约4812米。其中：HDPE 双壁波纹管（DN300）2218 米，D325×8涂塑复合钢管640 米；D219×6涂塑复合钢管200 米</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附属工程</w:t>
                  </w:r>
                </w:p>
              </w:tc>
              <w:tc>
                <w:tcPr>
                  <w:tcW w:w="381" w:type="pct"/>
                  <w:noWrap w:val="0"/>
                  <w:vAlign w:val="center"/>
                </w:tcPr>
                <w:p>
                  <w:pP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附属设施</w:t>
                  </w:r>
                </w:p>
              </w:tc>
              <w:tc>
                <w:tcPr>
                  <w:tcW w:w="1694" w:type="pct"/>
                  <w:noWrap w:val="0"/>
                  <w:vAlign w:val="center"/>
                </w:tcPr>
                <w:p>
                  <w:pP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新建现浇水泥混凝土污水检查井7座；</w:t>
                  </w:r>
                </w:p>
              </w:tc>
              <w:tc>
                <w:tcPr>
                  <w:tcW w:w="1694" w:type="pct"/>
                  <w:noWrap w:val="0"/>
                  <w:vAlign w:val="center"/>
                </w:tcPr>
                <w:p>
                  <w:pPr>
                    <w:rPr>
                      <w:rFonts w:hint="eastAsia" w:ascii="Times New Roman" w:hAnsi="Times New Roman" w:eastAsia="宋体" w:cs="Times New Roman"/>
                      <w:kern w:val="0"/>
                      <w:sz w:val="21"/>
                      <w:lang w:val="en-US" w:eastAsia="zh-CN" w:bidi="ar-SA"/>
                    </w:rPr>
                  </w:pPr>
                  <w:r>
                    <w:rPr>
                      <w:rFonts w:hint="eastAsia" w:ascii="Times New Roman" w:hAnsi="Times New Roman" w:eastAsia="宋体" w:cs="Times New Roman"/>
                      <w:color w:val="auto"/>
                      <w:sz w:val="21"/>
                      <w:szCs w:val="21"/>
                      <w:lang w:val="en-US" w:eastAsia="zh-CN"/>
                    </w:rPr>
                    <w:t>新建现浇水泥混凝土污水检查井7座；</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辅助工程</w:t>
                  </w:r>
                </w:p>
              </w:tc>
              <w:tc>
                <w:tcPr>
                  <w:tcW w:w="381" w:type="pct"/>
                  <w:noWrap w:val="0"/>
                  <w:vAlign w:val="center"/>
                </w:tcPr>
                <w:p>
                  <w:pP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施工便道</w:t>
                  </w:r>
                </w:p>
              </w:tc>
              <w:tc>
                <w:tcPr>
                  <w:tcW w:w="1694" w:type="pct"/>
                  <w:noWrap w:val="0"/>
                  <w:vAlign w:val="center"/>
                </w:tcPr>
                <w:p>
                  <w:pP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利用已建道路</w:t>
                  </w:r>
                </w:p>
              </w:tc>
              <w:tc>
                <w:tcPr>
                  <w:tcW w:w="1694" w:type="pct"/>
                  <w:noWrap w:val="0"/>
                  <w:vAlign w:val="center"/>
                </w:tcPr>
                <w:p>
                  <w:pPr>
                    <w:rPr>
                      <w:rFonts w:hint="eastAsia" w:ascii="Times New Roman" w:hAnsi="Times New Roman" w:eastAsia="宋体" w:cs="Times New Roman"/>
                      <w:kern w:val="0"/>
                      <w:sz w:val="21"/>
                      <w:lang w:val="en-US" w:eastAsia="zh-CN" w:bidi="ar-SA"/>
                    </w:rPr>
                  </w:pPr>
                  <w:r>
                    <w:rPr>
                      <w:rFonts w:hint="eastAsia" w:ascii="Times New Roman" w:hAnsi="Times New Roman" w:eastAsia="宋体" w:cs="Times New Roman"/>
                      <w:color w:val="auto"/>
                      <w:sz w:val="21"/>
                      <w:szCs w:val="21"/>
                      <w:lang w:eastAsia="zh-CN"/>
                    </w:rPr>
                    <w:t>利用已建道路</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rPr>
                      <w:rFonts w:hint="default" w:ascii="Times New Roman" w:hAnsi="Times New Roman" w:eastAsia="宋体" w:cs="Times New Roman"/>
                      <w:color w:val="auto"/>
                      <w:sz w:val="21"/>
                      <w:szCs w:val="21"/>
                      <w:lang w:eastAsia="zh-CN"/>
                    </w:rPr>
                  </w:pPr>
                </w:p>
              </w:tc>
              <w:tc>
                <w:tcPr>
                  <w:tcW w:w="381" w:type="pct"/>
                  <w:noWrap w:val="0"/>
                  <w:vAlign w:val="center"/>
                </w:tcPr>
                <w:p>
                  <w:pP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施工营地</w:t>
                  </w:r>
                </w:p>
              </w:tc>
              <w:tc>
                <w:tcPr>
                  <w:tcW w:w="1694" w:type="pct"/>
                  <w:noWrap w:val="0"/>
                  <w:vAlign w:val="center"/>
                </w:tcPr>
                <w:p>
                  <w:pP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不设集中施工营地，依托附近生活设施</w:t>
                  </w:r>
                </w:p>
              </w:tc>
              <w:tc>
                <w:tcPr>
                  <w:tcW w:w="1694" w:type="pct"/>
                  <w:noWrap w:val="0"/>
                  <w:vAlign w:val="center"/>
                </w:tcPr>
                <w:p>
                  <w:pPr>
                    <w:rPr>
                      <w:rFonts w:hint="eastAsia" w:ascii="Times New Roman" w:hAnsi="Times New Roman" w:eastAsia="宋体" w:cs="Times New Roman"/>
                      <w:kern w:val="0"/>
                      <w:sz w:val="21"/>
                      <w:lang w:val="en-US" w:eastAsia="zh-CN" w:bidi="ar-SA"/>
                    </w:rPr>
                  </w:pPr>
                  <w:r>
                    <w:rPr>
                      <w:rFonts w:hint="eastAsia" w:ascii="Times New Roman" w:hAnsi="Times New Roman" w:eastAsia="宋体" w:cs="Times New Roman"/>
                      <w:color w:val="auto"/>
                      <w:sz w:val="21"/>
                      <w:szCs w:val="21"/>
                      <w:lang w:eastAsia="zh-CN"/>
                    </w:rPr>
                    <w:t>不设集中施工营地，依托附近生活设施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 w:type="pct"/>
                  <w:vMerge w:val="restart"/>
                  <w:noWrap w:val="0"/>
                  <w:vAlign w:val="center"/>
                </w:tcPr>
                <w:p>
                  <w:pP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环保工程</w:t>
                  </w:r>
                </w:p>
              </w:tc>
              <w:tc>
                <w:tcPr>
                  <w:tcW w:w="381" w:type="pct"/>
                  <w:noWrap w:val="0"/>
                  <w:vAlign w:val="center"/>
                </w:tcPr>
                <w:p>
                  <w:pP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废气</w:t>
                  </w:r>
                </w:p>
              </w:tc>
              <w:tc>
                <w:tcPr>
                  <w:tcW w:w="1694" w:type="pct"/>
                  <w:noWrap w:val="0"/>
                  <w:vAlign w:val="center"/>
                </w:tcPr>
                <w:p>
                  <w:pP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施工期设置围挡、施工场地洒水</w:t>
                  </w:r>
                </w:p>
              </w:tc>
              <w:tc>
                <w:tcPr>
                  <w:tcW w:w="1694" w:type="pct"/>
                  <w:noWrap w:val="0"/>
                  <w:vAlign w:val="center"/>
                </w:tcPr>
                <w:p>
                  <w:pPr>
                    <w:rPr>
                      <w:rFonts w:hint="eastAsia" w:ascii="Times New Roman" w:hAnsi="Times New Roman" w:eastAsia="宋体" w:cs="Times New Roman"/>
                      <w:kern w:val="0"/>
                      <w:sz w:val="21"/>
                      <w:lang w:val="en-US" w:eastAsia="zh-CN" w:bidi="ar-SA"/>
                    </w:rPr>
                  </w:pPr>
                  <w:r>
                    <w:rPr>
                      <w:rFonts w:hint="eastAsia" w:ascii="Times New Roman" w:hAnsi="Times New Roman" w:eastAsia="宋体" w:cs="Times New Roman"/>
                      <w:color w:val="auto"/>
                      <w:sz w:val="21"/>
                      <w:szCs w:val="21"/>
                      <w:lang w:eastAsia="zh-CN"/>
                    </w:rPr>
                    <w:t>施工期设置围挡、施工场地洒水</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rPr>
                      <w:rFonts w:hint="default" w:ascii="Times New Roman" w:hAnsi="Times New Roman" w:eastAsia="宋体" w:cs="Times New Roman"/>
                      <w:color w:val="auto"/>
                      <w:sz w:val="21"/>
                      <w:szCs w:val="21"/>
                      <w:lang w:eastAsia="zh-CN"/>
                    </w:rPr>
                  </w:pPr>
                </w:p>
              </w:tc>
              <w:tc>
                <w:tcPr>
                  <w:tcW w:w="381" w:type="pct"/>
                  <w:noWrap w:val="0"/>
                  <w:vAlign w:val="center"/>
                </w:tcPr>
                <w:p>
                  <w:pP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废水</w:t>
                  </w:r>
                </w:p>
              </w:tc>
              <w:tc>
                <w:tcPr>
                  <w:tcW w:w="1694" w:type="pct"/>
                  <w:noWrap w:val="0"/>
                  <w:vAlign w:val="center"/>
                </w:tcPr>
                <w:p>
                  <w:pP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施工期生活污水依托附近生活污水收集处理设施</w:t>
                  </w:r>
                </w:p>
              </w:tc>
              <w:tc>
                <w:tcPr>
                  <w:tcW w:w="1694" w:type="pct"/>
                  <w:noWrap w:val="0"/>
                  <w:vAlign w:val="center"/>
                </w:tcPr>
                <w:p>
                  <w:pPr>
                    <w:rPr>
                      <w:rFonts w:hint="eastAsia" w:ascii="Times New Roman" w:hAnsi="Times New Roman" w:eastAsia="宋体" w:cs="Times New Roman"/>
                      <w:kern w:val="0"/>
                      <w:sz w:val="21"/>
                      <w:lang w:val="en-US" w:eastAsia="zh-CN" w:bidi="ar-SA"/>
                    </w:rPr>
                  </w:pPr>
                  <w:r>
                    <w:rPr>
                      <w:rFonts w:hint="eastAsia" w:ascii="Times New Roman" w:hAnsi="Times New Roman" w:eastAsia="宋体" w:cs="Times New Roman"/>
                      <w:color w:val="auto"/>
                      <w:sz w:val="21"/>
                      <w:szCs w:val="21"/>
                      <w:lang w:eastAsia="zh-CN"/>
                    </w:rPr>
                    <w:t>施工期生活污水依托附近生活污水收集处理设施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rPr>
                      <w:rFonts w:hint="default" w:ascii="Times New Roman" w:hAnsi="Times New Roman" w:eastAsia="宋体" w:cs="Times New Roman"/>
                      <w:color w:val="auto"/>
                      <w:sz w:val="21"/>
                      <w:szCs w:val="21"/>
                      <w:lang w:eastAsia="zh-CN"/>
                    </w:rPr>
                  </w:pPr>
                </w:p>
              </w:tc>
              <w:tc>
                <w:tcPr>
                  <w:tcW w:w="381" w:type="pct"/>
                  <w:noWrap w:val="0"/>
                  <w:vAlign w:val="center"/>
                </w:tcPr>
                <w:p>
                  <w:pP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绿化</w:t>
                  </w:r>
                </w:p>
              </w:tc>
              <w:tc>
                <w:tcPr>
                  <w:tcW w:w="1694" w:type="pct"/>
                  <w:noWrap w:val="0"/>
                  <w:vAlign w:val="center"/>
                </w:tcPr>
                <w:p>
                  <w:pP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恢复地表植被、</w:t>
                  </w:r>
                  <w:r>
                    <w:rPr>
                      <w:rFonts w:hint="eastAsia" w:ascii="Times New Roman" w:hAnsi="Times New Roman" w:eastAsia="宋体" w:cs="Times New Roman"/>
                      <w:color w:val="auto"/>
                      <w:sz w:val="21"/>
                      <w:szCs w:val="21"/>
                      <w:lang w:val="en-US" w:eastAsia="zh-CN"/>
                    </w:rPr>
                    <w:t>道路恢复</w:t>
                  </w:r>
                </w:p>
              </w:tc>
              <w:tc>
                <w:tcPr>
                  <w:tcW w:w="1694" w:type="pct"/>
                  <w:noWrap w:val="0"/>
                  <w:vAlign w:val="center"/>
                </w:tcPr>
                <w:p>
                  <w:pPr>
                    <w:rPr>
                      <w:rFonts w:hint="eastAsia" w:ascii="Times New Roman" w:hAnsi="Times New Roman" w:eastAsia="宋体" w:cs="Times New Roman"/>
                      <w:kern w:val="0"/>
                      <w:sz w:val="21"/>
                      <w:lang w:val="en-US" w:eastAsia="zh-CN" w:bidi="ar-SA"/>
                    </w:rPr>
                  </w:pPr>
                  <w:r>
                    <w:rPr>
                      <w:rFonts w:hint="eastAsia" w:ascii="Times New Roman" w:hAnsi="Times New Roman" w:eastAsia="宋体" w:cs="Times New Roman"/>
                      <w:color w:val="auto"/>
                      <w:sz w:val="21"/>
                      <w:szCs w:val="21"/>
                      <w:lang w:eastAsia="zh-CN"/>
                    </w:rPr>
                    <w:t>恢复地表植被、</w:t>
                  </w:r>
                  <w:r>
                    <w:rPr>
                      <w:rFonts w:hint="eastAsia" w:ascii="Times New Roman" w:hAnsi="Times New Roman" w:eastAsia="宋体" w:cs="Times New Roman"/>
                      <w:color w:val="auto"/>
                      <w:sz w:val="21"/>
                      <w:szCs w:val="21"/>
                      <w:lang w:val="en-US" w:eastAsia="zh-CN"/>
                    </w:rPr>
                    <w:t>道路恢复</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rPr>
                      <w:rFonts w:hint="default" w:ascii="Times New Roman" w:hAnsi="Times New Roman" w:eastAsia="宋体" w:cs="Times New Roman"/>
                      <w:color w:val="auto"/>
                      <w:sz w:val="21"/>
                      <w:szCs w:val="21"/>
                      <w:lang w:eastAsia="zh-CN"/>
                    </w:rPr>
                  </w:pPr>
                </w:p>
              </w:tc>
              <w:tc>
                <w:tcPr>
                  <w:tcW w:w="381" w:type="pct"/>
                  <w:noWrap w:val="0"/>
                  <w:vAlign w:val="center"/>
                </w:tcPr>
                <w:p>
                  <w:pP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水土保持</w:t>
                  </w:r>
                </w:p>
              </w:tc>
              <w:tc>
                <w:tcPr>
                  <w:tcW w:w="1694" w:type="pct"/>
                  <w:noWrap w:val="0"/>
                  <w:vAlign w:val="center"/>
                </w:tcPr>
                <w:p>
                  <w:pP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边坡防护，水土流失治理工程</w:t>
                  </w:r>
                </w:p>
              </w:tc>
              <w:tc>
                <w:tcPr>
                  <w:tcW w:w="1694" w:type="pct"/>
                  <w:noWrap w:val="0"/>
                  <w:vAlign w:val="center"/>
                </w:tcPr>
                <w:p>
                  <w:pPr>
                    <w:rPr>
                      <w:rFonts w:hint="eastAsia" w:ascii="Times New Roman" w:hAnsi="Times New Roman" w:eastAsia="宋体" w:cs="Times New Roman"/>
                      <w:kern w:val="0"/>
                      <w:sz w:val="21"/>
                      <w:lang w:val="en-US" w:eastAsia="zh-CN" w:bidi="ar-SA"/>
                    </w:rPr>
                  </w:pPr>
                  <w:r>
                    <w:rPr>
                      <w:rFonts w:hint="eastAsia" w:ascii="Times New Roman" w:hAnsi="Times New Roman" w:eastAsia="宋体" w:cs="Times New Roman"/>
                      <w:color w:val="auto"/>
                      <w:sz w:val="21"/>
                      <w:szCs w:val="21"/>
                      <w:lang w:eastAsia="zh-CN"/>
                    </w:rPr>
                    <w:t>边坡防护，水土流失治理工程</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sz w:val="21"/>
                      <w:szCs w:val="21"/>
                    </w:rPr>
                  </w:pPr>
                  <w:r>
                    <w:rPr>
                      <w:rFonts w:hint="eastAsia" w:cs="Times New Roman"/>
                      <w:b/>
                      <w:bCs/>
                      <w:color w:val="auto"/>
                      <w:sz w:val="21"/>
                      <w:szCs w:val="21"/>
                      <w:lang w:val="en-US" w:eastAsia="zh-CN"/>
                    </w:rPr>
                    <w:t>李河镇茅坝场</w:t>
                  </w:r>
                  <w:r>
                    <w:rPr>
                      <w:rFonts w:hint="default" w:ascii="Times New Roman" w:hAnsi="Times New Roman" w:eastAsia="宋体" w:cs="Times New Roman"/>
                      <w:b/>
                      <w:bCs/>
                      <w:color w:val="auto"/>
                      <w:sz w:val="21"/>
                      <w:szCs w:val="21"/>
                      <w:lang w:val="en-US" w:eastAsia="zh-CN"/>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rFonts w:hint="default" w:ascii="Times New Roman" w:hAnsi="Times New Roman" w:eastAsia="宋体" w:cs="Times New Roman"/>
                      <w:kern w:val="0"/>
                    </w:rPr>
                  </w:pPr>
                  <w:r>
                    <w:rPr>
                      <w:color w:val="auto"/>
                      <w:sz w:val="21"/>
                      <w:szCs w:val="21"/>
                    </w:rPr>
                    <w:t>主体工程</w:t>
                  </w: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管网铺设</w:t>
                  </w:r>
                </w:p>
              </w:tc>
              <w:tc>
                <w:tcPr>
                  <w:tcW w:w="1694" w:type="pct"/>
                  <w:noWrap w:val="0"/>
                  <w:vAlign w:val="center"/>
                </w:tcPr>
                <w:p>
                  <w:pPr>
                    <w:rPr>
                      <w:rFonts w:hint="eastAsia" w:ascii="Times New Roman" w:hAnsi="Times New Roman" w:eastAsia="宋体" w:cs="Times New Roman"/>
                      <w:kern w:val="0"/>
                      <w:lang w:eastAsia="zh-CN"/>
                    </w:rPr>
                  </w:pPr>
                  <w:r>
                    <w:rPr>
                      <w:rFonts w:hint="eastAsia"/>
                      <w:color w:val="auto"/>
                      <w:sz w:val="21"/>
                      <w:szCs w:val="21"/>
                      <w:lang w:val="en-US" w:eastAsia="zh-CN"/>
                    </w:rPr>
                    <w:t>本项目补充建设污水管网约5060米。其中：HDPE 双壁波纹管（DN300）400 米，D219×6涂塑复合钢管(架空)160 米；∅200×4.9 埋地排污、排水硬聚氯乙烯（PVC-U）二级支管2000米</w:t>
                  </w:r>
                </w:p>
              </w:tc>
              <w:tc>
                <w:tcPr>
                  <w:tcW w:w="1694" w:type="pct"/>
                  <w:noWrap w:val="0"/>
                  <w:vAlign w:val="center"/>
                </w:tcPr>
                <w:p>
                  <w:pPr>
                    <w:rPr>
                      <w:rFonts w:hint="eastAsia" w:ascii="Times New Roman" w:hAnsi="Times New Roman" w:eastAsia="宋体" w:cs="Times New Roman"/>
                      <w:kern w:val="0"/>
                      <w:sz w:val="21"/>
                      <w:lang w:val="en-US" w:eastAsia="zh-CN" w:bidi="ar-SA"/>
                    </w:rPr>
                  </w:pPr>
                  <w:r>
                    <w:rPr>
                      <w:rFonts w:hint="eastAsia"/>
                      <w:color w:val="auto"/>
                      <w:sz w:val="21"/>
                      <w:szCs w:val="21"/>
                      <w:lang w:val="en-US" w:eastAsia="zh-CN"/>
                    </w:rPr>
                    <w:t>本项目补充建设污水管网约5060米。其中：HDPE 双壁波纹管（DN300）400米，D219×6涂塑复合钢管(架空)160 米；∅200×4.9 埋地排污、排水硬聚氯乙烯（PVC-U）二级支管2000米</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rFonts w:hint="default" w:ascii="Times New Roman" w:hAnsi="Times New Roman" w:eastAsia="宋体" w:cs="Times New Roman"/>
                      <w:kern w:val="0"/>
                    </w:rPr>
                  </w:pPr>
                  <w:r>
                    <w:rPr>
                      <w:color w:val="auto"/>
                      <w:sz w:val="21"/>
                      <w:szCs w:val="21"/>
                    </w:rPr>
                    <w:t>附属工程</w:t>
                  </w:r>
                </w:p>
              </w:tc>
              <w:tc>
                <w:tcPr>
                  <w:tcW w:w="381" w:type="pct"/>
                  <w:noWrap w:val="0"/>
                  <w:vAlign w:val="center"/>
                </w:tcPr>
                <w:p>
                  <w:pPr>
                    <w:spacing w:line="320" w:lineRule="exact"/>
                    <w:rPr>
                      <w:rFonts w:hint="default" w:ascii="Times New Roman" w:hAnsi="Times New Roman" w:eastAsia="宋体" w:cs="Times New Roman"/>
                      <w:kern w:val="0"/>
                    </w:rPr>
                  </w:pPr>
                  <w:r>
                    <w:rPr>
                      <w:rFonts w:hint="eastAsia"/>
                      <w:color w:val="auto"/>
                      <w:sz w:val="21"/>
                      <w:szCs w:val="21"/>
                      <w:lang w:eastAsia="zh-CN"/>
                    </w:rPr>
                    <w:t>附属设施</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rFonts w:hint="eastAsia"/>
                      <w:color w:val="auto"/>
                      <w:sz w:val="21"/>
                      <w:szCs w:val="21"/>
                      <w:lang w:val="en-US" w:eastAsia="zh-CN"/>
                    </w:rPr>
                    <w:t>新建C30现浇水泥混凝土污水检查井(∅70</w:t>
                  </w:r>
                  <w:r>
                    <w:rPr>
                      <w:rFonts w:hint="eastAsia" w:ascii="Times New Roman" w:hAnsi="Times New Roman" w:eastAsia="宋体" w:cs="Times New Roman"/>
                      <w:color w:val="auto"/>
                      <w:sz w:val="21"/>
                      <w:szCs w:val="21"/>
                      <w:lang w:val="en-US" w:eastAsia="zh-CN"/>
                    </w:rPr>
                    <w:t>0)45座；新建4立方米钢筋混凝土化粪池4座。</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rFonts w:hint="eastAsia"/>
                      <w:color w:val="auto"/>
                      <w:sz w:val="21"/>
                      <w:szCs w:val="21"/>
                      <w:lang w:val="en-US" w:eastAsia="zh-CN"/>
                    </w:rPr>
                    <w:t>新建C30现浇水泥混凝土污水检查井(∅70</w:t>
                  </w:r>
                  <w:r>
                    <w:rPr>
                      <w:rFonts w:hint="eastAsia" w:ascii="Times New Roman" w:hAnsi="Times New Roman" w:eastAsia="宋体" w:cs="Times New Roman"/>
                      <w:color w:val="auto"/>
                      <w:sz w:val="21"/>
                      <w:szCs w:val="21"/>
                      <w:lang w:val="en-US" w:eastAsia="zh-CN"/>
                    </w:rPr>
                    <w:t>0)45座；新建4立方米钢筋混凝土化粪池4座。</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hint="default" w:ascii="Times New Roman" w:hAnsi="Times New Roman" w:eastAsia="宋体" w:cs="Times New Roman"/>
                      <w:kern w:val="0"/>
                    </w:rPr>
                  </w:pPr>
                  <w:r>
                    <w:rPr>
                      <w:color w:val="auto"/>
                      <w:sz w:val="21"/>
                      <w:szCs w:val="21"/>
                    </w:rPr>
                    <w:t>辅助工程</w:t>
                  </w: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施工便道</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color w:val="auto"/>
                      <w:sz w:val="21"/>
                      <w:szCs w:val="21"/>
                    </w:rPr>
                    <w:t>利用已建道路</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color w:val="auto"/>
                      <w:sz w:val="21"/>
                      <w:szCs w:val="21"/>
                    </w:rPr>
                    <w:t>利用已建道路</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default" w:ascii="Times New Roman" w:hAnsi="Times New Roman" w:eastAsia="宋体" w:cs="Times New Roman"/>
                      <w:kern w:val="0"/>
                    </w:rPr>
                  </w:pP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施工营地</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color w:val="auto"/>
                      <w:sz w:val="21"/>
                      <w:szCs w:val="21"/>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color w:val="auto"/>
                      <w:sz w:val="21"/>
                      <w:szCs w:val="21"/>
                    </w:rPr>
                    <w:t>不设集中施工营地，依托附近生活设施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default" w:ascii="Times New Roman" w:hAnsi="Times New Roman" w:eastAsia="宋体" w:cs="Times New Roman"/>
                      <w:kern w:val="0"/>
                    </w:rPr>
                  </w:pPr>
                </w:p>
              </w:tc>
              <w:tc>
                <w:tcPr>
                  <w:tcW w:w="381" w:type="pct"/>
                  <w:noWrap w:val="0"/>
                  <w:vAlign w:val="center"/>
                </w:tcPr>
                <w:p>
                  <w:pPr>
                    <w:spacing w:line="320" w:lineRule="exact"/>
                    <w:rPr>
                      <w:rFonts w:hint="default" w:ascii="Times New Roman" w:hAnsi="Times New Roman" w:eastAsia="宋体" w:cs="Times New Roman"/>
                      <w:kern w:val="0"/>
                    </w:rPr>
                  </w:pPr>
                  <w:r>
                    <w:rPr>
                      <w:rFonts w:hint="eastAsia"/>
                      <w:color w:val="auto"/>
                      <w:sz w:val="21"/>
                      <w:szCs w:val="21"/>
                      <w:lang w:eastAsia="zh-CN"/>
                    </w:rPr>
                    <w:t>道路修复</w:t>
                  </w:r>
                </w:p>
              </w:tc>
              <w:tc>
                <w:tcPr>
                  <w:tcW w:w="1694" w:type="pct"/>
                  <w:noWrap w:val="0"/>
                  <w:vAlign w:val="center"/>
                </w:tcPr>
                <w:p>
                  <w:pPr>
                    <w:adjustRightInd w:val="0"/>
                    <w:snapToGrid w:val="0"/>
                    <w:jc w:val="left"/>
                    <w:rPr>
                      <w:rFonts w:hint="eastAsia" w:ascii="Times New Roman" w:hAnsi="Times New Roman" w:eastAsia="宋体" w:cs="Times New Roman"/>
                      <w:kern w:val="0"/>
                      <w:lang w:eastAsia="zh-CN"/>
                    </w:rPr>
                  </w:pPr>
                  <w:r>
                    <w:rPr>
                      <w:rFonts w:hint="eastAsia"/>
                      <w:color w:val="auto"/>
                      <w:sz w:val="21"/>
                      <w:szCs w:val="21"/>
                      <w:lang w:val="en-US" w:eastAsia="zh-CN"/>
                    </w:rPr>
                    <w:t>水泥混凝土院坝破除及恢复704平方米；人行道、基层破除及恢复106平方米。</w:t>
                  </w:r>
                </w:p>
              </w:tc>
              <w:tc>
                <w:tcPr>
                  <w:tcW w:w="1694" w:type="pct"/>
                  <w:noWrap w:val="0"/>
                  <w:vAlign w:val="center"/>
                </w:tcPr>
                <w:p>
                  <w:pPr>
                    <w:adjustRightInd w:val="0"/>
                    <w:snapToGrid w:val="0"/>
                    <w:jc w:val="left"/>
                    <w:rPr>
                      <w:rFonts w:hint="eastAsia" w:ascii="Times New Roman" w:hAnsi="Times New Roman" w:eastAsia="宋体" w:cs="Times New Roman"/>
                      <w:kern w:val="0"/>
                      <w:sz w:val="21"/>
                      <w:lang w:val="en-US" w:eastAsia="zh-CN" w:bidi="ar-SA"/>
                    </w:rPr>
                  </w:pPr>
                  <w:r>
                    <w:rPr>
                      <w:rFonts w:hint="eastAsia"/>
                      <w:color w:val="auto"/>
                      <w:sz w:val="21"/>
                      <w:szCs w:val="21"/>
                      <w:lang w:val="en-US" w:eastAsia="zh-CN"/>
                    </w:rPr>
                    <w:t>水泥混凝土院坝破除及恢复704平方米；人行道、基层破除及恢复106平方米。</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hint="default" w:ascii="Times New Roman" w:hAnsi="Times New Roman" w:eastAsia="宋体" w:cs="Times New Roman"/>
                      <w:kern w:val="0"/>
                    </w:rPr>
                  </w:pPr>
                  <w:r>
                    <w:rPr>
                      <w:color w:val="auto"/>
                      <w:sz w:val="21"/>
                      <w:szCs w:val="21"/>
                    </w:rPr>
                    <w:t>环保工程</w:t>
                  </w: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废气</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rFonts w:hint="eastAsia"/>
                      <w:color w:val="auto"/>
                      <w:sz w:val="21"/>
                      <w:szCs w:val="21"/>
                    </w:rPr>
                    <w:t>施工期</w:t>
                  </w:r>
                  <w:r>
                    <w:rPr>
                      <w:color w:val="auto"/>
                      <w:sz w:val="21"/>
                      <w:szCs w:val="21"/>
                    </w:rPr>
                    <w:t>设置围挡、施工场地洒水</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rFonts w:hint="eastAsia"/>
                      <w:color w:val="auto"/>
                      <w:sz w:val="21"/>
                      <w:szCs w:val="21"/>
                    </w:rPr>
                    <w:t>施工期</w:t>
                  </w:r>
                  <w:r>
                    <w:rPr>
                      <w:color w:val="auto"/>
                      <w:sz w:val="21"/>
                      <w:szCs w:val="21"/>
                    </w:rPr>
                    <w:t>设置围挡、施工场地洒水</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default" w:ascii="Times New Roman" w:hAnsi="Times New Roman" w:eastAsia="宋体" w:cs="Times New Roman"/>
                      <w:kern w:val="0"/>
                    </w:rPr>
                  </w:pP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废水</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rFonts w:hint="eastAsia"/>
                      <w:color w:val="auto"/>
                      <w:sz w:val="21"/>
                      <w:szCs w:val="21"/>
                    </w:rPr>
                    <w:t>施工期</w:t>
                  </w:r>
                  <w:r>
                    <w:rPr>
                      <w:color w:val="auto"/>
                      <w:sz w:val="21"/>
                      <w:szCs w:val="21"/>
                    </w:rPr>
                    <w:t>生活污水依托附近生活污水收集处理设施</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rFonts w:hint="eastAsia"/>
                      <w:color w:val="auto"/>
                      <w:sz w:val="21"/>
                      <w:szCs w:val="21"/>
                    </w:rPr>
                    <w:t>施工期</w:t>
                  </w:r>
                  <w:r>
                    <w:rPr>
                      <w:color w:val="auto"/>
                      <w:sz w:val="21"/>
                      <w:szCs w:val="21"/>
                    </w:rPr>
                    <w:t>生活污水依托附近生活污水收集处理设施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default" w:ascii="Times New Roman" w:hAnsi="Times New Roman" w:eastAsia="宋体" w:cs="Times New Roman"/>
                      <w:kern w:val="0"/>
                    </w:rPr>
                  </w:pP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绿化</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default" w:ascii="Times New Roman" w:hAnsi="Times New Roman" w:eastAsia="宋体" w:cs="Times New Roman"/>
                      <w:kern w:val="0"/>
                    </w:rPr>
                  </w:pP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水土保持</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color w:val="auto"/>
                      <w:sz w:val="21"/>
                      <w:szCs w:val="21"/>
                    </w:rPr>
                    <w:t>边坡防护，水土流失治理工程</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color w:val="auto"/>
                      <w:sz w:val="21"/>
                      <w:szCs w:val="21"/>
                    </w:rPr>
                    <w:t>边坡防护，水土流失治理工程</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sz w:val="21"/>
                      <w:szCs w:val="21"/>
                    </w:rPr>
                  </w:pPr>
                  <w:r>
                    <w:rPr>
                      <w:rFonts w:hint="eastAsia" w:cs="Times New Roman"/>
                      <w:b/>
                      <w:bCs/>
                      <w:sz w:val="21"/>
                      <w:szCs w:val="21"/>
                      <w:lang w:eastAsia="zh-CN"/>
                    </w:rPr>
                    <w:t>高粱镇大碑场</w:t>
                  </w:r>
                  <w:r>
                    <w:rPr>
                      <w:rFonts w:hint="default" w:ascii="Times New Roman" w:hAnsi="Times New Roman" w:eastAsia="宋体" w:cs="Times New Roman"/>
                      <w:b/>
                      <w:bCs/>
                      <w:sz w:val="21"/>
                      <w:szCs w:val="21"/>
                      <w:lang w:eastAsia="zh-CN"/>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rFonts w:hint="default" w:ascii="Times New Roman" w:hAnsi="Times New Roman" w:eastAsia="宋体" w:cs="Times New Roman"/>
                      <w:kern w:val="0"/>
                    </w:rPr>
                  </w:pPr>
                  <w:r>
                    <w:rPr>
                      <w:color w:val="auto"/>
                      <w:sz w:val="21"/>
                      <w:szCs w:val="21"/>
                    </w:rPr>
                    <w:t>主体工程</w:t>
                  </w: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管网铺设</w:t>
                  </w:r>
                </w:p>
              </w:tc>
              <w:tc>
                <w:tcPr>
                  <w:tcW w:w="1694" w:type="pct"/>
                  <w:noWrap w:val="0"/>
                  <w:vAlign w:val="center"/>
                </w:tcPr>
                <w:p>
                  <w:pPr>
                    <w:rPr>
                      <w:rFonts w:hint="eastAsia" w:ascii="Times New Roman" w:hAnsi="Times New Roman" w:eastAsia="宋体" w:cs="Times New Roman"/>
                      <w:kern w:val="0"/>
                      <w:lang w:eastAsia="zh-CN"/>
                    </w:rPr>
                  </w:pPr>
                  <w:r>
                    <w:rPr>
                      <w:rFonts w:hint="eastAsia"/>
                      <w:color w:val="auto"/>
                      <w:sz w:val="21"/>
                      <w:szCs w:val="21"/>
                      <w:lang w:val="en-US" w:eastAsia="zh-CN"/>
                    </w:rPr>
                    <w:t>本项目补充建设污水管网约1800米。其中：HDPE 双壁波纹管（DN300）300米，∅200×4.9埋地排污、排水硬聚氯乙烯（PVC-U）三级入户管1500米</w:t>
                  </w:r>
                </w:p>
              </w:tc>
              <w:tc>
                <w:tcPr>
                  <w:tcW w:w="1694" w:type="pct"/>
                  <w:noWrap w:val="0"/>
                  <w:vAlign w:val="center"/>
                </w:tcPr>
                <w:p>
                  <w:pPr>
                    <w:rPr>
                      <w:rFonts w:hint="eastAsia" w:ascii="Times New Roman" w:hAnsi="Times New Roman" w:eastAsia="宋体" w:cs="Times New Roman"/>
                      <w:kern w:val="0"/>
                      <w:sz w:val="21"/>
                      <w:lang w:val="en-US" w:eastAsia="zh-CN" w:bidi="ar-SA"/>
                    </w:rPr>
                  </w:pPr>
                  <w:r>
                    <w:rPr>
                      <w:rFonts w:hint="eastAsia"/>
                      <w:color w:val="auto"/>
                      <w:sz w:val="21"/>
                      <w:szCs w:val="21"/>
                      <w:lang w:val="en-US" w:eastAsia="zh-CN"/>
                    </w:rPr>
                    <w:t>本项目补充建设污水管网约1800米。其中：HDPE 双壁波纹管（DN300）300米，∅200×4.9埋地排污、排水硬聚氯乙烯（PVC-U）三级入户管1500米</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rFonts w:hint="default" w:ascii="Times New Roman" w:hAnsi="Times New Roman" w:eastAsia="宋体" w:cs="Times New Roman"/>
                      <w:kern w:val="0"/>
                    </w:rPr>
                  </w:pPr>
                  <w:r>
                    <w:rPr>
                      <w:color w:val="auto"/>
                      <w:sz w:val="21"/>
                      <w:szCs w:val="21"/>
                    </w:rPr>
                    <w:t>附属工程</w:t>
                  </w:r>
                </w:p>
              </w:tc>
              <w:tc>
                <w:tcPr>
                  <w:tcW w:w="381" w:type="pct"/>
                  <w:noWrap w:val="0"/>
                  <w:vAlign w:val="center"/>
                </w:tcPr>
                <w:p>
                  <w:pPr>
                    <w:spacing w:line="320" w:lineRule="exact"/>
                    <w:rPr>
                      <w:rFonts w:hint="default" w:ascii="Times New Roman" w:hAnsi="Times New Roman" w:eastAsia="宋体" w:cs="Times New Roman"/>
                      <w:kern w:val="0"/>
                    </w:rPr>
                  </w:pPr>
                  <w:r>
                    <w:rPr>
                      <w:rFonts w:hint="eastAsia"/>
                      <w:color w:val="auto"/>
                      <w:sz w:val="21"/>
                      <w:szCs w:val="21"/>
                      <w:lang w:eastAsia="zh-CN"/>
                    </w:rPr>
                    <w:t>附属设施</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rFonts w:hint="eastAsia"/>
                      <w:color w:val="auto"/>
                      <w:sz w:val="21"/>
                      <w:szCs w:val="21"/>
                      <w:lang w:val="en-US" w:eastAsia="zh-CN"/>
                    </w:rPr>
                    <w:t>新建现浇水泥混凝土污水检查井3</w:t>
                  </w:r>
                  <w:r>
                    <w:rPr>
                      <w:rFonts w:hint="eastAsia" w:ascii="Times New Roman" w:hAnsi="Times New Roman" w:eastAsia="宋体" w:cs="Times New Roman"/>
                      <w:color w:val="auto"/>
                      <w:sz w:val="21"/>
                      <w:szCs w:val="21"/>
                      <w:lang w:val="en-US" w:eastAsia="zh-CN"/>
                    </w:rPr>
                    <w:t>座；</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rFonts w:hint="eastAsia"/>
                      <w:color w:val="auto"/>
                      <w:sz w:val="21"/>
                      <w:szCs w:val="21"/>
                      <w:lang w:val="en-US" w:eastAsia="zh-CN"/>
                    </w:rPr>
                    <w:t>新建现浇水泥混凝土污水检查井3</w:t>
                  </w:r>
                  <w:r>
                    <w:rPr>
                      <w:rFonts w:hint="eastAsia" w:ascii="Times New Roman" w:hAnsi="Times New Roman" w:eastAsia="宋体" w:cs="Times New Roman"/>
                      <w:color w:val="auto"/>
                      <w:sz w:val="21"/>
                      <w:szCs w:val="21"/>
                      <w:lang w:val="en-US" w:eastAsia="zh-CN"/>
                    </w:rPr>
                    <w:t>座；</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hint="default" w:ascii="Times New Roman" w:hAnsi="Times New Roman" w:eastAsia="宋体" w:cs="Times New Roman"/>
                      <w:kern w:val="0"/>
                    </w:rPr>
                  </w:pPr>
                  <w:r>
                    <w:rPr>
                      <w:color w:val="auto"/>
                      <w:sz w:val="21"/>
                      <w:szCs w:val="21"/>
                    </w:rPr>
                    <w:t>辅助工程</w:t>
                  </w: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施工便道</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color w:val="auto"/>
                      <w:sz w:val="21"/>
                      <w:szCs w:val="21"/>
                    </w:rPr>
                    <w:t>利用已建道路</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color w:val="auto"/>
                      <w:sz w:val="21"/>
                      <w:szCs w:val="21"/>
                    </w:rPr>
                    <w:t>利用已建道路</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default" w:ascii="Times New Roman" w:hAnsi="Times New Roman" w:eastAsia="宋体" w:cs="Times New Roman"/>
                      <w:kern w:val="0"/>
                    </w:rPr>
                  </w:pP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施工营地</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color w:val="auto"/>
                      <w:sz w:val="21"/>
                      <w:szCs w:val="21"/>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color w:val="auto"/>
                      <w:sz w:val="21"/>
                      <w:szCs w:val="21"/>
                    </w:rPr>
                    <w:t>不设集中施工营地，依托附近生活设施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hint="default" w:ascii="Times New Roman" w:hAnsi="Times New Roman" w:eastAsia="宋体" w:cs="Times New Roman"/>
                      <w:kern w:val="0"/>
                    </w:rPr>
                  </w:pPr>
                  <w:r>
                    <w:rPr>
                      <w:color w:val="auto"/>
                      <w:sz w:val="21"/>
                      <w:szCs w:val="21"/>
                    </w:rPr>
                    <w:t>环保工程</w:t>
                  </w: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废气</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rFonts w:hint="eastAsia"/>
                      <w:color w:val="auto"/>
                      <w:sz w:val="21"/>
                      <w:szCs w:val="21"/>
                    </w:rPr>
                    <w:t>施工期</w:t>
                  </w:r>
                  <w:r>
                    <w:rPr>
                      <w:color w:val="auto"/>
                      <w:sz w:val="21"/>
                      <w:szCs w:val="21"/>
                    </w:rPr>
                    <w:t>设置围挡、施工场地洒水</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rFonts w:hint="eastAsia"/>
                      <w:color w:val="auto"/>
                      <w:sz w:val="21"/>
                      <w:szCs w:val="21"/>
                    </w:rPr>
                    <w:t>施工期</w:t>
                  </w:r>
                  <w:r>
                    <w:rPr>
                      <w:color w:val="auto"/>
                      <w:sz w:val="21"/>
                      <w:szCs w:val="21"/>
                    </w:rPr>
                    <w:t>设置围挡、施工场地洒水</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default" w:ascii="Times New Roman" w:hAnsi="Times New Roman" w:eastAsia="宋体" w:cs="Times New Roman"/>
                      <w:kern w:val="0"/>
                    </w:rPr>
                  </w:pP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废水</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rFonts w:hint="eastAsia"/>
                      <w:color w:val="auto"/>
                      <w:sz w:val="21"/>
                      <w:szCs w:val="21"/>
                    </w:rPr>
                    <w:t>施工期</w:t>
                  </w:r>
                  <w:r>
                    <w:rPr>
                      <w:color w:val="auto"/>
                      <w:sz w:val="21"/>
                      <w:szCs w:val="21"/>
                    </w:rPr>
                    <w:t>生活污水依托附近生活污水收集处理设施</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rFonts w:hint="eastAsia"/>
                      <w:color w:val="auto"/>
                      <w:sz w:val="21"/>
                      <w:szCs w:val="21"/>
                    </w:rPr>
                    <w:t>施工期</w:t>
                  </w:r>
                  <w:r>
                    <w:rPr>
                      <w:color w:val="auto"/>
                      <w:sz w:val="21"/>
                      <w:szCs w:val="21"/>
                    </w:rPr>
                    <w:t>生活污水依托附近生活污水收集处理设施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default" w:ascii="Times New Roman" w:hAnsi="Times New Roman" w:eastAsia="宋体" w:cs="Times New Roman"/>
                      <w:kern w:val="0"/>
                    </w:rPr>
                  </w:pP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绿化</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default" w:ascii="Times New Roman" w:hAnsi="Times New Roman" w:eastAsia="宋体" w:cs="Times New Roman"/>
                      <w:kern w:val="0"/>
                    </w:rPr>
                  </w:pP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水土保持</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color w:val="auto"/>
                      <w:sz w:val="21"/>
                      <w:szCs w:val="21"/>
                    </w:rPr>
                    <w:t>边坡防护，水土流失治理工程</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color w:val="auto"/>
                      <w:sz w:val="21"/>
                      <w:szCs w:val="21"/>
                    </w:rPr>
                    <w:t>边坡防护，水土流失治理工程</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sz w:val="21"/>
                      <w:szCs w:val="21"/>
                    </w:rPr>
                  </w:pPr>
                  <w:r>
                    <w:rPr>
                      <w:rFonts w:hint="eastAsia" w:cs="Times New Roman"/>
                      <w:b/>
                      <w:bCs/>
                      <w:color w:val="auto"/>
                      <w:sz w:val="21"/>
                      <w:szCs w:val="21"/>
                      <w:lang w:val="en-US" w:eastAsia="zh-CN"/>
                    </w:rPr>
                    <w:t>高粱镇葵花场</w:t>
                  </w:r>
                  <w:r>
                    <w:rPr>
                      <w:rFonts w:hint="default" w:ascii="Times New Roman" w:hAnsi="Times New Roman" w:eastAsia="宋体" w:cs="Times New Roman"/>
                      <w:b/>
                      <w:bCs/>
                      <w:color w:val="auto"/>
                      <w:sz w:val="21"/>
                      <w:szCs w:val="21"/>
                      <w:lang w:val="en-US" w:eastAsia="zh-CN"/>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rFonts w:hint="default" w:ascii="Times New Roman" w:hAnsi="Times New Roman" w:eastAsia="宋体" w:cs="Times New Roman"/>
                      <w:kern w:val="0"/>
                    </w:rPr>
                  </w:pPr>
                  <w:r>
                    <w:rPr>
                      <w:color w:val="auto"/>
                      <w:sz w:val="21"/>
                      <w:szCs w:val="21"/>
                    </w:rPr>
                    <w:t>主体工程</w:t>
                  </w: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管网铺设</w:t>
                  </w:r>
                </w:p>
              </w:tc>
              <w:tc>
                <w:tcPr>
                  <w:tcW w:w="1694" w:type="pct"/>
                  <w:noWrap w:val="0"/>
                  <w:vAlign w:val="center"/>
                </w:tcPr>
                <w:p>
                  <w:pPr>
                    <w:rPr>
                      <w:rFonts w:hint="eastAsia" w:ascii="Times New Roman" w:hAnsi="Times New Roman" w:eastAsia="宋体" w:cs="Times New Roman"/>
                      <w:kern w:val="0"/>
                      <w:lang w:eastAsia="zh-CN"/>
                    </w:rPr>
                  </w:pPr>
                  <w:r>
                    <w:rPr>
                      <w:rFonts w:hint="eastAsia"/>
                      <w:color w:val="auto"/>
                      <w:sz w:val="21"/>
                      <w:szCs w:val="21"/>
                      <w:lang w:val="en-US" w:eastAsia="zh-CN"/>
                    </w:rPr>
                    <w:t>本项目补充建设污水管网约3900米。其中：HDPE 双壁波纹管（DN300）1000米，D325*8涂复合钢管900米，∅200×4.9埋地排污、排水硬聚氯乙烯（PVC-U）三级入户管2000米</w:t>
                  </w:r>
                </w:p>
              </w:tc>
              <w:tc>
                <w:tcPr>
                  <w:tcW w:w="1694" w:type="pct"/>
                  <w:noWrap w:val="0"/>
                  <w:vAlign w:val="center"/>
                </w:tcPr>
                <w:p>
                  <w:pPr>
                    <w:rPr>
                      <w:rFonts w:hint="eastAsia" w:ascii="Times New Roman" w:hAnsi="Times New Roman" w:eastAsia="宋体" w:cs="Times New Roman"/>
                      <w:kern w:val="0"/>
                      <w:sz w:val="21"/>
                      <w:lang w:val="en-US" w:eastAsia="zh-CN" w:bidi="ar-SA"/>
                    </w:rPr>
                  </w:pPr>
                  <w:r>
                    <w:rPr>
                      <w:rFonts w:hint="eastAsia"/>
                      <w:color w:val="auto"/>
                      <w:sz w:val="21"/>
                      <w:szCs w:val="21"/>
                      <w:lang w:val="en-US" w:eastAsia="zh-CN"/>
                    </w:rPr>
                    <w:t>本项目补充建设污水管网约3900米。其中：HDPE 双壁波纹管（DN300）1000米，D325*8涂复合钢管900米，∅200×4.9埋地排污、排水硬聚氯乙烯（PVC-U）三级入户管2000米</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rFonts w:hint="default" w:ascii="Times New Roman" w:hAnsi="Times New Roman" w:eastAsia="宋体" w:cs="Times New Roman"/>
                      <w:kern w:val="0"/>
                    </w:rPr>
                  </w:pPr>
                  <w:r>
                    <w:rPr>
                      <w:color w:val="auto"/>
                      <w:sz w:val="21"/>
                      <w:szCs w:val="21"/>
                    </w:rPr>
                    <w:t>附属工程</w:t>
                  </w:r>
                </w:p>
              </w:tc>
              <w:tc>
                <w:tcPr>
                  <w:tcW w:w="381" w:type="pct"/>
                  <w:noWrap w:val="0"/>
                  <w:vAlign w:val="center"/>
                </w:tcPr>
                <w:p>
                  <w:pPr>
                    <w:spacing w:line="320" w:lineRule="exact"/>
                    <w:rPr>
                      <w:rFonts w:hint="default" w:ascii="Times New Roman" w:hAnsi="Times New Roman" w:eastAsia="宋体" w:cs="Times New Roman"/>
                      <w:kern w:val="0"/>
                    </w:rPr>
                  </w:pPr>
                  <w:r>
                    <w:rPr>
                      <w:rFonts w:hint="eastAsia"/>
                      <w:color w:val="auto"/>
                      <w:sz w:val="21"/>
                      <w:szCs w:val="21"/>
                      <w:lang w:eastAsia="zh-CN"/>
                    </w:rPr>
                    <w:t>附属设施</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rFonts w:hint="eastAsia"/>
                      <w:color w:val="auto"/>
                      <w:sz w:val="21"/>
                      <w:szCs w:val="21"/>
                      <w:lang w:val="en-US" w:eastAsia="zh-CN"/>
                    </w:rPr>
                    <w:t>新建现浇水泥混凝土污水检查井8</w:t>
                  </w:r>
                  <w:r>
                    <w:rPr>
                      <w:rFonts w:hint="eastAsia" w:ascii="Times New Roman" w:hAnsi="Times New Roman" w:eastAsia="宋体" w:cs="Times New Roman"/>
                      <w:color w:val="auto"/>
                      <w:sz w:val="21"/>
                      <w:szCs w:val="21"/>
                      <w:lang w:val="en-US" w:eastAsia="zh-CN"/>
                    </w:rPr>
                    <w:t>座；</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rFonts w:hint="eastAsia"/>
                      <w:color w:val="auto"/>
                      <w:sz w:val="21"/>
                      <w:szCs w:val="21"/>
                      <w:lang w:val="en-US" w:eastAsia="zh-CN"/>
                    </w:rPr>
                    <w:t>新建现浇水泥混凝土污水检查井8</w:t>
                  </w:r>
                  <w:r>
                    <w:rPr>
                      <w:rFonts w:hint="eastAsia" w:ascii="Times New Roman" w:hAnsi="Times New Roman" w:eastAsia="宋体" w:cs="Times New Roman"/>
                      <w:color w:val="auto"/>
                      <w:sz w:val="21"/>
                      <w:szCs w:val="21"/>
                      <w:lang w:val="en-US" w:eastAsia="zh-CN"/>
                    </w:rPr>
                    <w:t>座；</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color w:val="auto"/>
                      <w:sz w:val="21"/>
                      <w:szCs w:val="21"/>
                    </w:rPr>
                  </w:pPr>
                  <w:r>
                    <w:rPr>
                      <w:color w:val="auto"/>
                      <w:sz w:val="21"/>
                      <w:szCs w:val="21"/>
                    </w:rPr>
                    <w:t>辅助工程</w:t>
                  </w:r>
                </w:p>
              </w:tc>
              <w:tc>
                <w:tcPr>
                  <w:tcW w:w="381" w:type="pct"/>
                  <w:noWrap w:val="0"/>
                  <w:vAlign w:val="center"/>
                </w:tcPr>
                <w:p>
                  <w:pPr>
                    <w:spacing w:line="320" w:lineRule="exact"/>
                    <w:rPr>
                      <w:color w:val="auto"/>
                      <w:sz w:val="21"/>
                      <w:szCs w:val="21"/>
                    </w:rPr>
                  </w:pPr>
                  <w:r>
                    <w:rPr>
                      <w:color w:val="auto"/>
                      <w:sz w:val="21"/>
                      <w:szCs w:val="21"/>
                    </w:rPr>
                    <w:t>施工便道</w:t>
                  </w:r>
                </w:p>
              </w:tc>
              <w:tc>
                <w:tcPr>
                  <w:tcW w:w="1694" w:type="pct"/>
                  <w:noWrap w:val="0"/>
                  <w:vAlign w:val="center"/>
                </w:tcPr>
                <w:p>
                  <w:pPr>
                    <w:spacing w:line="320" w:lineRule="exact"/>
                    <w:rPr>
                      <w:color w:val="auto"/>
                      <w:sz w:val="21"/>
                      <w:szCs w:val="21"/>
                    </w:rPr>
                  </w:pPr>
                  <w:r>
                    <w:rPr>
                      <w:color w:val="auto"/>
                      <w:sz w:val="21"/>
                      <w:szCs w:val="21"/>
                    </w:rPr>
                    <w:t>利用已建道路</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color w:val="auto"/>
                      <w:sz w:val="21"/>
                      <w:szCs w:val="21"/>
                    </w:rPr>
                    <w:t>利用已建道路</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施工营地</w:t>
                  </w:r>
                </w:p>
              </w:tc>
              <w:tc>
                <w:tcPr>
                  <w:tcW w:w="1694" w:type="pct"/>
                  <w:noWrap w:val="0"/>
                  <w:vAlign w:val="center"/>
                </w:tcPr>
                <w:p>
                  <w:pPr>
                    <w:spacing w:line="320" w:lineRule="exact"/>
                    <w:rPr>
                      <w:color w:val="auto"/>
                      <w:sz w:val="21"/>
                      <w:szCs w:val="21"/>
                    </w:rPr>
                  </w:pPr>
                  <w:r>
                    <w:rPr>
                      <w:color w:val="auto"/>
                      <w:sz w:val="21"/>
                      <w:szCs w:val="21"/>
                    </w:rPr>
                    <w:t>不设集中施工营地，依托附近生活设施</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color w:val="auto"/>
                      <w:sz w:val="21"/>
                      <w:szCs w:val="21"/>
                    </w:rPr>
                    <w:t>不设集中施工营地，依托附近生活设施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color w:val="auto"/>
                      <w:sz w:val="21"/>
                      <w:szCs w:val="21"/>
                    </w:rPr>
                  </w:pPr>
                  <w:r>
                    <w:rPr>
                      <w:color w:val="auto"/>
                      <w:sz w:val="21"/>
                      <w:szCs w:val="21"/>
                    </w:rPr>
                    <w:t>环保工程</w:t>
                  </w:r>
                </w:p>
              </w:tc>
              <w:tc>
                <w:tcPr>
                  <w:tcW w:w="381" w:type="pct"/>
                  <w:noWrap w:val="0"/>
                  <w:vAlign w:val="center"/>
                </w:tcPr>
                <w:p>
                  <w:pPr>
                    <w:spacing w:line="320" w:lineRule="exact"/>
                    <w:rPr>
                      <w:color w:val="auto"/>
                      <w:sz w:val="21"/>
                      <w:szCs w:val="21"/>
                    </w:rPr>
                  </w:pPr>
                  <w:r>
                    <w:rPr>
                      <w:color w:val="auto"/>
                      <w:sz w:val="21"/>
                      <w:szCs w:val="21"/>
                    </w:rPr>
                    <w:t>废气</w:t>
                  </w:r>
                </w:p>
              </w:tc>
              <w:tc>
                <w:tcPr>
                  <w:tcW w:w="1694" w:type="pct"/>
                  <w:noWrap w:val="0"/>
                  <w:vAlign w:val="center"/>
                </w:tcPr>
                <w:p>
                  <w:pPr>
                    <w:spacing w:line="320" w:lineRule="exact"/>
                    <w:rPr>
                      <w:color w:val="auto"/>
                      <w:sz w:val="21"/>
                      <w:szCs w:val="21"/>
                    </w:rPr>
                  </w:pPr>
                  <w:r>
                    <w:rPr>
                      <w:rFonts w:hint="eastAsia"/>
                      <w:color w:val="auto"/>
                      <w:sz w:val="21"/>
                      <w:szCs w:val="21"/>
                    </w:rPr>
                    <w:t>施工期</w:t>
                  </w:r>
                  <w:r>
                    <w:rPr>
                      <w:color w:val="auto"/>
                      <w:sz w:val="21"/>
                      <w:szCs w:val="21"/>
                    </w:rPr>
                    <w:t>设置围挡、施工场地洒水</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rFonts w:hint="eastAsia"/>
                      <w:color w:val="auto"/>
                      <w:sz w:val="21"/>
                      <w:szCs w:val="21"/>
                    </w:rPr>
                    <w:t>施工期</w:t>
                  </w:r>
                  <w:r>
                    <w:rPr>
                      <w:color w:val="auto"/>
                      <w:sz w:val="21"/>
                      <w:szCs w:val="21"/>
                    </w:rPr>
                    <w:t>设置围挡、施工场地洒水</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废水</w:t>
                  </w:r>
                </w:p>
              </w:tc>
              <w:tc>
                <w:tcPr>
                  <w:tcW w:w="1694" w:type="pct"/>
                  <w:noWrap w:val="0"/>
                  <w:vAlign w:val="center"/>
                </w:tcPr>
                <w:p>
                  <w:pPr>
                    <w:spacing w:line="320" w:lineRule="exact"/>
                    <w:rPr>
                      <w:color w:val="auto"/>
                      <w:sz w:val="21"/>
                      <w:szCs w:val="21"/>
                    </w:rPr>
                  </w:pPr>
                  <w:r>
                    <w:rPr>
                      <w:rFonts w:hint="eastAsia"/>
                      <w:color w:val="auto"/>
                      <w:sz w:val="21"/>
                      <w:szCs w:val="21"/>
                    </w:rPr>
                    <w:t>施工期</w:t>
                  </w:r>
                  <w:r>
                    <w:rPr>
                      <w:color w:val="auto"/>
                      <w:sz w:val="21"/>
                      <w:szCs w:val="21"/>
                    </w:rPr>
                    <w:t>生活污水依托附近生活污水收集处理设施</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rFonts w:hint="eastAsia"/>
                      <w:color w:val="auto"/>
                      <w:sz w:val="21"/>
                      <w:szCs w:val="21"/>
                    </w:rPr>
                    <w:t>施工期</w:t>
                  </w:r>
                  <w:r>
                    <w:rPr>
                      <w:color w:val="auto"/>
                      <w:sz w:val="21"/>
                      <w:szCs w:val="21"/>
                    </w:rPr>
                    <w:t>生活污水依托附近生活污水收集处理设施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绿化</w:t>
                  </w:r>
                </w:p>
              </w:tc>
              <w:tc>
                <w:tcPr>
                  <w:tcW w:w="1694" w:type="pct"/>
                  <w:noWrap w:val="0"/>
                  <w:vAlign w:val="center"/>
                </w:tcPr>
                <w:p>
                  <w:pPr>
                    <w:spacing w:line="320" w:lineRule="exact"/>
                    <w:rPr>
                      <w:color w:val="auto"/>
                      <w:sz w:val="21"/>
                      <w:szCs w:val="21"/>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水土保持</w:t>
                  </w:r>
                </w:p>
              </w:tc>
              <w:tc>
                <w:tcPr>
                  <w:tcW w:w="1694" w:type="pct"/>
                  <w:noWrap w:val="0"/>
                  <w:vAlign w:val="center"/>
                </w:tcPr>
                <w:p>
                  <w:pPr>
                    <w:spacing w:line="320" w:lineRule="exact"/>
                    <w:rPr>
                      <w:color w:val="auto"/>
                      <w:sz w:val="21"/>
                      <w:szCs w:val="21"/>
                    </w:rPr>
                  </w:pPr>
                  <w:r>
                    <w:rPr>
                      <w:color w:val="auto"/>
                      <w:sz w:val="21"/>
                      <w:szCs w:val="21"/>
                    </w:rPr>
                    <w:t>边坡防护，水土流失治理工程</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color w:val="auto"/>
                      <w:sz w:val="21"/>
                      <w:szCs w:val="21"/>
                    </w:rPr>
                    <w:t>边坡防护，水土流失治理工程</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sz w:val="72"/>
                      <w:szCs w:val="72"/>
                    </w:rPr>
                  </w:pPr>
                  <w:r>
                    <w:rPr>
                      <w:rFonts w:hint="eastAsia" w:cs="Times New Roman"/>
                      <w:b/>
                      <w:bCs/>
                      <w:sz w:val="21"/>
                      <w:szCs w:val="21"/>
                      <w:lang w:eastAsia="zh-CN"/>
                    </w:rPr>
                    <w:t>天城镇付沟场</w:t>
                  </w:r>
                  <w:r>
                    <w:rPr>
                      <w:rFonts w:hint="default" w:ascii="Times New Roman" w:hAnsi="Times New Roman" w:eastAsia="宋体" w:cs="Times New Roman"/>
                      <w:b/>
                      <w:bCs/>
                      <w:sz w:val="21"/>
                      <w:szCs w:val="21"/>
                      <w:lang w:eastAsia="zh-CN"/>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color w:val="auto"/>
                      <w:sz w:val="21"/>
                      <w:szCs w:val="21"/>
                    </w:rPr>
                  </w:pPr>
                  <w:r>
                    <w:rPr>
                      <w:color w:val="auto"/>
                      <w:sz w:val="21"/>
                      <w:szCs w:val="21"/>
                    </w:rPr>
                    <w:t>主体工程</w:t>
                  </w:r>
                </w:p>
              </w:tc>
              <w:tc>
                <w:tcPr>
                  <w:tcW w:w="381" w:type="pct"/>
                  <w:noWrap w:val="0"/>
                  <w:vAlign w:val="center"/>
                </w:tcPr>
                <w:p>
                  <w:pPr>
                    <w:spacing w:line="320" w:lineRule="exact"/>
                    <w:rPr>
                      <w:color w:val="auto"/>
                      <w:sz w:val="21"/>
                      <w:szCs w:val="21"/>
                    </w:rPr>
                  </w:pPr>
                  <w:r>
                    <w:rPr>
                      <w:color w:val="auto"/>
                      <w:sz w:val="21"/>
                      <w:szCs w:val="21"/>
                    </w:rPr>
                    <w:t>管网铺设</w:t>
                  </w:r>
                </w:p>
              </w:tc>
              <w:tc>
                <w:tcPr>
                  <w:tcW w:w="1694" w:type="pct"/>
                  <w:noWrap w:val="0"/>
                  <w:vAlign w:val="center"/>
                </w:tcPr>
                <w:p>
                  <w:pPr>
                    <w:rPr>
                      <w:color w:val="auto"/>
                      <w:sz w:val="21"/>
                      <w:szCs w:val="21"/>
                    </w:rPr>
                  </w:pPr>
                  <w:r>
                    <w:rPr>
                      <w:rFonts w:hint="eastAsia"/>
                      <w:color w:val="auto"/>
                      <w:sz w:val="21"/>
                      <w:szCs w:val="21"/>
                      <w:lang w:val="en-US" w:eastAsia="zh-CN"/>
                    </w:rPr>
                    <w:t>本项目补充建设污水管网32202米。其中：HDPE 双壁波纹管（DN300）400米，D426×10涂塑复合钢管500米；D325×8涂塑复合钢管100米，D219×6涂塑复合钢管50米；∅200×4.9埋地排污、排水硬聚氯乙烯（PVC-U）三级入户管2000米</w:t>
                  </w:r>
                </w:p>
              </w:tc>
              <w:tc>
                <w:tcPr>
                  <w:tcW w:w="1694" w:type="pct"/>
                  <w:noWrap w:val="0"/>
                  <w:vAlign w:val="center"/>
                </w:tcPr>
                <w:p>
                  <w:pP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本项目补充建设污水管网32202米。其中：HDPE 双壁波纹管（DN300）400米，D426×10涂塑复合钢管500米；D325×8涂塑复合钢管100米，D219×6涂塑复合钢管50米；∅200×4.9埋地排污、排水硬聚氯乙烯（PVC-U）三级入户管2000米</w:t>
                  </w:r>
                </w:p>
              </w:tc>
              <w:tc>
                <w:tcPr>
                  <w:tcW w:w="99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color w:val="auto"/>
                      <w:sz w:val="21"/>
                      <w:szCs w:val="21"/>
                    </w:rPr>
                  </w:pPr>
                  <w:r>
                    <w:rPr>
                      <w:color w:val="auto"/>
                      <w:sz w:val="21"/>
                      <w:szCs w:val="21"/>
                    </w:rPr>
                    <w:t>附属工程</w:t>
                  </w:r>
                </w:p>
              </w:tc>
              <w:tc>
                <w:tcPr>
                  <w:tcW w:w="381" w:type="pct"/>
                  <w:noWrap w:val="0"/>
                  <w:vAlign w:val="center"/>
                </w:tcPr>
                <w:p>
                  <w:pPr>
                    <w:spacing w:line="320" w:lineRule="exact"/>
                    <w:rPr>
                      <w:color w:val="auto"/>
                      <w:sz w:val="21"/>
                      <w:szCs w:val="21"/>
                    </w:rPr>
                  </w:pPr>
                  <w:r>
                    <w:rPr>
                      <w:rFonts w:hint="eastAsia"/>
                      <w:color w:val="auto"/>
                      <w:sz w:val="21"/>
                      <w:szCs w:val="21"/>
                      <w:lang w:eastAsia="zh-CN"/>
                    </w:rPr>
                    <w:t>附属设施</w:t>
                  </w:r>
                </w:p>
              </w:tc>
              <w:tc>
                <w:tcPr>
                  <w:tcW w:w="1694" w:type="pct"/>
                  <w:noWrap w:val="0"/>
                  <w:vAlign w:val="center"/>
                </w:tcPr>
                <w:p>
                  <w:pPr>
                    <w:spacing w:line="320" w:lineRule="exact"/>
                    <w:rPr>
                      <w:color w:val="auto"/>
                      <w:sz w:val="21"/>
                      <w:szCs w:val="21"/>
                    </w:rPr>
                  </w:pPr>
                  <w:r>
                    <w:rPr>
                      <w:rFonts w:hint="eastAsia"/>
                      <w:color w:val="auto"/>
                      <w:sz w:val="21"/>
                      <w:szCs w:val="21"/>
                      <w:lang w:val="en-US" w:eastAsia="zh-CN"/>
                    </w:rPr>
                    <w:t>新建现浇水泥混凝土污水检查井5</w:t>
                  </w:r>
                  <w:r>
                    <w:rPr>
                      <w:rFonts w:hint="eastAsia" w:ascii="Times New Roman" w:hAnsi="Times New Roman" w:eastAsia="宋体" w:cs="Times New Roman"/>
                      <w:color w:val="auto"/>
                      <w:sz w:val="21"/>
                      <w:szCs w:val="21"/>
                      <w:lang w:val="en-US" w:eastAsia="zh-CN"/>
                    </w:rPr>
                    <w:t>座；</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新建现浇水泥混凝土污水检查井5</w:t>
                  </w:r>
                  <w:r>
                    <w:rPr>
                      <w:rFonts w:hint="eastAsia" w:ascii="Times New Roman" w:hAnsi="Times New Roman" w:eastAsia="宋体" w:cs="Times New Roman"/>
                      <w:color w:val="auto"/>
                      <w:sz w:val="21"/>
                      <w:szCs w:val="21"/>
                      <w:lang w:val="en-US" w:eastAsia="zh-CN"/>
                    </w:rPr>
                    <w:t>座；</w:t>
                  </w:r>
                </w:p>
              </w:tc>
              <w:tc>
                <w:tcPr>
                  <w:tcW w:w="99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color w:val="auto"/>
                      <w:sz w:val="21"/>
                      <w:szCs w:val="21"/>
                    </w:rPr>
                  </w:pPr>
                  <w:r>
                    <w:rPr>
                      <w:color w:val="auto"/>
                      <w:sz w:val="21"/>
                      <w:szCs w:val="21"/>
                    </w:rPr>
                    <w:t>辅助工程</w:t>
                  </w:r>
                </w:p>
              </w:tc>
              <w:tc>
                <w:tcPr>
                  <w:tcW w:w="381" w:type="pct"/>
                  <w:noWrap w:val="0"/>
                  <w:vAlign w:val="center"/>
                </w:tcPr>
                <w:p>
                  <w:pPr>
                    <w:spacing w:line="320" w:lineRule="exact"/>
                    <w:rPr>
                      <w:color w:val="auto"/>
                      <w:sz w:val="21"/>
                      <w:szCs w:val="21"/>
                    </w:rPr>
                  </w:pPr>
                  <w:r>
                    <w:rPr>
                      <w:color w:val="auto"/>
                      <w:sz w:val="21"/>
                      <w:szCs w:val="21"/>
                    </w:rPr>
                    <w:t>施工便道</w:t>
                  </w:r>
                </w:p>
              </w:tc>
              <w:tc>
                <w:tcPr>
                  <w:tcW w:w="1694" w:type="pct"/>
                  <w:noWrap w:val="0"/>
                  <w:vAlign w:val="center"/>
                </w:tcPr>
                <w:p>
                  <w:pPr>
                    <w:spacing w:line="320" w:lineRule="exact"/>
                    <w:rPr>
                      <w:color w:val="auto"/>
                      <w:sz w:val="21"/>
                      <w:szCs w:val="21"/>
                    </w:rPr>
                  </w:pPr>
                  <w:r>
                    <w:rPr>
                      <w:color w:val="auto"/>
                      <w:sz w:val="21"/>
                      <w:szCs w:val="21"/>
                    </w:rPr>
                    <w:t>利用已建道路</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color w:val="auto"/>
                      <w:sz w:val="21"/>
                      <w:szCs w:val="21"/>
                    </w:rPr>
                    <w:t>利用已建道路</w:t>
                  </w:r>
                </w:p>
              </w:tc>
              <w:tc>
                <w:tcPr>
                  <w:tcW w:w="99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施工营地</w:t>
                  </w:r>
                </w:p>
              </w:tc>
              <w:tc>
                <w:tcPr>
                  <w:tcW w:w="1694" w:type="pct"/>
                  <w:noWrap w:val="0"/>
                  <w:vAlign w:val="center"/>
                </w:tcPr>
                <w:p>
                  <w:pPr>
                    <w:spacing w:line="320" w:lineRule="exact"/>
                    <w:rPr>
                      <w:color w:val="auto"/>
                      <w:sz w:val="21"/>
                      <w:szCs w:val="21"/>
                    </w:rPr>
                  </w:pPr>
                  <w:r>
                    <w:rPr>
                      <w:color w:val="auto"/>
                      <w:sz w:val="21"/>
                      <w:szCs w:val="21"/>
                    </w:rPr>
                    <w:t>不设集中施工营地，依托附近生活设施</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color w:val="auto"/>
                      <w:sz w:val="21"/>
                      <w:szCs w:val="21"/>
                    </w:rPr>
                    <w:t>不设集中施工营地，依托附近生活设施</w:t>
                  </w:r>
                </w:p>
              </w:tc>
              <w:tc>
                <w:tcPr>
                  <w:tcW w:w="99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color w:val="auto"/>
                      <w:sz w:val="21"/>
                      <w:szCs w:val="21"/>
                    </w:rPr>
                  </w:pPr>
                  <w:r>
                    <w:rPr>
                      <w:color w:val="auto"/>
                      <w:sz w:val="21"/>
                      <w:szCs w:val="21"/>
                    </w:rPr>
                    <w:t>环保工程</w:t>
                  </w:r>
                </w:p>
              </w:tc>
              <w:tc>
                <w:tcPr>
                  <w:tcW w:w="381" w:type="pct"/>
                  <w:noWrap w:val="0"/>
                  <w:vAlign w:val="center"/>
                </w:tcPr>
                <w:p>
                  <w:pPr>
                    <w:spacing w:line="320" w:lineRule="exact"/>
                    <w:rPr>
                      <w:color w:val="auto"/>
                      <w:sz w:val="21"/>
                      <w:szCs w:val="21"/>
                    </w:rPr>
                  </w:pPr>
                  <w:r>
                    <w:rPr>
                      <w:color w:val="auto"/>
                      <w:sz w:val="21"/>
                      <w:szCs w:val="21"/>
                    </w:rPr>
                    <w:t>废气</w:t>
                  </w:r>
                </w:p>
              </w:tc>
              <w:tc>
                <w:tcPr>
                  <w:tcW w:w="1694" w:type="pct"/>
                  <w:noWrap w:val="0"/>
                  <w:vAlign w:val="center"/>
                </w:tcPr>
                <w:p>
                  <w:pPr>
                    <w:spacing w:line="320" w:lineRule="exact"/>
                    <w:rPr>
                      <w:color w:val="auto"/>
                      <w:sz w:val="21"/>
                      <w:szCs w:val="21"/>
                    </w:rPr>
                  </w:pPr>
                  <w:r>
                    <w:rPr>
                      <w:rFonts w:hint="eastAsia"/>
                      <w:color w:val="auto"/>
                      <w:sz w:val="21"/>
                      <w:szCs w:val="21"/>
                    </w:rPr>
                    <w:t>施工期</w:t>
                  </w:r>
                  <w:r>
                    <w:rPr>
                      <w:color w:val="auto"/>
                      <w:sz w:val="21"/>
                      <w:szCs w:val="21"/>
                    </w:rPr>
                    <w:t>设置围挡、施工场地洒水</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rFonts w:hint="eastAsia"/>
                      <w:color w:val="auto"/>
                      <w:sz w:val="21"/>
                      <w:szCs w:val="21"/>
                    </w:rPr>
                    <w:t>施工期</w:t>
                  </w:r>
                  <w:r>
                    <w:rPr>
                      <w:color w:val="auto"/>
                      <w:sz w:val="21"/>
                      <w:szCs w:val="21"/>
                    </w:rPr>
                    <w:t>设置围挡、施工场地洒水</w:t>
                  </w:r>
                </w:p>
              </w:tc>
              <w:tc>
                <w:tcPr>
                  <w:tcW w:w="99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废水</w:t>
                  </w:r>
                </w:p>
              </w:tc>
              <w:tc>
                <w:tcPr>
                  <w:tcW w:w="1694" w:type="pct"/>
                  <w:noWrap w:val="0"/>
                  <w:vAlign w:val="center"/>
                </w:tcPr>
                <w:p>
                  <w:pPr>
                    <w:spacing w:line="320" w:lineRule="exact"/>
                    <w:rPr>
                      <w:color w:val="auto"/>
                      <w:sz w:val="21"/>
                      <w:szCs w:val="21"/>
                    </w:rPr>
                  </w:pPr>
                  <w:r>
                    <w:rPr>
                      <w:rFonts w:hint="eastAsia"/>
                      <w:color w:val="auto"/>
                      <w:sz w:val="21"/>
                      <w:szCs w:val="21"/>
                    </w:rPr>
                    <w:t>施工期</w:t>
                  </w:r>
                  <w:r>
                    <w:rPr>
                      <w:color w:val="auto"/>
                      <w:sz w:val="21"/>
                      <w:szCs w:val="21"/>
                    </w:rPr>
                    <w:t>生活污水依托附近生活污水收集处理设施</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rFonts w:hint="eastAsia"/>
                      <w:color w:val="auto"/>
                      <w:sz w:val="21"/>
                      <w:szCs w:val="21"/>
                    </w:rPr>
                    <w:t>施工期</w:t>
                  </w:r>
                  <w:r>
                    <w:rPr>
                      <w:color w:val="auto"/>
                      <w:sz w:val="21"/>
                      <w:szCs w:val="21"/>
                    </w:rPr>
                    <w:t>生活污水依托附近生活污水收集处理设施</w:t>
                  </w:r>
                </w:p>
              </w:tc>
              <w:tc>
                <w:tcPr>
                  <w:tcW w:w="99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绿化</w:t>
                  </w:r>
                </w:p>
              </w:tc>
              <w:tc>
                <w:tcPr>
                  <w:tcW w:w="1694" w:type="pct"/>
                  <w:noWrap w:val="0"/>
                  <w:vAlign w:val="center"/>
                </w:tcPr>
                <w:p>
                  <w:pPr>
                    <w:spacing w:line="320" w:lineRule="exact"/>
                    <w:rPr>
                      <w:color w:val="auto"/>
                      <w:sz w:val="21"/>
                      <w:szCs w:val="21"/>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99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水土保持</w:t>
                  </w:r>
                </w:p>
              </w:tc>
              <w:tc>
                <w:tcPr>
                  <w:tcW w:w="1694" w:type="pct"/>
                  <w:noWrap w:val="0"/>
                  <w:vAlign w:val="center"/>
                </w:tcPr>
                <w:p>
                  <w:pPr>
                    <w:spacing w:line="320" w:lineRule="exact"/>
                    <w:rPr>
                      <w:color w:val="auto"/>
                      <w:sz w:val="21"/>
                      <w:szCs w:val="21"/>
                    </w:rPr>
                  </w:pPr>
                  <w:r>
                    <w:rPr>
                      <w:color w:val="auto"/>
                      <w:sz w:val="21"/>
                      <w:szCs w:val="21"/>
                    </w:rPr>
                    <w:t>边坡防护，水土流失治理工程</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color w:val="auto"/>
                      <w:sz w:val="21"/>
                      <w:szCs w:val="21"/>
                    </w:rPr>
                    <w:t>边坡防护，水土流失治理工程</w:t>
                  </w:r>
                </w:p>
              </w:tc>
              <w:tc>
                <w:tcPr>
                  <w:tcW w:w="99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宋体" w:cs="Times New Roman"/>
                <w:b/>
                <w:color w:val="000000"/>
                <w:sz w:val="26"/>
                <w:szCs w:val="26"/>
                <w:vertAlign w:val="baseline"/>
              </w:rPr>
            </w:pP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宋体" w:cs="Times New Roman"/>
          <w:b/>
          <w:color w:val="000000"/>
          <w:sz w:val="26"/>
          <w:szCs w:val="26"/>
        </w:rPr>
        <w:sectPr>
          <w:pgSz w:w="16838" w:h="11906" w:orient="landscape"/>
          <w:pgMar w:top="1418" w:right="1440" w:bottom="1418"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30" w:hRule="atLeast"/>
          <w:jc w:val="center"/>
        </w:trPr>
        <w:tc>
          <w:tcPr>
            <w:tcW w:w="5000" w:type="pct"/>
            <w:shd w:val="clear" w:color="auto" w:fill="auto"/>
          </w:tcPr>
          <w:p>
            <w:pPr>
              <w:keepNext w:val="0"/>
              <w:keepLines w:val="0"/>
              <w:pageBreakBefore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lang w:val="en-US" w:eastAsia="zh-CN"/>
              </w:rPr>
              <w:t xml:space="preserve">4.2 </w:t>
            </w:r>
            <w:r>
              <w:rPr>
                <w:rFonts w:hint="default" w:ascii="Times New Roman" w:hAnsi="Times New Roman" w:cs="Times New Roman" w:eastAsiaTheme="minorEastAsia"/>
                <w:b/>
                <w:bCs/>
                <w:sz w:val="24"/>
                <w:szCs w:val="24"/>
              </w:rPr>
              <w:t>实际工程量及工程建设变化情况</w:t>
            </w:r>
            <w:r>
              <w:rPr>
                <w:rFonts w:hint="default" w:ascii="Times New Roman" w:hAnsi="Times New Roman" w:cs="Times New Roman" w:eastAsiaTheme="minorEastAsia"/>
                <w:b/>
                <w:bCs/>
                <w:sz w:val="24"/>
                <w:szCs w:val="24"/>
                <w:lang w:eastAsia="zh-CN"/>
              </w:rPr>
              <w:t>以及</w:t>
            </w:r>
            <w:r>
              <w:rPr>
                <w:rFonts w:hint="default" w:ascii="Times New Roman" w:hAnsi="Times New Roman" w:cs="Times New Roman" w:eastAsiaTheme="minorEastAsia"/>
                <w:b/>
                <w:bCs/>
                <w:sz w:val="24"/>
                <w:szCs w:val="24"/>
              </w:rPr>
              <w:t>变化原因</w:t>
            </w:r>
          </w:p>
          <w:p>
            <w:pPr>
              <w:pStyle w:val="10"/>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根据建设单位提供资料，工程建设内容与设计阶段</w:t>
            </w:r>
            <w:r>
              <w:rPr>
                <w:rFonts w:hint="eastAsia" w:cs="Times New Roman" w:eastAsiaTheme="minorEastAsia"/>
                <w:color w:val="000000" w:themeColor="text1"/>
                <w:kern w:val="2"/>
                <w:sz w:val="24"/>
                <w:szCs w:val="24"/>
                <w:lang w:val="en-US" w:eastAsia="zh-CN" w:bidi="ar-SA"/>
                <w14:textFill>
                  <w14:solidFill>
                    <w14:schemeClr w14:val="tx1"/>
                  </w14:solidFill>
                </w14:textFill>
              </w:rPr>
              <w:t>未</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发生变化，不涉及超范围占地，工程组成不发生变化，实际工程量及建设情况如下表。</w:t>
            </w:r>
          </w:p>
          <w:p>
            <w:pPr>
              <w:pStyle w:val="10"/>
              <w:keepNext w:val="0"/>
              <w:keepLines w:val="0"/>
              <w:pageBreakBefore w:val="0"/>
              <w:widowControl w:val="0"/>
              <w:tabs>
                <w:tab w:val="left" w:pos="859"/>
              </w:tabs>
              <w:kinsoku/>
              <w:wordWrap/>
              <w:overflowPunct/>
              <w:topLinePunct w:val="0"/>
              <w:autoSpaceDE/>
              <w:autoSpaceDN/>
              <w:bidi w:val="0"/>
              <w:adjustRightInd/>
              <w:snapToGrid/>
              <w:spacing w:line="360" w:lineRule="auto"/>
              <w:ind w:right="0"/>
              <w:jc w:val="center"/>
              <w:textAlignment w:val="auto"/>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表4-2  项目变化情况对照表</w:t>
            </w:r>
          </w:p>
          <w:tbl>
            <w:tblPr>
              <w:tblStyle w:val="25"/>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1"/>
              <w:gridCol w:w="3302"/>
              <w:gridCol w:w="43"/>
              <w:gridCol w:w="3259"/>
              <w:gridCol w:w="791"/>
              <w:gridCol w:w="10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项目</w:t>
                  </w:r>
                </w:p>
              </w:tc>
              <w:tc>
                <w:tcPr>
                  <w:tcW w:w="1846" w:type="pct"/>
                  <w:gridSpan w:val="2"/>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环评阶段</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验收阶段</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变化</w:t>
                  </w:r>
                </w:p>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情况</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是否发生重大变动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性质</w:t>
                  </w:r>
                </w:p>
              </w:tc>
              <w:tc>
                <w:tcPr>
                  <w:tcW w:w="1846" w:type="pct"/>
                  <w:gridSpan w:val="2"/>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新建</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新建</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无变化</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分水镇污水管网补充工程</w:t>
                  </w: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规模</w:t>
                  </w:r>
                </w:p>
              </w:tc>
              <w:tc>
                <w:tcPr>
                  <w:tcW w:w="1846" w:type="pct"/>
                  <w:gridSpan w:val="2"/>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补充建设污水管网约39960米。其中：；DN300HDPE双壁波纹管（埋地4300米；DN400HDPE双壁波纹管2700米；涂塑复合钢管（D530×12）6000米；涂塑复合钢管（D426×10）3500米；连续混凝土梁涂塑复合钢管（D325×8）660米；埋地涂塑复合钢管（D325×8）700米；</w:t>
                  </w:r>
                </w:p>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200×4.9埋地排污、排水硬聚氯乙烯（PVC-U）二级支管12100米；∅110×4埋地排污、排水硬聚氯乙烯（PVC-U）三级入户管10000米；新建C30现浇水泥混凝土污水检查井(∅700)1330座；新建4立方钢筋混凝土化粪池30座，新建6立方钢筋混凝土化粪池5座，新建9立方钢筋混凝土化粪池5座。</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补充建设污水管网约39960米。其中：；DN300HDPE双壁波纹管（埋地4300米；DN400HDPE双壁波纹管2700米；涂塑复合钢管（D530×12）6000米；涂塑复合钢管（D426×10）3500米；连续混凝土梁涂塑复合钢管（D325×8）660米；埋地涂塑复合钢管（D325×8）700米；</w:t>
                  </w:r>
                </w:p>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200×4.9埋地排污、排水硬聚氯乙烯（PVC-U）二级支管12100米；∅110×4埋地排污、排水硬聚氯乙烯（PVC-U）三级入户管10000米；新建C30现浇水泥混凝土污水检查井(∅700)1330座；新建4立方钢筋混凝土化粪池30座，新建6立方钢筋混凝土化粪池5座，新建9立方钢筋混凝土化粪池5座。</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李河</w:t>
                  </w: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镇污水管网补充工程规模</w:t>
                  </w:r>
                </w:p>
              </w:tc>
              <w:tc>
                <w:tcPr>
                  <w:tcW w:w="1846" w:type="pct"/>
                  <w:gridSpan w:val="2"/>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补充建设污水管网约12267米。其中：HDPE双壁波纹管（DN400）182米，HDPE双壁波纹管（DN300）3285米，D325×8涂塑复合钢管（连续混凝土梁）200米，D325×8涂塑复合钢管（架空管）200米，D325×8涂塑复合钢管（斜跌落管）400米，∅200×4.9埋地排污、排水硬聚氯乙烯（PVC-U）二级支管3000米；∅110×3.2埋地排污、排水硬聚氯乙烯（PVC-U）三级入户管5000米；新建C30现浇水泥混凝土污水检查井（∅700）141座；新建4立方米钢筋混凝土化粪池10座；新建6立方米钢筋混凝土化粪池5座；新建4立方米钢筋混凝土化粪池3座；沥青路面、基层破除及恢复3404平方米；水泥混凝土院坝破除及恢复1750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补充建设污水管网约12267米。其中：HDPE双壁波纹管（DN400）182米，HDPE双壁波纹管（DN300）3285米，D325×8涂塑复合钢管（连续混凝土梁）200米，D325×8涂塑复合钢管（架空管）200米，D325×8涂塑复合钢管（斜跌落管）400米，∅200×4.9埋地排污、排水硬聚氯乙烯（PVC-U）二级支管3000米；∅110×3.2埋地排污、排水硬聚氯乙烯（PVC-U）三级入户管5000米；新建C30现浇水泥混凝土污水检查井（∅700）141座；新建4立方米钢筋混凝土化粪池10座；新建6立方米钢筋混凝土化粪池5座；新建4立方米钢筋混凝土化粪池3座；沥青路面、基层破除及恢复3404平方米；水泥混凝土院坝破除及恢复1750平方米</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高粱镇污水管网补充工程</w:t>
                  </w:r>
                  <w:r>
                    <w:rPr>
                      <w:rFonts w:hint="default" w:ascii="Times New Roman" w:hAnsi="Times New Roman" w:cs="Times New Roman" w:eastAsiaTheme="minorEastAsia"/>
                      <w:color w:val="000000" w:themeColor="text1"/>
                      <w:sz w:val="21"/>
                      <w14:textFill>
                        <w14:solidFill>
                          <w14:schemeClr w14:val="tx1"/>
                        </w14:solidFill>
                      </w14:textFill>
                    </w:rPr>
                    <w:t>规模</w:t>
                  </w:r>
                </w:p>
              </w:tc>
              <w:tc>
                <w:tcPr>
                  <w:tcW w:w="1823"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补充建设污水管网约14200米。其中：HDPE双壁波纹管（DN400）600米，HDPE双壁波纹管（DN300）4000，D325×8涂塑复合钢管（斜跌落管）1000米，D219×6涂塑复合钢管（斜跌落管）100米，∅200×4.9埋地排污、排水硬聚氯乙烯（PVC-U）二级支管3500米；∅110×3.2 埋地排污、排水硬聚氯乙烯（PVC-U）三级入户管5000米；新建C30现浇水泥混凝土污水检查井（∅700）262座；新建9立方米钢筋混凝土化粪池11座；沥青路面、基层破除及恢复5020平方米；水泥混凝土院坝破除及恢复 2950平方米。</w:t>
                  </w:r>
                </w:p>
              </w:tc>
              <w:tc>
                <w:tcPr>
                  <w:tcW w:w="1823" w:type="pct"/>
                  <w:gridSpan w:val="2"/>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补充建设污水管网约14200米。其中：HDPE双壁波纹管（DN400）600米，HDPE双壁波纹管（DN300）4000，D325×8涂塑复合钢管（斜跌落管）1000米，D219×6涂塑复合钢管（斜跌落管100米，∅200×4.9埋地排污、排水硬聚氯乙烯（PVC-U）二级支管3500米；∅110×3.2 埋地排污、排水硬聚氯乙烯（PVC-U）三级入户管5000米；新建C30现浇水泥混凝土污水检查井（∅700）262座；新建9立方米钢筋混凝土化粪池11座；沥青路面、基层破除及恢复5020平方米；水泥混凝土院坝破除及恢复 2950平方米。</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大周镇</w:t>
                  </w:r>
                  <w:r>
                    <w:rPr>
                      <w:rFonts w:hint="default" w:ascii="Times New Roman" w:hAnsi="Times New Roman" w:cs="Times New Roman" w:eastAsiaTheme="minorEastAsia"/>
                      <w:color w:val="000000" w:themeColor="text1"/>
                      <w:sz w:val="21"/>
                      <w:lang w:eastAsia="zh-CN"/>
                      <w14:textFill>
                        <w14:solidFill>
                          <w14:schemeClr w14:val="tx1"/>
                        </w14:solidFill>
                      </w14:textFill>
                    </w:rPr>
                    <w:t>污水管网补充工程</w:t>
                  </w:r>
                  <w:r>
                    <w:rPr>
                      <w:rFonts w:hint="default" w:ascii="Times New Roman" w:hAnsi="Times New Roman" w:cs="Times New Roman" w:eastAsiaTheme="minorEastAsia"/>
                      <w:color w:val="000000" w:themeColor="text1"/>
                      <w:sz w:val="21"/>
                      <w14:textFill>
                        <w14:solidFill>
                          <w14:schemeClr w14:val="tx1"/>
                        </w14:solidFill>
                      </w14:textFill>
                    </w:rPr>
                    <w:t>规模</w:t>
                  </w:r>
                </w:p>
              </w:tc>
              <w:tc>
                <w:tcPr>
                  <w:tcW w:w="1846" w:type="pct"/>
                  <w:gridSpan w:val="2"/>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补充建设污水管网约2900米，包含HDPE双壁波纹管（DN400）</w:t>
                  </w:r>
                </w:p>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H500米，HDPE双壁波纹管（DN300）700米，D325×8涂塑复合钢管50米，φ200×4.9埋地排污、排水硬聚氯乙烯（PVC-U）二级支管1650米；新建钢筋混凝土化粪池10座，配套污水检查井、三级入户管等附属设施</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补充建设污水管网约2900米，包含HDPE双壁波纹管（DN400）</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Times New Roman" w:hAnsi="Times New Roman" w:eastAsia="宋体" w:cs="Times New Roman"/>
                      <w:b w:val="0"/>
                      <w:bCs w:val="0"/>
                      <w:color w:val="000000" w:themeColor="text1"/>
                      <w:kern w:val="2"/>
                      <w:sz w:val="21"/>
                      <w:szCs w:val="21"/>
                      <w:lang w:val="en-US" w:eastAsia="zh-CN" w:bidi="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H500米，HDPE双壁波纹管（DN300）700米，D325×8涂塑复合钢管50米，φ200×4.9埋地排污、排水硬聚氯乙烯（PVC-U）二级支管1650米；新建钢筋混凝土化粪池10座，配套污水检查井、三级入户管等附属设施</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熊家镇</w:t>
                  </w:r>
                  <w:r>
                    <w:rPr>
                      <w:rFonts w:hint="default" w:ascii="Times New Roman" w:hAnsi="Times New Roman" w:cs="Times New Roman" w:eastAsiaTheme="minorEastAsia"/>
                      <w:color w:val="000000" w:themeColor="text1"/>
                      <w:sz w:val="21"/>
                      <w:lang w:eastAsia="zh-CN"/>
                      <w14:textFill>
                        <w14:solidFill>
                          <w14:schemeClr w14:val="tx1"/>
                        </w14:solidFill>
                      </w14:textFill>
                    </w:rPr>
                    <w:t>污水管网补充工程</w:t>
                  </w:r>
                  <w:r>
                    <w:rPr>
                      <w:rFonts w:hint="default" w:ascii="Times New Roman" w:hAnsi="Times New Roman" w:cs="Times New Roman" w:eastAsiaTheme="minorEastAsia"/>
                      <w:color w:val="000000" w:themeColor="text1"/>
                      <w:sz w:val="21"/>
                      <w14:textFill>
                        <w14:solidFill>
                          <w14:schemeClr w14:val="tx1"/>
                        </w14:solidFill>
                      </w14:textFill>
                    </w:rPr>
                    <w:t>规模</w:t>
                  </w:r>
                </w:p>
              </w:tc>
              <w:tc>
                <w:tcPr>
                  <w:tcW w:w="1846" w:type="pct"/>
                  <w:gridSpan w:val="2"/>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sz w:val="21"/>
                      <w:szCs w:val="20"/>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kern w:val="2"/>
                      <w:sz w:val="21"/>
                      <w:szCs w:val="20"/>
                      <w:lang w:val="en-US" w:eastAsia="zh-CN" w:bidi="zh-CN"/>
                      <w14:textFill>
                        <w14:solidFill>
                          <w14:schemeClr w14:val="tx1"/>
                        </w14:solidFill>
                      </w14:textFill>
                    </w:rPr>
                    <w:t>补充建设污水管网约11100米。其中：涂塑复合钢管（D630×12）2400m；涂塑复合钢管（D426×10）500m；涂塑复合钢管（D325×8）1700m；φ200×4.9埋地排污二级支管3000米；φ110×3.2埋地排污二级支管 3500米；新建C30现浇水泥混凝土污水检查井(∅700)200座；新建4立方米钢筋混凝土化粪池3座，新建6 立方米钢筋混凝土化粪池5座</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sz w:val="21"/>
                      <w:lang w:val="en-US" w:eastAsia="zh-CN" w:bidi="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补充建设污水管网约11100米。其中：涂塑复合钢管（D630×12）2400m；涂塑复合钢管（D426×10）500m；涂塑复合钢管（D325×8）1700m；φ200×4.9埋地排污二级支管3000米；φ110×3.2埋地排污二级支管3500米；新建C30现浇水泥混凝土污水检查井(∅700)200座；新建4立方米钢筋混凝土化粪池3座，新建6立方米钢筋混凝土化粪池5 座</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长岭镇凉水场</w:t>
                  </w:r>
                  <w:r>
                    <w:rPr>
                      <w:rFonts w:hint="default" w:ascii="Times New Roman" w:hAnsi="Times New Roman" w:cs="Times New Roman" w:eastAsiaTheme="minorEastAsia"/>
                      <w:color w:val="000000" w:themeColor="text1"/>
                      <w:sz w:val="21"/>
                      <w:lang w:eastAsia="zh-CN"/>
                      <w14:textFill>
                        <w14:solidFill>
                          <w14:schemeClr w14:val="tx1"/>
                        </w14:solidFill>
                      </w14:textFill>
                    </w:rPr>
                    <w:t>污水管网补充工程规模</w:t>
                  </w:r>
                </w:p>
              </w:tc>
              <w:tc>
                <w:tcPr>
                  <w:tcW w:w="1846" w:type="pct"/>
                  <w:gridSpan w:val="2"/>
                  <w:vAlign w:val="center"/>
                </w:tcPr>
                <w:p>
                  <w:pPr>
                    <w:pStyle w:val="22"/>
                    <w:keepNext w:val="0"/>
                    <w:keepLines w:val="0"/>
                    <w:widowControl/>
                    <w:suppressLineNumbers w:val="0"/>
                    <w:spacing w:before="0" w:beforeAutospacing="0" w:after="0" w:afterAutospacing="0"/>
                    <w:ind w:left="0" w:right="0" w:firstLine="0"/>
                    <w:rPr>
                      <w:rFonts w:hint="eastAsia" w:ascii="Times New Roman" w:hAnsi="Times New Roman" w:cs="Times New Roman" w:eastAsiaTheme="minorEastAsia"/>
                      <w:color w:val="000000" w:themeColor="text1"/>
                      <w:kern w:val="2"/>
                      <w:sz w:val="21"/>
                      <w:szCs w:val="20"/>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kern w:val="2"/>
                      <w:sz w:val="21"/>
                      <w:szCs w:val="20"/>
                      <w:lang w:val="en-US" w:eastAsia="zh-CN" w:bidi="zh-CN"/>
                      <w14:textFill>
                        <w14:solidFill>
                          <w14:schemeClr w14:val="tx1"/>
                        </w14:solidFill>
                      </w14:textFill>
                    </w:rPr>
                    <w:t>补充建设污水管网约14450米。其中：HDPE双壁波纹管（DN300）4830 米，D325×8涂塑复合钢管（斜跌落管）460米，∅200×4.9 埋地排污、排水硬聚氯乙烯（PVC-U）二级支管2600米；D219×6 涂塑复合钢管（压力管）560 米；∅110×3.2埋地排污、排水硬聚氯乙烯（PVC-U）三级入户管6000米；新建C30现浇水泥混凝土污水检查井（∅700）259座；消能井30座，新建4立方米钢筋混凝土化粪池12座；新建9立方米钢筋混凝土化粪池2 座；沥青路面、基层破除及恢复5589平方米；水泥混凝土院坝破除及恢复2700平方米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sz w:val="21"/>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kern w:val="2"/>
                      <w:sz w:val="21"/>
                      <w:szCs w:val="20"/>
                      <w:lang w:val="en-US" w:eastAsia="zh-CN" w:bidi="zh-CN"/>
                      <w14:textFill>
                        <w14:solidFill>
                          <w14:schemeClr w14:val="tx1"/>
                        </w14:solidFill>
                      </w14:textFill>
                    </w:rPr>
                    <w:t>补充建设污水管网约14450米。其中：HDPE双壁波纹管（DN300）4830 米，D325×8涂塑复合钢管（斜跌落管）460米，∅200×4.9 埋地排污、排水硬聚氯乙烯（PVC-U）二级支管2600米；D219×6 涂塑复合钢管（压力管）560 米；∅110×3.2埋地排污、排水硬聚氯乙烯（PVC-U）三级入户管6000米；新建C30现浇水泥混凝土污水检查井（∅700）259座；消能井30座，新建4立方米钢筋混凝土化粪池12座；新建9立方米钢筋混凝土化粪池2 座；沥青路面、基层破除及恢复5589平方米；水泥混凝土院坝破除及恢复2700平方米</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长岭镇响滩场</w:t>
                  </w:r>
                  <w:r>
                    <w:rPr>
                      <w:rFonts w:hint="default" w:ascii="Times New Roman" w:hAnsi="Times New Roman" w:cs="Times New Roman" w:eastAsiaTheme="minorEastAsia"/>
                      <w:color w:val="000000" w:themeColor="text1"/>
                      <w:sz w:val="21"/>
                      <w:lang w:eastAsia="zh-CN"/>
                      <w14:textFill>
                        <w14:solidFill>
                          <w14:schemeClr w14:val="tx1"/>
                        </w14:solidFill>
                      </w14:textFill>
                    </w:rPr>
                    <w:t>污水管网补充工程规模</w:t>
                  </w:r>
                </w:p>
              </w:tc>
              <w:tc>
                <w:tcPr>
                  <w:tcW w:w="1846" w:type="pct"/>
                  <w:gridSpan w:val="2"/>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cs="Times New Roman" w:eastAsiaTheme="minorEastAsia"/>
                      <w:color w:val="000000" w:themeColor="text1"/>
                      <w:sz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补充建设污水管网约7700米。其中：HDPE双壁波纹管（DN300）2000米；D325×8涂塑复合钢管(架空)200米；∅200×4.9 埋地排污、排水硬聚氯乙烯（PVC-U）二级支管2500米；∅110×3.2 埋地排污、排水硬聚氯乙烯（PVC-U）三级入户管3000米；新建C30现浇水泥混凝土污水检查井(∅700)109座，消能井14座；新建4立方米钢筋混凝土化粪池15 座，既有化粪池清掏20立方米；水泥混凝土路面破除及恢复800平方米；水泥混凝土院坝破除及恢复90平方米；人行道、基层破除及恢复200平方米。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cs="Times New Roman" w:eastAsiaTheme="minorEastAsia"/>
                      <w:color w:val="000000" w:themeColor="text1"/>
                      <w:kern w:val="2"/>
                      <w:sz w:val="21"/>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补充建设污水管网约7700米。其中：HDPE双壁波纹管（DN300）2000米；D325×8涂塑复合钢管(架空)200米；∅200×4.9 埋地排污、排水硬聚氯乙烯（PVC-U）二级支管2500米；∅110×3.2 埋地排污、排水硬聚氯乙烯（PVC-U）三级入户管3000米；新建C30现浇水泥混凝土污水检查井(∅700)109座，消能井14座；新建4立方米钢筋混凝土化粪池15 座，既有化粪池清掏20立方米；水泥混凝土路面破除及恢复800平方米；水泥混凝土院坝破除及恢复90平方米；人行道、基层破除及恢复200平方米。</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长岭镇青石场污水管网补充工程</w:t>
                  </w:r>
                  <w:r>
                    <w:rPr>
                      <w:rFonts w:hint="default" w:ascii="Times New Roman" w:hAnsi="Times New Roman" w:cs="Times New Roman" w:eastAsiaTheme="minorEastAsia"/>
                      <w:color w:val="000000" w:themeColor="text1"/>
                      <w:sz w:val="21"/>
                      <w:lang w:eastAsia="zh-CN"/>
                      <w14:textFill>
                        <w14:solidFill>
                          <w14:schemeClr w14:val="tx1"/>
                        </w14:solidFill>
                      </w14:textFill>
                    </w:rPr>
                    <w:t>规模</w:t>
                  </w:r>
                </w:p>
              </w:tc>
              <w:tc>
                <w:tcPr>
                  <w:tcW w:w="1846" w:type="pct"/>
                  <w:gridSpan w:val="2"/>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val="en-US" w:eastAsia="zh-CN"/>
                      <w14:textFill>
                        <w14:solidFill>
                          <w14:schemeClr w14:val="tx1"/>
                        </w14:solidFill>
                      </w14:textFill>
                    </w:rPr>
                    <w:t>补充建设污水管网约900米。其中：现状管网拆除新建HDPE 双壁波纹管（DN400）300米；∅200×4.9埋地排污、排水硬聚氯乙烯（PVC-U）二级支管 500 米；∅110×3.2埋地排污、排水硬聚氯乙烯（PVC-U）三级入户管100米；新建C30现浇水泥混凝土污水检查井(∅700)14座；新建4立方米钢筋混凝土化粪池4座；水泥混凝土院坝破除及恢复580平方米；人行道、基层破除及恢复50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cs="Times New Roman" w:eastAsiaTheme="minorEastAsia"/>
                      <w:color w:val="000000" w:themeColor="text1"/>
                      <w:kern w:val="2"/>
                      <w:sz w:val="21"/>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sz w:val="21"/>
                      <w:lang w:val="en-US" w:eastAsia="zh-CN"/>
                      <w14:textFill>
                        <w14:solidFill>
                          <w14:schemeClr w14:val="tx1"/>
                        </w14:solidFill>
                      </w14:textFill>
                    </w:rPr>
                    <w:t>补充建设污水管网约900米。其中：现状管网拆除新建HDPE 双壁波纹管（DN400）300米；∅200×4.9埋地排污、排水硬聚氯乙烯（PVC-U）二级支管 500 米；∅110×3.2埋地排污、排水硬聚氯乙烯（PVC-U）三级入户管100米；新建C30现浇水泥混凝土污水检查井(∅700)14座；新建4立方米钢筋混凝土化粪池4座；水泥混凝土院坝破除及恢复580平方米；人行道、基层破除及恢复50平方米</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eastAsiaTheme="minorEastAsia"/>
                      <w:color w:val="000000" w:themeColor="text1"/>
                      <w:sz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武陵镇石桥场污水管网补充工程规模</w:t>
                  </w:r>
                </w:p>
              </w:tc>
              <w:tc>
                <w:tcPr>
                  <w:tcW w:w="1846" w:type="pct"/>
                  <w:gridSpan w:val="2"/>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eastAsiaTheme="minorEastAsia"/>
                      <w:color w:val="000000" w:themeColor="text1"/>
                      <w:sz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lang w:val="en-US" w:eastAsia="zh-CN"/>
                      <w14:textFill>
                        <w14:solidFill>
                          <w14:schemeClr w14:val="tx1"/>
                        </w14:solidFill>
                      </w14:textFill>
                    </w:rPr>
                    <w:t>补充建设污水管网约13100米。其中：HDPE双壁波纹管（DN300）3000米，D325×涂塑复合钢管（斜跌落管）300 米，D108×6涂塑复合钢管（压力管）30 米；D219×6涂塑复合钢管（压力管）270米；∅200×4.9 埋地排污、排水硬聚氯乙烯（PVC-U）二级支管 3500米；∅110×3.2埋地排污、排水硬聚氯乙烯（PVC-U）三级入户管 6000米；一体化提升泵站（100t/d）1 座；一体化提升泵站（50t/d）1座；新建C30现浇水泥混凝土污水检查井(∅700)270座；消能井5座；新建 9 立方米钢筋混凝土化粪池12座；沥青路面破除及恢复800平方米；水泥混凝土路面破除及恢复650平方米；水泥混凝土院坝破除及恢300平方米；人行道、基层破除及恢复 600平方米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cs="Times New Roman" w:eastAsiaTheme="minorEastAsia"/>
                      <w:color w:val="000000" w:themeColor="text1"/>
                      <w:sz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lang w:val="en-US" w:eastAsia="zh-CN"/>
                      <w14:textFill>
                        <w14:solidFill>
                          <w14:schemeClr w14:val="tx1"/>
                        </w14:solidFill>
                      </w14:textFill>
                    </w:rPr>
                    <w:t>补充建设污水管网约13100米。其中：HDPE双壁波纹管（DN300）3000米，D325×涂塑复合钢管（斜跌落管）300 米，D108×6涂塑复合钢管（压力管）30 米；D219×6涂塑复合钢管（压力管）270米；∅200×4.9 埋地排污、排水硬聚氯乙烯（PVC-U）二级支管 3500米；∅110×3.2埋地排污、排水硬聚氯乙烯（PVC-U）三级入户管 6000米；一体化提升泵站（100t/d）1座；一体化提升泵站（50t/d）1座；新建C30现浇水泥混凝土污水检查井(∅700)270座；消能井5座；新建9立方米钢筋混凝土化粪池12座；沥青路面破除及恢复800平方米；水泥混凝土路面破除及恢复650平方米；水泥混凝土院坝破除及恢300平方米；人行道、基层破除及恢复600平方米</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武陵镇鹿井场</w:t>
                  </w:r>
                  <w:r>
                    <w:rPr>
                      <w:rFonts w:hint="default" w:ascii="Times New Roman" w:hAnsi="Times New Roman" w:cs="Times New Roman" w:eastAsiaTheme="minorEastAsia"/>
                      <w:color w:val="000000" w:themeColor="text1"/>
                      <w:sz w:val="21"/>
                      <w:lang w:eastAsia="zh-CN"/>
                      <w14:textFill>
                        <w14:solidFill>
                          <w14:schemeClr w14:val="tx1"/>
                        </w14:solidFill>
                      </w14:textFill>
                    </w:rPr>
                    <w:t>污水管网补充工程</w:t>
                  </w:r>
                  <w:r>
                    <w:rPr>
                      <w:rFonts w:hint="eastAsia" w:ascii="Times New Roman" w:hAnsi="Times New Roman" w:cs="Times New Roman" w:eastAsiaTheme="minorEastAsia"/>
                      <w:color w:val="000000" w:themeColor="text1"/>
                      <w:sz w:val="21"/>
                      <w:lang w:eastAsia="zh-CN"/>
                      <w14:textFill>
                        <w14:solidFill>
                          <w14:schemeClr w14:val="tx1"/>
                        </w14:solidFill>
                      </w14:textFill>
                    </w:rPr>
                    <w:t>规模</w:t>
                  </w:r>
                </w:p>
              </w:tc>
              <w:tc>
                <w:tcPr>
                  <w:tcW w:w="1846" w:type="pct"/>
                  <w:gridSpan w:val="2"/>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val="en-US" w:eastAsia="zh-CN"/>
                      <w14:textFill>
                        <w14:solidFill>
                          <w14:schemeClr w14:val="tx1"/>
                        </w14:solidFill>
                      </w14:textFill>
                    </w:rPr>
                    <w:t>补充建设污水管网约9150米。其中：HDPE双壁波纹管（DN300）1100米，D325×8涂塑复合钢管(斜跌落管)230 米，D219×6 涂塑复合钢管(压力管)320 米，∅200×4.9 埋地排污、排水硬聚氯乙烯（PVC-U）二级支管3500 米；∅110×3.2 埋地排污、排水硬聚氯乙烯（PVC-U）三级入户管4000米；新建C30现浇水泥混凝土污水检查井(∅700)210座；消能井 11座；新建9立方米钢筋混凝土化粪池8座；沥青路面破除及恢复500平方米；水泥混凝土路面破除及恢复600平方米；水泥混凝土院坝破除及恢复400平方米；人行道、基层破除及恢复500平方米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val="en-US" w:eastAsia="zh-CN"/>
                      <w14:textFill>
                        <w14:solidFill>
                          <w14:schemeClr w14:val="tx1"/>
                        </w14:solidFill>
                      </w14:textFill>
                    </w:rPr>
                    <w:t>补充建设污水管网约9150米。其中：HDPE双壁波纹管（DN300）1100米，D325×8涂塑复合钢管(斜跌落管)230 米，D219×6 涂塑复合钢管(压力管)320 米，∅200×4.9 埋地排污、排水硬聚氯乙烯（PVC-U）二级支管3500米；∅110×3.2 埋地排污、排水硬聚氯乙烯（PVC-U）三级入户管4000米；新建C30现浇水泥混凝土污水检查井(∅700)210座；消能井11座；新建9立方米钢筋混凝土化粪池8座；沥青路面破除及恢复500平方米；水泥混凝土路面破除及恢复600平方米；水泥混凝土院坝破除及恢复400平方米；人行道、基层破除及恢复500平方米</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龙沙镇岩口场污水管网补充工程规模</w:t>
                  </w:r>
                </w:p>
              </w:tc>
              <w:tc>
                <w:tcPr>
                  <w:tcW w:w="1846" w:type="pct"/>
                  <w:gridSpan w:val="2"/>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val="en-US" w:eastAsia="zh-CN"/>
                      <w14:textFill>
                        <w14:solidFill>
                          <w14:schemeClr w14:val="tx1"/>
                        </w14:solidFill>
                      </w14:textFill>
                    </w:rPr>
                    <w:t>补充建设污水管网约 11000米。其中：HDPE 双壁波纹管（DN400）1500米，HDPE双壁波纹管（DN300）2000米，D325×8涂塑复合钢管(斜跌落管)400 米，D219×6 涂塑复合钢管(压力管)300 米，∅200×4.9 埋地排污、排水硬聚氯乙烯（PVC-U）二级支管2500米；∅110×3.2埋地排污、排水硬聚氯乙烯（PVC-U）三级入户管4300米；新建 C30现浇水泥混凝土污水检查井(∅700)141座；消能井4座；跌水井1座；新建一体化污水提升泵站（200t/d）1座；新建一体化污水提升泵站（50t/d）1 座；新建4立方米钢筋混凝土化粪池3座；新建6立方米钢筋混凝土化粪池2座；新建9立方米钢筋混凝土化粪池2座；沥青路面、基层破除及恢复5860平方米；水泥混凝土院坝破除及恢复1900平方米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val="en-US" w:eastAsia="zh-CN"/>
                      <w14:textFill>
                        <w14:solidFill>
                          <w14:schemeClr w14:val="tx1"/>
                        </w14:solidFill>
                      </w14:textFill>
                    </w:rPr>
                    <w:t>补充建设污水管网约 11000米。其中：HDPE 双壁波纹管（DN400）1500米，HDPE双壁波纹管（DN300）2000米，D325×8涂塑复合钢管(斜跌落管)400 米，D219×6 涂塑复合钢管(压力管)300 米，∅200×4.9 埋地排污、排水硬聚氯乙烯（PVC-U）二级支管2500米；∅110×3.2埋地排污、排水硬聚氯乙烯（PVC-U）三级入户管4300米；新建 C30现浇水泥混凝土污水检查井(∅700)141座；消能井4座；跌水井1座；新建一体化污水提升泵站（200t/d）1座；新建一体化污水提升泵站（50t/d）1 座；新建4立方米钢筋混凝土化粪池3座；新建6立方米钢筋混凝土化粪池2座；新建9立方米钢筋混凝土化粪池2座；沥青路面、基层破除及恢复5860平方米；水泥混凝土院坝破除及恢复1900平方米</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龙沙镇龙安场污水管网补充工程规模</w:t>
                  </w:r>
                </w:p>
              </w:tc>
              <w:tc>
                <w:tcPr>
                  <w:tcW w:w="1846" w:type="pct"/>
                  <w:gridSpan w:val="2"/>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val="en-US" w:eastAsia="zh-CN"/>
                      <w14:textFill>
                        <w14:solidFill>
                          <w14:schemeClr w14:val="tx1"/>
                        </w14:solidFill>
                      </w14:textFill>
                    </w:rPr>
                    <w:t>补充建设污水管网约10900米。其中：HDPE 双壁波纹管（DN300）1500 米，D325×8涂塑复合钢管(斜跌落管)100 米，D219×6 涂塑复合钢管(斜跌落管)300 米， ∅200×4.9 埋地排污、排水硬聚氯乙烯（PVC-U）二级支3500米；∅110×3.2 埋地排污、排水硬聚氯乙烯（PVC-U）三级入户管5500米；新建C30现浇水泥混凝土污水检查井(∅700)266座；消能井5座；新建4立方米钢筋混凝土化粪池7座；新建6立方米钢筋混凝土化粪池 3 座；新建 9 立方米钢筋混凝土化粪池3座；沥青路面基层破除及恢复200平方米，水泥混凝土路面破除及恢复700平方米；水泥混凝土院坝破除及恢复400平方米；人行道、基层破除及恢复300平方米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val="en-US" w:eastAsia="zh-CN"/>
                      <w14:textFill>
                        <w14:solidFill>
                          <w14:schemeClr w14:val="tx1"/>
                        </w14:solidFill>
                      </w14:textFill>
                    </w:rPr>
                    <w:t>补充建设污水管网约10900米。其中：HDPE 双壁波纹管（DN300）1500米，D325×8涂塑复合钢管(斜跌落管)100 米，D219×6 涂塑复合钢管(斜跌落管)300 米， ∅200×4.9 埋地排污、排水硬聚氯乙烯（PVC-U）二级支3500米；∅110×3.2 埋地排污、排水硬聚氯乙烯（PVC-U）三级入户管5500米；新建C30现浇水泥混凝土污水检查井(∅700)266座；消能井5座；新建4立方米钢筋混凝土化粪池7座；新建6立方米钢筋混凝土化粪池3座；新建9立方米钢筋混凝土化粪池3座；沥青路面基层破除及恢复200平方米，水泥混凝土路面破除及恢复700平方米；水泥混凝土院坝破除及恢复400平方米；人行道、基层破除及恢复300平方米</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eastAsiaTheme="minorEastAsia"/>
                      <w:b w:val="0"/>
                      <w:bCs w:val="0"/>
                      <w:color w:val="000000" w:themeColor="text1"/>
                      <w:sz w:val="21"/>
                      <w:lang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响水镇国家场</w:t>
                  </w:r>
                  <w:r>
                    <w:rPr>
                      <w:rFonts w:hint="default" w:ascii="Times New Roman" w:hAnsi="Times New Roman" w:eastAsia="宋体" w:cs="Times New Roman"/>
                      <w:b w:val="0"/>
                      <w:bCs w:val="0"/>
                      <w:color w:val="auto"/>
                      <w:sz w:val="21"/>
                      <w:szCs w:val="21"/>
                      <w:lang w:val="en-US" w:eastAsia="zh-CN"/>
                    </w:rPr>
                    <w:t>污水管网补充工程</w:t>
                  </w:r>
                  <w:r>
                    <w:rPr>
                      <w:rFonts w:hint="eastAsia" w:ascii="Times New Roman" w:hAnsi="Times New Roman" w:eastAsia="宋体" w:cs="Times New Roman"/>
                      <w:b w:val="0"/>
                      <w:bCs w:val="0"/>
                      <w:color w:val="auto"/>
                      <w:sz w:val="21"/>
                      <w:szCs w:val="21"/>
                      <w:lang w:val="en-US" w:eastAsia="zh-CN"/>
                    </w:rPr>
                    <w:t>规模</w:t>
                  </w:r>
                </w:p>
              </w:tc>
              <w:tc>
                <w:tcPr>
                  <w:tcW w:w="1846" w:type="pct"/>
                  <w:gridSpan w:val="2"/>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eastAsiaTheme="minorEastAsia"/>
                      <w:color w:val="000000" w:themeColor="text1"/>
                      <w:sz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lang w:val="en-US" w:eastAsia="zh-CN"/>
                      <w14:textFill>
                        <w14:solidFill>
                          <w14:schemeClr w14:val="tx1"/>
                        </w14:solidFill>
                      </w14:textFill>
                    </w:rPr>
                    <w:t>补充建设污水管网约15200米。其中：HDPE 双壁波纹管（DN300）4000 米，D325×8 塑复合钢管(斜跌落管)300米，D325×8 塑复合钢管(架空管)200米，D219×6 塑复合钢管(压力管)1000米，∅200×4.9 埋地排污、排水硬聚氯乙烯（PVC-U）二级支管 3200 米；∅110×3.2 埋地排污、排水硬聚氯乙烯（PVC-U）三级入户管6500米；50t/d 一体化提升泵站1座；100t/d一体化提升泵站1 座；新建C30现浇水泥混凝土污水检查井(∅700)285座；消能井16座；新建6立方米钢筋混凝土化粪池2 座；新建9立方米钢筋混凝土化粪池3座；沥青路面、基层破除及恢复2250平方米；水泥砼路面破除及恢复800平方米；水泥混凝土院坝破除及恢复1260平方米</w:t>
                  </w:r>
                  <w:r>
                    <w:rPr>
                      <w:rFonts w:hint="default" w:ascii="Times New Roman" w:hAnsi="Times New Roman" w:cs="Times New Roman" w:eastAsiaTheme="minorEastAsia"/>
                      <w:color w:val="000000" w:themeColor="text1"/>
                      <w:sz w:val="21"/>
                      <w:lang w:val="en-US" w:eastAsia="zh-CN"/>
                      <w14:textFill>
                        <w14:solidFill>
                          <w14:schemeClr w14:val="tx1"/>
                        </w14:solidFill>
                      </w14:textFill>
                    </w:rPr>
                    <w:t>。</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lang w:val="en-US" w:eastAsia="zh-CN"/>
                      <w14:textFill>
                        <w14:solidFill>
                          <w14:schemeClr w14:val="tx1"/>
                        </w14:solidFill>
                      </w14:textFill>
                    </w:rPr>
                    <w:t>补充建设污水管网约15200米。其中：HDPE 双壁波纹管（DN300）4000 米，D325×8 塑复合钢管(斜跌落管)300米，D325×8 塑复合钢管(架空管)200米，D219×6 塑复合钢管(压力管)1000米，∅200×4.9 埋地排污、排水硬聚氯乙烯（PVC-U）二级支管 3200 米；∅110×3.2 埋地排污、排水硬聚氯乙烯（PVC-U）三级入户管6500米；50t/d 一体化提升泵站1座；100t/d一体化提升泵站1 座；新建C30现浇水泥混凝土污水检查井(∅700)285座；消能井16座；新建6立方米钢筋混凝土化粪池2 座；新建9立方米钢筋混凝土化粪池3座；沥青路面、基层破除及恢复2250平方米；水泥砼路面破除及恢复800平方米；水泥混凝土院坝破除及恢复1260平方米</w:t>
                  </w:r>
                  <w:r>
                    <w:rPr>
                      <w:rFonts w:hint="default" w:ascii="Times New Roman" w:hAnsi="Times New Roman" w:cs="Times New Roman" w:eastAsiaTheme="minorEastAsia"/>
                      <w:color w:val="000000" w:themeColor="text1"/>
                      <w:sz w:val="21"/>
                      <w:lang w:val="en-US" w:eastAsia="zh-CN"/>
                      <w14:textFill>
                        <w14:solidFill>
                          <w14:schemeClr w14:val="tx1"/>
                        </w14:solidFill>
                      </w14:textFill>
                    </w:rPr>
                    <w:t>。</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甘宁镇河口场</w:t>
                  </w:r>
                  <w:r>
                    <w:rPr>
                      <w:rFonts w:hint="eastAsia" w:ascii="Times New Roman" w:hAnsi="Times New Roman" w:eastAsia="宋体" w:cs="Times New Roman"/>
                      <w:b w:val="0"/>
                      <w:bCs w:val="0"/>
                      <w:color w:val="auto"/>
                      <w:sz w:val="21"/>
                      <w:szCs w:val="21"/>
                      <w:lang w:val="en-US" w:eastAsia="zh-CN"/>
                    </w:rPr>
                    <w:t>污水管网补充工程规模</w:t>
                  </w:r>
                </w:p>
              </w:tc>
              <w:tc>
                <w:tcPr>
                  <w:tcW w:w="1846" w:type="pct"/>
                  <w:gridSpan w:val="2"/>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补充建设污水管网约13530米。其中：HDPE 双壁波纹管（DN400）100 米；HDPE 双壁波纹管（DN300）3000 米，D108×6涂塑复合钢管(压力)130 米，D426×10涂塑复合钢管(连续混凝土梁)300米；∅200×4.9埋地排污、排水硬聚氯乙烯（PVC-U）二级支管 3500 米；D219×6 涂塑复合钢管（压力管）1500米∅110×3.2埋地排污、排水硬聚氯乙烯（PVC-U）三级入户管5000米；一体化提升泵站（400t/d）2 座；一体化提升泵站（50t/d）1 座； 新建C30现浇水泥混凝土污水检查井(∅700)230座；新建4立方米钢筋混凝土化粪池7座；新建6立方米钢筋混凝土化粪池5座；新建9立方米钢筋混凝土化粪池3座；沥青路面基层破除及恢复750平方米</w:t>
                  </w:r>
                  <w:r>
                    <w:rPr>
                      <w:rFonts w:hint="eastAsia" w:ascii="Times New Roman" w:hAnsi="Times New Roman" w:cs="Times New Roman" w:eastAsiaTheme="minorEastAsia"/>
                      <w:color w:val="000000" w:themeColor="text1"/>
                      <w:sz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lang w:eastAsia="zh-CN"/>
                      <w14:textFill>
                        <w14:solidFill>
                          <w14:schemeClr w14:val="tx1"/>
                        </w14:solidFill>
                      </w14:textFill>
                    </w:rPr>
                    <w:t xml:space="preserve"> 水泥混凝土路面破除及恢复500平方米；水泥混凝土院坝破除及恢复200平方米；人行道、基层破除及恢复600平方米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cs="Times New Roman" w:eastAsiaTheme="minorEastAsia"/>
                      <w:color w:val="000000" w:themeColor="text1"/>
                      <w:kern w:val="2"/>
                      <w:sz w:val="21"/>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补充建设污水管网约13530米。其中：HDPE 双壁波纹管（DN400）100 米；HDPE双壁波纹管（DN300）3000米，D108×6涂塑复合钢管(压力)130 米，D426×10涂塑复合钢管(连续混凝土梁)300米；∅200×4.9埋地排污、排水硬聚氯乙烯（PVC-U）二级支管3500米；D219×6涂塑复合钢管（压力管）1500米∅110×3.2埋地排污、排水硬聚氯乙烯（PVC-U）三级入户管5000米；一体化提升泵站（400t/d）2 座；一体化提升泵站（50t/d）1 座； 新建C30现浇水泥混凝土污水检查井(∅700)230座；新建4立方米钢筋混凝土化粪池7座；新建6立方米钢筋混凝土化粪池5座；新建9立方米钢筋混凝土化粪池3座；沥青路面基层破除及恢复750平方米</w:t>
                  </w:r>
                  <w:r>
                    <w:rPr>
                      <w:rFonts w:hint="eastAsia" w:ascii="Times New Roman" w:hAnsi="Times New Roman" w:cs="Times New Roman" w:eastAsiaTheme="minorEastAsia"/>
                      <w:color w:val="000000" w:themeColor="text1"/>
                      <w:sz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lang w:eastAsia="zh-CN"/>
                      <w14:textFill>
                        <w14:solidFill>
                          <w14:schemeClr w14:val="tx1"/>
                        </w14:solidFill>
                      </w14:textFill>
                    </w:rPr>
                    <w:t xml:space="preserve"> 水泥混凝土路面破除及恢复500平方米；水泥混凝土院坝破除及恢复200平方米；人行道、基层破除及恢复600平方米</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分水镇培文场</w:t>
                  </w:r>
                  <w:r>
                    <w:rPr>
                      <w:rFonts w:hint="default" w:ascii="Times New Roman" w:hAnsi="Times New Roman" w:eastAsia="宋体" w:cs="Times New Roman"/>
                      <w:b w:val="0"/>
                      <w:bCs w:val="0"/>
                      <w:color w:val="auto"/>
                      <w:sz w:val="21"/>
                      <w:szCs w:val="21"/>
                      <w:lang w:val="en-US" w:eastAsia="zh-CN"/>
                    </w:rPr>
                    <w:t>污水管网补充工程</w:t>
                  </w:r>
                  <w:r>
                    <w:rPr>
                      <w:rFonts w:hint="eastAsia" w:ascii="Times New Roman" w:hAnsi="Times New Roman" w:eastAsia="宋体" w:cs="Times New Roman"/>
                      <w:b w:val="0"/>
                      <w:bCs w:val="0"/>
                      <w:color w:val="auto"/>
                      <w:sz w:val="21"/>
                      <w:szCs w:val="21"/>
                      <w:lang w:val="en-US" w:eastAsia="zh-CN"/>
                    </w:rPr>
                    <w:t>规模</w:t>
                  </w:r>
                </w:p>
              </w:tc>
              <w:tc>
                <w:tcPr>
                  <w:tcW w:w="1846" w:type="pct"/>
                  <w:gridSpan w:val="2"/>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lang w:val="en-US" w:eastAsia="zh-CN"/>
                      <w14:textFill>
                        <w14:solidFill>
                          <w14:schemeClr w14:val="tx1"/>
                        </w14:solidFill>
                      </w14:textFill>
                    </w:rPr>
                    <w:t xml:space="preserve">补充建设污水管网约15400米。其中：HDPE双壁波纹管（DN400）1500米，HDPE双壁波纹管（DN300）2500米，D325×8涂塑复合钢管（斜跌落管）200米，D325×8涂塑复合钢管（连续混凝土梁）300米，D219×6涂塑复合钢管（压力）350米，D108×6涂塑复合钢管（压力）50米，∅ </w:t>
                  </w:r>
                </w:p>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eastAsiaTheme="minorEastAsia"/>
                      <w:color w:val="000000" w:themeColor="text1"/>
                      <w:sz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lang w:val="en-US" w:eastAsia="zh-CN"/>
                      <w14:textFill>
                        <w14:solidFill>
                          <w14:schemeClr w14:val="tx1"/>
                        </w14:solidFill>
                      </w14:textFill>
                    </w:rPr>
                    <w:t>200×4.9 埋地排污、排水硬聚氯乙烯（PVC-U）二级支管4500米；∅110×3.2 埋地排污、排水硬聚氯乙烯（PVC-U）三级入户管6000米；200t/d 一体化提升泵站1座；新建C30现浇水泥混凝土污水检查井(∅700)210 座；消能井5座；新建4立方米钢筋混凝土化粪池7座；新建6立方米钢筋混凝土化粪池3座；新建9立方米钢筋混凝土化粪池3座；沥青路面基层破除及恢复600平方米， 水泥混凝土路面破除及恢复400平方米；水泥混凝土院坝破除及恢复300平方米；人行道、基层破除及恢复500平方米。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lang w:val="en-US" w:eastAsia="zh-CN"/>
                      <w14:textFill>
                        <w14:solidFill>
                          <w14:schemeClr w14:val="tx1"/>
                        </w14:solidFill>
                      </w14:textFill>
                    </w:rPr>
                    <w:t xml:space="preserve">补充建设污水管网约15400米。其中：HDPE双壁波纹管（DN400）1500米，HDPE双壁波纹管（DN300）2500米，D325×8涂塑复合钢管（斜跌落管）200米，D325×8涂塑复合钢管（连续混凝土梁）300米，D219×6涂塑复合钢管（压力）350米，D108×6涂塑复合钢管（压力）50米，∅ </w:t>
                  </w:r>
                </w:p>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lang w:val="en-US" w:eastAsia="zh-CN"/>
                      <w14:textFill>
                        <w14:solidFill>
                          <w14:schemeClr w14:val="tx1"/>
                        </w14:solidFill>
                      </w14:textFill>
                    </w:rPr>
                    <w:t>200×4.9 埋地排污、排水硬聚氯乙烯（PVC-U）二级支管4500米；∅110×3.2 埋地排污、排水硬聚氯乙烯（PVC-U）三级入户管6000米；200t/d 一体化提升泵站1座；新建C30现浇水泥混凝土污水检查井(∅700)210 座；消能井5座；新建4立方米钢筋混凝土化粪池7座；新建6立方米钢筋混凝土化粪池3座；新建9立方米钢筋混凝土化粪池3座；沥青路面基层破除及恢复600平方米， 水泥混凝土路面破除及恢复400平方米；水泥混凝土院坝破除及恢复300平方米；人行道、基层破除及恢复500平方米。</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李河镇高升场</w:t>
                  </w:r>
                  <w:r>
                    <w:rPr>
                      <w:rFonts w:hint="eastAsia" w:ascii="Times New Roman" w:hAnsi="Times New Roman" w:eastAsia="宋体" w:cs="Times New Roman"/>
                      <w:b w:val="0"/>
                      <w:bCs w:val="0"/>
                      <w:color w:val="auto"/>
                      <w:sz w:val="21"/>
                      <w:szCs w:val="21"/>
                      <w:lang w:val="en-US" w:eastAsia="zh-CN"/>
                    </w:rPr>
                    <w:t>污水管网补充工程规模</w:t>
                  </w:r>
                </w:p>
              </w:tc>
              <w:tc>
                <w:tcPr>
                  <w:tcW w:w="1846" w:type="pct"/>
                  <w:gridSpan w:val="2"/>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补充建设污水管网约4812米。其中：HDPE 双壁波纹管（DN300）2218 米，D325×8涂塑复合钢管640 米；D219×6涂塑复合钢管200 米；∅200×4.9埋地排污、排水硬聚氯乙烯（PVC-U）三级入户管1754米；新建 C30 现浇水泥混凝土污水检查井7 座，配套污水检查井三级入户管</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zh-CN"/>
                    </w:rPr>
                  </w:pPr>
                  <w:r>
                    <w:rPr>
                      <w:rFonts w:hint="eastAsia" w:ascii="Times New Roman" w:hAnsi="Times New Roman" w:eastAsia="宋体" w:cs="Times New Roman"/>
                      <w:b w:val="0"/>
                      <w:bCs w:val="0"/>
                      <w:color w:val="auto"/>
                      <w:sz w:val="21"/>
                      <w:szCs w:val="21"/>
                      <w:lang w:val="en-US" w:eastAsia="zh-CN"/>
                    </w:rPr>
                    <w:t>补充建设污水管网约4812米。其中：HDPE双壁波纹管（DN300）2218 米，D325×8涂塑复合钢管640米；D219×6涂塑复合钢管200米；∅200×4.9埋地排污、排水硬聚氯乙烯（PVC-U）三级入户管1754米；新建C30现浇水泥混凝土污水检查7座，配套污水检查井三级入户管</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李河镇茅坝场</w:t>
                  </w:r>
                  <w:r>
                    <w:rPr>
                      <w:rFonts w:hint="default" w:ascii="Times New Roman" w:hAnsi="Times New Roman" w:eastAsia="宋体" w:cs="Times New Roman"/>
                      <w:b w:val="0"/>
                      <w:bCs w:val="0"/>
                      <w:color w:val="auto"/>
                      <w:sz w:val="21"/>
                      <w:szCs w:val="21"/>
                      <w:lang w:val="en-US" w:eastAsia="zh-CN"/>
                    </w:rPr>
                    <w:t>污水管网补充工程</w:t>
                  </w:r>
                  <w:r>
                    <w:rPr>
                      <w:rFonts w:hint="eastAsia" w:ascii="Times New Roman" w:hAnsi="Times New Roman" w:eastAsia="宋体" w:cs="Times New Roman"/>
                      <w:b w:val="0"/>
                      <w:bCs w:val="0"/>
                      <w:color w:val="auto"/>
                      <w:sz w:val="21"/>
                      <w:szCs w:val="21"/>
                      <w:lang w:val="en-US" w:eastAsia="zh-CN"/>
                    </w:rPr>
                    <w:t>规模</w:t>
                  </w:r>
                </w:p>
              </w:tc>
              <w:tc>
                <w:tcPr>
                  <w:tcW w:w="1846" w:type="pct"/>
                  <w:gridSpan w:val="2"/>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补充建设污水管网约 5060 米。其中：HDPE 双壁波纹管（DN300）400 米，D219×6涂塑复合钢管(架空)160 米；∅ 200×4.9 埋地排污、排水硬聚氯乙烯（PVC-U）二级支管 2000 米；∅110×3.2 埋地排污、排水硬聚氯乙烯（PVC-U）三级入户管 2500 米；新建 C30 现浇水泥混凝土污水检查井(□700)45 座，消能井 3 座；新建 4 立方米钢筋混凝土化粪池 6 座；水泥混凝土院坝破除及恢复 704 平方米；人行道、基层破除及恢复106 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补充建设污水管网约5060米。其中：HDPE双壁波纹管（DN300）400米，D219×6涂塑复合钢管(架空)160 米；∅200×4.9 埋地排污、排水硬聚氯乙烯（PVC-U）二级支管2000米；∅110×3.2 埋地排污、排水硬聚氯乙烯（PVC-U）三级入户管2500米；新建C30现浇水泥混凝土污水检查井(□700)45座，消能井3座；新建4 立方米钢筋混凝土化粪池6座；水泥混凝土院坝破除及恢复704平方米；人行道、基层破除及恢106平方米。</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高粱镇大碑场</w:t>
                  </w:r>
                  <w:r>
                    <w:rPr>
                      <w:rFonts w:hint="default" w:ascii="Times New Roman" w:hAnsi="Times New Roman" w:eastAsia="宋体" w:cs="Times New Roman"/>
                      <w:b w:val="0"/>
                      <w:bCs w:val="0"/>
                      <w:color w:val="auto"/>
                      <w:sz w:val="21"/>
                      <w:szCs w:val="21"/>
                      <w:lang w:val="en-US" w:eastAsia="zh-CN"/>
                    </w:rPr>
                    <w:t>污水管网补充工程</w:t>
                  </w:r>
                  <w:r>
                    <w:rPr>
                      <w:rFonts w:hint="eastAsia" w:ascii="Times New Roman" w:hAnsi="Times New Roman" w:eastAsia="宋体" w:cs="Times New Roman"/>
                      <w:b w:val="0"/>
                      <w:bCs w:val="0"/>
                      <w:color w:val="auto"/>
                      <w:sz w:val="21"/>
                      <w:szCs w:val="21"/>
                      <w:lang w:val="en-US" w:eastAsia="zh-CN"/>
                    </w:rPr>
                    <w:t>规模</w:t>
                  </w:r>
                </w:p>
              </w:tc>
              <w:tc>
                <w:tcPr>
                  <w:tcW w:w="1846" w:type="pct"/>
                  <w:gridSpan w:val="2"/>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补充建设污水管网约1800米。其中：HDPE 双壁波纹管（DN300）300米，∅200×4.9埋地排污、排水硬聚氯乙烯（PVC-U）三级入户管1500米；新建 C30 现浇水泥混凝土污水检查井3座，配套污水检查井三级入户管</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补充建设污水管网约1800米。其中：HDPE 双壁波纹管（DN300）300米，∅200×4.9埋地排污、排水硬聚氯乙烯（PVC-U）三级入户管1500米；新建 C30 现浇水泥混凝土污水检查井3座，配套污水检查井三级入户管</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高粱镇葵花场</w:t>
                  </w:r>
                  <w:r>
                    <w:rPr>
                      <w:rFonts w:hint="default" w:ascii="Times New Roman" w:hAnsi="Times New Roman" w:eastAsia="宋体" w:cs="Times New Roman"/>
                      <w:b w:val="0"/>
                      <w:bCs w:val="0"/>
                      <w:color w:val="auto"/>
                      <w:sz w:val="21"/>
                      <w:szCs w:val="21"/>
                      <w:lang w:val="en-US" w:eastAsia="zh-CN"/>
                    </w:rPr>
                    <w:t>污水管网补充工程</w:t>
                  </w:r>
                  <w:r>
                    <w:rPr>
                      <w:rFonts w:hint="eastAsia" w:ascii="Times New Roman" w:hAnsi="Times New Roman" w:eastAsia="宋体" w:cs="Times New Roman"/>
                      <w:b w:val="0"/>
                      <w:bCs w:val="0"/>
                      <w:color w:val="auto"/>
                      <w:sz w:val="21"/>
                      <w:szCs w:val="21"/>
                      <w:lang w:val="en-US" w:eastAsia="zh-CN"/>
                    </w:rPr>
                    <w:t>规模</w:t>
                  </w:r>
                </w:p>
              </w:tc>
              <w:tc>
                <w:tcPr>
                  <w:tcW w:w="1846" w:type="pct"/>
                  <w:gridSpan w:val="2"/>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补充建设污水管网约3900米。其中：HDPE 双壁波纹管（DN300）1000米，D325*8涂复合钢管900米，∅200×4.9埋地排污、排水硬聚氯乙烯（PVC-U）三级入户管2000米；新建 C30 现浇水泥混凝土污水检查井8座，配套污水检查井三级入户管</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补充建设污水管网约3900米。其中：HDPE 双壁波纹管（DN300）1000米，D325*8涂复合钢管900米，∅200×4.9埋地排污、排水硬聚氯乙烯（PVC-U）三级入户管2000米；新建 C30 现浇水泥混凝土污水检查井8座，配套污水检查井三级入户管</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天城镇付沟场</w:t>
                  </w:r>
                  <w:r>
                    <w:rPr>
                      <w:rFonts w:hint="default" w:ascii="Times New Roman" w:hAnsi="Times New Roman" w:eastAsia="宋体" w:cs="Times New Roman"/>
                      <w:b w:val="0"/>
                      <w:bCs w:val="0"/>
                      <w:color w:val="auto"/>
                      <w:sz w:val="21"/>
                      <w:szCs w:val="21"/>
                      <w:lang w:val="en-US" w:eastAsia="zh-CN"/>
                    </w:rPr>
                    <w:t>污水管网补充工程</w:t>
                  </w:r>
                  <w:r>
                    <w:rPr>
                      <w:rFonts w:hint="eastAsia" w:ascii="Times New Roman" w:hAnsi="Times New Roman" w:eastAsia="宋体" w:cs="Times New Roman"/>
                      <w:b w:val="0"/>
                      <w:bCs w:val="0"/>
                      <w:color w:val="auto"/>
                      <w:sz w:val="21"/>
                      <w:szCs w:val="21"/>
                      <w:lang w:val="en-US" w:eastAsia="zh-CN"/>
                    </w:rPr>
                    <w:t>规模</w:t>
                  </w:r>
                </w:p>
              </w:tc>
              <w:tc>
                <w:tcPr>
                  <w:tcW w:w="1846" w:type="pct"/>
                  <w:gridSpan w:val="2"/>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补充建设污水管网32202米。其中：HDPE 双壁波纹管（DN300）400米，D426×10涂塑复合钢管500米；D325×8涂塑复合钢管100米，D219×6涂塑复合钢管50米；∅200×4.9埋地排污、排水硬聚氯乙烯（PVC-U）三级入户管2000米；新建 C30 现浇水泥混凝土污水检查井5 座，配套污水检查井三级入户管</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补充建设污水管网32202米。其中：HDPE 双壁波纹管（DN300）400米，D426×10涂塑复合钢管500米；D325×8涂塑复合钢管100米，D219×6涂塑复合钢管50米；∅200×4.9埋地排污、排水硬聚氯乙烯（PVC-U）三级入户管2000米；新建 C30 现浇水泥混凝土污水检查井5 座，配套污水检查井三级入户管</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地点</w:t>
                  </w:r>
                </w:p>
              </w:tc>
              <w:tc>
                <w:tcPr>
                  <w:tcW w:w="1846" w:type="pct"/>
                  <w:gridSpan w:val="2"/>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万州区</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万州区</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无变化</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7"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施工</w:t>
                  </w:r>
                </w:p>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工艺</w:t>
                  </w:r>
                </w:p>
              </w:tc>
              <w:tc>
                <w:tcPr>
                  <w:tcW w:w="1846" w:type="pct"/>
                  <w:gridSpan w:val="2"/>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管槽基础开挖→管道敷设→闭水试验、回填→路面恢复</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管槽基础开挖→管道敷设→闭水试验、回填→路面恢复</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无变化</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污染防治措施</w:t>
                  </w:r>
                </w:p>
              </w:tc>
              <w:tc>
                <w:tcPr>
                  <w:tcW w:w="1846" w:type="pct"/>
                  <w:gridSpan w:val="2"/>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eastAsiaTheme="minorEastAsia"/>
                      <w:b/>
                      <w:bCs/>
                      <w:color w:val="000000" w:themeColor="text1"/>
                      <w:spacing w:val="-3"/>
                      <w:sz w:val="21"/>
                      <w:lang w:eastAsia="zh-CN"/>
                      <w14:textFill>
                        <w14:solidFill>
                          <w14:schemeClr w14:val="tx1"/>
                        </w14:solidFill>
                      </w14:textFill>
                    </w:rPr>
                    <w:t>废水</w:t>
                  </w:r>
                  <w:r>
                    <w:rPr>
                      <w:rFonts w:hint="eastAsia" w:ascii="Times New Roman" w:hAnsi="Times New Roman" w:cs="Times New Roman" w:eastAsiaTheme="minorEastAsia"/>
                      <w:color w:val="000000" w:themeColor="text1"/>
                      <w:spacing w:val="-3"/>
                      <w:sz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生活污水依托沿线居民房现有 的污水收集处理设施</w:t>
                  </w:r>
                  <w:r>
                    <w:rPr>
                      <w:rFonts w:hint="default" w:ascii="Times New Roman" w:hAnsi="Times New Roman" w:cs="Times New Roman"/>
                      <w:color w:val="000000" w:themeColor="text1"/>
                      <w14:textFill>
                        <w14:solidFill>
                          <w14:schemeClr w14:val="tx1"/>
                        </w14:solidFill>
                      </w14:textFill>
                    </w:rPr>
                    <w:t>。</w:t>
                  </w:r>
                </w:p>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b/>
                      <w:bCs/>
                      <w:color w:val="000000" w:themeColor="text1"/>
                      <w:lang w:eastAsia="zh-CN"/>
                      <w14:textFill>
                        <w14:solidFill>
                          <w14:schemeClr w14:val="tx1"/>
                        </w14:solidFill>
                      </w14:textFill>
                    </w:rPr>
                    <w:t>废气</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洒水抑尘；运输车辆进出场设清洗池、严禁带泥土上路、严禁超载、并设掩盖和防护措施；车辆限速，使用清洁燃料等。</w:t>
                  </w:r>
                </w:p>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b/>
                      <w:bCs/>
                      <w:color w:val="000000" w:themeColor="text1"/>
                      <w:lang w:eastAsia="zh-CN"/>
                      <w14:textFill>
                        <w14:solidFill>
                          <w14:schemeClr w14:val="tx1"/>
                        </w14:solidFill>
                      </w14:textFill>
                    </w:rPr>
                    <w:t>固废</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施工期剥离物运至排土场临时分区堆放，表土用于闭矿期土地复垦，废石外售；施工人员生活垃圾统一收集后交由当地环卫部门处置。设置危废暂存间暂存废机油等危险废物。</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eastAsiaTheme="minorEastAsia"/>
                      <w:b/>
                      <w:bCs/>
                      <w:color w:val="000000" w:themeColor="text1"/>
                      <w:spacing w:val="-3"/>
                      <w:sz w:val="21"/>
                      <w:lang w:eastAsia="zh-CN"/>
                      <w14:textFill>
                        <w14:solidFill>
                          <w14:schemeClr w14:val="tx1"/>
                        </w14:solidFill>
                      </w14:textFill>
                    </w:rPr>
                    <w:t>废水</w:t>
                  </w:r>
                  <w:r>
                    <w:rPr>
                      <w:rFonts w:hint="eastAsia" w:ascii="Times New Roman" w:hAnsi="Times New Roman" w:cs="Times New Roman" w:eastAsiaTheme="minorEastAsia"/>
                      <w:color w:val="000000" w:themeColor="text1"/>
                      <w:spacing w:val="-3"/>
                      <w:sz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生活污水依托沿线居民房现有 的污水收集处理设施</w:t>
                  </w:r>
                  <w:r>
                    <w:rPr>
                      <w:rFonts w:hint="default" w:ascii="Times New Roman" w:hAnsi="Times New Roman" w:cs="Times New Roman"/>
                      <w:color w:val="000000" w:themeColor="text1"/>
                      <w14:textFill>
                        <w14:solidFill>
                          <w14:schemeClr w14:val="tx1"/>
                        </w14:solidFill>
                      </w14:textFill>
                    </w:rPr>
                    <w:t>。</w:t>
                  </w:r>
                </w:p>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b/>
                      <w:bCs/>
                      <w:color w:val="000000" w:themeColor="text1"/>
                      <w:lang w:eastAsia="zh-CN"/>
                      <w14:textFill>
                        <w14:solidFill>
                          <w14:schemeClr w14:val="tx1"/>
                        </w14:solidFill>
                      </w14:textFill>
                    </w:rPr>
                    <w:t>废气</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洒水抑尘；运输车辆进出场设清洗池、严禁带泥土上路、严禁超载、并设掩盖和防护措施；车辆限速，使用清洁燃料等。</w:t>
                  </w:r>
                </w:p>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eastAsia" w:ascii="Times New Roman" w:hAnsi="Times New Roman" w:cs="Times New Roman"/>
                      <w:b/>
                      <w:bCs/>
                      <w:color w:val="000000" w:themeColor="text1"/>
                      <w:lang w:eastAsia="zh-CN"/>
                      <w14:textFill>
                        <w14:solidFill>
                          <w14:schemeClr w14:val="tx1"/>
                        </w14:solidFill>
                      </w14:textFill>
                    </w:rPr>
                    <w:t>固废</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施工期剥离物运至排土场临时分区堆放，表土用于闭矿期土地复垦，废石外售；施工人员生活垃圾统一收集后交由当地环卫部门处置。设置危废暂存间暂存废机油等危险废物。</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0"/>
                      <w14:textFill>
                        <w14:solidFill>
                          <w14:schemeClr w14:val="tx1"/>
                        </w14:solidFill>
                      </w14:textFill>
                    </w:rPr>
                  </w:pPr>
                </w:p>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0"/>
                      <w14:textFill>
                        <w14:solidFill>
                          <w14:schemeClr w14:val="tx1"/>
                        </w14:solidFill>
                      </w14:textFill>
                    </w:rPr>
                  </w:pPr>
                </w:p>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2"/>
                      <w14:textFill>
                        <w14:solidFill>
                          <w14:schemeClr w14:val="tx1"/>
                        </w14:solidFill>
                      </w14:textFill>
                    </w:rPr>
                  </w:pPr>
                </w:p>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无变化</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变化情况说明：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根据《环境影响评价法》和《建设项目环境保护管理条例》有关规定，建设项目得性质、规模、地点、生产工艺和环境保护措施五个因素中的一项或一项以上发生重大变动，且可能导致环境影响显著变化（特别是不利环境影响加重）的界定为重大变动。</w:t>
            </w:r>
            <w:r>
              <w:rPr>
                <w:rFonts w:hint="eastAsia" w:cs="Times New Roman" w:eastAsiaTheme="minorEastAsia"/>
                <w:color w:val="000000" w:themeColor="text1"/>
                <w:kern w:val="2"/>
                <w:sz w:val="24"/>
                <w:szCs w:val="24"/>
                <w:lang w:val="en-US" w:eastAsia="zh-CN" w:bidi="ar-SA"/>
                <w14:textFill>
                  <w14:solidFill>
                    <w14:schemeClr w14:val="tx1"/>
                  </w14:solidFill>
                </w14:textFill>
              </w:rPr>
              <w:t>本项目建设性质、建设地点、生产工艺和环境保护措施与环评一致，建设规模未发生变化，建成后，运营期对环境无显著影响。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因此本项目变动情况不属于重大变动，可纳入竣工环境保护验收管理。</w:t>
            </w:r>
          </w:p>
          <w:p>
            <w:pPr>
              <w:adjustRightInd w:val="0"/>
              <w:snapToGrid w:val="0"/>
              <w:spacing w:line="380" w:lineRule="exact"/>
              <w:jc w:val="left"/>
              <w:rPr>
                <w:rFonts w:hint="default" w:ascii="Times New Roman" w:hAnsi="Times New Roman" w:eastAsia="宋体" w:cs="Times New Roman"/>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00" w:type="pct"/>
            <w:shd w:val="clear" w:color="auto" w:fill="auto"/>
            <w:vAlign w:val="top"/>
          </w:tcPr>
          <w:p>
            <w:pPr>
              <w:keepNext w:val="0"/>
              <w:keepLines w:val="0"/>
              <w:pageBreakBefore w:val="0"/>
              <w:kinsoku/>
              <w:wordWrap/>
              <w:overflowPunct/>
              <w:topLinePunct w:val="0"/>
              <w:bidi w:val="0"/>
              <w:adjustRightInd w:val="0"/>
              <w:snapToGrid w:val="0"/>
              <w:spacing w:line="360" w:lineRule="auto"/>
              <w:jc w:val="both"/>
              <w:textAlignment w:val="auto"/>
              <w:rPr>
                <w:rFonts w:hint="default" w:ascii="Times New Roman" w:hAnsi="Times New Roman" w:cs="Times New Roman"/>
                <w:b/>
                <w:bCs/>
                <w:color w:val="000000"/>
                <w:sz w:val="24"/>
                <w:szCs w:val="24"/>
                <w:lang w:eastAsia="zh-CN"/>
              </w:rPr>
            </w:pPr>
            <w:r>
              <w:rPr>
                <w:rFonts w:hint="default" w:ascii="Times New Roman" w:hAnsi="Times New Roman" w:cs="Times New Roman"/>
                <w:b/>
                <w:bCs/>
                <w:color w:val="000000"/>
                <w:sz w:val="24"/>
                <w:szCs w:val="24"/>
                <w:lang w:val="en-US" w:eastAsia="zh-CN"/>
              </w:rPr>
              <w:t xml:space="preserve">4.3 </w:t>
            </w:r>
            <w:r>
              <w:rPr>
                <w:rFonts w:hint="default" w:ascii="Times New Roman" w:hAnsi="Times New Roman" w:cs="Times New Roman"/>
                <w:b/>
                <w:bCs/>
                <w:color w:val="000000"/>
                <w:sz w:val="24"/>
                <w:szCs w:val="24"/>
                <w:lang w:eastAsia="zh-CN"/>
              </w:rPr>
              <w:t>工艺流程（附流程图）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sz w:val="24"/>
                <w:szCs w:val="24"/>
                <w:lang w:eastAsia="zh-CN"/>
              </w:rPr>
            </w:pPr>
            <w:r>
              <w:rPr>
                <w:rFonts w:hint="eastAsia" w:cs="Times New Roman"/>
                <w:b/>
                <w:bCs/>
                <w:sz w:val="24"/>
                <w:szCs w:val="24"/>
                <w:lang w:eastAsia="zh-CN"/>
              </w:rPr>
              <w:t>管道</w:t>
            </w:r>
            <w:r>
              <w:rPr>
                <w:rFonts w:hint="default" w:ascii="Times New Roman" w:hAnsi="Times New Roman" w:cs="Times New Roman"/>
                <w:b/>
                <w:bCs/>
                <w:sz w:val="24"/>
                <w:szCs w:val="24"/>
              </w:rPr>
              <w:t>施工方案</w:t>
            </w:r>
            <w:r>
              <w:rPr>
                <w:rFonts w:hint="default" w:ascii="Times New Roman" w:hAnsi="Times New Roman" w:cs="Times New Roman"/>
                <w:sz w:val="24"/>
                <w:szCs w:val="24"/>
              </w:rPr>
              <w:t>：管槽基础开挖→管道敷设→闭水试验、回填→路面恢复</w:t>
            </w:r>
            <w:r>
              <w:rPr>
                <w:rFonts w:hint="eastAsia" w:cs="Times New Roman"/>
                <w:sz w:val="24"/>
                <w:szCs w:val="24"/>
                <w:lang w:eastAsia="zh-CN"/>
              </w:rPr>
              <w:t>。</w:t>
            </w:r>
          </w:p>
          <w:p>
            <w:pPr>
              <w:pStyle w:val="4"/>
              <w:jc w:val="center"/>
              <w:rPr>
                <w:rFonts w:hint="eastAsia" w:eastAsia="宋体"/>
                <w:lang w:eastAsia="zh-CN"/>
              </w:rPr>
            </w:pPr>
            <w:r>
              <w:rPr>
                <w:rFonts w:hint="eastAsia" w:eastAsia="宋体"/>
                <w:lang w:eastAsia="zh-CN"/>
              </w:rPr>
              <w:drawing>
                <wp:inline distT="0" distB="0" distL="114300" distR="114300">
                  <wp:extent cx="5332730" cy="3830955"/>
                  <wp:effectExtent l="0" t="0" r="1270" b="1714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20"/>
                          <a:stretch>
                            <a:fillRect/>
                          </a:stretch>
                        </pic:blipFill>
                        <pic:spPr>
                          <a:xfrm>
                            <a:off x="0" y="0"/>
                            <a:ext cx="5332730" cy="38309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图4-2  管道施工工艺及产排污环节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 xml:space="preserve">1）沟槽开挖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管道采用沟槽开挖方法施工。当土石方用机械开挖时，保留0.2m土应用人工清槽，不得超挖，如若超挖应进行地基处理。沟槽开挖的宽度、边坡坡度、分层开挖每层深度等应根据施工规范并结合实际情况确定。边坡高度大于</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6m</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地段基坑支护应符合《给排水工程施工及验收规范》的有关要求。沟槽的开挖和管线敷设与回填应一致，开槽后应组织相关单位验槽，合格后尽快进行下一步工序的施工，开槽距离和量槽时间尽量短。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 xml:space="preserve">2）管道敷设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管道及检查井基础应置于密实的原状土层上，要求地基承载能力 R≥120Kpa，管道基础采用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180°</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砂石基础（中粗砂）。若遇流砂、污泥、松散杂填土及回填土等软弱地基时，应根据当地实际情况采取连砂石换填或其它加固措施，使其达到设计要求的承载力。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 xml:space="preserve">3）沟槽回填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管顶回填土应在管座混凝土强度达到5Mpa以上才可进行；沟槽两侧应同时回填，两侧高差不得超过</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30cm</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。管顶</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50cm</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以上直至道路垫层底部范围内应逐层整平夯实及碾压，回填材料应对称运入槽内，严禁用机械推土回填。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 xml:space="preserve">回填材料采用最大粒径小于40mm级配碎石回填。遇地下水或雨后施工必须先排水再分层随填随压密实；杜绝带水回填或水夯法施工，排水经沉淀池处理后回用。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沟槽回填从管底基础部分开始到管顶以上</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500mm</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范围内，必须采用人工回填；管顶</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500mm</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以上部位，可采用机械从管道轴线两侧同时夯实；每层回填高度应不大于</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200mm</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 xml:space="preserve">4）闭水试验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 xml:space="preserve">除雨水连接管外，雨水和污水管道均要求在回填之前带井作闭水试验，合格后方可回填。无压管道闭水试验方法及允许渗水量详《给水排水管道工程施工及验收规范》GB50268-2008。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5</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 xml:space="preserve">）施工验收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施工中各分项、分部及单项工程均应采用《给水排水管道工程施工及验收规范》（</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GB 50268-2008</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）及时检查验收。上道工序、分部工程未按有关标准验收合格前不得进行下道工序或相关分部工程的施工。</w:t>
            </w:r>
          </w:p>
          <w:p>
            <w:pPr>
              <w:keepNext w:val="0"/>
              <w:keepLines w:val="0"/>
              <w:pageBreakBefore w:val="0"/>
              <w:kinsoku/>
              <w:wordWrap/>
              <w:overflowPunct/>
              <w:topLinePunct w:val="0"/>
              <w:autoSpaceDE/>
              <w:autoSpaceDN/>
              <w:bidi w:val="0"/>
              <w:adjustRightInd w:val="0"/>
              <w:snapToGrid w:val="0"/>
              <w:spacing w:line="360" w:lineRule="auto"/>
              <w:jc w:val="left"/>
              <w:textAlignment w:val="auto"/>
              <w:outlineLvl w:val="2"/>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检查井、跌水井施工工艺</w:t>
            </w:r>
          </w:p>
          <w:p>
            <w:pPr>
              <w:pStyle w:val="32"/>
            </w:pPr>
            <w:r>
              <w:drawing>
                <wp:inline distT="0" distB="0" distL="114300" distR="114300">
                  <wp:extent cx="5143500" cy="15811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5143500" cy="1581150"/>
                          </a:xfrm>
                          <a:prstGeom prst="rect">
                            <a:avLst/>
                          </a:prstGeom>
                          <a:noFill/>
                          <a:ln>
                            <a:noFill/>
                          </a:ln>
                        </pic:spPr>
                      </pic:pic>
                    </a:graphicData>
                  </a:graphic>
                </wp:inline>
              </w:drawing>
            </w:r>
          </w:p>
          <w:p>
            <w:pPr>
              <w:pStyle w:val="32"/>
              <w:jc w:val="center"/>
              <w:rPr>
                <w:rFonts w:hint="default"/>
                <w:lang w:val="en-US" w:eastAsia="zh-CN"/>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图4-</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eastAsia="宋体" w:cs="Times New Roman"/>
                <w:b/>
                <w:bCs/>
                <w:sz w:val="24"/>
                <w:szCs w:val="24"/>
              </w:rPr>
              <w:t>检查井、跌水井</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施工工艺及产排污环节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（1）基础开挖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在地基上开挖2～4米深的检查井、跌水井基础。基础开挖会产生噪声和粉尘。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（2）混凝土浆拌合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将水泥、砂、石子等进行拌合，采用机械拌和，砂浆应随拌随用，一般在3个小时内用完。混凝土拌合时会产生粉尘、拌合废水、噪声等。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（3）井的砌筑施工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Cs w:val="21"/>
                <w:lang w:val="en-US" w:eastAsia="zh-CN"/>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井底采取混凝土垫层，井内壁采用先搭载钢筋，然后往井中安装木板模板，最后进行混凝土抹面，并用1：2混凝土勾缝，取出木板模板。遇地下水时，井外墙用20mm厚1：2混凝土抹面至地下水位以上500mm。井圈采用C30砼，铸铁井盖及座圈安装时用1：2混凝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5000" w:type="pct"/>
            <w:shd w:val="clear" w:color="auto" w:fill="auto"/>
            <w:vAlign w:val="center"/>
          </w:tcPr>
          <w:p>
            <w:pPr>
              <w:autoSpaceDE w:val="0"/>
              <w:autoSpaceDN w:val="0"/>
              <w:adjustRightInd w:val="0"/>
              <w:snapToGrid w:val="0"/>
              <w:spacing w:line="360" w:lineRule="auto"/>
              <w:jc w:val="left"/>
              <w:rPr>
                <w:rFonts w:hint="default" w:ascii="Times New Roman" w:hAnsi="Times New Roman" w:eastAsia="宋体" w:cs="Times New Roman"/>
                <w:b/>
                <w:color w:val="000000"/>
                <w:sz w:val="24"/>
                <w:szCs w:val="24"/>
              </w:rPr>
            </w:pPr>
            <w:r>
              <w:rPr>
                <w:rFonts w:hint="default" w:ascii="Times New Roman" w:hAnsi="Times New Roman" w:cs="Times New Roman"/>
                <w:b/>
                <w:color w:val="000000"/>
                <w:sz w:val="24"/>
                <w:szCs w:val="24"/>
                <w:lang w:val="en-US" w:eastAsia="zh-CN"/>
              </w:rPr>
              <w:t xml:space="preserve">4.4 </w:t>
            </w:r>
            <w:r>
              <w:rPr>
                <w:rFonts w:hint="default" w:ascii="Times New Roman" w:hAnsi="Times New Roman" w:eastAsia="宋体" w:cs="Times New Roman"/>
                <w:b/>
                <w:color w:val="000000"/>
                <w:sz w:val="24"/>
                <w:szCs w:val="24"/>
              </w:rPr>
              <w:t>工程占地及平面布置（附图）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color w:val="000000" w:themeColor="text1"/>
                <w:sz w:val="24"/>
                <w:szCs w:val="24"/>
                <w14:textFill>
                  <w14:solidFill>
                    <w14:schemeClr w14:val="tx1"/>
                  </w14:solidFill>
                </w14:textFill>
              </w:rPr>
              <w:t>本项目共有</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三</w:t>
            </w:r>
            <w:r>
              <w:rPr>
                <w:rFonts w:hint="eastAsia" w:ascii="Times New Roman" w:hAnsi="Times New Roman" w:cs="Times New Roman" w:eastAsiaTheme="minorEastAsia"/>
                <w:color w:val="000000" w:themeColor="text1"/>
                <w:sz w:val="24"/>
                <w:szCs w:val="24"/>
                <w14:textFill>
                  <w14:solidFill>
                    <w14:schemeClr w14:val="tx1"/>
                  </w14:solidFill>
                </w14:textFill>
              </w:rPr>
              <w:t>种规模的污水管道，一为住户2楼以上污水搜集管，本次设计建议采用∅110×4无压埋地排污、排水硬聚氯乙烯（PVC-U）管材；二为住户污水或者化粪池到污水主管的连接管，本次设计建议采用∅200×4.9无压埋地排污、排水硬聚氯乙烯（PVC-U）管材；三为重要污水支管及主管，本次设计推荐采用DN300改性高密度聚乙烯HDPE-IW六棱结构壁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color w:val="000000" w:themeColor="text1"/>
                <w:sz w:val="24"/>
                <w:szCs w:val="24"/>
                <w14:textFill>
                  <w14:solidFill>
                    <w14:schemeClr w14:val="tx1"/>
                  </w14:solidFill>
                </w14:textFill>
              </w:rPr>
              <w:t>其中污水搜集管及污水连接管主要作用为连接污水出户管，将相对较集中的住户污水进行收集并排入污水主管。其平面位置主要为结合现状地形沿自然地形布置，管道转弯处采用管件连接，可根据地形及实际情况进行平面调整，原则上坡度不小于0.003。出户管接入本次设计污水检查井需横穿现状排水沟时，不要占用排水沟断面，应从排水沟底部下横穿。</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color w:val="000000" w:themeColor="text1"/>
                <w:sz w:val="24"/>
                <w:szCs w:val="24"/>
                <w14:textFill>
                  <w14:solidFill>
                    <w14:schemeClr w14:val="tx1"/>
                  </w14:solidFill>
                </w14:textFill>
              </w:rPr>
              <w:t>污水主管网则需根据各片区住户的布置情况，考虑沿现状地形等高线及现状道路相结合的方式布置平面。布置在现状道路下时，尽量靠近道路外侧布置，减少对现状路面的破除。</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eastAsiaTheme="minorEastAsia"/>
                <w:color w:val="000000" w:themeColor="text1"/>
                <w:sz w:val="24"/>
                <w:szCs w:val="24"/>
                <w14:textFill>
                  <w14:solidFill>
                    <w14:schemeClr w14:val="tx1"/>
                  </w14:solidFill>
                </w14:textFill>
              </w:rPr>
              <w:t>本次设计污水主管平面布置与规划基本保持一致，支管根据现场踏勘进行细化调整。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5" w:hRule="atLeast"/>
          <w:jc w:val="center"/>
        </w:trPr>
        <w:tc>
          <w:tcPr>
            <w:tcW w:w="5000" w:type="pct"/>
            <w:shd w:val="clear" w:color="auto" w:fill="auto"/>
            <w:vAlign w:val="top"/>
          </w:tcPr>
          <w:p>
            <w:pPr>
              <w:autoSpaceDE w:val="0"/>
              <w:autoSpaceDN w:val="0"/>
              <w:adjustRightInd w:val="0"/>
              <w:snapToGrid w:val="0"/>
              <w:spacing w:line="360" w:lineRule="auto"/>
              <w:jc w:val="both"/>
              <w:rPr>
                <w:rFonts w:hint="default" w:ascii="Times New Roman" w:hAnsi="Times New Roman" w:eastAsia="宋体" w:cs="Times New Roman"/>
                <w:b/>
                <w:bCs/>
                <w:sz w:val="24"/>
                <w:szCs w:val="24"/>
              </w:rPr>
            </w:pPr>
            <w:r>
              <w:rPr>
                <w:rFonts w:hint="default" w:ascii="Times New Roman" w:hAnsi="Times New Roman" w:cs="Times New Roman"/>
                <w:b/>
                <w:bCs/>
                <w:color w:val="000000"/>
                <w:sz w:val="24"/>
                <w:szCs w:val="24"/>
                <w:lang w:val="en-US" w:eastAsia="zh-CN"/>
              </w:rPr>
              <w:t xml:space="preserve">4.5 </w:t>
            </w:r>
            <w:r>
              <w:rPr>
                <w:rFonts w:hint="default" w:ascii="Times New Roman" w:hAnsi="Times New Roman" w:eastAsia="宋体" w:cs="Times New Roman"/>
                <w:b/>
                <w:bCs/>
                <w:color w:val="000000"/>
                <w:sz w:val="24"/>
                <w:szCs w:val="24"/>
              </w:rPr>
              <w:t>工程</w:t>
            </w:r>
            <w:r>
              <w:rPr>
                <w:rFonts w:hint="default" w:ascii="Times New Roman" w:hAnsi="Times New Roman" w:eastAsia="宋体" w:cs="Times New Roman"/>
                <w:b/>
                <w:bCs/>
                <w:sz w:val="24"/>
                <w:szCs w:val="24"/>
              </w:rPr>
              <w:t>环境保护投资明细</w:t>
            </w:r>
          </w:p>
          <w:p>
            <w:pPr>
              <w:autoSpaceDE w:val="0"/>
              <w:autoSpaceDN w:val="0"/>
              <w:adjustRightInd w:val="0"/>
              <w:snapToGrid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本工程计划总投资为</w:t>
            </w:r>
            <w:r>
              <w:rPr>
                <w:rFonts w:hint="eastAsia" w:cs="Times New Roman"/>
                <w:color w:val="auto"/>
                <w:sz w:val="24"/>
                <w:szCs w:val="24"/>
                <w:lang w:val="en-US" w:eastAsia="zh-CN"/>
              </w:rPr>
              <w:t>16400.00</w:t>
            </w:r>
            <w:r>
              <w:rPr>
                <w:rFonts w:hint="default" w:ascii="Times New Roman" w:hAnsi="Times New Roman" w:eastAsia="宋体" w:cs="Times New Roman"/>
                <w:color w:val="auto"/>
                <w:sz w:val="24"/>
                <w:szCs w:val="24"/>
              </w:rPr>
              <w:t>万元，计划环保投资为</w:t>
            </w:r>
            <w:r>
              <w:rPr>
                <w:rFonts w:hint="eastAsia" w:cs="Times New Roman"/>
                <w:color w:val="auto"/>
                <w:sz w:val="24"/>
                <w:szCs w:val="24"/>
                <w:lang w:val="en-US" w:eastAsia="zh-CN"/>
              </w:rPr>
              <w:t>274.00</w:t>
            </w:r>
            <w:r>
              <w:rPr>
                <w:rFonts w:hint="default" w:ascii="Times New Roman" w:hAnsi="Times New Roman" w:eastAsia="宋体" w:cs="Times New Roman"/>
                <w:color w:val="auto"/>
                <w:sz w:val="24"/>
                <w:szCs w:val="24"/>
              </w:rPr>
              <w:t>万元；实际总投资为</w:t>
            </w:r>
            <w:r>
              <w:rPr>
                <w:rFonts w:hint="eastAsia" w:cs="Times New Roman"/>
                <w:color w:val="auto"/>
                <w:sz w:val="24"/>
                <w:szCs w:val="24"/>
                <w:lang w:val="en-US" w:eastAsia="zh-CN"/>
              </w:rPr>
              <w:t>16400.00</w:t>
            </w:r>
            <w:r>
              <w:rPr>
                <w:rFonts w:hint="default" w:ascii="Times New Roman" w:hAnsi="Times New Roman" w:eastAsia="宋体" w:cs="Times New Roman"/>
                <w:color w:val="auto"/>
                <w:sz w:val="24"/>
                <w:szCs w:val="24"/>
              </w:rPr>
              <w:t>万元，其中环保投资</w:t>
            </w:r>
            <w:r>
              <w:rPr>
                <w:rFonts w:hint="eastAsia" w:cs="Times New Roman"/>
                <w:color w:val="auto"/>
                <w:sz w:val="24"/>
                <w:szCs w:val="24"/>
                <w:lang w:val="en-US" w:eastAsia="zh-CN"/>
              </w:rPr>
              <w:t>274.00</w:t>
            </w:r>
            <w:r>
              <w:rPr>
                <w:rFonts w:hint="default" w:ascii="Times New Roman" w:hAnsi="Times New Roman" w:eastAsia="宋体" w:cs="Times New Roman"/>
                <w:color w:val="auto"/>
                <w:sz w:val="24"/>
                <w:szCs w:val="24"/>
              </w:rPr>
              <w:t>万元，占实际总投资的</w:t>
            </w:r>
            <w:r>
              <w:rPr>
                <w:rFonts w:hint="eastAsia" w:cs="Times New Roman"/>
                <w:color w:val="auto"/>
                <w:sz w:val="24"/>
                <w:szCs w:val="24"/>
                <w:lang w:val="en-US" w:eastAsia="zh-CN"/>
              </w:rPr>
              <w:t>1.7</w:t>
            </w:r>
            <w:r>
              <w:rPr>
                <w:rFonts w:hint="default" w:ascii="Times New Roman" w:hAnsi="Times New Roman" w:eastAsia="宋体" w:cs="Times New Roman"/>
                <w:color w:val="auto"/>
                <w:sz w:val="24"/>
                <w:szCs w:val="24"/>
              </w:rPr>
              <w:t>%，环保投资计划及实际费用见表4-</w:t>
            </w:r>
            <w:r>
              <w:rPr>
                <w:rFonts w:hint="default"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sz w:val="24"/>
                <w:szCs w:val="24"/>
                <w:lang w:val="en-US" w:eastAsia="zh-CN"/>
              </w:rPr>
            </w:pPr>
          </w:p>
        </w:tc>
      </w:tr>
    </w:tbl>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bCs/>
          <w:sz w:val="24"/>
          <w:szCs w:val="24"/>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0" w:hRule="atLeast"/>
        </w:trPr>
        <w:tc>
          <w:tcPr>
            <w:tcW w:w="14174" w:type="dxa"/>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表4-</w:t>
            </w:r>
            <w:r>
              <w:rPr>
                <w:rFonts w:hint="default" w:ascii="Times New Roman" w:hAnsi="Times New Roman" w:cs="Times New Roman"/>
                <w:b/>
                <w:bCs/>
                <w:sz w:val="24"/>
                <w:szCs w:val="24"/>
                <w:lang w:val="en-US" w:eastAsia="zh-CN"/>
              </w:rPr>
              <w:t>4</w:t>
            </w:r>
            <w:r>
              <w:rPr>
                <w:rFonts w:hint="default" w:ascii="Times New Roman" w:hAnsi="Times New Roman" w:eastAsia="宋体" w:cs="Times New Roman"/>
                <w:b/>
                <w:bCs/>
                <w:sz w:val="24"/>
                <w:szCs w:val="24"/>
              </w:rPr>
              <w:t xml:space="preserve">  环保投资估算分项表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951"/>
              <w:gridCol w:w="1590"/>
              <w:gridCol w:w="1170"/>
              <w:gridCol w:w="3645"/>
              <w:gridCol w:w="990"/>
              <w:gridCol w:w="4065"/>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rPr>
                    <w:t>时段</w:t>
                  </w:r>
                </w:p>
              </w:tc>
              <w:tc>
                <w:tcPr>
                  <w:tcW w:w="951" w:type="dxa"/>
                  <w:vAlign w:val="center"/>
                </w:tcPr>
                <w:p>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rPr>
                    <w:t>类别</w:t>
                  </w:r>
                </w:p>
              </w:tc>
              <w:tc>
                <w:tcPr>
                  <w:tcW w:w="1590" w:type="dxa"/>
                  <w:vAlign w:val="center"/>
                </w:tcPr>
                <w:p>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rPr>
                    <w:t>治理内容</w:t>
                  </w:r>
                </w:p>
              </w:tc>
              <w:tc>
                <w:tcPr>
                  <w:tcW w:w="1170" w:type="dxa"/>
                  <w:vAlign w:val="center"/>
                </w:tcPr>
                <w:p>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rPr>
                    <w:t>污染物名称</w:t>
                  </w:r>
                </w:p>
              </w:tc>
              <w:tc>
                <w:tcPr>
                  <w:tcW w:w="3645" w:type="dxa"/>
                  <w:vAlign w:val="center"/>
                </w:tcPr>
                <w:p>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lang w:eastAsia="zh-CN"/>
                    </w:rPr>
                    <w:t>环评文件及批复文件中</w:t>
                  </w:r>
                  <w:r>
                    <w:rPr>
                      <w:rFonts w:hint="default" w:ascii="Times New Roman" w:hAnsi="Times New Roman" w:cs="Times New Roman" w:eastAsiaTheme="minorEastAsia"/>
                      <w:b w:val="0"/>
                      <w:bCs w:val="0"/>
                      <w:sz w:val="21"/>
                      <w:szCs w:val="21"/>
                    </w:rPr>
                    <w:t>治理措施</w:t>
                  </w:r>
                </w:p>
              </w:tc>
              <w:tc>
                <w:tcPr>
                  <w:tcW w:w="990" w:type="dxa"/>
                  <w:vAlign w:val="center"/>
                </w:tcPr>
                <w:p>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lang w:eastAsia="zh-CN"/>
                    </w:rPr>
                    <w:t>设计环保</w:t>
                  </w:r>
                  <w:r>
                    <w:rPr>
                      <w:rFonts w:hint="default" w:ascii="Times New Roman" w:hAnsi="Times New Roman" w:cs="Times New Roman" w:eastAsiaTheme="minorEastAsia"/>
                      <w:b w:val="0"/>
                      <w:bCs w:val="0"/>
                      <w:sz w:val="21"/>
                      <w:szCs w:val="21"/>
                    </w:rPr>
                    <w:t>投资（万元）</w:t>
                  </w:r>
                </w:p>
              </w:tc>
              <w:tc>
                <w:tcPr>
                  <w:tcW w:w="4065" w:type="dxa"/>
                  <w:vAlign w:val="center"/>
                </w:tcPr>
                <w:p>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cs="Times New Roman" w:eastAsiaTheme="minorEastAsia"/>
                      <w:b w:val="0"/>
                      <w:bCs w:val="0"/>
                      <w:sz w:val="21"/>
                      <w:szCs w:val="21"/>
                      <w:lang w:eastAsia="zh-CN"/>
                    </w:rPr>
                  </w:pPr>
                  <w:r>
                    <w:rPr>
                      <w:rFonts w:hint="default" w:ascii="Times New Roman" w:hAnsi="Times New Roman" w:cs="Times New Roman" w:eastAsiaTheme="minorEastAsia"/>
                      <w:b w:val="0"/>
                      <w:bCs w:val="0"/>
                      <w:sz w:val="21"/>
                      <w:szCs w:val="21"/>
                      <w:lang w:eastAsia="zh-CN"/>
                    </w:rPr>
                    <w:t>实际采取治理措施</w:t>
                  </w:r>
                </w:p>
              </w:tc>
              <w:tc>
                <w:tcPr>
                  <w:tcW w:w="1044" w:type="dxa"/>
                  <w:vAlign w:val="center"/>
                </w:tcPr>
                <w:p>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cs="Times New Roman" w:eastAsiaTheme="minorEastAsia"/>
                      <w:b w:val="0"/>
                      <w:bCs w:val="0"/>
                      <w:sz w:val="21"/>
                      <w:szCs w:val="21"/>
                      <w:lang w:eastAsia="zh-CN"/>
                    </w:rPr>
                  </w:pPr>
                  <w:r>
                    <w:rPr>
                      <w:rFonts w:hint="default" w:ascii="Times New Roman" w:hAnsi="Times New Roman" w:cs="Times New Roman" w:eastAsiaTheme="minorEastAsia"/>
                      <w:b w:val="0"/>
                      <w:bCs w:val="0"/>
                      <w:sz w:val="21"/>
                      <w:szCs w:val="21"/>
                      <w:lang w:eastAsia="zh-CN"/>
                    </w:rPr>
                    <w:t>实际环保投资</w:t>
                  </w:r>
                  <w:r>
                    <w:rPr>
                      <w:rFonts w:hint="default" w:ascii="Times New Roman" w:hAnsi="Times New Roman" w:cs="Times New Roman" w:eastAsiaTheme="minorEastAsia"/>
                      <w:b w:val="0"/>
                      <w:bCs w:val="0"/>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restart"/>
                  <w:vAlign w:val="center"/>
                </w:tcPr>
                <w:p>
                  <w:pPr>
                    <w:spacing w:line="300" w:lineRule="exact"/>
                    <w:jc w:val="center"/>
                    <w:rPr>
                      <w:rFonts w:hint="eastAsia"/>
                      <w:color w:val="auto"/>
                      <w:sz w:val="21"/>
                      <w:szCs w:val="21"/>
                    </w:rPr>
                  </w:pPr>
                  <w:r>
                    <w:rPr>
                      <w:rFonts w:hint="eastAsia"/>
                      <w:color w:val="auto"/>
                      <w:sz w:val="21"/>
                      <w:szCs w:val="21"/>
                    </w:rPr>
                    <w:t>施</w:t>
                  </w:r>
                </w:p>
                <w:p>
                  <w:pPr>
                    <w:spacing w:line="300" w:lineRule="exact"/>
                    <w:jc w:val="center"/>
                    <w:rPr>
                      <w:rFonts w:hint="eastAsia"/>
                      <w:color w:val="auto"/>
                      <w:sz w:val="21"/>
                      <w:szCs w:val="21"/>
                    </w:rPr>
                  </w:pPr>
                  <w:r>
                    <w:rPr>
                      <w:rFonts w:hint="eastAsia"/>
                      <w:color w:val="auto"/>
                      <w:sz w:val="21"/>
                      <w:szCs w:val="21"/>
                    </w:rPr>
                    <w:t>工</w:t>
                  </w:r>
                </w:p>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color w:val="auto"/>
                      <w:sz w:val="21"/>
                      <w:szCs w:val="21"/>
                    </w:rPr>
                    <w:t>期</w:t>
                  </w:r>
                </w:p>
              </w:tc>
              <w:tc>
                <w:tcPr>
                  <w:tcW w:w="951" w:type="dxa"/>
                  <w:vMerge w:val="restart"/>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color w:val="auto"/>
                      <w:sz w:val="21"/>
                      <w:szCs w:val="21"/>
                    </w:rPr>
                    <w:t>废气</w:t>
                  </w:r>
                </w:p>
              </w:tc>
              <w:tc>
                <w:tcPr>
                  <w:tcW w:w="1590"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bCs/>
                      <w:color w:val="auto"/>
                      <w:sz w:val="21"/>
                      <w:szCs w:val="21"/>
                    </w:rPr>
                    <w:t>土石方开挖、回填、砂石料运输、堆放</w:t>
                  </w:r>
                </w:p>
              </w:tc>
              <w:tc>
                <w:tcPr>
                  <w:tcW w:w="1170"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TSP</w:t>
                  </w:r>
                </w:p>
              </w:tc>
              <w:tc>
                <w:tcPr>
                  <w:tcW w:w="3645"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Ansi="宋体"/>
                      <w:color w:val="auto"/>
                      <w:sz w:val="21"/>
                      <w:szCs w:val="21"/>
                    </w:rPr>
                    <w:t>水泥采用袋装，散货水泥、砂、石子储存于临时工棚内，或用蓬布遮盖</w:t>
                  </w:r>
                  <w:r>
                    <w:rPr>
                      <w:rFonts w:hint="eastAsia" w:hAnsi="宋体"/>
                      <w:color w:val="auto"/>
                      <w:sz w:val="21"/>
                      <w:szCs w:val="21"/>
                    </w:rPr>
                    <w:t>；</w:t>
                  </w:r>
                  <w:r>
                    <w:rPr>
                      <w:color w:val="auto"/>
                      <w:sz w:val="21"/>
                      <w:szCs w:val="21"/>
                    </w:rPr>
                    <w:t>设施喷洒水管，喷洒施工场地</w:t>
                  </w:r>
                </w:p>
              </w:tc>
              <w:tc>
                <w:tcPr>
                  <w:tcW w:w="990" w:type="dxa"/>
                  <w:vMerge w:val="restart"/>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lang w:val="en-US" w:eastAsia="zh-CN"/>
                    </w:rPr>
                    <w:t>70</w:t>
                  </w:r>
                  <w:r>
                    <w:rPr>
                      <w:rFonts w:hint="eastAsia"/>
                      <w:bCs/>
                      <w:color w:val="auto"/>
                      <w:sz w:val="21"/>
                      <w:szCs w:val="21"/>
                    </w:rPr>
                    <w:t>.0</w:t>
                  </w:r>
                </w:p>
              </w:tc>
              <w:tc>
                <w:tcPr>
                  <w:tcW w:w="4065"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Ansi="宋体"/>
                      <w:color w:val="auto"/>
                      <w:sz w:val="21"/>
                      <w:szCs w:val="21"/>
                    </w:rPr>
                    <w:t>水泥采用袋装，散货水泥、砂、石子储存于临时工棚内，或用蓬布遮盖</w:t>
                  </w:r>
                  <w:r>
                    <w:rPr>
                      <w:rFonts w:hint="eastAsia" w:hAnsi="宋体"/>
                      <w:color w:val="auto"/>
                      <w:sz w:val="21"/>
                      <w:szCs w:val="21"/>
                    </w:rPr>
                    <w:t>；</w:t>
                  </w:r>
                  <w:r>
                    <w:rPr>
                      <w:color w:val="auto"/>
                      <w:sz w:val="21"/>
                      <w:szCs w:val="21"/>
                    </w:rPr>
                    <w:t>设施喷洒水管，喷洒施工场地</w:t>
                  </w:r>
                </w:p>
              </w:tc>
              <w:tc>
                <w:tcPr>
                  <w:tcW w:w="1044" w:type="dxa"/>
                  <w:vMerge w:val="restart"/>
                  <w:vAlign w:val="center"/>
                </w:tcPr>
                <w:p>
                  <w:pPr>
                    <w:spacing w:line="300" w:lineRule="exact"/>
                    <w:jc w:val="center"/>
                    <w:rPr>
                      <w:rFonts w:hint="default" w:ascii="Times New Roman" w:hAnsi="Times New Roman" w:cs="Times New Roman" w:eastAsiaTheme="minorEastAsia"/>
                      <w:b w:val="0"/>
                      <w:bCs w:val="0"/>
                      <w:sz w:val="21"/>
                      <w:szCs w:val="21"/>
                    </w:rPr>
                  </w:pPr>
                  <w:r>
                    <w:rPr>
                      <w:rFonts w:hint="eastAsia"/>
                      <w:bCs/>
                      <w:color w:val="auto"/>
                      <w:sz w:val="21"/>
                      <w:szCs w:val="21"/>
                      <w:lang w:val="en-US" w:eastAsia="zh-CN"/>
                    </w:rPr>
                    <w:t>70</w:t>
                  </w: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p>
              </w:tc>
              <w:tc>
                <w:tcPr>
                  <w:tcW w:w="951" w:type="dxa"/>
                  <w:vMerge w:val="continue"/>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p>
              </w:tc>
              <w:tc>
                <w:tcPr>
                  <w:tcW w:w="1590"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bCs/>
                      <w:color w:val="auto"/>
                      <w:sz w:val="21"/>
                      <w:szCs w:val="21"/>
                    </w:rPr>
                    <w:t>施工机械</w:t>
                  </w:r>
                  <w:r>
                    <w:rPr>
                      <w:rFonts w:hint="eastAsia"/>
                      <w:bCs/>
                      <w:color w:val="auto"/>
                      <w:sz w:val="21"/>
                      <w:szCs w:val="21"/>
                    </w:rPr>
                    <w:t>、运输车辆燃料废气</w:t>
                  </w:r>
                </w:p>
              </w:tc>
              <w:tc>
                <w:tcPr>
                  <w:tcW w:w="1170"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CO、</w:t>
                  </w:r>
                  <w:r>
                    <w:rPr>
                      <w:bCs/>
                      <w:color w:val="auto"/>
                      <w:sz w:val="21"/>
                      <w:szCs w:val="21"/>
                    </w:rPr>
                    <w:t>NOx、HC</w:t>
                  </w:r>
                </w:p>
              </w:tc>
              <w:tc>
                <w:tcPr>
                  <w:tcW w:w="3645"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加强机械设备的管理工作、</w:t>
                  </w:r>
                  <w:r>
                    <w:rPr>
                      <w:rFonts w:hint="eastAsia" w:hAnsi="宋体"/>
                      <w:color w:val="auto"/>
                      <w:sz w:val="21"/>
                      <w:szCs w:val="21"/>
                    </w:rPr>
                    <w:t>使用清洁油料</w:t>
                  </w:r>
                </w:p>
              </w:tc>
              <w:tc>
                <w:tcPr>
                  <w:tcW w:w="990" w:type="dxa"/>
                  <w:vMerge w:val="continue"/>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p>
              </w:tc>
              <w:tc>
                <w:tcPr>
                  <w:tcW w:w="4065"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加强机械设备的管理工作、</w:t>
                  </w:r>
                  <w:r>
                    <w:rPr>
                      <w:rFonts w:hint="eastAsia" w:hAnsi="宋体"/>
                      <w:color w:val="auto"/>
                      <w:sz w:val="21"/>
                      <w:szCs w:val="21"/>
                    </w:rPr>
                    <w:t>使用清洁油料</w:t>
                  </w:r>
                </w:p>
              </w:tc>
              <w:tc>
                <w:tcPr>
                  <w:tcW w:w="1044" w:type="dxa"/>
                  <w:vMerge w:val="continue"/>
                  <w:vAlign w:val="center"/>
                </w:tcPr>
                <w:p>
                  <w:pPr>
                    <w:spacing w:line="300" w:lineRule="exact"/>
                    <w:jc w:val="center"/>
                    <w:rPr>
                      <w:rFonts w:hint="default" w:ascii="Times New Roman" w:hAnsi="Times New Roman" w:cs="Times New Roman" w:eastAsiaTheme="minorEastAsia"/>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p>
              </w:tc>
              <w:tc>
                <w:tcPr>
                  <w:tcW w:w="951" w:type="dxa"/>
                  <w:vMerge w:val="restart"/>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color w:val="auto"/>
                      <w:sz w:val="21"/>
                      <w:szCs w:val="21"/>
                    </w:rPr>
                    <w:t>废水</w:t>
                  </w:r>
                </w:p>
              </w:tc>
              <w:tc>
                <w:tcPr>
                  <w:tcW w:w="1590"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施工废水</w:t>
                  </w:r>
                </w:p>
              </w:tc>
              <w:tc>
                <w:tcPr>
                  <w:tcW w:w="1170" w:type="dxa"/>
                  <w:vAlign w:val="center"/>
                </w:tcPr>
                <w:p>
                  <w:pPr>
                    <w:spacing w:line="300" w:lineRule="exact"/>
                    <w:jc w:val="center"/>
                    <w:rPr>
                      <w:rFonts w:hint="eastAsia"/>
                      <w:bCs/>
                      <w:color w:val="auto"/>
                      <w:sz w:val="21"/>
                      <w:szCs w:val="21"/>
                    </w:rPr>
                  </w:pPr>
                  <w:r>
                    <w:rPr>
                      <w:rFonts w:hint="eastAsia"/>
                      <w:bCs/>
                      <w:color w:val="auto"/>
                      <w:sz w:val="21"/>
                      <w:szCs w:val="21"/>
                    </w:rPr>
                    <w:t>SS、</w:t>
                  </w:r>
                </w:p>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石油类</w:t>
                  </w:r>
                </w:p>
              </w:tc>
              <w:tc>
                <w:tcPr>
                  <w:tcW w:w="3645"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color w:val="auto"/>
                      <w:sz w:val="21"/>
                      <w:szCs w:val="21"/>
                    </w:rPr>
                    <w:t>沉淀处理后</w:t>
                  </w:r>
                  <w:r>
                    <w:rPr>
                      <w:rFonts w:hint="eastAsia"/>
                      <w:color w:val="auto"/>
                      <w:sz w:val="21"/>
                      <w:szCs w:val="21"/>
                      <w:lang w:eastAsia="zh-CN"/>
                    </w:rPr>
                    <w:t>回用</w:t>
                  </w:r>
                  <w:r>
                    <w:rPr>
                      <w:color w:val="auto"/>
                      <w:sz w:val="21"/>
                      <w:szCs w:val="21"/>
                    </w:rPr>
                    <w:t>。</w:t>
                  </w:r>
                </w:p>
              </w:tc>
              <w:tc>
                <w:tcPr>
                  <w:tcW w:w="990" w:type="dxa"/>
                  <w:vMerge w:val="restart"/>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lang w:val="en-US" w:eastAsia="zh-CN"/>
                    </w:rPr>
                    <w:t>70</w:t>
                  </w:r>
                  <w:r>
                    <w:rPr>
                      <w:rFonts w:hint="eastAsia"/>
                      <w:bCs/>
                      <w:color w:val="auto"/>
                      <w:sz w:val="21"/>
                      <w:szCs w:val="21"/>
                    </w:rPr>
                    <w:t>.0</w:t>
                  </w:r>
                </w:p>
              </w:tc>
              <w:tc>
                <w:tcPr>
                  <w:tcW w:w="4065"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color w:val="auto"/>
                      <w:sz w:val="21"/>
                      <w:szCs w:val="21"/>
                    </w:rPr>
                    <w:t>沉淀处理后</w:t>
                  </w:r>
                  <w:r>
                    <w:rPr>
                      <w:rFonts w:hint="eastAsia"/>
                      <w:color w:val="auto"/>
                      <w:sz w:val="21"/>
                      <w:szCs w:val="21"/>
                      <w:lang w:eastAsia="zh-CN"/>
                    </w:rPr>
                    <w:t>回用</w:t>
                  </w:r>
                  <w:r>
                    <w:rPr>
                      <w:color w:val="auto"/>
                      <w:sz w:val="21"/>
                      <w:szCs w:val="21"/>
                    </w:rPr>
                    <w:t>。</w:t>
                  </w:r>
                </w:p>
              </w:tc>
              <w:tc>
                <w:tcPr>
                  <w:tcW w:w="1044" w:type="dxa"/>
                  <w:vMerge w:val="restart"/>
                  <w:vAlign w:val="center"/>
                </w:tcPr>
                <w:p>
                  <w:pPr>
                    <w:spacing w:line="300" w:lineRule="exact"/>
                    <w:jc w:val="center"/>
                    <w:rPr>
                      <w:rFonts w:hint="default" w:ascii="Times New Roman" w:hAnsi="Times New Roman" w:cs="Times New Roman" w:eastAsiaTheme="minorEastAsia"/>
                      <w:b w:val="0"/>
                      <w:bCs w:val="0"/>
                      <w:sz w:val="21"/>
                      <w:szCs w:val="21"/>
                    </w:rPr>
                  </w:pPr>
                  <w:r>
                    <w:rPr>
                      <w:rFonts w:hint="eastAsia"/>
                      <w:bCs/>
                      <w:color w:val="auto"/>
                      <w:sz w:val="21"/>
                      <w:szCs w:val="21"/>
                      <w:lang w:val="en-US" w:eastAsia="zh-CN"/>
                    </w:rPr>
                    <w:t>70</w:t>
                  </w: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p>
              </w:tc>
              <w:tc>
                <w:tcPr>
                  <w:tcW w:w="951" w:type="dxa"/>
                  <w:vMerge w:val="continue"/>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p>
              </w:tc>
              <w:tc>
                <w:tcPr>
                  <w:tcW w:w="1590"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生活污水</w:t>
                  </w:r>
                </w:p>
              </w:tc>
              <w:tc>
                <w:tcPr>
                  <w:tcW w:w="1170" w:type="dxa"/>
                  <w:vAlign w:val="center"/>
                </w:tcPr>
                <w:p>
                  <w:pPr>
                    <w:spacing w:line="300" w:lineRule="exact"/>
                    <w:jc w:val="center"/>
                    <w:rPr>
                      <w:rFonts w:hint="eastAsia"/>
                      <w:bCs/>
                      <w:color w:val="auto"/>
                      <w:sz w:val="21"/>
                      <w:szCs w:val="21"/>
                    </w:rPr>
                  </w:pPr>
                  <w:r>
                    <w:rPr>
                      <w:rFonts w:hint="eastAsia"/>
                      <w:bCs/>
                      <w:color w:val="auto"/>
                      <w:sz w:val="21"/>
                      <w:szCs w:val="21"/>
                    </w:rPr>
                    <w:t>SS</w:t>
                  </w:r>
                </w:p>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COD</w:t>
                  </w:r>
                </w:p>
              </w:tc>
              <w:tc>
                <w:tcPr>
                  <w:tcW w:w="3645"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依托沿线居民房现有的污水</w:t>
                  </w:r>
                  <w:r>
                    <w:rPr>
                      <w:rFonts w:hint="eastAsia"/>
                      <w:bCs/>
                      <w:color w:val="auto"/>
                      <w:sz w:val="21"/>
                      <w:szCs w:val="21"/>
                      <w:lang w:val="en-US" w:eastAsia="zh-CN"/>
                    </w:rPr>
                    <w:t>收集系统</w:t>
                  </w:r>
                </w:p>
              </w:tc>
              <w:tc>
                <w:tcPr>
                  <w:tcW w:w="990" w:type="dxa"/>
                  <w:vMerge w:val="continue"/>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p>
              </w:tc>
              <w:tc>
                <w:tcPr>
                  <w:tcW w:w="4065"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依托沿线居民房现有的污水</w:t>
                  </w:r>
                  <w:r>
                    <w:rPr>
                      <w:rFonts w:hint="eastAsia"/>
                      <w:bCs/>
                      <w:color w:val="auto"/>
                      <w:sz w:val="21"/>
                      <w:szCs w:val="21"/>
                      <w:lang w:val="en-US" w:eastAsia="zh-CN"/>
                    </w:rPr>
                    <w:t>收集系统</w:t>
                  </w:r>
                </w:p>
              </w:tc>
              <w:tc>
                <w:tcPr>
                  <w:tcW w:w="1044" w:type="dxa"/>
                  <w:vMerge w:val="continue"/>
                  <w:vAlign w:val="center"/>
                </w:tcPr>
                <w:p>
                  <w:pPr>
                    <w:spacing w:line="300" w:lineRule="exact"/>
                    <w:jc w:val="center"/>
                    <w:rPr>
                      <w:rFonts w:hint="default" w:ascii="Times New Roman" w:hAnsi="Times New Roman" w:cs="Times New Roman" w:eastAsiaTheme="minorEastAsia"/>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p>
              </w:tc>
              <w:tc>
                <w:tcPr>
                  <w:tcW w:w="951" w:type="dxa"/>
                  <w:vMerge w:val="restart"/>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color w:val="auto"/>
                      <w:sz w:val="21"/>
                      <w:szCs w:val="21"/>
                    </w:rPr>
                    <w:t>固体废物</w:t>
                  </w:r>
                </w:p>
              </w:tc>
              <w:tc>
                <w:tcPr>
                  <w:tcW w:w="1590"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管线工程开挖、敷设</w:t>
                  </w:r>
                </w:p>
              </w:tc>
              <w:tc>
                <w:tcPr>
                  <w:tcW w:w="1170"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弃方、废弃砂浆</w:t>
                  </w:r>
                </w:p>
              </w:tc>
              <w:tc>
                <w:tcPr>
                  <w:tcW w:w="3645" w:type="dxa"/>
                  <w:vAlign w:val="center"/>
                </w:tcPr>
                <w:p>
                  <w:pPr>
                    <w:spacing w:line="300" w:lineRule="exact"/>
                    <w:ind w:firstLine="65" w:firstLineChars="31"/>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运到市政部门指定地点填埋处置</w:t>
                  </w:r>
                </w:p>
              </w:tc>
              <w:tc>
                <w:tcPr>
                  <w:tcW w:w="990" w:type="dxa"/>
                  <w:vMerge w:val="restart"/>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lang w:val="en-US" w:eastAsia="zh-CN"/>
                    </w:rPr>
                    <w:t>30</w:t>
                  </w:r>
                  <w:r>
                    <w:rPr>
                      <w:rFonts w:hint="eastAsia"/>
                      <w:bCs/>
                      <w:color w:val="auto"/>
                      <w:sz w:val="21"/>
                      <w:szCs w:val="21"/>
                    </w:rPr>
                    <w:t>.0</w:t>
                  </w:r>
                </w:p>
              </w:tc>
              <w:tc>
                <w:tcPr>
                  <w:tcW w:w="4065" w:type="dxa"/>
                  <w:vAlign w:val="center"/>
                </w:tcPr>
                <w:p>
                  <w:pPr>
                    <w:spacing w:line="300" w:lineRule="exact"/>
                    <w:ind w:firstLine="65" w:firstLineChars="31"/>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运到市政部门指定地点填埋处置</w:t>
                  </w:r>
                </w:p>
              </w:tc>
              <w:tc>
                <w:tcPr>
                  <w:tcW w:w="1044" w:type="dxa"/>
                  <w:vMerge w:val="restart"/>
                  <w:vAlign w:val="center"/>
                </w:tcPr>
                <w:p>
                  <w:pPr>
                    <w:spacing w:line="300" w:lineRule="exact"/>
                    <w:jc w:val="center"/>
                    <w:rPr>
                      <w:rFonts w:hint="default" w:ascii="Times New Roman" w:hAnsi="Times New Roman" w:cs="Times New Roman" w:eastAsiaTheme="minorEastAsia"/>
                      <w:b w:val="0"/>
                      <w:bCs w:val="0"/>
                      <w:sz w:val="21"/>
                      <w:szCs w:val="21"/>
                    </w:rPr>
                  </w:pPr>
                  <w:r>
                    <w:rPr>
                      <w:rFonts w:hint="eastAsia"/>
                      <w:bCs/>
                      <w:color w:val="auto"/>
                      <w:sz w:val="21"/>
                      <w:szCs w:val="21"/>
                      <w:lang w:val="en-US" w:eastAsia="zh-CN"/>
                    </w:rPr>
                    <w:t>30</w:t>
                  </w: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p>
              </w:tc>
              <w:tc>
                <w:tcPr>
                  <w:tcW w:w="951" w:type="dxa"/>
                  <w:vMerge w:val="continue"/>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p>
              </w:tc>
              <w:tc>
                <w:tcPr>
                  <w:tcW w:w="1590"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施工人员</w:t>
                  </w:r>
                </w:p>
              </w:tc>
              <w:tc>
                <w:tcPr>
                  <w:tcW w:w="1170"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生活垃圾</w:t>
                  </w:r>
                </w:p>
              </w:tc>
              <w:tc>
                <w:tcPr>
                  <w:tcW w:w="3645" w:type="dxa"/>
                  <w:vAlign w:val="center"/>
                </w:tcPr>
                <w:p>
                  <w:pPr>
                    <w:spacing w:line="300" w:lineRule="exact"/>
                    <w:ind w:firstLine="65" w:firstLineChars="31"/>
                  </w:pPr>
                  <w:r>
                    <w:rPr>
                      <w:rFonts w:hint="eastAsia"/>
                      <w:bCs/>
                      <w:color w:val="auto"/>
                      <w:sz w:val="21"/>
                      <w:szCs w:val="21"/>
                    </w:rPr>
                    <w:t>集中收集送城市垃圾处置场处置</w:t>
                  </w:r>
                </w:p>
              </w:tc>
              <w:tc>
                <w:tcPr>
                  <w:tcW w:w="990" w:type="dxa"/>
                  <w:vMerge w:val="continue"/>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p>
              </w:tc>
              <w:tc>
                <w:tcPr>
                  <w:tcW w:w="4065" w:type="dxa"/>
                  <w:vAlign w:val="center"/>
                </w:tcPr>
                <w:p>
                  <w:pPr>
                    <w:spacing w:line="300" w:lineRule="exact"/>
                    <w:ind w:firstLine="65" w:firstLineChars="31"/>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集中收集送城市垃圾处置场处置</w:t>
                  </w:r>
                </w:p>
              </w:tc>
              <w:tc>
                <w:tcPr>
                  <w:tcW w:w="1044" w:type="dxa"/>
                  <w:vMerge w:val="continue"/>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p>
              </w:tc>
              <w:tc>
                <w:tcPr>
                  <w:tcW w:w="951" w:type="dxa"/>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r>
                    <w:rPr>
                      <w:rFonts w:hint="eastAsia"/>
                      <w:color w:val="auto"/>
                      <w:sz w:val="21"/>
                      <w:szCs w:val="21"/>
                    </w:rPr>
                    <w:t>噪声</w:t>
                  </w:r>
                </w:p>
              </w:tc>
              <w:tc>
                <w:tcPr>
                  <w:tcW w:w="1590"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施工机械、运输车辆</w:t>
                  </w:r>
                </w:p>
              </w:tc>
              <w:tc>
                <w:tcPr>
                  <w:tcW w:w="1170"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设备噪声</w:t>
                  </w:r>
                </w:p>
              </w:tc>
              <w:tc>
                <w:tcPr>
                  <w:tcW w:w="3645" w:type="dxa"/>
                  <w:vAlign w:val="center"/>
                </w:tcPr>
                <w:p>
                  <w:pPr>
                    <w:spacing w:line="300" w:lineRule="exact"/>
                    <w:jc w:val="center"/>
                    <w:rPr>
                      <w:bCs/>
                      <w:color w:val="auto"/>
                      <w:sz w:val="21"/>
                      <w:szCs w:val="21"/>
                    </w:rPr>
                  </w:pPr>
                  <w:r>
                    <w:rPr>
                      <w:rFonts w:hint="eastAsia"/>
                      <w:bCs/>
                      <w:color w:val="auto"/>
                      <w:sz w:val="21"/>
                      <w:szCs w:val="21"/>
                    </w:rPr>
                    <w:t>合理安排施工时间，合理布局</w:t>
                  </w:r>
                </w:p>
                <w:p>
                  <w:pPr>
                    <w:spacing w:line="300" w:lineRule="exact"/>
                    <w:jc w:val="center"/>
                  </w:pPr>
                  <w:r>
                    <w:rPr>
                      <w:rFonts w:hint="eastAsia"/>
                      <w:bCs/>
                      <w:color w:val="auto"/>
                      <w:sz w:val="21"/>
                      <w:szCs w:val="21"/>
                    </w:rPr>
                    <w:t>选用低噪声设备</w:t>
                  </w:r>
                </w:p>
              </w:tc>
              <w:tc>
                <w:tcPr>
                  <w:tcW w:w="990"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lang w:val="en-US" w:eastAsia="zh-CN"/>
                    </w:rPr>
                    <w:t>50</w:t>
                  </w:r>
                  <w:r>
                    <w:rPr>
                      <w:rFonts w:hint="eastAsia"/>
                      <w:bCs/>
                      <w:color w:val="auto"/>
                      <w:sz w:val="21"/>
                      <w:szCs w:val="21"/>
                    </w:rPr>
                    <w:t>.0</w:t>
                  </w:r>
                </w:p>
              </w:tc>
              <w:tc>
                <w:tcPr>
                  <w:tcW w:w="4065" w:type="dxa"/>
                  <w:vAlign w:val="center"/>
                </w:tcPr>
                <w:p>
                  <w:pPr>
                    <w:spacing w:line="300" w:lineRule="exact"/>
                    <w:jc w:val="center"/>
                    <w:rPr>
                      <w:bCs/>
                      <w:color w:val="auto"/>
                      <w:sz w:val="21"/>
                      <w:szCs w:val="21"/>
                    </w:rPr>
                  </w:pPr>
                  <w:r>
                    <w:rPr>
                      <w:rFonts w:hint="eastAsia"/>
                      <w:bCs/>
                      <w:color w:val="auto"/>
                      <w:sz w:val="21"/>
                      <w:szCs w:val="21"/>
                    </w:rPr>
                    <w:t>合理安排施工时间，合理布局</w:t>
                  </w:r>
                </w:p>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选用低噪声设备</w:t>
                  </w:r>
                </w:p>
              </w:tc>
              <w:tc>
                <w:tcPr>
                  <w:tcW w:w="1044" w:type="dxa"/>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r>
                    <w:rPr>
                      <w:rFonts w:hint="eastAsia"/>
                      <w:bCs/>
                      <w:color w:val="auto"/>
                      <w:sz w:val="21"/>
                      <w:szCs w:val="21"/>
                      <w:lang w:val="en-US" w:eastAsia="zh-CN"/>
                    </w:rPr>
                    <w:t>50</w:t>
                  </w: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spacing w:line="300" w:lineRule="exact"/>
                    <w:jc w:val="center"/>
                    <w:rPr>
                      <w:rFonts w:hint="eastAsia"/>
                      <w:color w:val="auto"/>
                      <w:sz w:val="21"/>
                      <w:szCs w:val="21"/>
                    </w:rPr>
                  </w:pPr>
                  <w:r>
                    <w:rPr>
                      <w:rFonts w:hint="eastAsia"/>
                      <w:color w:val="auto"/>
                      <w:sz w:val="21"/>
                      <w:szCs w:val="21"/>
                    </w:rPr>
                    <w:t>营</w:t>
                  </w:r>
                </w:p>
                <w:p>
                  <w:pPr>
                    <w:spacing w:line="300" w:lineRule="exact"/>
                    <w:jc w:val="center"/>
                    <w:rPr>
                      <w:rFonts w:hint="eastAsia"/>
                      <w:color w:val="auto"/>
                      <w:sz w:val="21"/>
                      <w:szCs w:val="21"/>
                    </w:rPr>
                  </w:pPr>
                  <w:r>
                    <w:rPr>
                      <w:rFonts w:hint="eastAsia"/>
                      <w:color w:val="auto"/>
                      <w:sz w:val="21"/>
                      <w:szCs w:val="21"/>
                    </w:rPr>
                    <w:t>运</w:t>
                  </w:r>
                </w:p>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color w:val="auto"/>
                      <w:sz w:val="21"/>
                      <w:szCs w:val="21"/>
                    </w:rPr>
                    <w:t>期</w:t>
                  </w:r>
                </w:p>
              </w:tc>
              <w:tc>
                <w:tcPr>
                  <w:tcW w:w="951"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color w:val="auto"/>
                      <w:sz w:val="21"/>
                      <w:szCs w:val="21"/>
                    </w:rPr>
                    <w:t>废水</w:t>
                  </w:r>
                </w:p>
              </w:tc>
              <w:tc>
                <w:tcPr>
                  <w:tcW w:w="1590"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收集污水</w:t>
                  </w:r>
                </w:p>
              </w:tc>
              <w:tc>
                <w:tcPr>
                  <w:tcW w:w="1170"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color w:val="auto"/>
                      <w:sz w:val="21"/>
                      <w:szCs w:val="21"/>
                    </w:rPr>
                    <w:t>SS、COD</w:t>
                  </w:r>
                </w:p>
              </w:tc>
              <w:tc>
                <w:tcPr>
                  <w:tcW w:w="3645" w:type="dxa"/>
                  <w:vAlign w:val="center"/>
                </w:tcPr>
                <w:p>
                  <w:pPr>
                    <w:spacing w:line="300" w:lineRule="exact"/>
                    <w:jc w:val="center"/>
                  </w:pPr>
                  <w:r>
                    <w:rPr>
                      <w:rFonts w:hint="eastAsia"/>
                      <w:bCs/>
                      <w:color w:val="auto"/>
                      <w:sz w:val="21"/>
                      <w:szCs w:val="21"/>
                    </w:rPr>
                    <w:t>排入</w:t>
                  </w:r>
                  <w:r>
                    <w:rPr>
                      <w:rFonts w:hint="eastAsia"/>
                      <w:bCs/>
                      <w:color w:val="auto"/>
                      <w:sz w:val="21"/>
                      <w:szCs w:val="21"/>
                      <w:lang w:val="en-US" w:eastAsia="zh-CN"/>
                    </w:rPr>
                    <w:t>长滩</w:t>
                  </w:r>
                  <w:r>
                    <w:rPr>
                      <w:rFonts w:hint="eastAsia"/>
                      <w:bCs/>
                      <w:color w:val="auto"/>
                      <w:sz w:val="21"/>
                      <w:szCs w:val="21"/>
                    </w:rPr>
                    <w:t>污水处理厂</w:t>
                  </w:r>
                </w:p>
              </w:tc>
              <w:tc>
                <w:tcPr>
                  <w:tcW w:w="990"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纳入主体工程</w:t>
                  </w:r>
                </w:p>
              </w:tc>
              <w:tc>
                <w:tcPr>
                  <w:tcW w:w="4065" w:type="dxa"/>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排入</w:t>
                  </w:r>
                  <w:r>
                    <w:rPr>
                      <w:rFonts w:hint="eastAsia"/>
                      <w:bCs/>
                      <w:color w:val="auto"/>
                      <w:sz w:val="21"/>
                      <w:szCs w:val="21"/>
                      <w:lang w:val="en-US" w:eastAsia="zh-CN"/>
                    </w:rPr>
                    <w:t>长滩</w:t>
                  </w:r>
                  <w:r>
                    <w:rPr>
                      <w:rFonts w:hint="eastAsia"/>
                      <w:bCs/>
                      <w:color w:val="auto"/>
                      <w:sz w:val="21"/>
                      <w:szCs w:val="21"/>
                    </w:rPr>
                    <w:t>污水处理厂</w:t>
                  </w:r>
                </w:p>
              </w:tc>
              <w:tc>
                <w:tcPr>
                  <w:tcW w:w="1044" w:type="dxa"/>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r>
                    <w:rPr>
                      <w:rFonts w:hint="eastAsia"/>
                      <w:bCs/>
                      <w:color w:val="auto"/>
                      <w:sz w:val="21"/>
                      <w:szCs w:val="21"/>
                    </w:rPr>
                    <w:t>纳入主体工程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4" w:type="dxa"/>
                  <w:gridSpan w:val="2"/>
                  <w:vAlign w:val="center"/>
                </w:tcPr>
                <w:p>
                  <w:pPr>
                    <w:spacing w:line="300" w:lineRule="exact"/>
                    <w:jc w:val="center"/>
                    <w:rPr>
                      <w:rFonts w:hint="eastAsia"/>
                      <w:bCs/>
                      <w:color w:val="auto"/>
                      <w:sz w:val="21"/>
                      <w:szCs w:val="21"/>
                    </w:rPr>
                  </w:pPr>
                  <w:r>
                    <w:rPr>
                      <w:rFonts w:hint="eastAsia"/>
                      <w:bCs/>
                      <w:color w:val="auto"/>
                      <w:sz w:val="21"/>
                      <w:szCs w:val="21"/>
                    </w:rPr>
                    <w:t>生态保护</w:t>
                  </w:r>
                </w:p>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r>
                    <w:rPr>
                      <w:rFonts w:hint="eastAsia"/>
                      <w:bCs/>
                      <w:color w:val="auto"/>
                      <w:sz w:val="21"/>
                      <w:szCs w:val="21"/>
                    </w:rPr>
                    <w:t>及水土保持</w:t>
                  </w:r>
                </w:p>
              </w:tc>
              <w:tc>
                <w:tcPr>
                  <w:tcW w:w="6405" w:type="dxa"/>
                  <w:gridSpan w:val="3"/>
                  <w:vAlign w:val="center"/>
                </w:tcPr>
                <w:p>
                  <w:pPr>
                    <w:spacing w:line="300" w:lineRule="exact"/>
                  </w:pPr>
                  <w:r>
                    <w:rPr>
                      <w:color w:val="auto"/>
                      <w:sz w:val="21"/>
                      <w:szCs w:val="21"/>
                    </w:rPr>
                    <w:t>1</w:t>
                  </w:r>
                  <w:r>
                    <w:rPr>
                      <w:rFonts w:hAnsi="宋体"/>
                      <w:color w:val="auto"/>
                      <w:sz w:val="21"/>
                      <w:szCs w:val="21"/>
                    </w:rPr>
                    <w:t>）地貌、植被恢复</w:t>
                  </w:r>
                  <w:r>
                    <w:rPr>
                      <w:rFonts w:hint="eastAsia" w:hAnsi="宋体"/>
                      <w:color w:val="auto"/>
                      <w:sz w:val="21"/>
                      <w:szCs w:val="21"/>
                    </w:rPr>
                    <w:t>；</w:t>
                  </w:r>
                  <w:r>
                    <w:rPr>
                      <w:color w:val="auto"/>
                      <w:sz w:val="21"/>
                      <w:szCs w:val="21"/>
                    </w:rPr>
                    <w:t>2</w:t>
                  </w:r>
                  <w:r>
                    <w:rPr>
                      <w:rFonts w:hAnsi="宋体"/>
                      <w:color w:val="auto"/>
                      <w:sz w:val="21"/>
                      <w:szCs w:val="21"/>
                    </w:rPr>
                    <w:t>）水土保持工程</w:t>
                  </w:r>
                  <w:r>
                    <w:rPr>
                      <w:rFonts w:hint="eastAsia" w:hAnsi="宋体"/>
                      <w:color w:val="auto"/>
                      <w:sz w:val="21"/>
                      <w:szCs w:val="21"/>
                    </w:rPr>
                    <w:t>；</w:t>
                  </w:r>
                  <w:r>
                    <w:rPr>
                      <w:color w:val="auto"/>
                      <w:sz w:val="21"/>
                      <w:szCs w:val="21"/>
                    </w:rPr>
                    <w:t>3</w:t>
                  </w:r>
                  <w:r>
                    <w:rPr>
                      <w:rFonts w:hAnsi="宋体"/>
                      <w:color w:val="auto"/>
                      <w:sz w:val="21"/>
                      <w:szCs w:val="21"/>
                    </w:rPr>
                    <w:t>）绿化</w:t>
                  </w:r>
                </w:p>
              </w:tc>
              <w:tc>
                <w:tcPr>
                  <w:tcW w:w="990" w:type="dxa"/>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r>
                    <w:rPr>
                      <w:rFonts w:hint="eastAsia"/>
                      <w:bCs/>
                      <w:color w:val="auto"/>
                      <w:sz w:val="21"/>
                      <w:szCs w:val="21"/>
                      <w:lang w:val="en-US" w:eastAsia="zh-CN"/>
                    </w:rPr>
                    <w:t>50</w:t>
                  </w:r>
                  <w:r>
                    <w:rPr>
                      <w:rFonts w:hint="eastAsia"/>
                      <w:bCs/>
                      <w:color w:val="auto"/>
                      <w:sz w:val="21"/>
                      <w:szCs w:val="21"/>
                    </w:rPr>
                    <w:t>.0</w:t>
                  </w:r>
                </w:p>
              </w:tc>
              <w:tc>
                <w:tcPr>
                  <w:tcW w:w="4065" w:type="dxa"/>
                  <w:vAlign w:val="center"/>
                </w:tcPr>
                <w:p>
                  <w:pPr>
                    <w:spacing w:line="300" w:lineRule="exact"/>
                    <w:rPr>
                      <w:rFonts w:hint="default" w:ascii="Times New Roman" w:hAnsi="Times New Roman" w:cs="Times New Roman" w:eastAsiaTheme="minorEastAsia"/>
                      <w:b w:val="0"/>
                      <w:bCs w:val="0"/>
                      <w:color w:val="000000"/>
                      <w:sz w:val="21"/>
                      <w:szCs w:val="21"/>
                      <w:vertAlign w:val="baseline"/>
                      <w:lang w:val="en-US" w:eastAsia="zh-CN"/>
                    </w:rPr>
                  </w:pPr>
                  <w:r>
                    <w:rPr>
                      <w:color w:val="auto"/>
                      <w:sz w:val="21"/>
                      <w:szCs w:val="21"/>
                    </w:rPr>
                    <w:t>1</w:t>
                  </w:r>
                  <w:r>
                    <w:rPr>
                      <w:rFonts w:hAnsi="宋体"/>
                      <w:color w:val="auto"/>
                      <w:sz w:val="21"/>
                      <w:szCs w:val="21"/>
                    </w:rPr>
                    <w:t>）地貌、植被恢复</w:t>
                  </w:r>
                  <w:r>
                    <w:rPr>
                      <w:rFonts w:hint="eastAsia" w:hAnsi="宋体"/>
                      <w:color w:val="auto"/>
                      <w:sz w:val="21"/>
                      <w:szCs w:val="21"/>
                    </w:rPr>
                    <w:t>；</w:t>
                  </w:r>
                  <w:r>
                    <w:rPr>
                      <w:color w:val="auto"/>
                      <w:sz w:val="21"/>
                      <w:szCs w:val="21"/>
                    </w:rPr>
                    <w:t>2</w:t>
                  </w:r>
                  <w:r>
                    <w:rPr>
                      <w:rFonts w:hAnsi="宋体"/>
                      <w:color w:val="auto"/>
                      <w:sz w:val="21"/>
                      <w:szCs w:val="21"/>
                    </w:rPr>
                    <w:t>）水土保持工程</w:t>
                  </w:r>
                  <w:r>
                    <w:rPr>
                      <w:rFonts w:hint="eastAsia" w:hAnsi="宋体"/>
                      <w:color w:val="auto"/>
                      <w:sz w:val="21"/>
                      <w:szCs w:val="21"/>
                    </w:rPr>
                    <w:t>；</w:t>
                  </w:r>
                  <w:r>
                    <w:rPr>
                      <w:color w:val="auto"/>
                      <w:sz w:val="21"/>
                      <w:szCs w:val="21"/>
                    </w:rPr>
                    <w:t>3</w:t>
                  </w:r>
                  <w:r>
                    <w:rPr>
                      <w:rFonts w:hAnsi="宋体"/>
                      <w:color w:val="auto"/>
                      <w:sz w:val="21"/>
                      <w:szCs w:val="21"/>
                    </w:rPr>
                    <w:t>）绿化</w:t>
                  </w:r>
                </w:p>
              </w:tc>
              <w:tc>
                <w:tcPr>
                  <w:tcW w:w="1044" w:type="dxa"/>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r>
                    <w:rPr>
                      <w:rFonts w:hint="eastAsia"/>
                      <w:bCs/>
                      <w:color w:val="auto"/>
                      <w:sz w:val="21"/>
                      <w:szCs w:val="21"/>
                      <w:lang w:val="en-US" w:eastAsia="zh-CN"/>
                    </w:rPr>
                    <w:t>50</w:t>
                  </w: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4" w:type="dxa"/>
                  <w:gridSpan w:val="2"/>
                  <w:vAlign w:val="center"/>
                </w:tcPr>
                <w:p>
                  <w:pPr>
                    <w:spacing w:line="300" w:lineRule="exact"/>
                    <w:jc w:val="center"/>
                    <w:rPr>
                      <w:rFonts w:hint="eastAsia"/>
                      <w:bCs/>
                      <w:color w:val="auto"/>
                      <w:sz w:val="21"/>
                      <w:szCs w:val="21"/>
                    </w:rPr>
                  </w:pPr>
                  <w:r>
                    <w:rPr>
                      <w:rFonts w:hint="eastAsia"/>
                      <w:bCs/>
                      <w:sz w:val="21"/>
                      <w:szCs w:val="21"/>
                    </w:rPr>
                    <w:t>管理及监控</w:t>
                  </w:r>
                </w:p>
              </w:tc>
              <w:tc>
                <w:tcPr>
                  <w:tcW w:w="6405" w:type="dxa"/>
                  <w:gridSpan w:val="3"/>
                  <w:vAlign w:val="center"/>
                </w:tcPr>
                <w:p>
                  <w:pPr>
                    <w:spacing w:line="300" w:lineRule="exact"/>
                    <w:rPr>
                      <w:color w:val="auto"/>
                      <w:sz w:val="21"/>
                      <w:szCs w:val="21"/>
                    </w:rPr>
                  </w:pPr>
                  <w:r>
                    <w:rPr>
                      <w:rFonts w:hint="eastAsia"/>
                      <w:bCs/>
                      <w:sz w:val="21"/>
                      <w:szCs w:val="21"/>
                    </w:rPr>
                    <w:t>具体的施工期环保措施通过合同管理落实到施工单位。将环保措施的实施及生态破坏的防治恢复要求纳入经营管理体系中。</w:t>
                  </w:r>
                </w:p>
              </w:tc>
              <w:tc>
                <w:tcPr>
                  <w:tcW w:w="990" w:type="dxa"/>
                  <w:vAlign w:val="center"/>
                </w:tcPr>
                <w:p>
                  <w:pPr>
                    <w:spacing w:line="300" w:lineRule="exact"/>
                    <w:jc w:val="center"/>
                    <w:rPr>
                      <w:rFonts w:hint="default"/>
                      <w:bCs/>
                      <w:color w:val="auto"/>
                      <w:sz w:val="21"/>
                      <w:szCs w:val="21"/>
                      <w:lang w:val="en-US"/>
                    </w:rPr>
                  </w:pPr>
                  <w:r>
                    <w:rPr>
                      <w:rFonts w:hint="eastAsia"/>
                      <w:bCs/>
                      <w:sz w:val="21"/>
                      <w:szCs w:val="21"/>
                      <w:lang w:val="en-US" w:eastAsia="zh-CN"/>
                    </w:rPr>
                    <w:t>4.0</w:t>
                  </w:r>
                </w:p>
              </w:tc>
              <w:tc>
                <w:tcPr>
                  <w:tcW w:w="4065" w:type="dxa"/>
                  <w:vAlign w:val="center"/>
                </w:tcPr>
                <w:p>
                  <w:pPr>
                    <w:spacing w:line="300" w:lineRule="exact"/>
                    <w:rPr>
                      <w:rFonts w:hint="default" w:ascii="Times New Roman" w:hAnsi="Times New Roman" w:cs="Times New Roman" w:eastAsiaTheme="minorEastAsia"/>
                      <w:b w:val="0"/>
                      <w:bCs w:val="0"/>
                      <w:color w:val="000000"/>
                      <w:sz w:val="21"/>
                      <w:szCs w:val="21"/>
                      <w:vertAlign w:val="baseline"/>
                      <w:lang w:val="en-US" w:eastAsia="zh-CN"/>
                    </w:rPr>
                  </w:pPr>
                  <w:r>
                    <w:rPr>
                      <w:rFonts w:hint="eastAsia"/>
                      <w:bCs/>
                      <w:sz w:val="21"/>
                      <w:szCs w:val="21"/>
                    </w:rPr>
                    <w:t>具体的施工期环保措施通过合同管理落实到施工单位。将环保措施的实施及生态破坏的防治恢复要求纳入经营管理体系中。</w:t>
                  </w:r>
                </w:p>
              </w:tc>
              <w:tc>
                <w:tcPr>
                  <w:tcW w:w="1044" w:type="dxa"/>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r>
                    <w:rPr>
                      <w:rFonts w:hint="eastAsia"/>
                      <w:bCs/>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9" w:type="dxa"/>
                  <w:gridSpan w:val="5"/>
                  <w:vAlign w:val="center"/>
                </w:tcPr>
                <w:p>
                  <w:pPr>
                    <w:spacing w:line="300" w:lineRule="exact"/>
                    <w:jc w:val="center"/>
                  </w:pPr>
                  <w:r>
                    <w:rPr>
                      <w:rFonts w:hint="eastAsia"/>
                      <w:sz w:val="21"/>
                      <w:szCs w:val="21"/>
                      <w:lang w:eastAsia="zh-CN"/>
                    </w:rPr>
                    <w:t>小</w:t>
                  </w:r>
                  <w:r>
                    <w:rPr>
                      <w:rFonts w:hint="eastAsia"/>
                      <w:sz w:val="21"/>
                      <w:szCs w:val="21"/>
                    </w:rPr>
                    <w:t>计</w:t>
                  </w:r>
                </w:p>
              </w:tc>
              <w:tc>
                <w:tcPr>
                  <w:tcW w:w="990" w:type="dxa"/>
                  <w:vAlign w:val="center"/>
                </w:tcPr>
                <w:p>
                  <w:pPr>
                    <w:spacing w:line="300" w:lineRule="exact"/>
                    <w:jc w:val="center"/>
                    <w:rPr>
                      <w:rFonts w:hint="eastAsia"/>
                      <w:bCs/>
                      <w:color w:val="auto"/>
                      <w:sz w:val="21"/>
                      <w:szCs w:val="21"/>
                    </w:rPr>
                  </w:pPr>
                  <w:r>
                    <w:rPr>
                      <w:rFonts w:hint="eastAsia"/>
                      <w:bCs/>
                      <w:sz w:val="21"/>
                      <w:szCs w:val="21"/>
                      <w:lang w:val="en-US" w:eastAsia="zh-CN"/>
                    </w:rPr>
                    <w:t>274</w:t>
                  </w:r>
                  <w:r>
                    <w:rPr>
                      <w:rFonts w:hint="eastAsia"/>
                      <w:bCs/>
                      <w:sz w:val="21"/>
                      <w:szCs w:val="21"/>
                    </w:rPr>
                    <w:t>.0</w:t>
                  </w:r>
                </w:p>
              </w:tc>
              <w:tc>
                <w:tcPr>
                  <w:tcW w:w="4065" w:type="dxa"/>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r>
                    <w:rPr>
                      <w:rFonts w:hint="eastAsia"/>
                      <w:sz w:val="21"/>
                      <w:szCs w:val="21"/>
                      <w:lang w:eastAsia="zh-CN"/>
                    </w:rPr>
                    <w:t>小</w:t>
                  </w:r>
                  <w:r>
                    <w:rPr>
                      <w:rFonts w:hint="eastAsia"/>
                      <w:sz w:val="21"/>
                      <w:szCs w:val="21"/>
                    </w:rPr>
                    <w:t>计</w:t>
                  </w:r>
                </w:p>
              </w:tc>
              <w:tc>
                <w:tcPr>
                  <w:tcW w:w="1044" w:type="dxa"/>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r>
                    <w:rPr>
                      <w:rFonts w:hint="eastAsia"/>
                      <w:bCs/>
                      <w:sz w:val="21"/>
                      <w:szCs w:val="21"/>
                      <w:lang w:val="en-US" w:eastAsia="zh-CN"/>
                    </w:rPr>
                    <w:t>274</w:t>
                  </w:r>
                  <w:r>
                    <w:rPr>
                      <w:rFonts w:hint="eastAsia"/>
                      <w:bCs/>
                      <w:sz w:val="21"/>
                      <w:szCs w:val="21"/>
                    </w:rPr>
                    <w:t>.0</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eastAsia="宋体" w:cs="Times New Roman"/>
                <w:b/>
                <w:bCs/>
                <w:sz w:val="24"/>
                <w:szCs w:val="24"/>
                <w:vertAlign w:val="baseline"/>
                <w:lang w:eastAsia="zh-CN"/>
              </w:rPr>
            </w:pPr>
          </w:p>
        </w:tc>
      </w:tr>
    </w:tbl>
    <w:p>
      <w:pPr>
        <w:spacing w:line="440" w:lineRule="exact"/>
        <w:jc w:val="both"/>
        <w:outlineLvl w:val="0"/>
        <w:rPr>
          <w:rFonts w:hint="default" w:ascii="Times New Roman" w:hAnsi="Times New Roman" w:cs="Times New Roman"/>
          <w:b/>
          <w:color w:val="000000"/>
          <w:sz w:val="24"/>
          <w:szCs w:val="24"/>
          <w:lang w:val="en-US" w:eastAsia="zh-CN"/>
        </w:rPr>
        <w:sectPr>
          <w:pgSz w:w="16838" w:h="11906" w:orient="landscape"/>
          <w:pgMar w:top="1418" w:right="1440" w:bottom="1418"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4" w:hRule="atLeast"/>
        </w:trPr>
        <w:tc>
          <w:tcPr>
            <w:tcW w:w="9286" w:type="dxa"/>
          </w:tcPr>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b/>
                <w:bCs/>
                <w:sz w:val="24"/>
                <w:szCs w:val="24"/>
              </w:rPr>
            </w:pPr>
            <w:r>
              <w:rPr>
                <w:rFonts w:hint="default" w:ascii="Times New Roman" w:hAnsi="Times New Roman" w:cs="Times New Roman"/>
                <w:b/>
                <w:bCs/>
                <w:sz w:val="24"/>
                <w:szCs w:val="24"/>
                <w:lang w:val="en-US" w:eastAsia="zh-CN"/>
              </w:rPr>
              <w:t xml:space="preserve">4.6 </w:t>
            </w:r>
            <w:r>
              <w:rPr>
                <w:rFonts w:hint="default" w:ascii="Times New Roman" w:hAnsi="Times New Roman" w:eastAsia="宋体" w:cs="Times New Roman"/>
                <w:b/>
                <w:bCs/>
                <w:sz w:val="24"/>
                <w:szCs w:val="24"/>
              </w:rPr>
              <w:t>与项目有关的生态破坏</w:t>
            </w:r>
            <w:r>
              <w:rPr>
                <w:rFonts w:hint="default" w:ascii="Times New Roman" w:hAnsi="Times New Roman" w:cs="Times New Roman"/>
                <w:b/>
                <w:bCs/>
                <w:sz w:val="24"/>
                <w:szCs w:val="24"/>
                <w:lang w:eastAsia="zh-CN"/>
              </w:rPr>
              <w:t>、</w:t>
            </w:r>
            <w:r>
              <w:rPr>
                <w:rFonts w:hint="default" w:ascii="Times New Roman" w:hAnsi="Times New Roman" w:eastAsia="宋体" w:cs="Times New Roman"/>
                <w:b/>
                <w:bCs/>
                <w:sz w:val="24"/>
                <w:szCs w:val="24"/>
              </w:rPr>
              <w:t>污染物排放、主要环境问题</w:t>
            </w:r>
            <w:r>
              <w:rPr>
                <w:rFonts w:hint="default" w:ascii="Times New Roman" w:hAnsi="Times New Roman" w:cs="Times New Roman"/>
                <w:b/>
                <w:bCs/>
                <w:sz w:val="24"/>
                <w:szCs w:val="24"/>
                <w:lang w:eastAsia="zh-CN"/>
              </w:rPr>
              <w:t>、</w:t>
            </w:r>
            <w:r>
              <w:rPr>
                <w:rFonts w:hint="default" w:ascii="Times New Roman" w:hAnsi="Times New Roman" w:eastAsia="宋体" w:cs="Times New Roman"/>
                <w:b/>
                <w:bCs/>
                <w:sz w:val="24"/>
                <w:szCs w:val="24"/>
              </w:rPr>
              <w:t>环境保护措施</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（1）施工期</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1）生态环境</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color w:val="000000" w:themeColor="text1"/>
                <w:sz w:val="24"/>
                <w:szCs w:val="24"/>
                <w:lang w:val="zh-CN"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施工</w:t>
            </w:r>
            <w:r>
              <w:rPr>
                <w:rFonts w:hint="eastAsia" w:cs="Times New Roman" w:eastAsiaTheme="minorEastAsia"/>
                <w:color w:val="000000" w:themeColor="text1"/>
                <w:sz w:val="24"/>
                <w:szCs w:val="24"/>
                <w:lang w:val="en-US" w:eastAsia="zh-CN"/>
                <w14:textFill>
                  <w14:solidFill>
                    <w14:schemeClr w14:val="tx1"/>
                  </w14:solidFill>
                </w14:textFill>
              </w:rPr>
              <w:t>过程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中将</w:t>
            </w:r>
            <w:r>
              <w:rPr>
                <w:rFonts w:hint="eastAsia" w:cs="Times New Roman" w:eastAsiaTheme="minorEastAsia"/>
                <w:color w:val="000000" w:themeColor="text1"/>
                <w:sz w:val="24"/>
                <w:szCs w:val="24"/>
                <w:lang w:val="en-US" w:eastAsia="zh-CN"/>
                <w14:textFill>
                  <w14:solidFill>
                    <w14:schemeClr w14:val="tx1"/>
                  </w14:solidFill>
                </w14:textFill>
              </w:rPr>
              <w:t>施工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占地控制在征地范围内；临时占地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上构筑物已拆除</w:t>
            </w:r>
            <w:r>
              <w:rPr>
                <w:rFonts w:hint="eastAsia" w:cs="Times New Roman" w:eastAsiaTheme="minorEastAsia"/>
                <w:color w:val="000000" w:themeColor="text1"/>
                <w:sz w:val="24"/>
                <w:szCs w:val="24"/>
                <w:lang w:val="en-US" w:eastAsia="zh-CN"/>
                <w14:textFill>
                  <w14:solidFill>
                    <w14:schemeClr w14:val="tx1"/>
                  </w14:solidFill>
                </w14:textFill>
              </w:rPr>
              <w:t>，覆土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复绿</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主体工程按照设计资料进行建设，主体工程变动后按照环评中提出的废气、废水、固废处置措施进行处置，项目场地周边</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无弃土弃渣随处乱倒现象，施工迹地无水土流失现象</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，通过现场勘察，项目区域及其周边植被覆盖率较好</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施工期造成的生态影响得以恢复。</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2）地表水环境</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color w:val="000000" w:themeColor="text1"/>
                <w:sz w:val="24"/>
                <w:szCs w:val="24"/>
                <w:lang w:val="zh-CN"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施工废水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、基坑废水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经沉淀池处理后回用，不外排；施工人员生活污水依托</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民房旱厕</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处理后作农肥，不外排。</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通过现场踏勘，无施工期产生的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废水外排现像及痕迹。</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3）声环境</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color w:val="000000" w:themeColor="text1"/>
                <w:sz w:val="24"/>
                <w:szCs w:val="24"/>
                <w:lang w:val="zh-CN"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选择低噪声设备，加强设备维护保养，合理安排作业时间，禁止夜间施工。加强车辆运输管理，材料运输尽量安排白天进行；运输车辆经过沿线有居民的路段时减速、禁止鸣笛。施工期间未出现因噪声扰民而产生的投诉事件。</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）大气环境</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建设场地封闭施工，采用先进施工机械；强化管理，洒水抑尘，将易产生粉尘的物料密闭运输，</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控制车速</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。加强管理和维护，减少施工机械尾气对环境的影响</w:t>
            </w:r>
            <w:r>
              <w:rPr>
                <w:rFonts w:hint="eastAsia" w:cs="Times New Roman" w:eastAsiaTheme="minorEastAsia"/>
                <w:color w:val="000000" w:themeColor="text1"/>
                <w:sz w:val="24"/>
                <w:szCs w:val="24"/>
                <w:lang w:val="en-US" w:eastAsia="zh-CN"/>
                <w14:textFill>
                  <w14:solidFill>
                    <w14:schemeClr w14:val="tx1"/>
                  </w14:solidFill>
                </w14:textFill>
              </w:rPr>
              <w:t>。通过现场勘察及走访调查，从项目周边居民口中得知，本项目施工期间产生的废气影响较小，施工期间无废气扰民投诉事件。</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）固体废物</w:t>
            </w:r>
          </w:p>
          <w:p>
            <w:pPr>
              <w:autoSpaceDE w:val="0"/>
              <w:autoSpaceDN w:val="0"/>
              <w:adjustRightInd w:val="0"/>
              <w:snapToGrid w:val="0"/>
              <w:spacing w:line="360" w:lineRule="auto"/>
              <w:ind w:firstLine="480" w:firstLineChars="200"/>
              <w:jc w:val="left"/>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通过现场勘察，本项目周边无建筑垃圾、生活垃圾以及土石方乱堆乱弃现象。施工期间无因固体废物乱堆乱弃产生的投诉事件，本工程固体废弃物主要是土石方开挖产生的弃方及施工人员产生的生活垃圾。本工程开挖量不能全部用于回填，项目在开挖过程中，临时弃土往管道两侧进行堆放，并采取随挖随填的方式，周围设置围挡等相关措施，弃土、弃石运至城建部门指定的地方堆放。</w:t>
            </w:r>
          </w:p>
          <w:p>
            <w:pPr>
              <w:autoSpaceDE w:val="0"/>
              <w:autoSpaceDN w:val="0"/>
              <w:adjustRightInd w:val="0"/>
              <w:snapToGrid w:val="0"/>
              <w:spacing w:line="360" w:lineRule="auto"/>
              <w:ind w:firstLine="480" w:firstLineChars="200"/>
              <w:jc w:val="left"/>
              <w:rPr>
                <w:rFonts w:hint="default"/>
                <w:lang w:val="en-US" w:eastAsia="zh-CN"/>
              </w:rPr>
            </w:pPr>
            <w:r>
              <w:rPr>
                <w:rFonts w:hint="eastAsia" w:ascii="Times New Roman" w:hAnsi="Times New Roman" w:cs="Times New Roman" w:eastAsiaTheme="minorEastAsia"/>
                <w:sz w:val="24"/>
                <w:szCs w:val="24"/>
                <w:lang w:val="zh-CN" w:eastAsia="zh-CN"/>
              </w:rPr>
              <w:t>总体而言，本项目</w:t>
            </w:r>
            <w:r>
              <w:rPr>
                <w:rFonts w:hint="eastAsia" w:ascii="Times New Roman" w:hAnsi="Times New Roman" w:cs="Times New Roman" w:eastAsiaTheme="minorEastAsia"/>
                <w:color w:val="000000" w:themeColor="text1"/>
                <w:sz w:val="24"/>
                <w:szCs w:val="24"/>
                <w:lang w:val="zh-CN" w:eastAsia="zh-CN"/>
                <w14:textFill>
                  <w14:solidFill>
                    <w14:schemeClr w14:val="tx1"/>
                  </w14:solidFill>
                </w14:textFill>
              </w:rPr>
              <w:t>施工期在按照环评时提出的环境保护措施开展施工活动，施工期废气、废水、噪声、固体废物对周边环境影响较小。现阶段，施工期造成的生态破坏基本得到迹地恢复，项目区域植被覆盖率较好，无明显环境遗留问题。项目迹地恢复情况见</w:t>
            </w:r>
            <w:r>
              <w:rPr>
                <w:rFonts w:hint="eastAsia" w:cs="Times New Roman" w:eastAsiaTheme="minorEastAsia"/>
                <w:color w:val="000000" w:themeColor="text1"/>
                <w:sz w:val="24"/>
                <w:szCs w:val="24"/>
                <w:lang w:val="zh-CN" w:eastAsia="zh-CN"/>
                <w14:textFill>
                  <w14:solidFill>
                    <w14:schemeClr w14:val="tx1"/>
                  </w14:solidFill>
                </w14:textFill>
              </w:rPr>
              <w:t>附图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zh-CN" w:eastAsia="zh-CN"/>
              </w:rPr>
            </w:pPr>
            <w:r>
              <w:rPr>
                <w:rFonts w:hint="default" w:ascii="Times New Roman" w:hAnsi="Times New Roman" w:cs="Times New Roman" w:eastAsiaTheme="minorEastAsia"/>
                <w:sz w:val="24"/>
                <w:szCs w:val="24"/>
                <w:lang w:val="zh-CN" w:eastAsia="zh-CN"/>
              </w:rPr>
              <w:t>（</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lang w:val="zh-CN" w:eastAsia="zh-CN"/>
              </w:rPr>
              <w:t>）运营期</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本项目为城市排水工程，施工期管网开挖、取弃土、运输等将造成植被破坏，会对道路两侧的自然景观的连续性与美学效果会造成不利影响，工程占地较少，施工结束后加强绿化可改善现有生态环境，管道施工时的临时占地在施工结束后进行恢复绿化，可逐渐恢复原有生态环境。本工程运营期对生态环境的破坏极小。工程建设对局部地区用水环境的改善远大于其对生态环境造成的暂时性破坏</w:t>
            </w:r>
            <w:r>
              <w:rPr>
                <w:rFonts w:hint="eastAsia"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通过硬化、栽种绿色植被等措施进行水土保持、生态恢复，对环境保护而言，是有利的。此外，本项目施工期施工结束后对临时工程进行拆除后迹地恢复，目前临时工程迹地已完成复绿工作，绿色植被覆盖率较好，施工期破坏的生态环境得到改善。</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pStyle w:val="4"/>
              <w:rPr>
                <w:rFonts w:hint="default"/>
                <w:lang w:val="en-US" w:eastAsia="zh-CN"/>
              </w:rPr>
            </w:pPr>
          </w:p>
        </w:tc>
      </w:tr>
    </w:tbl>
    <w:p>
      <w:pPr>
        <w:pStyle w:val="10"/>
        <w:rPr>
          <w:rFonts w:hint="default" w:ascii="Times New Roman" w:hAnsi="Times New Roman" w:cs="Times New Roman"/>
          <w:lang w:val="en-US" w:eastAsia="zh-CN"/>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440" w:lineRule="exact"/>
        <w:jc w:val="both"/>
        <w:outlineLvl w:val="0"/>
        <w:rPr>
          <w:rFonts w:hint="default" w:ascii="Times New Roman" w:hAnsi="Times New Roman" w:eastAsia="宋体" w:cs="Times New Roman"/>
          <w:b/>
          <w:color w:val="000000"/>
          <w:sz w:val="24"/>
          <w:szCs w:val="24"/>
        </w:rPr>
      </w:pPr>
      <w:r>
        <w:rPr>
          <w:rFonts w:hint="default" w:ascii="Times New Roman" w:hAnsi="Times New Roman" w:cs="Times New Roman"/>
          <w:b/>
          <w:color w:val="000000"/>
          <w:sz w:val="24"/>
          <w:szCs w:val="24"/>
          <w:lang w:val="en-US" w:eastAsia="zh-CN"/>
        </w:rPr>
        <w:t>五、</w:t>
      </w:r>
      <w:r>
        <w:rPr>
          <w:rFonts w:hint="default" w:ascii="Times New Roman" w:hAnsi="Times New Roman" w:eastAsia="宋体" w:cs="Times New Roman"/>
          <w:b/>
          <w:color w:val="000000"/>
          <w:sz w:val="24"/>
          <w:szCs w:val="24"/>
        </w:rPr>
        <w:t>环境影响评价回顾</w:t>
      </w:r>
    </w:p>
    <w:tbl>
      <w:tblPr>
        <w:tblStyle w:val="25"/>
        <w:tblW w:w="95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286"/>
        <w:gridCol w:w="2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88" w:hRule="atLeast"/>
          <w:jc w:val="center"/>
        </w:trPr>
        <w:tc>
          <w:tcPr>
            <w:tcW w:w="9554" w:type="dxa"/>
            <w:gridSpan w:val="2"/>
          </w:tcPr>
          <w:p>
            <w:pPr>
              <w:adjustRightInd w:val="0"/>
              <w:snapToGrid w:val="0"/>
              <w:spacing w:line="360" w:lineRule="auto"/>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lang w:val="en-US" w:eastAsia="zh-CN"/>
              </w:rPr>
              <w:t xml:space="preserve">5.1 </w:t>
            </w:r>
            <w:r>
              <w:rPr>
                <w:rFonts w:hint="default" w:ascii="Times New Roman" w:hAnsi="Times New Roman" w:cs="Times New Roman" w:eastAsiaTheme="minorEastAsia"/>
                <w:b/>
                <w:bCs/>
                <w:sz w:val="24"/>
                <w:szCs w:val="24"/>
              </w:rPr>
              <w:t>环评的主要环境影响预测及结论（生态环境、声环境、大气、水环境、振动、电磁、固体废物等）</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eastAsiaTheme="minorEastAsia"/>
                <w:b/>
                <w:bCs w:val="0"/>
                <w:color w:val="auto"/>
                <w:sz w:val="24"/>
                <w:szCs w:val="24"/>
                <w:lang w:eastAsia="zh-CN"/>
              </w:rPr>
            </w:pPr>
            <w:r>
              <w:rPr>
                <w:rFonts w:hint="default" w:ascii="Times New Roman" w:hAnsi="Times New Roman" w:cs="Times New Roman" w:eastAsiaTheme="minorEastAsia"/>
                <w:b/>
                <w:bCs w:val="0"/>
                <w:color w:val="auto"/>
                <w:sz w:val="24"/>
                <w:szCs w:val="24"/>
                <w:lang w:val="en-US" w:eastAsia="zh-CN"/>
              </w:rPr>
              <w:t>5.1.1</w:t>
            </w:r>
            <w:r>
              <w:rPr>
                <w:rFonts w:hint="default" w:ascii="Times New Roman" w:hAnsi="Times New Roman" w:cs="Times New Roman" w:eastAsiaTheme="minorEastAsia"/>
                <w:b/>
                <w:bCs w:val="0"/>
                <w:color w:val="auto"/>
                <w:sz w:val="24"/>
                <w:szCs w:val="24"/>
                <w:lang w:eastAsia="zh-CN"/>
              </w:rPr>
              <w:t>施工期</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5.1.1.1大气环境影响分析及防治措施</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b w:val="0"/>
                <w:kern w:val="2"/>
                <w:sz w:val="24"/>
                <w:szCs w:val="24"/>
                <w:lang w:val="en-US" w:eastAsia="zh-CN" w:bidi="ar-SA"/>
              </w:rPr>
            </w:pPr>
            <w:r>
              <w:rPr>
                <w:rFonts w:hint="default" w:ascii="Times New Roman" w:hAnsi="Times New Roman" w:cs="Times New Roman" w:eastAsiaTheme="minorEastAsia"/>
                <w:b w:val="0"/>
                <w:kern w:val="2"/>
                <w:sz w:val="24"/>
                <w:szCs w:val="24"/>
                <w:lang w:val="en-US" w:eastAsia="zh-CN" w:bidi="ar-SA"/>
              </w:rPr>
              <w:t>施工期大气污染物主要是施工扬尘、施工道路扬尘、施工机械尾气、柴油发电机废气</w:t>
            </w:r>
            <w:r>
              <w:rPr>
                <w:rFonts w:hint="eastAsia" w:ascii="Times New Roman" w:hAnsi="Times New Roman" w:cs="Times New Roman" w:eastAsiaTheme="minorEastAsia"/>
                <w:b w:val="0"/>
                <w:kern w:val="2"/>
                <w:sz w:val="24"/>
                <w:szCs w:val="24"/>
                <w:lang w:val="en-US" w:eastAsia="zh-CN" w:bidi="ar-SA"/>
              </w:rPr>
              <w:t>。</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（1）施工扬尘</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施工扬尘量的大小与诸多因素有关，它对环境的影响是一个复杂且较难定量的问题。在风速2.0m/s时，建筑工地的扬尘影响范围一般在其下风向约150m以内。万州平均风速一般为2.3m/s，因此在正常风速下，建筑工地扬尘的影响范围一般在施工场地下风向150m以内，万州区主导风向为北风，其中项目沿线居民点大多位于本项目北侧，因此受影响村民多分布在主导风向的上风向，施工扬尘对近距离居民影响较小。</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本项目为线性工程，施工原材料集中布置，暂存于临时堆料场，项目设置临时堆料场共4处，临时堆料场要及时遮盖、压实，并且及时洒水，保持临时堆料场的湿度，起到抑制扬尘的作用，减小对环境的影响。通过洒水抑制扬尘量，可使扬尘量减少70%。因此，施工扬尘对环境的影响较小。</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要求施工时施工方应严格执行国家环保保护部、建设部《关于有效控制城市扬尘污染的通知》和《重庆市人民政府关于印发重庆市环境保护“五大行动”实施方案（2013-2017年）的通知》，以控制扬尘对环境造成的影响。</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（2）施工道路扬尘</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施工期各类燃油机械设备（挖掘机、推土机）在进行场地挖填、清理平整、运输时产生的废气，主要污染物为NO</w:t>
            </w:r>
            <w:r>
              <w:rPr>
                <w:rFonts w:hint="default" w:ascii="Times New Roman" w:hAnsi="Times New Roman" w:cs="Times New Roman" w:eastAsiaTheme="minorEastAsia"/>
                <w:sz w:val="24"/>
                <w:szCs w:val="24"/>
                <w:vertAlign w:val="subscript"/>
                <w:lang w:val="en-US" w:eastAsia="zh-CN"/>
              </w:rPr>
              <w:t>X</w:t>
            </w:r>
            <w:r>
              <w:rPr>
                <w:rFonts w:hint="default" w:ascii="Times New Roman" w:hAnsi="Times New Roman" w:cs="Times New Roman" w:eastAsiaTheme="minorEastAsia"/>
                <w:sz w:val="24"/>
                <w:szCs w:val="24"/>
                <w:lang w:val="en-US" w:eastAsia="zh-CN"/>
              </w:rPr>
              <w:t>、CO。由于施工期的燃油机械作业为间断作业，且使用数量不多，通过加强燃油设备的维护保养，所排废气对环境影响小。</w:t>
            </w:r>
          </w:p>
          <w:p>
            <w:pPr>
              <w:pageBreakBefore w:val="0"/>
              <w:widowControl/>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施工运输车辆通过便道行驶产生的扬尘源强大小与污染源的距离、道路路面、行驶速度有关。一般情况下，在自然风作用下车辆产生的扬尘所影响的范围在100m以内。如果在施工期间对车辆行驶的路面</w:t>
            </w:r>
            <w:r>
              <w:rPr>
                <w:rFonts w:hint="eastAsia" w:ascii="Times New Roman" w:hAnsi="Times New Roman" w:eastAsia="宋体" w:cs="Times New Roman"/>
                <w:sz w:val="24"/>
                <w:szCs w:val="24"/>
                <w:lang w:eastAsia="zh-CN"/>
              </w:rPr>
              <w:t>洒水</w:t>
            </w:r>
            <w:r>
              <w:rPr>
                <w:rFonts w:hint="default" w:ascii="Times New Roman" w:hAnsi="Times New Roman" w:eastAsia="宋体" w:cs="Times New Roman"/>
                <w:sz w:val="24"/>
                <w:szCs w:val="24"/>
              </w:rPr>
              <w:t>抑尘，每天</w:t>
            </w:r>
            <w:r>
              <w:rPr>
                <w:rFonts w:hint="eastAsia" w:ascii="Times New Roman" w:hAnsi="Times New Roman" w:eastAsia="宋体" w:cs="Times New Roman"/>
                <w:sz w:val="24"/>
                <w:szCs w:val="24"/>
                <w:lang w:eastAsia="zh-CN"/>
              </w:rPr>
              <w:t>洒水</w:t>
            </w:r>
            <w:r>
              <w:rPr>
                <w:rFonts w:hint="default" w:ascii="Times New Roman" w:hAnsi="Times New Roman" w:eastAsia="宋体" w:cs="Times New Roman"/>
                <w:sz w:val="24"/>
                <w:szCs w:val="24"/>
              </w:rPr>
              <w:t>4~5次，预计扬尘可减少70%左右，洒水抑尘参照相似工程做过的洒水降尘实验，表明洒水可有效降低施工扬尘，施工场地</w:t>
            </w:r>
            <w:r>
              <w:rPr>
                <w:rFonts w:hint="eastAsia" w:ascii="Times New Roman" w:hAnsi="Times New Roman" w:eastAsia="宋体" w:cs="Times New Roman"/>
                <w:sz w:val="24"/>
                <w:szCs w:val="24"/>
                <w:lang w:eastAsia="zh-CN"/>
              </w:rPr>
              <w:t>洒水</w:t>
            </w:r>
            <w:r>
              <w:rPr>
                <w:rFonts w:hint="default" w:ascii="Times New Roman" w:hAnsi="Times New Roman" w:eastAsia="宋体" w:cs="Times New Roman"/>
                <w:sz w:val="24"/>
                <w:szCs w:val="24"/>
              </w:rPr>
              <w:t>实验结果见表</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-1。</w:t>
            </w:r>
          </w:p>
          <w:p>
            <w:pPr>
              <w:pageBreakBefore w:val="0"/>
              <w:widowControl/>
              <w:kinsoku/>
              <w:wordWrap/>
              <w:overflowPunct/>
              <w:topLinePunct w:val="0"/>
              <w:bidi w:val="0"/>
              <w:spacing w:line="360" w:lineRule="auto"/>
              <w:ind w:firstLine="480" w:firstLineChars="20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-1  施工扬尘</w:t>
            </w:r>
            <w:r>
              <w:rPr>
                <w:rFonts w:hint="eastAsia" w:ascii="Times New Roman" w:hAnsi="Times New Roman" w:eastAsia="宋体" w:cs="Times New Roman"/>
                <w:sz w:val="24"/>
                <w:szCs w:val="24"/>
                <w:lang w:eastAsia="zh-CN"/>
              </w:rPr>
              <w:t>洒水</w:t>
            </w:r>
            <w:r>
              <w:rPr>
                <w:rFonts w:hint="default" w:ascii="Times New Roman" w:hAnsi="Times New Roman" w:eastAsia="宋体" w:cs="Times New Roman"/>
                <w:sz w:val="24"/>
                <w:szCs w:val="24"/>
              </w:rPr>
              <w:t>抑尘试验结果</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54"/>
              <w:gridCol w:w="1533"/>
              <w:gridCol w:w="1033"/>
              <w:gridCol w:w="1257"/>
              <w:gridCol w:w="1257"/>
              <w:gridCol w:w="13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2454" w:type="dxa"/>
                  <w:noWrap w:val="0"/>
                  <w:vAlign w:val="center"/>
                </w:tcPr>
                <w:p>
                  <w:pPr>
                    <w:pageBreakBefore w:val="0"/>
                    <w:kinsoku/>
                    <w:wordWrap/>
                    <w:overflowPunct/>
                    <w:topLinePunct w:val="0"/>
                    <w:bidi w:val="0"/>
                    <w:adjustRightInd w:val="0"/>
                    <w:snapToGrid w:val="0"/>
                    <w:spacing w:line="360" w:lineRule="auto"/>
                    <w:ind w:firstLine="440"/>
                    <w:jc w:val="center"/>
                    <w:textAlignment w:val="auto"/>
                    <w:rPr>
                      <w:rFonts w:hint="default"/>
                    </w:rPr>
                  </w:pPr>
                  <w:r>
                    <w:rPr>
                      <w:rFonts w:hint="default"/>
                    </w:rPr>
                    <w:t>距现场距离/m</w:t>
                  </w:r>
                </w:p>
              </w:tc>
              <w:tc>
                <w:tcPr>
                  <w:tcW w:w="1533"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采取措施</w:t>
                  </w:r>
                </w:p>
              </w:tc>
              <w:tc>
                <w:tcPr>
                  <w:tcW w:w="1033"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5 m</w:t>
                  </w:r>
                </w:p>
              </w:tc>
              <w:tc>
                <w:tcPr>
                  <w:tcW w:w="1257"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20 m</w:t>
                  </w:r>
                </w:p>
              </w:tc>
              <w:tc>
                <w:tcPr>
                  <w:tcW w:w="1257"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50 m</w:t>
                  </w:r>
                </w:p>
              </w:tc>
              <w:tc>
                <w:tcPr>
                  <w:tcW w:w="1323"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100 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2454" w:type="dxa"/>
                  <w:vMerge w:val="restart"/>
                  <w:noWrap w:val="0"/>
                  <w:vAlign w:val="center"/>
                </w:tcPr>
                <w:p>
                  <w:pPr>
                    <w:pageBreakBefore w:val="0"/>
                    <w:kinsoku/>
                    <w:wordWrap/>
                    <w:overflowPunct/>
                    <w:topLinePunct w:val="0"/>
                    <w:bidi w:val="0"/>
                    <w:adjustRightInd w:val="0"/>
                    <w:snapToGrid w:val="0"/>
                    <w:spacing w:line="360" w:lineRule="auto"/>
                    <w:ind w:firstLine="440"/>
                    <w:jc w:val="center"/>
                    <w:textAlignment w:val="auto"/>
                    <w:rPr>
                      <w:rFonts w:hint="default"/>
                    </w:rPr>
                  </w:pPr>
                  <w:r>
                    <w:rPr>
                      <w:rFonts w:hint="default"/>
                    </w:rPr>
                    <w:t>TSP小时平均</w:t>
                  </w:r>
                </w:p>
                <w:p>
                  <w:pPr>
                    <w:pageBreakBefore w:val="0"/>
                    <w:kinsoku/>
                    <w:wordWrap/>
                    <w:overflowPunct/>
                    <w:topLinePunct w:val="0"/>
                    <w:bidi w:val="0"/>
                    <w:adjustRightInd w:val="0"/>
                    <w:snapToGrid w:val="0"/>
                    <w:spacing w:line="360" w:lineRule="auto"/>
                    <w:ind w:firstLine="440"/>
                    <w:jc w:val="center"/>
                    <w:textAlignment w:val="auto"/>
                    <w:rPr>
                      <w:rFonts w:hint="default"/>
                    </w:rPr>
                  </w:pPr>
                  <w:r>
                    <w:rPr>
                      <w:rFonts w:hint="default"/>
                    </w:rPr>
                    <w:t>浓度/（mg/ m3）</w:t>
                  </w:r>
                </w:p>
              </w:tc>
              <w:tc>
                <w:tcPr>
                  <w:tcW w:w="1533"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不</w:t>
                  </w:r>
                  <w:r>
                    <w:rPr>
                      <w:rFonts w:hint="eastAsia"/>
                      <w:lang w:eastAsia="zh-CN"/>
                    </w:rPr>
                    <w:t>洒水</w:t>
                  </w:r>
                </w:p>
              </w:tc>
              <w:tc>
                <w:tcPr>
                  <w:tcW w:w="1033"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10.14</w:t>
                  </w:r>
                </w:p>
              </w:tc>
              <w:tc>
                <w:tcPr>
                  <w:tcW w:w="1257"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2.89</w:t>
                  </w:r>
                </w:p>
              </w:tc>
              <w:tc>
                <w:tcPr>
                  <w:tcW w:w="1257"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1.15</w:t>
                  </w:r>
                </w:p>
              </w:tc>
              <w:tc>
                <w:tcPr>
                  <w:tcW w:w="1323"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0.86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2454" w:type="dxa"/>
                  <w:vMerge w:val="continue"/>
                  <w:noWrap w:val="0"/>
                  <w:vAlign w:val="center"/>
                </w:tcPr>
                <w:p>
                  <w:pPr>
                    <w:pageBreakBefore w:val="0"/>
                    <w:kinsoku/>
                    <w:wordWrap/>
                    <w:overflowPunct/>
                    <w:topLinePunct w:val="0"/>
                    <w:bidi w:val="0"/>
                    <w:adjustRightInd w:val="0"/>
                    <w:snapToGrid w:val="0"/>
                    <w:spacing w:line="360" w:lineRule="auto"/>
                    <w:ind w:firstLine="440"/>
                    <w:jc w:val="center"/>
                    <w:textAlignment w:val="auto"/>
                    <w:rPr>
                      <w:rFonts w:hint="default"/>
                    </w:rPr>
                  </w:pPr>
                </w:p>
              </w:tc>
              <w:tc>
                <w:tcPr>
                  <w:tcW w:w="1533"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eastAsia"/>
                      <w:lang w:eastAsia="zh-CN"/>
                    </w:rPr>
                    <w:t>洒水</w:t>
                  </w:r>
                </w:p>
              </w:tc>
              <w:tc>
                <w:tcPr>
                  <w:tcW w:w="1033"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2.01</w:t>
                  </w:r>
                </w:p>
              </w:tc>
              <w:tc>
                <w:tcPr>
                  <w:tcW w:w="1257"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1.40</w:t>
                  </w:r>
                </w:p>
              </w:tc>
              <w:tc>
                <w:tcPr>
                  <w:tcW w:w="1257"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0.67</w:t>
                  </w:r>
                </w:p>
              </w:tc>
              <w:tc>
                <w:tcPr>
                  <w:tcW w:w="1323"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0.60</w:t>
                  </w:r>
                </w:p>
              </w:tc>
            </w:tr>
          </w:tbl>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对施工道路经常洒水可有效降低扬尘污染，本工程施工区和施工道路附近村庄较少，采取洒水措施，对道路沿线的居民产生影响较小。</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val="en-US" w:eastAsia="zh-CN"/>
              </w:rPr>
              <w:t>施工机械尾气</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施工机械以柴油和汽油为主要燃料，施工机械尾气中污染物主要为CO、NO2，由于工程区无工业污染源，环境空气质量较好，施工工程量不大，施工机具数量有限，尾气排放量不大，兼之工程区所在地地势比较平坦，尾气不易聚集，施工机械设备施工作业时对环境空气的影响范围主要局限于施工区内。</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4</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柴油发电机废气</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本项目备用柴油发电机各3台，容量为1000KW，只有在发生电力供应故障的非正常情况下才会应急启用，柴油发电机使用</w:t>
            </w:r>
            <w:r>
              <w:rPr>
                <w:rFonts w:hint="eastAsia" w:ascii="Times New Roman" w:hAnsi="Times New Roman" w:cs="Times New Roman" w:eastAsiaTheme="minorEastAsia"/>
                <w:sz w:val="24"/>
                <w:szCs w:val="24"/>
                <w:lang w:val="en-US" w:eastAsia="zh-CN"/>
              </w:rPr>
              <w:t>概率</w:t>
            </w:r>
            <w:r>
              <w:rPr>
                <w:rFonts w:hint="default" w:ascii="Times New Roman" w:hAnsi="Times New Roman" w:cs="Times New Roman" w:eastAsiaTheme="minorEastAsia"/>
                <w:sz w:val="24"/>
                <w:szCs w:val="24"/>
                <w:lang w:val="en-US" w:eastAsia="zh-CN"/>
              </w:rPr>
              <w:t>较小，使用时间较短，且燃用优质轻柴油，燃油废气中污染物量较少。柴油发电机的燃油量为1.15NM3/H（1cal/min=69.78MW，1000KW=0.86×106 Kcal/h=3.6×106 Kcal/h，柴油的热值按3.552×106Kj/ m3计，燃油效率按90%计），根据类比统计数据，每燃烧1m3的柴油排放烟尘1.8 kg/a SO2 0.86 kg/a， 按此计算，柴油发电机燃油产生的废气中主要污染物烟尘为2.07 kg/h、NOx0.99 kg/h。该备用柴油发电机在正常情况下不使用，仅在电力故障时短时间启用，故电力故障情况下燃油废气不会对周围环境产生显著影响。</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5.1.1.2地表水环境影响分析及防治措施</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（1）施工废水</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施工期废水主要为基坑废水、设备和车辆冲洗废水，以及施工人员产生的生活污水。</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施工期生活污水利用附近民房的污水处理设施处理后作农肥，不外排。围堰基坑废水经沉淀处理后回用于施工场地洒水降尘，不排放；施工期施工营设备和车辆冲洗设置固定场地，场地附近设置隔油沉淀池，设备和车辆清洗废水集中收集隔油、沉淀处理，处理后的废水循环利用或用于施工区防尘，不外排。</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从上述分析可知，施工期的水质污染源主要包括生产废水和生活污水两大部分，废水总体排放量较小，但污染物浓度较高，采取相应治理措施后对附近地表水质影响较小，且随着施工的结束，污染源也将消失。</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5.1.1.3声环境影响分析及防治措施</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（1）噪声源</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场地清理等基础施工阶段：主要为挖掘机、推土机等，声源源强约为78-96dB(A)左右；堤岸施工阶段：主要为混凝土搅拌机、打夯机、振捣棒、振动碾、空压机等，声源源强约为75~110dB(A)左右；整个施工过程：载重汽车等原始车辆噪声约为82~93dB(A)。</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（2）预测方法</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本项目采用距离衰减模式，预测施工场不同距离处的等效声级及超标距离，以此分析施工期噪声对周边环境的影响。</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距离衰减模式：</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LP1=LP2-20lg(r1/r2)</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LP1-受声点P1处的声级（dB）；</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cs="Times New Roman" w:eastAsiaTheme="minorEastAsia"/>
                <w:sz w:val="24"/>
                <w:szCs w:val="24"/>
                <w:lang w:val="en-US" w:eastAsia="zh-CN"/>
              </w:rPr>
              <w:t>P2-受声点P2处的声级（dB）；</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r1-声源至P1的距离（m）；</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r2-声源至P2的距离（m）。</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各主要噪声源在不同距离上的噪声贡献值，并对照《建筑施工场界环境噪声排放标准》（GB12523-2011）算出超标距离，预测结果见表5-</w:t>
            </w:r>
            <w:r>
              <w:rPr>
                <w:rFonts w:hint="eastAsia"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lang w:val="en-US" w:eastAsia="zh-CN"/>
              </w:rPr>
              <w:t>。</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val="en-US" w:eastAsia="zh-CN"/>
              </w:rPr>
              <w:t>预测结果</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1）施工噪声贡献值预测</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在噪声预测过程中，不考虑噪声在传播过程中的聚合发散、遮挡、空气吸收和地面效应作用下产生的衰减量，预测结果见下表</w:t>
            </w:r>
            <w:r>
              <w:rPr>
                <w:rFonts w:hint="eastAsia" w:ascii="Times New Roman" w:hAnsi="Times New Roman" w:cs="Times New Roman" w:eastAsiaTheme="minorEastAsia"/>
                <w:sz w:val="24"/>
                <w:szCs w:val="24"/>
                <w:lang w:val="en-US" w:eastAsia="zh-CN"/>
              </w:rPr>
              <w:t>5</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lang w:val="en-US" w:eastAsia="zh-CN"/>
              </w:rPr>
              <w:t>。</w:t>
            </w:r>
          </w:p>
          <w:p>
            <w:pPr>
              <w:pageBreakBefore w:val="0"/>
              <w:tabs>
                <w:tab w:val="right" w:pos="9413"/>
              </w:tabs>
              <w:kinsoku/>
              <w:wordWrap/>
              <w:overflowPunct/>
              <w:topLinePunct w:val="0"/>
              <w:bidi w:val="0"/>
              <w:spacing w:line="360" w:lineRule="auto"/>
              <w:ind w:firstLine="480" w:firstLineChars="20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表</w:t>
            </w:r>
            <w:r>
              <w:rPr>
                <w:rFonts w:hint="eastAsia" w:ascii="Times New Roman" w:hAnsi="Times New Roman" w:cs="Times New Roman" w:eastAsiaTheme="minorEastAsia"/>
                <w:sz w:val="24"/>
                <w:szCs w:val="24"/>
                <w:lang w:val="en-US" w:eastAsia="zh-CN"/>
              </w:rPr>
              <w:t>5</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2</w:t>
            </w:r>
            <w:r>
              <w:rPr>
                <w:rFonts w:hint="default" w:ascii="Times New Roman" w:hAnsi="Times New Roman" w:eastAsia="宋体" w:cs="Times New Roman"/>
                <w:sz w:val="24"/>
                <w:szCs w:val="24"/>
                <w:lang w:val="en-US" w:eastAsia="zh-CN"/>
              </w:rPr>
              <w:t xml:space="preserve">  项目点声源预测结果统计表</w:t>
            </w:r>
          </w:p>
          <w:tbl>
            <w:tblPr>
              <w:tblStyle w:val="25"/>
              <w:tblW w:w="4998"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06"/>
              <w:gridCol w:w="1705"/>
              <w:gridCol w:w="841"/>
              <w:gridCol w:w="841"/>
              <w:gridCol w:w="841"/>
              <w:gridCol w:w="841"/>
              <w:gridCol w:w="981"/>
              <w:gridCol w:w="827"/>
              <w:gridCol w:w="853"/>
              <w:gridCol w:w="76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33" w:type="pct"/>
                  <w:vMerge w:val="restar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序号</w:t>
                  </w:r>
                </w:p>
              </w:tc>
              <w:tc>
                <w:tcPr>
                  <w:tcW w:w="916" w:type="pct"/>
                  <w:vMerge w:val="restar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设备名称</w:t>
                  </w:r>
                </w:p>
              </w:tc>
              <w:tc>
                <w:tcPr>
                  <w:tcW w:w="3237" w:type="pct"/>
                  <w:gridSpan w:val="7"/>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噪声级dB（A）</w:t>
                  </w:r>
                </w:p>
              </w:tc>
              <w:tc>
                <w:tcPr>
                  <w:tcW w:w="412" w:type="pct"/>
                  <w:vMerge w:val="restar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执行标准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33" w:type="pct"/>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p>
              </w:tc>
              <w:tc>
                <w:tcPr>
                  <w:tcW w:w="916" w:type="pct"/>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5m</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10m</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40m</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50m</w:t>
                  </w:r>
                </w:p>
              </w:tc>
              <w:tc>
                <w:tcPr>
                  <w:tcW w:w="527"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100m</w:t>
                  </w:r>
                </w:p>
              </w:tc>
              <w:tc>
                <w:tcPr>
                  <w:tcW w:w="444"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200m</w:t>
                  </w:r>
                </w:p>
              </w:tc>
              <w:tc>
                <w:tcPr>
                  <w:tcW w:w="455"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300m</w:t>
                  </w:r>
                </w:p>
              </w:tc>
              <w:tc>
                <w:tcPr>
                  <w:tcW w:w="412" w:type="pct"/>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33" w:type="pct"/>
                  <w:tcBorders>
                    <w:bottom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1</w:t>
                  </w:r>
                </w:p>
              </w:tc>
              <w:tc>
                <w:tcPr>
                  <w:tcW w:w="916" w:type="pct"/>
                  <w:tcBorders>
                    <w:bottom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装载机</w:t>
                  </w:r>
                </w:p>
              </w:tc>
              <w:tc>
                <w:tcPr>
                  <w:tcW w:w="452" w:type="pct"/>
                  <w:tcBorders>
                    <w:bottom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98</w:t>
                  </w:r>
                </w:p>
              </w:tc>
              <w:tc>
                <w:tcPr>
                  <w:tcW w:w="452" w:type="pct"/>
                  <w:tcBorders>
                    <w:bottom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84</w:t>
                  </w:r>
                </w:p>
              </w:tc>
              <w:tc>
                <w:tcPr>
                  <w:tcW w:w="452" w:type="pct"/>
                  <w:tcBorders>
                    <w:bottom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67</w:t>
                  </w:r>
                </w:p>
              </w:tc>
              <w:tc>
                <w:tcPr>
                  <w:tcW w:w="452" w:type="pct"/>
                  <w:tcBorders>
                    <w:bottom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65</w:t>
                  </w:r>
                </w:p>
              </w:tc>
              <w:tc>
                <w:tcPr>
                  <w:tcW w:w="527" w:type="pct"/>
                  <w:tcBorders>
                    <w:bottom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58</w:t>
                  </w:r>
                </w:p>
              </w:tc>
              <w:tc>
                <w:tcPr>
                  <w:tcW w:w="444" w:type="pct"/>
                  <w:tcBorders>
                    <w:bottom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52</w:t>
                  </w:r>
                </w:p>
              </w:tc>
              <w:tc>
                <w:tcPr>
                  <w:tcW w:w="455" w:type="pct"/>
                  <w:tcBorders>
                    <w:bottom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48</w:t>
                  </w:r>
                </w:p>
              </w:tc>
              <w:tc>
                <w:tcPr>
                  <w:tcW w:w="412" w:type="pct"/>
                  <w:vMerge w:val="restar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70/55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33" w:type="pct"/>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2</w:t>
                  </w:r>
                </w:p>
              </w:tc>
              <w:tc>
                <w:tcPr>
                  <w:tcW w:w="916" w:type="pct"/>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挖掘机</w:t>
                  </w:r>
                </w:p>
              </w:tc>
              <w:tc>
                <w:tcPr>
                  <w:tcW w:w="452" w:type="pct"/>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95</w:t>
                  </w:r>
                </w:p>
              </w:tc>
              <w:tc>
                <w:tcPr>
                  <w:tcW w:w="452" w:type="pct"/>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81</w:t>
                  </w:r>
                </w:p>
              </w:tc>
              <w:tc>
                <w:tcPr>
                  <w:tcW w:w="452" w:type="pct"/>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64</w:t>
                  </w:r>
                </w:p>
              </w:tc>
              <w:tc>
                <w:tcPr>
                  <w:tcW w:w="452" w:type="pct"/>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61</w:t>
                  </w:r>
                </w:p>
              </w:tc>
              <w:tc>
                <w:tcPr>
                  <w:tcW w:w="527" w:type="pct"/>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55</w:t>
                  </w:r>
                </w:p>
              </w:tc>
              <w:tc>
                <w:tcPr>
                  <w:tcW w:w="444" w:type="pct"/>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49</w:t>
                  </w:r>
                </w:p>
              </w:tc>
              <w:tc>
                <w:tcPr>
                  <w:tcW w:w="455" w:type="pct"/>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45</w:t>
                  </w:r>
                </w:p>
              </w:tc>
              <w:tc>
                <w:tcPr>
                  <w:tcW w:w="412" w:type="pct"/>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33"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3</w:t>
                  </w:r>
                </w:p>
              </w:tc>
              <w:tc>
                <w:tcPr>
                  <w:tcW w:w="916" w:type="pct"/>
                  <w:noWrap w:val="0"/>
                  <w:vAlign w:val="center"/>
                </w:tcPr>
                <w:p>
                  <w:pPr>
                    <w:pStyle w:val="82"/>
                    <w:keepNext w:val="0"/>
                    <w:keepLines w:val="0"/>
                    <w:pageBreakBefore w:val="0"/>
                    <w:widowControl w:val="0"/>
                    <w:kinsoku/>
                    <w:wordWrap/>
                    <w:overflowPunct/>
                    <w:topLinePunct w:val="0"/>
                    <w:bidi w:val="0"/>
                    <w:adjustRightInd w:val="0"/>
                    <w:snapToGrid w:val="0"/>
                    <w:spacing w:line="360" w:lineRule="auto"/>
                    <w:ind w:firstLine="440"/>
                    <w:jc w:val="both"/>
                    <w:textAlignment w:val="auto"/>
                    <w:rPr>
                      <w:rFonts w:hint="default"/>
                    </w:rPr>
                  </w:pPr>
                  <w:r>
                    <w:rPr>
                      <w:rFonts w:hint="default"/>
                    </w:rPr>
                    <w:t>压路机</w:t>
                  </w:r>
                </w:p>
              </w:tc>
              <w:tc>
                <w:tcPr>
                  <w:tcW w:w="452" w:type="pct"/>
                  <w:noWrap w:val="0"/>
                  <w:vAlign w:val="center"/>
                </w:tcPr>
                <w:p>
                  <w:pPr>
                    <w:pStyle w:val="82"/>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81</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67</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50</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48</w:t>
                  </w:r>
                </w:p>
              </w:tc>
              <w:tc>
                <w:tcPr>
                  <w:tcW w:w="527"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41</w:t>
                  </w:r>
                </w:p>
              </w:tc>
              <w:tc>
                <w:tcPr>
                  <w:tcW w:w="444"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35</w:t>
                  </w:r>
                </w:p>
              </w:tc>
              <w:tc>
                <w:tcPr>
                  <w:tcW w:w="455"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31</w:t>
                  </w:r>
                </w:p>
              </w:tc>
              <w:tc>
                <w:tcPr>
                  <w:tcW w:w="412" w:type="pct"/>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33"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4</w:t>
                  </w:r>
                </w:p>
              </w:tc>
              <w:tc>
                <w:tcPr>
                  <w:tcW w:w="916"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振捣棒</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110</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96</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79</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76</w:t>
                  </w:r>
                </w:p>
              </w:tc>
              <w:tc>
                <w:tcPr>
                  <w:tcW w:w="527"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70</w:t>
                  </w:r>
                </w:p>
              </w:tc>
              <w:tc>
                <w:tcPr>
                  <w:tcW w:w="444"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64</w:t>
                  </w:r>
                </w:p>
              </w:tc>
              <w:tc>
                <w:tcPr>
                  <w:tcW w:w="455"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60</w:t>
                  </w:r>
                </w:p>
              </w:tc>
              <w:tc>
                <w:tcPr>
                  <w:tcW w:w="412" w:type="pct"/>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33"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w:t>
                  </w:r>
                </w:p>
              </w:tc>
              <w:tc>
                <w:tcPr>
                  <w:tcW w:w="916"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空压机</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97</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83</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66</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64</w:t>
                  </w:r>
                </w:p>
              </w:tc>
              <w:tc>
                <w:tcPr>
                  <w:tcW w:w="527"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57</w:t>
                  </w:r>
                </w:p>
              </w:tc>
              <w:tc>
                <w:tcPr>
                  <w:tcW w:w="444"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51</w:t>
                  </w:r>
                </w:p>
              </w:tc>
              <w:tc>
                <w:tcPr>
                  <w:tcW w:w="455"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47</w:t>
                  </w:r>
                </w:p>
              </w:tc>
              <w:tc>
                <w:tcPr>
                  <w:tcW w:w="412" w:type="pct"/>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33"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6</w:t>
                  </w:r>
                </w:p>
              </w:tc>
              <w:tc>
                <w:tcPr>
                  <w:tcW w:w="916"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泵类</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88</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74</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57</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55</w:t>
                  </w:r>
                </w:p>
              </w:tc>
              <w:tc>
                <w:tcPr>
                  <w:tcW w:w="527"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48</w:t>
                  </w:r>
                </w:p>
              </w:tc>
              <w:tc>
                <w:tcPr>
                  <w:tcW w:w="444"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42</w:t>
                  </w:r>
                </w:p>
              </w:tc>
              <w:tc>
                <w:tcPr>
                  <w:tcW w:w="455"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38</w:t>
                  </w:r>
                </w:p>
              </w:tc>
              <w:tc>
                <w:tcPr>
                  <w:tcW w:w="412" w:type="pct"/>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33"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7</w:t>
                  </w:r>
                </w:p>
              </w:tc>
              <w:tc>
                <w:tcPr>
                  <w:tcW w:w="916"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推土机</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96</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82</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65</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63</w:t>
                  </w:r>
                </w:p>
              </w:tc>
              <w:tc>
                <w:tcPr>
                  <w:tcW w:w="527"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56</w:t>
                  </w:r>
                </w:p>
              </w:tc>
              <w:tc>
                <w:tcPr>
                  <w:tcW w:w="444"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50</w:t>
                  </w:r>
                </w:p>
              </w:tc>
              <w:tc>
                <w:tcPr>
                  <w:tcW w:w="455"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46</w:t>
                  </w:r>
                </w:p>
              </w:tc>
              <w:tc>
                <w:tcPr>
                  <w:tcW w:w="412" w:type="pct"/>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p>
              </w:tc>
            </w:tr>
          </w:tbl>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备注：柴油发电机仅在电力故障状态下启用，时间短，影响短暂。本次评价不作影响预测。</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cs="Times New Roman"/>
                <w:color w:val="auto"/>
                <w:sz w:val="24"/>
                <w:szCs w:val="24"/>
                <w:lang w:val="en-US" w:eastAsia="zh-CN"/>
              </w:rPr>
            </w:pPr>
            <w:r>
              <w:rPr>
                <w:rFonts w:hint="default" w:ascii="Times New Roman" w:hAnsi="Times New Roman" w:eastAsia="宋体" w:cs="Times New Roman"/>
                <w:sz w:val="24"/>
                <w:szCs w:val="24"/>
                <w:lang w:val="en-US" w:eastAsia="zh-CN"/>
              </w:rPr>
              <w:t>由上表可知，施工机械在无任何声屏障时，单个噪声源昼间影响范围为5m～100m，夜间影响振捣器等噪声影响范围最广</w:t>
            </w:r>
            <w:r>
              <w:rPr>
                <w:rFonts w:hint="eastAsia" w:ascii="Times New Roman" w:hAnsi="Times New Roman" w:eastAsia="宋体" w:cs="Times New Roman"/>
                <w:sz w:val="24"/>
                <w:szCs w:val="24"/>
                <w:lang w:val="en-US" w:eastAsia="zh-CN"/>
              </w:rPr>
              <w:t>。</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）敏感点噪声影响</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项目施工区周围主要为居民，按照以上预测结果分析，施工噪声对与护岸相邻的居民影响较大，将会超过《建筑施工厂界环境噪声排放标准》（GB12523-2011）。</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单位对此应予以高度重视，根据《重庆市环境噪声污染防治办法》（重庆市人民政府令第270号）以及重庆市人民政府“关于印发重庆市宁静行动实施方案（2013-2017年）的通知”等文件的相关要求，一般通过合理安排施工时间、合理布局施工机械等措施降低施工噪声对环境的影响，本环评要求采取如下措施：</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①建设单位与施工方签订施工承包合同时，应将建筑施工噪声防治纳入合同中，明确施工单位的粉尘污染防治责任，在未取得施工许可证的前提下不得施工。</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②建筑施工单位必须按照国家和重庆市有关排污许可管理制度的要求，申请《排放污染物许可证》和《排放污染物临时许可证》；</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施工单位必须选用符合国家有关标准的施工机具，使用低噪声机具和施工工艺，降低噪声源强。施工单位在使用推土机、挖掘机等施工机具的时候，昼、夜间场界噪声必须满足《建筑施工场界环境噪声排放标准》（GB12523-2011）。同时加强施工机械的维护保养，保证机械始终处于良好运行，避免由于设备性能差而使机械噪声增大的现象发生。</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④根据实际情况，调整施工时序，减少施工期噪声对环境敏感点的影响。</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⑤一般情况下禁止夜间（22：00~次日凌晨6：00）施工作业，避开车流高峰时段运输；加强驾驶员环保意识宣传工作，运输线路避开敏感点较多的路段行驶，行经居民小区、学校等路段时必须禁鸣、减速。若因工艺需要夜间连续作业的，须到当地环境保护局申请夜间施工许可，并张贴告示取得周边居民谅解；高</w:t>
            </w:r>
            <w:r>
              <w:rPr>
                <w:rFonts w:hint="eastAsia" w:ascii="Times New Roman" w:hAnsi="Times New Roman" w:eastAsia="宋体" w:cs="Times New Roman"/>
                <w:sz w:val="24"/>
                <w:szCs w:val="24"/>
                <w:lang w:val="en-US" w:eastAsia="zh-CN"/>
              </w:rPr>
              <w:t>噪声</w:t>
            </w:r>
            <w:r>
              <w:rPr>
                <w:rFonts w:hint="default" w:ascii="Times New Roman" w:hAnsi="Times New Roman" w:eastAsia="宋体" w:cs="Times New Roman"/>
                <w:sz w:val="24"/>
                <w:szCs w:val="24"/>
                <w:lang w:val="en-US" w:eastAsia="zh-CN"/>
              </w:rPr>
              <w:t>施工机械安排在昼间(06∶00―22∶00)， 通过增加设备缩短连续施工时间，尽量避免夜间施工。</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⑥在施工道路红线边界采用不低于1.8m的可移动式施工硬质围挡阻隔噪声。</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⑦控制施工机械在道路红线范围内作业，不得越界施工，并采取全程禁鸣措施。</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⑧在噪声敏感建筑物集中区域内进行施工作业的，施工单位应当于施工期间在施工场所公示项目名称、项目建设内容和时间、项目业主联系方式、施工单位名称、工地负责人及联系方式、可能产生的</w:t>
            </w: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"http://baike.baidu.com/subview/106430/106430.htm" \t "_blank"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噪声污染</w:t>
            </w:r>
            <w:r>
              <w:rPr>
                <w:rFonts w:hint="default" w:ascii="Times New Roman" w:hAnsi="Times New Roman" w:eastAsia="宋体" w:cs="Times New Roman"/>
                <w:sz w:val="24"/>
                <w:szCs w:val="24"/>
                <w:lang w:val="en-US" w:eastAsia="zh-CN"/>
              </w:rPr>
              <w:fldChar w:fldCharType="end"/>
            </w:r>
            <w:r>
              <w:rPr>
                <w:rFonts w:hint="default" w:ascii="Times New Roman" w:hAnsi="Times New Roman" w:eastAsia="宋体" w:cs="Times New Roman"/>
                <w:sz w:val="24"/>
                <w:szCs w:val="24"/>
                <w:lang w:val="en-US" w:eastAsia="zh-CN"/>
              </w:rPr>
              <w:t>和采取的防治措施。</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cs="Times New Roman"/>
                <w:color w:val="auto"/>
                <w:sz w:val="24"/>
                <w:szCs w:val="24"/>
                <w:lang w:val="en-US" w:eastAsia="zh-CN"/>
              </w:rPr>
            </w:pPr>
            <w:r>
              <w:rPr>
                <w:rFonts w:hint="default" w:ascii="Times New Roman" w:hAnsi="Times New Roman" w:eastAsia="宋体" w:cs="Times New Roman"/>
                <w:sz w:val="24"/>
                <w:szCs w:val="24"/>
                <w:lang w:val="en-US" w:eastAsia="zh-CN"/>
              </w:rPr>
              <w:t>采取上述综合防护措施后，由于拟建项目施工具有</w:t>
            </w:r>
            <w:r>
              <w:rPr>
                <w:rFonts w:hint="eastAsia" w:ascii="Times New Roman" w:hAnsi="Times New Roman" w:eastAsia="宋体" w:cs="Times New Roman"/>
                <w:sz w:val="24"/>
                <w:szCs w:val="24"/>
                <w:lang w:val="en-US" w:eastAsia="zh-CN"/>
              </w:rPr>
              <w:t>线性</w:t>
            </w:r>
            <w:r>
              <w:rPr>
                <w:rFonts w:hint="default" w:ascii="Times New Roman" w:hAnsi="Times New Roman" w:eastAsia="宋体" w:cs="Times New Roman"/>
                <w:sz w:val="24"/>
                <w:szCs w:val="24"/>
                <w:lang w:val="en-US" w:eastAsia="zh-CN"/>
              </w:rPr>
              <w:t>工程特点，在某一敏感点附近施工影响时间短，施工噪声对周边敏感住户等的影响较小</w:t>
            </w:r>
            <w:r>
              <w:rPr>
                <w:rFonts w:hint="eastAsia" w:ascii="Times New Roman" w:hAnsi="Times New Roman" w:eastAsia="宋体" w:cs="Times New Roman"/>
                <w:sz w:val="24"/>
                <w:szCs w:val="24"/>
                <w:lang w:val="en-US" w:eastAsia="zh-CN"/>
              </w:rPr>
              <w:t>。</w:t>
            </w:r>
          </w:p>
          <w:p>
            <w:pPr>
              <w:pStyle w:val="95"/>
              <w:keepNext w:val="0"/>
              <w:keepLines w:val="0"/>
              <w:pageBreakBefore w:val="0"/>
              <w:widowControl w:val="0"/>
              <w:numPr>
                <w:ilvl w:val="0"/>
                <w:numId w:val="1"/>
              </w:numPr>
              <w:kinsoku/>
              <w:wordWrap/>
              <w:overflowPunct/>
              <w:topLinePunct w:val="0"/>
              <w:bidi w:val="0"/>
              <w:adjustRightInd w:val="0"/>
              <w:snapToGrid w:val="0"/>
              <w:spacing w:line="360" w:lineRule="auto"/>
              <w:ind w:left="0" w:leftChars="0" w:firstLine="480" w:firstLineChars="200"/>
              <w:textAlignment w:val="auto"/>
              <w:rPr>
                <w:rFonts w:hint="default" w:cs="Times New Roman"/>
                <w:color w:val="auto"/>
                <w:sz w:val="24"/>
                <w:szCs w:val="24"/>
                <w:lang w:val="en-US" w:eastAsia="zh-CN"/>
              </w:rPr>
            </w:pPr>
            <w:r>
              <w:rPr>
                <w:rFonts w:hint="default" w:ascii="Times New Roman" w:hAnsi="Times New Roman" w:cs="Times New Roman"/>
                <w:color w:val="auto"/>
                <w:sz w:val="24"/>
                <w:szCs w:val="24"/>
                <w:lang w:val="en-US" w:eastAsia="zh-CN"/>
              </w:rPr>
              <w:t>施工期振动影响分</w:t>
            </w:r>
            <w:r>
              <w:rPr>
                <w:rFonts w:hint="eastAsia" w:cs="Times New Roman"/>
                <w:color w:val="auto"/>
                <w:sz w:val="24"/>
                <w:szCs w:val="24"/>
                <w:lang w:val="en-US" w:eastAsia="zh-CN"/>
              </w:rPr>
              <w:t>析</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sz w:val="24"/>
                <w:szCs w:val="24"/>
                <w:lang w:val="en-US" w:eastAsia="zh-CN"/>
              </w:rPr>
              <w:t>施工期振动主要来源于装载机、推土机、挖掘机、空压机、土石方挖填时设备作业和车辆运输以及路基开挖等。施工机具产生的振动振级在75~83dB，其振动传播范围约在15～30m外达到《城市区域环境振动标准》（GB10070-88）中“混合区、商业中心区”规定的相应标准。因此，产生较大振动的机械应尽量远离环境敏感点布置，尽量减少对保护目标的影响，振动影响随施工结束而消失</w:t>
            </w:r>
            <w:r>
              <w:rPr>
                <w:rFonts w:hint="default" w:ascii="Times New Roman" w:hAnsi="Times New Roman" w:eastAsia="宋体" w:cs="Times New Roman"/>
                <w:color w:val="auto"/>
                <w:kern w:val="0"/>
                <w:sz w:val="24"/>
                <w:szCs w:val="24"/>
                <w:lang w:val="en-US" w:eastAsia="zh-CN" w:bidi="ar-SA"/>
              </w:rPr>
              <w:t>。</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kern w:val="0"/>
                <w:sz w:val="24"/>
                <w:szCs w:val="24"/>
                <w:lang w:val="en-US" w:eastAsia="zh-CN" w:bidi="ar-SA"/>
              </w:rPr>
              <w:t>5</w:t>
            </w:r>
            <w:r>
              <w:rPr>
                <w:rFonts w:hint="default" w:ascii="Times New Roman" w:hAnsi="Times New Roman" w:eastAsia="宋体" w:cs="Times New Roman"/>
                <w:color w:val="auto"/>
                <w:kern w:val="0"/>
                <w:sz w:val="24"/>
                <w:szCs w:val="24"/>
                <w:lang w:val="en-US" w:eastAsia="zh-CN" w:bidi="ar-SA"/>
              </w:rPr>
              <w:t>.1.</w:t>
            </w:r>
            <w:r>
              <w:rPr>
                <w:rFonts w:hint="default" w:ascii="Times New Roman" w:hAnsi="Times New Roman" w:cs="Times New Roman"/>
                <w:color w:val="auto"/>
                <w:kern w:val="0"/>
                <w:sz w:val="24"/>
                <w:szCs w:val="24"/>
                <w:lang w:val="en-US" w:eastAsia="zh-CN" w:bidi="ar-SA"/>
              </w:rPr>
              <w:t>1.</w:t>
            </w:r>
            <w:r>
              <w:rPr>
                <w:rFonts w:hint="default" w:ascii="Times New Roman" w:hAnsi="Times New Roman" w:eastAsia="宋体" w:cs="Times New Roman"/>
                <w:color w:val="auto"/>
                <w:kern w:val="0"/>
                <w:sz w:val="24"/>
                <w:szCs w:val="24"/>
                <w:lang w:val="en-US" w:eastAsia="zh-CN" w:bidi="ar-SA"/>
              </w:rPr>
              <w:t>4固体废物影响分析及防治措施</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本次开挖有用料就近堆存于临时堆料场。经土石方平衡计算本工程无余渣。</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基础开挖初期产生的表土及挖方设置临时堆料场堆存。临时堆料场的设置遵循“集中、就近、易于防护”的原则，就近布设在项目施工营地，既不影响主体工程施工，又方便施工运输。</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生活垃圾：生活垃圾统一收集后，交由市政环卫部门处理。</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加强施工期管理，不得将施工建筑垃圾、弃土弃渣、生活垃圾堆弃至排洪渠岸边。</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采取以上措施后，并加强管理，固体废弃物对环境影响较小。</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5</w:t>
            </w:r>
            <w:r>
              <w:rPr>
                <w:rFonts w:hint="default" w:ascii="Times New Roman" w:hAnsi="Times New Roman" w:eastAsia="宋体" w:cs="Times New Roman"/>
                <w:color w:val="auto"/>
                <w:kern w:val="0"/>
                <w:sz w:val="24"/>
                <w:szCs w:val="24"/>
                <w:lang w:val="en-US" w:eastAsia="zh-CN" w:bidi="ar-SA"/>
              </w:rPr>
              <w:t>.1.</w:t>
            </w:r>
            <w:r>
              <w:rPr>
                <w:rFonts w:hint="eastAsia" w:cs="Times New Roman"/>
                <w:color w:val="auto"/>
                <w:kern w:val="0"/>
                <w:sz w:val="24"/>
                <w:szCs w:val="24"/>
                <w:lang w:val="en-US" w:eastAsia="zh-CN" w:bidi="ar-SA"/>
              </w:rPr>
              <w:t>1</w:t>
            </w:r>
            <w:r>
              <w:rPr>
                <w:rFonts w:hint="default" w:ascii="Times New Roman" w:hAnsi="Times New Roman"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5地下水影响分析</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施工期施工工人生活污水利用附近民房的污水处理设施处理后作农肥，不外排。基坑废水经沉砂池处理后回用于施工场地洒水降尘，不排放；施工期施工营地设置固定的车辆冲洗固定场地，场地附近设置隔油沉淀池，车辆清洗废水集中收集后经隔油、沉淀处理，处理后的废水循环利用或用于施工区防尘，不外排。</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项目场地地下水类型主要为第四系松散层孔隙水和基岩裂隙水两大类，接受大气降水和地表水补给，地下水量和水位变幅受季节影响明显，场地处于斜坡地带，地下水排泄良好，场地地下水总体较贫乏。</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基岩裂隙水水量较贫乏，主要受大气降水补给。微风化岩层及部分中等风化岩层中裂隙不发育，裂面一般闭合，裂隙水量贫乏。</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地表调查未发现地表有泉水出露，施工期废水不会对地下水环境造成不利影响。</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bookmarkStart w:id="2" w:name="_Toc481775548"/>
            <w:r>
              <w:rPr>
                <w:rFonts w:hint="eastAsia" w:ascii="Times New Roman" w:hAnsi="Times New Roman" w:eastAsia="宋体" w:cs="Times New Roman"/>
                <w:color w:val="auto"/>
                <w:kern w:val="0"/>
                <w:sz w:val="24"/>
                <w:szCs w:val="24"/>
                <w:lang w:val="en-US" w:eastAsia="zh-CN" w:bidi="ar-SA"/>
              </w:rPr>
              <w:t>5</w:t>
            </w:r>
            <w:r>
              <w:rPr>
                <w:rFonts w:hint="default" w:ascii="Times New Roman" w:hAnsi="Times New Roman" w:eastAsia="宋体" w:cs="Times New Roman"/>
                <w:color w:val="auto"/>
                <w:kern w:val="0"/>
                <w:sz w:val="24"/>
                <w:szCs w:val="24"/>
                <w:lang w:val="en-US" w:eastAsia="zh-CN" w:bidi="ar-SA"/>
              </w:rPr>
              <w:t>.1.</w:t>
            </w:r>
            <w:r>
              <w:rPr>
                <w:rFonts w:hint="eastAsia" w:ascii="Times New Roman" w:hAnsi="Times New Roman" w:eastAsia="宋体" w:cs="Times New Roman"/>
                <w:color w:val="auto"/>
                <w:kern w:val="0"/>
                <w:sz w:val="24"/>
                <w:szCs w:val="24"/>
                <w:lang w:val="en-US" w:eastAsia="zh-CN" w:bidi="ar-SA"/>
              </w:rPr>
              <w:t>1</w:t>
            </w:r>
            <w:r>
              <w:rPr>
                <w:rFonts w:hint="default" w:ascii="Times New Roman" w:hAnsi="Times New Roman" w:eastAsia="宋体" w:cs="Times New Roman"/>
                <w:color w:val="auto"/>
                <w:kern w:val="0"/>
                <w:sz w:val="24"/>
                <w:szCs w:val="24"/>
                <w:lang w:val="en-US" w:eastAsia="zh-CN" w:bidi="ar-SA"/>
              </w:rPr>
              <w:t>.6生态环境影响分析</w:t>
            </w:r>
            <w:bookmarkEnd w:id="2"/>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拟建项目是以生态环境影响为主的项目，主要表现在施工期工程占地、植被破坏、一定范围内水土流失加剧、对水生生态的影响。</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（1）</w:t>
            </w:r>
            <w:r>
              <w:rPr>
                <w:rFonts w:hint="default" w:ascii="Times New Roman" w:hAnsi="Times New Roman" w:eastAsia="宋体" w:cs="Times New Roman"/>
                <w:color w:val="auto"/>
                <w:kern w:val="0"/>
                <w:sz w:val="24"/>
                <w:szCs w:val="24"/>
                <w:lang w:val="en-US" w:eastAsia="zh-CN" w:bidi="ar-SA"/>
              </w:rPr>
              <w:t>对陆生植物的影响分析</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工程建设对陆生植物的影响主要表现在：永久占地减少了工程区耕地等植被面积；施工临时道路、临时堆场等施工临时占地将造成地表植被的破坏，施工后期恢复需要一定的时间。</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施工组织设计，施工便道、临时堆场、施工作业区、渣场以及机械停放场等均布置在植被稀疏的区域。因此，在严格限制施工范围、加强施工管理的情况下，工程临时占地造成的植被损失较少。在施工末期和施工结束后，对施工临时占地进行植被恢复及绿化，可将对其影响降到最低程度。</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工程区没有国家和省级重点保护野生植物的分布，因此不存在工程施工对珍稀植物的影响问题。</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综上所述，工程区内分布的植物物种均为常见种和广布种，工程占地面积小，工程建设不会造成工程区植被组成发生变化，更不会造成某一物种的消失。</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2</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对陆生动物的影响</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工程区陆生动物大都为分布广泛的小型野生动物，为常见种和广布种。主要是一些与人为活动相关的种类。</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工程占地、施工人员增加、施工活动频繁会对鸟类的觅食、栖息、繁殖产生惊扰。由于施工临时占地占用了部分林地，可能导致一些鸟类的栖息地遭到破坏，原来在该地区生活的鸟类被迫迁往它处生活。由于鸟类多善飞翔，规避危险能力较强，在受到施工活动影响后，一般会主动远离施工区，向邻近区域迁移。因此，工程施工不会对工程区鸟类的生存和觅食产生明显影响。</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施工期间，工程开挖、施工废污水排放以及施工机械运行等将对区域生态环境质量带来一定影响，对工程涉及区内的部分蛙类、蛇类、鼠类等动物产生不利影响。由于这些陆生动物均为常见物种，适应能力较强，都具有一定的迁徙能力，食物来源也呈多样化趋势，在受到工程建设的影响后，大多会主动向周边适宜区域迁移，而且本次工程施工区呈狭窄的带状，占工程区总面积的比例较小。因此，工程施工对陆生动物的影响不大。</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auto"/>
                <w:kern w:val="0"/>
                <w:sz w:val="24"/>
                <w:szCs w:val="24"/>
                <w:lang w:val="en-US" w:eastAsia="zh-CN" w:bidi="ar-SA"/>
              </w:rPr>
              <w:t>综上分析，工程施工不会引起陆生动物种类、数量发生明显变化，对陆生动物的影</w:t>
            </w:r>
            <w:r>
              <w:rPr>
                <w:rFonts w:hint="default" w:ascii="Times New Roman" w:hAnsi="Times New Roman" w:eastAsia="宋体" w:cs="Times New Roman"/>
                <w:color w:val="000000"/>
                <w:sz w:val="24"/>
              </w:rPr>
              <w:t>响是暂时的。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w:t>
            </w:r>
            <w:r>
              <w:rPr>
                <w:rFonts w:hint="default" w:ascii="Times New Roman" w:hAnsi="Times New Roman" w:eastAsia="宋体" w:cs="Times New Roman"/>
                <w:color w:val="000000"/>
                <w:sz w:val="24"/>
              </w:rPr>
              <w:t>3</w:t>
            </w:r>
            <w:r>
              <w:rPr>
                <w:rFonts w:hint="eastAsia"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对水生生态的影响分析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工程施工导致局部生境变化不会导致区域浮游生物、底栖动物种类、种群结构和分布发生明显改变。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根据万州渔政监督管理处提供资料以及现场调查，项目区</w:t>
            </w:r>
            <w:r>
              <w:rPr>
                <w:rFonts w:hint="eastAsia" w:ascii="Times New Roman" w:hAnsi="Times New Roman" w:eastAsia="宋体" w:cs="Times New Roman"/>
                <w:color w:val="000000"/>
                <w:sz w:val="24"/>
                <w:lang w:eastAsia="zh-CN"/>
              </w:rPr>
              <w:t>不</w:t>
            </w:r>
            <w:r>
              <w:rPr>
                <w:rFonts w:hint="default" w:ascii="Times New Roman" w:hAnsi="Times New Roman" w:eastAsia="宋体" w:cs="Times New Roman"/>
                <w:color w:val="000000"/>
                <w:sz w:val="24"/>
              </w:rPr>
              <w:t>涉及鱼类三场</w:t>
            </w:r>
            <w:r>
              <w:rPr>
                <w:rFonts w:hint="eastAsia"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因工程施工而增加的实际扰动影响程度、范围和时间均是有限的。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w:t>
            </w:r>
            <w:r>
              <w:rPr>
                <w:rFonts w:hint="default" w:ascii="Times New Roman" w:hAnsi="Times New Roman" w:eastAsia="宋体" w:cs="Times New Roman"/>
                <w:color w:val="000000"/>
                <w:sz w:val="24"/>
                <w:lang w:val="en-US" w:eastAsia="zh-CN"/>
              </w:rPr>
              <w:t>4</w:t>
            </w:r>
            <w:r>
              <w:rPr>
                <w:rFonts w:hint="eastAsia" w:ascii="Times New Roman" w:hAnsi="Times New Roman" w:eastAsia="宋体" w:cs="Times New Roman"/>
                <w:color w:val="000000"/>
                <w:sz w:val="24"/>
                <w:lang w:val="en-US" w:eastAsia="zh-CN"/>
              </w:rPr>
              <w:t>）</w:t>
            </w:r>
            <w:r>
              <w:rPr>
                <w:rFonts w:hint="default" w:ascii="Times New Roman" w:hAnsi="Times New Roman" w:eastAsia="宋体" w:cs="Times New Roman"/>
                <w:color w:val="000000"/>
                <w:sz w:val="24"/>
              </w:rPr>
              <w:t>水土流失影响分析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根据全国土壤侵蚀类型区划，工程区属于以水力侵蚀为主的西南土石山区，侵蚀强度为轻度侵蚀。根据重庆市政府关于划分水土流失重点防治区的通告，万州区位于水土流失重点治理区、重点监督区内。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lang w:eastAsia="zh-CN"/>
              </w:rPr>
            </w:pPr>
            <w:r>
              <w:rPr>
                <w:rFonts w:hint="default" w:ascii="Times New Roman" w:hAnsi="Times New Roman" w:eastAsia="宋体" w:cs="Times New Roman"/>
                <w:color w:val="000000"/>
                <w:sz w:val="24"/>
                <w:lang w:eastAsia="zh-CN"/>
              </w:rPr>
              <w:t>本次环评要求堆渣的基本原则需遵守国家标准，做到“先拦后弃”，采取拦挡、坡面防护、防洪排导。严格执行《水土保持工程设计规范》（GB51018—2014），同时，在弃渣过程中及弃渣结束后应采取完整的措施体系，弃渣前剥离表土并集中堆放，布设临时拦挡等防护措施；弃渣前和弃渣过程中采取对上游及周边设置截排水沟、沉沙池；弃渣结束后对渣面实施土地整治，在渣顶面布设挡水埂、排水沟、植物措施，对渣体边坡进行削坡并设置马道、排水沟，以及边坡防护措施，在坡脚布设永久拦挡、排水等防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建设单位应严格按照水土保持方案要求落实水土保持措施，将项目水土流失影响降至最低。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lang w:val="en-US" w:eastAsia="zh-CN"/>
              </w:rPr>
            </w:pPr>
            <w:bookmarkStart w:id="3" w:name="_Toc481775549"/>
            <w:r>
              <w:rPr>
                <w:rFonts w:hint="eastAsia"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lang w:val="en-US" w:eastAsia="zh-CN"/>
              </w:rPr>
              <w:t>.1.</w:t>
            </w:r>
            <w:r>
              <w:rPr>
                <w:rFonts w:hint="eastAsia" w:ascii="Times New Roman" w:hAnsi="Times New Roman" w:eastAsia="宋体" w:cs="Times New Roman"/>
                <w:color w:val="000000"/>
                <w:sz w:val="24"/>
                <w:lang w:val="en-US" w:eastAsia="zh-CN"/>
              </w:rPr>
              <w:t>1.</w:t>
            </w:r>
            <w:r>
              <w:rPr>
                <w:rFonts w:hint="default" w:ascii="Times New Roman" w:hAnsi="Times New Roman" w:eastAsia="宋体" w:cs="Times New Roman"/>
                <w:color w:val="000000"/>
                <w:sz w:val="24"/>
                <w:lang w:val="en-US" w:eastAsia="zh-CN"/>
              </w:rPr>
              <w:t>7景观影响分析</w:t>
            </w:r>
            <w:bookmarkEnd w:id="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项目评价区周围的植被以农作物为主，景观以农村自然景色为主</w:t>
            </w:r>
            <w:r>
              <w:rPr>
                <w:rFonts w:hint="eastAsia" w:ascii="Times New Roman" w:hAnsi="Times New Roman" w:eastAsia="宋体" w:cs="Times New Roman"/>
                <w:color w:val="000000"/>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 xml:space="preserve">拟建项目基础开挖、回填，施工机械摆放、材料堆放及土石方回填等均将严重破坏征地范围内的地表植被，形成与施工场地周围环境反差极大、不相容的裸地景观，从而对人群的视觉产生极大冲击。由于地表植被的破坏和土壤的扰动，在雨季，松散裸露的坡面及土石方临时堆场易形成水土流失，导致区域土壤侵蚀模数增大，对周围植被产生影响，从而对区域景观环境质量造成不利影响；在旱季，松散的地表及土石方临时堆场在有风天气和车辆行驶时易产生扬尘，扬尘覆盖在附近植被表面，使周围景观的美感大大降低。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基础开挖初期产生的表土及挖方设置临时堆料场堆存。临时堆料场的设置遵循“集中、就近、易于防护”的原则，并做好水土保持工作，既不影响主体工程施工，又方便施工运输。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施工完成后对渣场、施工便道、施工营地等临时占地需进行迹地恢复，落实生态保护措施，减少其施工活动对周围景观环境的影响。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lang w:val="en-US" w:eastAsia="zh-CN"/>
              </w:rPr>
            </w:pPr>
            <w:bookmarkStart w:id="4" w:name="_Toc481775550"/>
            <w:r>
              <w:rPr>
                <w:rFonts w:hint="eastAsia"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lang w:val="en-US" w:eastAsia="zh-CN"/>
              </w:rPr>
              <w:t>.1.</w:t>
            </w:r>
            <w:r>
              <w:rPr>
                <w:rFonts w:hint="eastAsia" w:ascii="Times New Roman" w:hAnsi="Times New Roman" w:eastAsia="宋体" w:cs="Times New Roman"/>
                <w:color w:val="000000"/>
                <w:sz w:val="24"/>
                <w:lang w:val="en-US" w:eastAsia="zh-CN"/>
              </w:rPr>
              <w:t>1.</w:t>
            </w:r>
            <w:r>
              <w:rPr>
                <w:rFonts w:hint="default" w:ascii="Times New Roman" w:hAnsi="Times New Roman" w:eastAsia="宋体" w:cs="Times New Roman"/>
                <w:color w:val="000000"/>
                <w:sz w:val="24"/>
                <w:lang w:val="en-US" w:eastAsia="zh-CN"/>
              </w:rPr>
              <w:t>8物料运输环境影响分析</w:t>
            </w:r>
            <w:bookmarkEnd w:id="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本项目施工期间土石方至临时堆料场以及弃渣至工程区回填区域综合运距较短，运输条件较好，项目所需的商品混凝土、工器具等的运输会增加区内交通压力，装运过程中遇大风天气注意遮挡，保证装车整洁，避免遗漏，减少对周围环境的影响。施工期间建设方应与交管部门密切配合，采取合理可行的车辆分流</w:t>
            </w:r>
            <w:r>
              <w:rPr>
                <w:rFonts w:hint="eastAsia" w:ascii="Times New Roman" w:hAnsi="Times New Roman" w:eastAsia="宋体" w:cs="Times New Roman"/>
                <w:color w:val="000000"/>
                <w:sz w:val="24"/>
                <w:lang w:val="en-US" w:eastAsia="zh-CN"/>
              </w:rPr>
              <w:t>疏导措施，加强宣传，在施工场区周围设置交通告示牌和分流标志，引导车辆绕道行驶，并指派专人对进出施工区的车辆进行分流疏导，确保施工正常进行和城镇交通畅通。拟建工程所需商品混凝土等就近购买，实行密闭运输，可消除运输活动对施工区域周围环境的不利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lang w:val="en-US" w:eastAsia="zh-CN"/>
              </w:rPr>
              <w:t>.1.</w:t>
            </w:r>
            <w:r>
              <w:rPr>
                <w:rFonts w:hint="eastAsia" w:ascii="Times New Roman" w:hAnsi="Times New Roman" w:eastAsia="宋体" w:cs="Times New Roman"/>
                <w:color w:val="000000"/>
                <w:sz w:val="24"/>
                <w:lang w:val="en-US" w:eastAsia="zh-CN"/>
              </w:rPr>
              <w:t>1.9</w:t>
            </w:r>
            <w:bookmarkStart w:id="5" w:name="_Toc481775566"/>
            <w:bookmarkStart w:id="6" w:name="_Toc201916385"/>
            <w:bookmarkStart w:id="7" w:name="_Toc340447925"/>
            <w:r>
              <w:rPr>
                <w:rFonts w:hint="eastAsia" w:ascii="Times New Roman" w:hAnsi="Times New Roman" w:eastAsia="宋体" w:cs="Times New Roman"/>
                <w:color w:val="000000"/>
                <w:sz w:val="24"/>
                <w:lang w:val="en-US" w:eastAsia="zh-CN"/>
              </w:rPr>
              <w:t>环境风险分析</w:t>
            </w:r>
            <w:bookmarkEnd w:id="5"/>
          </w:p>
          <w:bookmarkEnd w:id="6"/>
          <w:bookmarkEnd w:id="7"/>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eastAsia="zh-CN"/>
              </w:rPr>
              <w:t>根据工程实际情况，施工期不涉及风险物质。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eastAsiaTheme="minorEastAsia"/>
                <w:b/>
                <w:bCs/>
                <w:kern w:val="2"/>
                <w:sz w:val="24"/>
                <w:szCs w:val="24"/>
                <w:lang w:val="en-US" w:eastAsia="zh-CN" w:bidi="ar-SA"/>
              </w:rPr>
            </w:pPr>
            <w:r>
              <w:rPr>
                <w:rFonts w:hint="default" w:ascii="Times New Roman" w:hAnsi="Times New Roman" w:cs="Times New Roman" w:eastAsiaTheme="minorEastAsia"/>
                <w:b/>
                <w:bCs/>
                <w:kern w:val="2"/>
                <w:sz w:val="24"/>
                <w:szCs w:val="24"/>
                <w:lang w:val="en-US" w:eastAsia="zh-CN" w:bidi="ar-SA"/>
              </w:rPr>
              <w:t>5.1.2营运期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sz w:val="24"/>
                <w:lang w:val="en-US" w:eastAsia="zh-CN"/>
              </w:rPr>
              <w:t>管网工程在营运期间的无三废和噪声产生</w:t>
            </w:r>
            <w:r>
              <w:rPr>
                <w:rFonts w:hint="default" w:ascii="Times New Roman" w:hAnsi="Times New Roman" w:cs="Times New Roman"/>
                <w:color w:val="000000"/>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color w:val="000000"/>
                <w:sz w:val="24"/>
              </w:rPr>
              <w:t>排水工程的建设应与城镇建设同步发展，本项目的建设完善了城镇污水收集系统，将改善当地水环境质量，提高城镇基础设施水平。城镇污水治理状况，直接影响着市容及人民身体健康，本工程的建设将改善</w:t>
            </w:r>
            <w:r>
              <w:rPr>
                <w:rFonts w:hint="eastAsia" w:cs="Times New Roman"/>
                <w:color w:val="000000"/>
                <w:sz w:val="24"/>
                <w:lang w:eastAsia="zh-CN"/>
              </w:rPr>
              <w:t>场镇</w:t>
            </w:r>
            <w:r>
              <w:rPr>
                <w:rFonts w:hint="default" w:ascii="Times New Roman" w:hAnsi="Times New Roman" w:cs="Times New Roman"/>
                <w:color w:val="000000"/>
                <w:sz w:val="24"/>
              </w:rPr>
              <w:t>沿岸的环境，给沿岸居民一个清洁舒畅的环境，有利于区域内的持续发展。本项目建成后，主要收集</w:t>
            </w:r>
            <w:r>
              <w:rPr>
                <w:rFonts w:hint="eastAsia" w:cs="Times New Roman"/>
                <w:color w:val="000000"/>
                <w:sz w:val="24"/>
                <w:lang w:eastAsia="zh-CN"/>
              </w:rPr>
              <w:t>场镇</w:t>
            </w:r>
            <w:r>
              <w:rPr>
                <w:rFonts w:hint="default" w:ascii="Times New Roman" w:hAnsi="Times New Roman" w:cs="Times New Roman"/>
                <w:color w:val="000000"/>
                <w:sz w:val="24"/>
              </w:rPr>
              <w:t>的生活污水，将这些生活污水送到污水处理厂进行深度处理，处理达标后再排放。可以有效削减长江的污染负荷，改善长江水质。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268" w:type="dxa"/>
          <w:trHeight w:val="13825" w:hRule="atLeast"/>
          <w:jc w:val="center"/>
        </w:trPr>
        <w:tc>
          <w:tcPr>
            <w:tcW w:w="9286" w:type="dxa"/>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b/>
                <w:bCs w:val="0"/>
                <w:color w:val="auto"/>
                <w:sz w:val="24"/>
                <w:szCs w:val="24"/>
                <w:lang w:val="en-US" w:eastAsia="zh-CN"/>
              </w:rPr>
            </w:pPr>
            <w:r>
              <w:rPr>
                <w:rFonts w:hint="default" w:ascii="Times New Roman" w:hAnsi="Times New Roman" w:cs="Times New Roman" w:eastAsiaTheme="minorEastAsia"/>
                <w:b/>
                <w:bCs w:val="0"/>
                <w:color w:val="auto"/>
                <w:sz w:val="24"/>
                <w:szCs w:val="24"/>
                <w:lang w:val="en-US" w:eastAsia="zh-CN"/>
              </w:rPr>
              <w:t>5.2 各级环境保护行政主管部门的审批意见（市、区县、行业）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bCs/>
                <w:color w:val="auto"/>
                <w:sz w:val="24"/>
                <w:szCs w:val="24"/>
                <w:lang w:val="en-US" w:eastAsia="zh-CN"/>
              </w:rPr>
            </w:pPr>
            <w:r>
              <w:rPr>
                <w:rFonts w:hint="default" w:ascii="Times New Roman" w:hAnsi="Times New Roman" w:cs="Times New Roman" w:eastAsiaTheme="minorEastAsia"/>
                <w:bCs/>
                <w:color w:val="auto"/>
                <w:sz w:val="24"/>
                <w:szCs w:val="24"/>
                <w:lang w:val="en-US" w:eastAsia="zh-CN"/>
              </w:rPr>
              <w:t>本项目取得了重庆市万州区生态环境局关于2021年镇乡污水管网补充工程</w:t>
            </w:r>
            <w:r>
              <w:rPr>
                <w:rFonts w:hint="eastAsia" w:cs="Times New Roman" w:eastAsiaTheme="minorEastAsia"/>
                <w:bCs/>
                <w:color w:val="auto"/>
                <w:sz w:val="24"/>
                <w:szCs w:val="24"/>
                <w:lang w:val="en-US" w:eastAsia="zh-CN"/>
              </w:rPr>
              <w:t>（</w:t>
            </w:r>
            <w:r>
              <w:rPr>
                <w:rFonts w:hint="default" w:ascii="Times New Roman" w:hAnsi="Times New Roman" w:cs="Times New Roman" w:eastAsiaTheme="minorEastAsia"/>
                <w:bCs/>
                <w:color w:val="auto"/>
                <w:sz w:val="24"/>
                <w:szCs w:val="24"/>
                <w:lang w:val="en-US" w:eastAsia="zh-CN"/>
              </w:rPr>
              <w:t>二期</w:t>
            </w:r>
            <w:r>
              <w:rPr>
                <w:rFonts w:hint="eastAsia" w:cs="Times New Roman" w:eastAsiaTheme="minorEastAsia"/>
                <w:bCs/>
                <w:color w:val="auto"/>
                <w:sz w:val="24"/>
                <w:szCs w:val="24"/>
                <w:lang w:val="en-US" w:eastAsia="zh-CN"/>
              </w:rPr>
              <w:t>）</w:t>
            </w:r>
            <w:r>
              <w:rPr>
                <w:rFonts w:hint="default" w:ascii="Times New Roman" w:hAnsi="Times New Roman" w:cs="Times New Roman" w:eastAsiaTheme="minorEastAsia"/>
                <w:bCs/>
                <w:color w:val="auto"/>
                <w:sz w:val="24"/>
                <w:szCs w:val="24"/>
                <w:lang w:val="en-US" w:eastAsia="zh-CN"/>
              </w:rPr>
              <w:t>环境影响评价的复函。内容如下：</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重庆平湖环保工程有限责任公司：</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你公司《关于报送2022年镇乡污水管网补充工程环境影响评价报告的请示》</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平湖环保文[2022]14号</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收悉，经研究，现函复如下：</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一、原则同意你单位提交的2022年镇乡污水管网补充工程环境影响评价报告所提出的生态环境保护措施。</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二、项目主要建设内容为</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该项目</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项目代码为2102-500101-04-01-919005</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位于万州区分水、李河、高梁、大周、熊家5个镇乡，长岭凉水、长岭响滩、长岭青石、武陵石桥、武陵鹿井、龙沙岩口、龙沙龙安、响水国家、甘宁河口、分水培文、李河 高升、李河茅坝、高梁大碑、高梁葵花、天城付沟15个撤并场镇。主要建设内容为补充建设污水管网122489米，包含D630×12涂塑复合钢管2400米，D530×12 涂塑复合钢管6600米，D426×10 涂塑复合钢管4870米</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HDPE 双壁波纹管</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DN500</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200米，HDPE 双壁波纹管</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DN400</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5082 米，HDPE 双壁波纹管</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DN300</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37033米，D325×8  涂塑复合钢管8780 米，φ200×4.9 埋地排污、排水硬聚氯乙烯</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PVC-U</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 xml:space="preserve"> 二级支管52204 米，D219x6 涂塑复合钢管5110米，D108×6 涂塑复合钢管210米，新建一体化污水提升泵站13座，钢筋混凝土化粪池188座，配套建设污水检查井、消能井、跌水井、埋地排污三级入户管等附属设施。</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三 、项目主动公开环境信息，接受社会监督，及时解决公众合理的环境诉求，妥善处理环保投诉和纠纷。项目按规定接受万州区生态环境综合行政执法支队的日常监管。</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四 、你单位在项目建设及运营过程中，应严格遵守生态环境保护法律法规、标准和有关技术规范要求，主动避让生态环境敏感区域，严格落实环保“三同时”制度，确保污染物达标排放，强化环境管理，落实各项应急管理措施和环境风险防范措施，严防环境安全事故的发生。</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五、项目建成后，按照有关规定开展环境保护设施竣工验收。</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特此复函</w:t>
            </w:r>
          </w:p>
          <w:p>
            <w:pPr>
              <w:pStyle w:val="96"/>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附件： 万州区2022年镇乡污水管网补充工程项目清单</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p>
          <w:p>
            <w:pPr>
              <w:pStyle w:val="9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kern w:val="0"/>
                <w:sz w:val="24"/>
                <w:szCs w:val="24"/>
                <w:lang w:val="en-US" w:eastAsia="zh-CN" w:bidi="ar-SA"/>
              </w:rPr>
            </w:pPr>
          </w:p>
          <w:p>
            <w:pPr>
              <w:pStyle w:val="9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kern w:val="0"/>
                <w:sz w:val="24"/>
                <w:szCs w:val="24"/>
                <w:lang w:val="en-US" w:eastAsia="zh-CN" w:bidi="ar-SA"/>
              </w:rPr>
            </w:pP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jc w:val="right"/>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重庆市万州区生态环境局</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jc w:val="right"/>
              <w:textAlignment w:val="auto"/>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2022</w:t>
            </w:r>
            <w:r>
              <w:rPr>
                <w:rFonts w:hint="default" w:ascii="Times New Roman" w:hAnsi="Times New Roman" w:eastAsia="宋体" w:cs="Times New Roman"/>
                <w:color w:val="auto"/>
                <w:kern w:val="0"/>
                <w:sz w:val="24"/>
                <w:szCs w:val="24"/>
                <w:lang w:val="en-US" w:eastAsia="zh-CN" w:bidi="ar-SA"/>
              </w:rPr>
              <w:t>年</w:t>
            </w:r>
            <w:r>
              <w:rPr>
                <w:rFonts w:hint="eastAsia" w:cs="Times New Roman"/>
                <w:color w:val="auto"/>
                <w:kern w:val="0"/>
                <w:sz w:val="24"/>
                <w:szCs w:val="24"/>
                <w:lang w:val="en-US" w:eastAsia="zh-CN" w:bidi="ar-SA"/>
              </w:rPr>
              <w:t>6</w:t>
            </w:r>
            <w:r>
              <w:rPr>
                <w:rFonts w:hint="default" w:ascii="Times New Roman" w:hAnsi="Times New Roman" w:eastAsia="宋体" w:cs="Times New Roman"/>
                <w:color w:val="auto"/>
                <w:kern w:val="0"/>
                <w:sz w:val="24"/>
                <w:szCs w:val="24"/>
                <w:lang w:val="en-US" w:eastAsia="zh-CN" w:bidi="ar-SA"/>
              </w:rPr>
              <w:t>月</w:t>
            </w:r>
            <w:r>
              <w:rPr>
                <w:rFonts w:hint="eastAsia" w:cs="Times New Roman"/>
                <w:color w:val="auto"/>
                <w:kern w:val="0"/>
                <w:sz w:val="24"/>
                <w:szCs w:val="24"/>
                <w:lang w:val="en-US" w:eastAsia="zh-CN" w:bidi="ar-SA"/>
              </w:rPr>
              <w:t>21</w:t>
            </w:r>
            <w:r>
              <w:rPr>
                <w:rFonts w:hint="default" w:ascii="Times New Roman" w:hAnsi="Times New Roman" w:eastAsia="宋体" w:cs="Times New Roman"/>
                <w:color w:val="auto"/>
                <w:kern w:val="0"/>
                <w:sz w:val="24"/>
                <w:szCs w:val="24"/>
                <w:lang w:val="en-US" w:eastAsia="zh-CN" w:bidi="ar-SA"/>
              </w:rPr>
              <w:t>日</w:t>
            </w:r>
          </w:p>
          <w:p>
            <w:pPr>
              <w:adjustRightInd w:val="0"/>
              <w:snapToGrid w:val="0"/>
              <w:spacing w:line="360" w:lineRule="auto"/>
              <w:jc w:val="both"/>
              <w:rPr>
                <w:rFonts w:hint="default" w:ascii="Times New Roman" w:hAnsi="Times New Roman" w:cs="Times New Roman" w:eastAsiaTheme="minorEastAsia"/>
                <w:color w:val="000000"/>
                <w:kern w:val="0"/>
                <w:sz w:val="24"/>
                <w:szCs w:val="24"/>
              </w:rPr>
            </w:pPr>
          </w:p>
        </w:tc>
      </w:tr>
    </w:tbl>
    <w:p>
      <w:pPr>
        <w:rPr>
          <w:rFonts w:hint="default" w:ascii="Times New Roman" w:hAnsi="Times New Roman" w:eastAsia="宋体" w:cs="Times New Roman"/>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440" w:lineRule="exact"/>
        <w:jc w:val="both"/>
        <w:textAlignment w:val="auto"/>
        <w:rPr>
          <w:rFonts w:hint="default" w:ascii="Times New Roman" w:hAnsi="Times New Roman" w:eastAsia="宋体" w:cs="Times New Roman"/>
          <w:kern w:val="2"/>
          <w:sz w:val="24"/>
          <w:szCs w:val="24"/>
        </w:rPr>
      </w:pPr>
      <w:r>
        <w:rPr>
          <w:rFonts w:hint="default" w:ascii="Times New Roman" w:hAnsi="Times New Roman" w:cs="Times New Roman"/>
          <w:kern w:val="2"/>
          <w:sz w:val="24"/>
          <w:szCs w:val="24"/>
          <w:lang w:val="en-US" w:eastAsia="zh-CN"/>
        </w:rPr>
        <w:t>六、</w:t>
      </w:r>
      <w:r>
        <w:rPr>
          <w:rFonts w:hint="default" w:ascii="Times New Roman" w:hAnsi="Times New Roman" w:eastAsia="宋体" w:cs="Times New Roman"/>
          <w:kern w:val="2"/>
          <w:sz w:val="24"/>
          <w:szCs w:val="24"/>
        </w:rPr>
        <w:t>环境保护措施执行情况</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19"/>
        <w:gridCol w:w="513"/>
        <w:gridCol w:w="5160"/>
        <w:gridCol w:w="5211"/>
        <w:gridCol w:w="27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64" w:type="pct"/>
            <w:gridSpan w:val="2"/>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项目阶段</w:t>
            </w:r>
          </w:p>
        </w:tc>
        <w:tc>
          <w:tcPr>
            <w:tcW w:w="1820"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环境影响评价文件和批复</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中环保措施的环保措施</w:t>
            </w:r>
          </w:p>
        </w:tc>
        <w:tc>
          <w:tcPr>
            <w:tcW w:w="1838"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工程实际采取的环保措施</w:t>
            </w:r>
          </w:p>
        </w:tc>
        <w:tc>
          <w:tcPr>
            <w:tcW w:w="977"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措施的执行效果及未采取措施的原因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8" w:hRule="atLeast"/>
          <w:jc w:val="center"/>
        </w:trPr>
        <w:tc>
          <w:tcPr>
            <w:tcW w:w="183" w:type="pct"/>
            <w:vMerge w:val="restart"/>
            <w:vAlign w:val="center"/>
          </w:tcPr>
          <w:p>
            <w:pPr>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sz w:val="24"/>
                <w:szCs w:val="24"/>
                <w:lang w:eastAsia="zh-CN"/>
              </w:rPr>
            </w:pPr>
            <w:r>
              <w:rPr>
                <w:rFonts w:hint="default" w:ascii="Times New Roman" w:hAnsi="Times New Roman" w:cs="Times New Roman"/>
                <w:b/>
                <w:bCs/>
                <w:sz w:val="24"/>
                <w:szCs w:val="24"/>
                <w:lang w:eastAsia="zh-CN"/>
              </w:rPr>
              <w:t>施工期</w:t>
            </w:r>
          </w:p>
        </w:tc>
        <w:tc>
          <w:tcPr>
            <w:tcW w:w="180" w:type="pct"/>
            <w:vAlign w:val="center"/>
          </w:tcPr>
          <w:p>
            <w:pPr>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sz w:val="24"/>
                <w:szCs w:val="24"/>
                <w:lang w:eastAsia="zh-CN"/>
              </w:rPr>
            </w:pPr>
            <w:r>
              <w:rPr>
                <w:rFonts w:hint="default" w:ascii="Times New Roman" w:hAnsi="Times New Roman" w:cs="Times New Roman"/>
                <w:b/>
                <w:bCs/>
                <w:sz w:val="24"/>
                <w:szCs w:val="24"/>
                <w:lang w:eastAsia="zh-CN"/>
              </w:rPr>
              <w:t>生态影响</w:t>
            </w:r>
          </w:p>
        </w:tc>
        <w:tc>
          <w:tcPr>
            <w:tcW w:w="182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管线敷设采取分层开挖、分层堆放、分层回填的方式；施工期设临时挡墙、 排水沟等，恢复植被</w:t>
            </w:r>
          </w:p>
        </w:tc>
        <w:tc>
          <w:tcPr>
            <w:tcW w:w="183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合理制定施工组织计划，管线敷设采取分层开挖、分层堆放、分层回填的方式；施工期设临时挡墙、排水沟等，恢复植被。施工结束后，进行场地清理、绿化，恢复植被。</w:t>
            </w:r>
          </w:p>
        </w:tc>
        <w:tc>
          <w:tcPr>
            <w:tcW w:w="97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1"/>
                <w:szCs w:val="21"/>
                <w:lang w:val="en-US" w:eastAsia="zh-CN"/>
              </w:rPr>
              <w:t>现状临时工程均已拆除并进行基地恢复，绿化较好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83" w:type="pct"/>
            <w:vMerge w:val="continue"/>
            <w:vAlign w:val="center"/>
          </w:tcPr>
          <w:p>
            <w:pPr>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sz w:val="24"/>
                <w:szCs w:val="24"/>
              </w:rPr>
            </w:pPr>
          </w:p>
        </w:tc>
        <w:tc>
          <w:tcPr>
            <w:tcW w:w="180" w:type="pct"/>
            <w:vAlign w:val="center"/>
          </w:tcPr>
          <w:p>
            <w:pPr>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sz w:val="24"/>
                <w:szCs w:val="24"/>
                <w:lang w:eastAsia="zh-CN"/>
              </w:rPr>
            </w:pPr>
            <w:r>
              <w:rPr>
                <w:rFonts w:hint="default" w:ascii="Times New Roman" w:hAnsi="Times New Roman" w:cs="Times New Roman"/>
                <w:b/>
                <w:bCs/>
                <w:sz w:val="24"/>
                <w:szCs w:val="24"/>
                <w:lang w:eastAsia="zh-CN"/>
              </w:rPr>
              <w:t>污染影响</w:t>
            </w:r>
          </w:p>
        </w:tc>
        <w:tc>
          <w:tcPr>
            <w:tcW w:w="182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cs="Times New Roman"/>
                <w:b/>
                <w:bCs/>
                <w:sz w:val="21"/>
                <w:szCs w:val="21"/>
                <w:lang w:eastAsia="zh-CN"/>
              </w:rPr>
              <w:t>废水：</w:t>
            </w:r>
            <w:r>
              <w:rPr>
                <w:rFonts w:hint="default" w:ascii="Times New Roman" w:hAnsi="Times New Roman" w:eastAsia="宋体" w:cs="Times New Roman"/>
                <w:sz w:val="21"/>
                <w:szCs w:val="21"/>
              </w:rPr>
              <w:t>施工期废水经沉淀池处理后回用，不外排。施工期生活污水依托当地民房，经旱厕收集后用于农灌，不外排。</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cs="Times New Roman"/>
                <w:b/>
                <w:bCs/>
                <w:sz w:val="21"/>
                <w:szCs w:val="21"/>
                <w:lang w:eastAsia="zh-CN"/>
              </w:rPr>
              <w:t>废气：</w:t>
            </w:r>
            <w:r>
              <w:rPr>
                <w:rFonts w:hint="default" w:ascii="Times New Roman" w:hAnsi="Times New Roman" w:eastAsia="宋体" w:cs="Times New Roman"/>
                <w:sz w:val="21"/>
                <w:szCs w:val="21"/>
              </w:rPr>
              <w:t>洒水抑尘；运输车辆进出场设清洗池、严禁带泥土上路、严禁超载、并设掩盖和防护措施；车辆限速，使用清洁燃料等。</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cs="Times New Roman"/>
                <w:b/>
                <w:bCs/>
                <w:sz w:val="21"/>
                <w:szCs w:val="21"/>
                <w:lang w:eastAsia="zh-CN"/>
              </w:rPr>
              <w:t>噪声：</w:t>
            </w:r>
            <w:r>
              <w:rPr>
                <w:rFonts w:hint="default" w:ascii="Times New Roman" w:hAnsi="Times New Roman" w:eastAsia="宋体" w:cs="Times New Roman"/>
                <w:sz w:val="21"/>
                <w:szCs w:val="21"/>
              </w:rPr>
              <w:t>合理安排施工时段，避免夜间施工时间；尽可能选择低噪声的先进设备，加强设备的维护保养，避免由于设备性能差而使机械噪声增大的现象发生；运输车辆缓速、禁鸣等。</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b/>
                <w:bCs/>
                <w:sz w:val="21"/>
                <w:szCs w:val="21"/>
                <w:lang w:eastAsia="zh-CN"/>
              </w:rPr>
              <w:t>固体废物：</w:t>
            </w:r>
            <w:r>
              <w:rPr>
                <w:rFonts w:hint="default" w:ascii="Times New Roman" w:hAnsi="Times New Roman" w:eastAsia="宋体" w:cs="Times New Roman"/>
                <w:sz w:val="21"/>
                <w:szCs w:val="21"/>
              </w:rPr>
              <w:t>施工期剥离物运至排土场临时分区堆放，表土用于闭矿期土地复垦，废石外售；施工人员生活垃圾统一收集后交由当地环卫部门处置。设置危废暂存间暂存废机油等危险废物。</w:t>
            </w:r>
          </w:p>
        </w:tc>
        <w:tc>
          <w:tcPr>
            <w:tcW w:w="183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cs="Times New Roman"/>
                <w:b/>
                <w:bCs/>
                <w:sz w:val="21"/>
                <w:szCs w:val="21"/>
                <w:lang w:eastAsia="zh-CN"/>
              </w:rPr>
              <w:t>废水：</w:t>
            </w:r>
            <w:r>
              <w:rPr>
                <w:rFonts w:hint="default" w:ascii="Times New Roman" w:hAnsi="Times New Roman" w:eastAsia="宋体" w:cs="Times New Roman"/>
                <w:sz w:val="21"/>
                <w:szCs w:val="21"/>
              </w:rPr>
              <w:t>施工期废水经沉淀池处理后回用，不外排。施工期生活污水依托当地民房，经旱厕收集后用于农灌，不外排。</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cs="Times New Roman"/>
                <w:b/>
                <w:bCs/>
                <w:sz w:val="21"/>
                <w:szCs w:val="21"/>
                <w:lang w:eastAsia="zh-CN"/>
              </w:rPr>
              <w:t>废气：</w:t>
            </w:r>
            <w:r>
              <w:rPr>
                <w:rFonts w:hint="default" w:ascii="Times New Roman" w:hAnsi="Times New Roman" w:eastAsia="宋体" w:cs="Times New Roman"/>
                <w:sz w:val="21"/>
                <w:szCs w:val="21"/>
              </w:rPr>
              <w:t>洒水抑尘；运输车辆进出场设清洗池、严禁带泥土上路、严禁超载、并设掩盖和防护措施；车辆限速，使用清洁燃料等。</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cs="Times New Roman"/>
                <w:b/>
                <w:bCs/>
                <w:sz w:val="21"/>
                <w:szCs w:val="21"/>
                <w:lang w:eastAsia="zh-CN"/>
              </w:rPr>
              <w:t>噪声：</w:t>
            </w:r>
            <w:r>
              <w:rPr>
                <w:rFonts w:hint="default" w:ascii="Times New Roman" w:hAnsi="Times New Roman" w:eastAsia="宋体" w:cs="Times New Roman"/>
                <w:sz w:val="21"/>
                <w:szCs w:val="21"/>
              </w:rPr>
              <w:t>合理安排施工时段，避免夜间施工时间；尽可能选择低噪声的先进设备，加强设备的维护保养，避免由于设备性能差而使机械噪声增大的现象发生；运输车辆缓速、禁鸣等。</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cs="Times New Roman"/>
                <w:b/>
                <w:bCs/>
                <w:sz w:val="21"/>
                <w:szCs w:val="21"/>
                <w:lang w:eastAsia="zh-CN"/>
              </w:rPr>
              <w:t>固体废物：</w:t>
            </w:r>
            <w:r>
              <w:rPr>
                <w:rFonts w:hint="default" w:ascii="Times New Roman" w:hAnsi="Times New Roman" w:eastAsia="宋体" w:cs="Times New Roman"/>
                <w:sz w:val="21"/>
                <w:szCs w:val="21"/>
              </w:rPr>
              <w:t>施工期剥离物运至排土场临时分区堆放，表土用于闭矿期土地复垦，废石外售；施工人员生活垃圾统一收集后交由当地环卫部门处置。设置危废暂存间暂存废机油等危险废物。</w:t>
            </w:r>
          </w:p>
        </w:tc>
        <w:tc>
          <w:tcPr>
            <w:tcW w:w="97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1"/>
                <w:szCs w:val="21"/>
                <w:lang w:val="en-US" w:eastAsia="zh-CN"/>
              </w:rPr>
              <w:t>无投诉现象，无废水外排现场及痕迹，无固体废物乱堆放等现象。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6" w:hRule="atLeast"/>
          <w:jc w:val="center"/>
        </w:trPr>
        <w:tc>
          <w:tcPr>
            <w:tcW w:w="183" w:type="pct"/>
            <w:vMerge w:val="restart"/>
            <w:vAlign w:val="center"/>
          </w:tcPr>
          <w:p>
            <w:pPr>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运营期</w:t>
            </w:r>
          </w:p>
        </w:tc>
        <w:tc>
          <w:tcPr>
            <w:tcW w:w="180" w:type="pct"/>
            <w:vAlign w:val="center"/>
          </w:tcPr>
          <w:p>
            <w:pPr>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生态影响</w:t>
            </w:r>
          </w:p>
        </w:tc>
        <w:tc>
          <w:tcPr>
            <w:tcW w:w="4635" w:type="pct"/>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项目营运期无污染源，不产生污染物，对周边的环境影响较小。工程建成后将</w:t>
            </w:r>
            <w:r>
              <w:rPr>
                <w:rFonts w:hint="eastAsia" w:cs="Times New Roman"/>
                <w:sz w:val="21"/>
                <w:szCs w:val="21"/>
                <w:lang w:val="en-US" w:eastAsia="zh-CN"/>
              </w:rPr>
              <w:t>改变</w:t>
            </w:r>
            <w:r>
              <w:rPr>
                <w:rFonts w:hint="default" w:ascii="Times New Roman" w:hAnsi="Times New Roman" w:eastAsia="宋体" w:cs="Times New Roman"/>
                <w:sz w:val="21"/>
                <w:szCs w:val="21"/>
                <w:lang w:val="en-US" w:eastAsia="zh-CN"/>
              </w:rPr>
              <w:t>生活污水未经处理直接排放的现状，减轻了地表水的污染负荷，对水环境的影响是有利的</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可以有效削减长江的污染负荷，改善长江水质。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3" w:hRule="atLeast"/>
          <w:jc w:val="center"/>
        </w:trPr>
        <w:tc>
          <w:tcPr>
            <w:tcW w:w="183" w:type="pct"/>
            <w:vMerge w:val="continue"/>
            <w:vAlign w:val="center"/>
          </w:tcPr>
          <w:p>
            <w:pPr>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sz w:val="24"/>
                <w:szCs w:val="24"/>
              </w:rPr>
            </w:pPr>
          </w:p>
        </w:tc>
        <w:tc>
          <w:tcPr>
            <w:tcW w:w="180" w:type="pct"/>
            <w:vAlign w:val="center"/>
          </w:tcPr>
          <w:p>
            <w:pPr>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污染影响</w:t>
            </w:r>
          </w:p>
        </w:tc>
        <w:tc>
          <w:tcPr>
            <w:tcW w:w="4635" w:type="pct"/>
            <w:gridSpan w:val="3"/>
            <w:vAlign w:val="center"/>
          </w:tcPr>
          <w:p>
            <w:pPr>
              <w:pStyle w:val="10"/>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本项目为</w:t>
            </w:r>
            <w:r>
              <w:rPr>
                <w:rFonts w:hint="eastAsia" w:cs="Times New Roman"/>
                <w:kern w:val="2"/>
                <w:sz w:val="21"/>
                <w:szCs w:val="21"/>
                <w:lang w:val="en-US" w:eastAsia="zh-CN" w:bidi="ar-SA"/>
              </w:rPr>
              <w:t>城市排水工程</w:t>
            </w:r>
            <w:r>
              <w:rPr>
                <w:rFonts w:hint="eastAsia" w:ascii="Times New Roman" w:hAnsi="Times New Roman" w:eastAsia="宋体" w:cs="Times New Roman"/>
                <w:kern w:val="2"/>
                <w:sz w:val="21"/>
                <w:szCs w:val="21"/>
                <w:lang w:val="en-US" w:eastAsia="zh-CN" w:bidi="ar-SA"/>
              </w:rPr>
              <w:t>，项目运营期无生产运营活动，运营期主要主要产生周边居民游玩时产生的生活垃圾。主管部门通过定期对工程区域进行垃圾清理，并交由环卫部门统一处置，不会造成二次污染，运营期产生的生活垃圾对环境影响较小。</w:t>
            </w:r>
          </w:p>
        </w:tc>
      </w:tr>
    </w:tbl>
    <w:p>
      <w:pPr>
        <w:bidi w:val="0"/>
        <w:rPr>
          <w:rFonts w:hint="default"/>
        </w:rPr>
        <w:sectPr>
          <w:pgSz w:w="16838" w:h="11906" w:orient="landscape"/>
          <w:pgMar w:top="1418" w:right="1440" w:bottom="1418"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autoSpaceDE w:val="0"/>
        <w:autoSpaceDN w:val="0"/>
        <w:adjustRightInd w:val="0"/>
        <w:spacing w:line="440" w:lineRule="exact"/>
        <w:jc w:val="both"/>
        <w:outlineLvl w:val="0"/>
        <w:rPr>
          <w:rFonts w:hint="default" w:ascii="Times New Roman" w:hAnsi="Times New Roman" w:eastAsia="宋体" w:cs="Times New Roman"/>
          <w:b/>
          <w:sz w:val="24"/>
          <w:szCs w:val="24"/>
        </w:rPr>
      </w:pPr>
      <w:r>
        <w:rPr>
          <w:rFonts w:hint="default" w:ascii="Times New Roman" w:hAnsi="Times New Roman" w:cs="Times New Roman"/>
          <w:b/>
          <w:sz w:val="24"/>
          <w:szCs w:val="24"/>
          <w:lang w:val="en-US" w:eastAsia="zh-CN"/>
        </w:rPr>
        <w:t>七、</w:t>
      </w:r>
      <w:r>
        <w:rPr>
          <w:rFonts w:hint="default" w:ascii="Times New Roman" w:hAnsi="Times New Roman" w:eastAsia="宋体" w:cs="Times New Roman"/>
          <w:b/>
          <w:sz w:val="24"/>
          <w:szCs w:val="24"/>
        </w:rPr>
        <w:t>环境影响调查</w:t>
      </w:r>
    </w:p>
    <w:tbl>
      <w:tblPr>
        <w:tblStyle w:val="25"/>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7"/>
        <w:gridCol w:w="457"/>
        <w:gridCol w:w="83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8" w:hRule="atLeast"/>
        </w:trPr>
        <w:tc>
          <w:tcPr>
            <w:tcW w:w="246" w:type="pct"/>
            <w:vMerge w:val="restart"/>
            <w:shd w:val="clear" w:color="auto" w:fill="auto"/>
            <w:vAlign w:val="center"/>
          </w:tcPr>
          <w:p>
            <w:pPr>
              <w:autoSpaceDE w:val="0"/>
              <w:autoSpaceDN w:val="0"/>
              <w:adjustRightInd w:val="0"/>
              <w:spacing w:line="440" w:lineRule="exact"/>
              <w:jc w:val="center"/>
              <w:outlineLvl w:val="0"/>
              <w:rPr>
                <w:rFonts w:hint="eastAsia" w:ascii="Times New Roman" w:hAnsi="Times New Roman" w:eastAsia="宋体" w:cs="Times New Roman"/>
                <w:b/>
                <w:bCs/>
                <w:color w:val="000000"/>
                <w:sz w:val="24"/>
                <w:szCs w:val="24"/>
                <w:lang w:eastAsia="zh-CN"/>
              </w:rPr>
            </w:pPr>
            <w:r>
              <w:rPr>
                <w:rFonts w:hint="eastAsia" w:cs="Times New Roman"/>
                <w:b/>
                <w:bCs/>
                <w:color w:val="000000"/>
                <w:sz w:val="24"/>
                <w:szCs w:val="24"/>
                <w:lang w:eastAsia="zh-CN"/>
              </w:rPr>
              <w:t>施工期</w:t>
            </w:r>
          </w:p>
        </w:tc>
        <w:tc>
          <w:tcPr>
            <w:tcW w:w="246" w:type="pct"/>
            <w:shd w:val="clear" w:color="auto" w:fill="auto"/>
            <w:vAlign w:val="center"/>
          </w:tcPr>
          <w:p>
            <w:pPr>
              <w:autoSpaceDE w:val="0"/>
              <w:autoSpaceDN w:val="0"/>
              <w:adjustRightInd w:val="0"/>
              <w:spacing w:line="440" w:lineRule="exact"/>
              <w:jc w:val="center"/>
              <w:outlineLvl w:val="0"/>
              <w:rPr>
                <w:rFonts w:hint="eastAsia" w:ascii="Times New Roman" w:hAnsi="Times New Roman" w:eastAsia="宋体" w:cs="Times New Roman"/>
                <w:b/>
                <w:color w:val="000000"/>
                <w:sz w:val="24"/>
                <w:szCs w:val="24"/>
                <w:lang w:eastAsia="zh-CN"/>
              </w:rPr>
            </w:pPr>
            <w:r>
              <w:rPr>
                <w:rFonts w:hint="eastAsia" w:cs="Times New Roman"/>
                <w:b/>
                <w:color w:val="000000"/>
                <w:sz w:val="24"/>
                <w:szCs w:val="24"/>
                <w:lang w:eastAsia="zh-CN"/>
              </w:rPr>
              <w:t>生态影响</w:t>
            </w:r>
          </w:p>
        </w:tc>
        <w:tc>
          <w:tcPr>
            <w:tcW w:w="4507" w:type="pct"/>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lang w:val="en-US" w:eastAsia="zh-CN"/>
              </w:rPr>
            </w:pPr>
            <w:r>
              <w:rPr>
                <w:rFonts w:hint="default" w:ascii="Times New Roman" w:hAnsi="Times New Roman" w:eastAsia="宋体" w:cs="Times New Roman"/>
                <w:color w:val="000000"/>
                <w:kern w:val="2"/>
                <w:sz w:val="24"/>
                <w:szCs w:val="24"/>
                <w:lang w:val="en-US" w:eastAsia="zh-CN"/>
              </w:rPr>
              <w:t>项目在施工期工程占地、植被破坏、一定范围内水土流失加剧、对水生生态</w:t>
            </w:r>
            <w:r>
              <w:rPr>
                <w:rFonts w:hint="eastAsia" w:ascii="Times New Roman" w:hAnsi="Times New Roman" w:eastAsia="宋体" w:cs="Times New Roman"/>
                <w:color w:val="000000"/>
                <w:kern w:val="2"/>
                <w:sz w:val="24"/>
                <w:szCs w:val="24"/>
                <w:lang w:val="en-US" w:eastAsia="zh-CN"/>
              </w:rPr>
              <w:t>等方面产生一定</w:t>
            </w:r>
            <w:r>
              <w:rPr>
                <w:rFonts w:hint="default" w:ascii="Times New Roman" w:hAnsi="Times New Roman" w:eastAsia="宋体" w:cs="Times New Roman"/>
                <w:color w:val="000000"/>
                <w:kern w:val="2"/>
                <w:sz w:val="24"/>
                <w:szCs w:val="24"/>
                <w:lang w:val="en-US" w:eastAsia="zh-CN"/>
              </w:rPr>
              <w:t>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lang w:val="en-US" w:eastAsia="zh-CN"/>
              </w:rPr>
            </w:pPr>
            <w:r>
              <w:rPr>
                <w:rFonts w:hint="default" w:ascii="Times New Roman" w:hAnsi="Times New Roman" w:eastAsia="宋体" w:cs="Times New Roman"/>
                <w:color w:val="000000"/>
                <w:kern w:val="2"/>
                <w:sz w:val="24"/>
                <w:szCs w:val="24"/>
                <w:lang w:val="en-US" w:eastAsia="zh-CN"/>
              </w:rPr>
              <w:t>本工程临时占地类型主要为建设用地、居住用地和绿地。根据施工组织设计，施工便道、临时堆场、施工作业区、渣场以及机械停放场等均布置在植被稀疏的区域。因此，在严格限制施工范围、加强施工管理的情况下，工程临时占地造成的植被损失较少。在施工末期和施工结束后，对施工临时占地进行植被恢复及绿化，可将对其影响降到最低程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s="Times New Roman"/>
                <w:color w:val="000000"/>
                <w:kern w:val="2"/>
                <w:sz w:val="24"/>
                <w:szCs w:val="24"/>
                <w:lang w:val="en-US" w:eastAsia="zh-CN"/>
              </w:rPr>
            </w:pPr>
            <w:r>
              <w:rPr>
                <w:rFonts w:hint="default" w:ascii="Times New Roman" w:hAnsi="Times New Roman" w:eastAsia="宋体" w:cs="Times New Roman"/>
                <w:color w:val="000000"/>
                <w:kern w:val="2"/>
                <w:sz w:val="24"/>
                <w:szCs w:val="24"/>
                <w:lang w:val="en-US" w:eastAsia="zh-CN"/>
              </w:rPr>
              <w:t>采取上述生态保护措施，对生态环境影响较小，措施合理可行</w:t>
            </w:r>
            <w:r>
              <w:rPr>
                <w:rFonts w:hint="eastAsia" w:ascii="Times New Roman" w:hAnsi="Times New Roman" w:eastAsia="宋体" w:cs="Times New Roman"/>
                <w:color w:val="000000"/>
                <w:kern w:val="2"/>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11" w:hRule="atLeast"/>
        </w:trPr>
        <w:tc>
          <w:tcPr>
            <w:tcW w:w="246" w:type="pct"/>
            <w:vMerge w:val="continue"/>
            <w:shd w:val="clear" w:color="auto" w:fill="auto"/>
            <w:vAlign w:val="center"/>
          </w:tcPr>
          <w:p>
            <w:pPr>
              <w:autoSpaceDE w:val="0"/>
              <w:autoSpaceDN w:val="0"/>
              <w:adjustRightInd w:val="0"/>
              <w:spacing w:line="440" w:lineRule="exact"/>
              <w:jc w:val="center"/>
              <w:outlineLvl w:val="0"/>
              <w:rPr>
                <w:rFonts w:hint="default" w:ascii="Times New Roman" w:hAnsi="Times New Roman" w:eastAsia="宋体" w:cs="Times New Roman"/>
                <w:b/>
                <w:bCs/>
                <w:color w:val="000000"/>
                <w:sz w:val="24"/>
                <w:szCs w:val="24"/>
              </w:rPr>
            </w:pPr>
          </w:p>
        </w:tc>
        <w:tc>
          <w:tcPr>
            <w:tcW w:w="246" w:type="pct"/>
            <w:shd w:val="clear" w:color="auto" w:fill="auto"/>
            <w:vAlign w:val="center"/>
          </w:tcPr>
          <w:p>
            <w:pPr>
              <w:autoSpaceDE w:val="0"/>
              <w:autoSpaceDN w:val="0"/>
              <w:adjustRightInd w:val="0"/>
              <w:spacing w:line="440" w:lineRule="exact"/>
              <w:jc w:val="center"/>
              <w:outlineLvl w:val="0"/>
              <w:rPr>
                <w:rFonts w:hint="eastAsia" w:ascii="Times New Roman" w:hAnsi="Times New Roman" w:eastAsia="宋体" w:cs="Times New Roman"/>
                <w:b/>
                <w:color w:val="000000"/>
                <w:sz w:val="24"/>
                <w:szCs w:val="24"/>
                <w:lang w:eastAsia="zh-CN"/>
              </w:rPr>
            </w:pPr>
            <w:r>
              <w:rPr>
                <w:rFonts w:hint="eastAsia" w:cs="Times New Roman"/>
                <w:b/>
                <w:color w:val="000000"/>
                <w:sz w:val="24"/>
                <w:szCs w:val="24"/>
                <w:lang w:eastAsia="zh-CN"/>
              </w:rPr>
              <w:t>污染影响</w:t>
            </w:r>
          </w:p>
        </w:tc>
        <w:tc>
          <w:tcPr>
            <w:tcW w:w="4507" w:type="pct"/>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eastAsia="宋体" w:cs="Times New Roman"/>
                <w:b/>
                <w:bCs/>
                <w:color w:val="000000"/>
                <w:kern w:val="2"/>
                <w:sz w:val="24"/>
                <w:szCs w:val="24"/>
                <w:lang w:val="en-US" w:eastAsia="zh-CN"/>
              </w:rPr>
            </w:pPr>
            <w:r>
              <w:rPr>
                <w:rFonts w:hint="eastAsia" w:eastAsia="宋体" w:cs="Times New Roman"/>
                <w:b/>
                <w:bCs/>
                <w:color w:val="000000"/>
                <w:kern w:val="2"/>
                <w:sz w:val="24"/>
                <w:szCs w:val="24"/>
                <w:lang w:val="en-US" w:eastAsia="zh-CN"/>
              </w:rPr>
              <w:t>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lang w:val="en-US" w:eastAsia="zh-CN"/>
              </w:rPr>
            </w:pPr>
            <w:r>
              <w:rPr>
                <w:rFonts w:hint="default" w:ascii="Times New Roman" w:hAnsi="Times New Roman" w:eastAsia="宋体" w:cs="Times New Roman"/>
                <w:color w:val="000000"/>
                <w:kern w:val="2"/>
                <w:sz w:val="24"/>
                <w:szCs w:val="24"/>
                <w:lang w:val="en-US" w:eastAsia="zh-CN"/>
              </w:rPr>
              <w:t>施工期主要的大气污染物为施工扬尘以及施工机械尾气，施工扬尘主要由土石方开挖，材料运输、卸放、拌和等作业过程中产生，施工期需采取如下措施加强对施工扬尘防范：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lang w:val="en-US" w:eastAsia="zh-CN"/>
              </w:rPr>
            </w:pPr>
            <w:r>
              <w:rPr>
                <w:rFonts w:hint="default" w:ascii="Times New Roman" w:hAnsi="Times New Roman" w:eastAsia="宋体" w:cs="Times New Roman"/>
                <w:color w:val="000000"/>
                <w:kern w:val="2"/>
                <w:sz w:val="24"/>
                <w:szCs w:val="24"/>
                <w:lang w:val="en-US" w:eastAsia="zh-CN"/>
              </w:rPr>
              <w:t>（1）施工场地及场内道路并采取洒水抑尘措施，大风天气避免作业；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lang w:val="en-US" w:eastAsia="zh-CN"/>
              </w:rPr>
            </w:pPr>
            <w:r>
              <w:rPr>
                <w:rFonts w:hint="default" w:ascii="Times New Roman" w:hAnsi="Times New Roman" w:eastAsia="宋体" w:cs="Times New Roman"/>
                <w:color w:val="000000"/>
                <w:kern w:val="2"/>
                <w:sz w:val="24"/>
                <w:szCs w:val="24"/>
                <w:lang w:val="en-US" w:eastAsia="zh-CN"/>
              </w:rPr>
              <w:t>（2）材料运输车辆必须车身整洁，装载车厢完好，装载货物堆码整齐；驶出建筑工地的运输车辆必须冲洗干净，严禁带泥土上路，严禁超载，必须有掩盖和防护措施，防止建筑材料、垃圾和尘土飞扬、洒落和流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lang w:val="en-US" w:eastAsia="zh-CN"/>
              </w:rPr>
            </w:pPr>
            <w:r>
              <w:rPr>
                <w:rFonts w:hint="default" w:ascii="Times New Roman" w:hAnsi="Times New Roman" w:eastAsia="宋体" w:cs="Times New Roman"/>
                <w:color w:val="000000"/>
                <w:kern w:val="2"/>
                <w:sz w:val="24"/>
                <w:szCs w:val="24"/>
                <w:lang w:val="en-US" w:eastAsia="zh-CN"/>
              </w:rPr>
              <w:t>（3）加强施工机械的管理和维护保养，控制车辆车速，使用清洁燃料；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lang w:val="en-US" w:eastAsia="zh-CN"/>
              </w:rPr>
            </w:pPr>
            <w:r>
              <w:rPr>
                <w:rFonts w:hint="default" w:ascii="Times New Roman" w:hAnsi="Times New Roman" w:eastAsia="宋体" w:cs="Times New Roman"/>
                <w:color w:val="000000"/>
                <w:kern w:val="2"/>
                <w:sz w:val="24"/>
                <w:szCs w:val="24"/>
                <w:lang w:val="en-US" w:eastAsia="zh-CN"/>
              </w:rPr>
              <w:t>（4）施工人员主要雇用当地居民，不设食堂和住宿。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lang w:val="en-US" w:eastAsia="zh-CN"/>
              </w:rPr>
            </w:pPr>
            <w:r>
              <w:rPr>
                <w:rFonts w:hint="default" w:ascii="Times New Roman" w:hAnsi="Times New Roman" w:eastAsia="宋体" w:cs="Times New Roman"/>
                <w:color w:val="000000"/>
                <w:kern w:val="2"/>
                <w:sz w:val="24"/>
                <w:szCs w:val="24"/>
                <w:lang w:val="en-US" w:eastAsia="zh-CN"/>
              </w:rPr>
              <w:t>采取以上措施后，施工期粉尘等对大气环境影响较小，措施简单可行。</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bCs/>
                <w:snapToGrid w:val="0"/>
                <w:kern w:val="0"/>
                <w:sz w:val="24"/>
                <w:lang w:eastAsia="zh-CN"/>
              </w:rPr>
            </w:pPr>
            <w:r>
              <w:rPr>
                <w:rFonts w:hint="eastAsia" w:ascii="Times New Roman" w:hAnsi="Times New Roman"/>
                <w:b/>
                <w:bCs/>
                <w:snapToGrid w:val="0"/>
                <w:kern w:val="0"/>
                <w:sz w:val="24"/>
                <w:lang w:eastAsia="zh-CN"/>
              </w:rPr>
              <w:t>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lang w:val="en-US" w:eastAsia="zh-CN"/>
              </w:rPr>
            </w:pPr>
            <w:r>
              <w:rPr>
                <w:rFonts w:hint="default" w:ascii="Times New Roman" w:hAnsi="Times New Roman" w:eastAsia="宋体" w:cs="Times New Roman"/>
                <w:color w:val="000000"/>
                <w:kern w:val="2"/>
                <w:sz w:val="24"/>
                <w:szCs w:val="24"/>
                <w:lang w:val="en-US" w:eastAsia="zh-CN"/>
              </w:rPr>
              <w:t>（1）施工期依托当地农户进行食宿，不设施工生活营地，生活污水利用农户现有旱厕收集处理后用作农肥或绿化，不排放，对水环境影响较小。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lang w:val="en-US" w:eastAsia="zh-CN"/>
              </w:rPr>
            </w:pPr>
            <w:r>
              <w:rPr>
                <w:rFonts w:hint="default" w:ascii="Times New Roman" w:hAnsi="Times New Roman" w:eastAsia="宋体" w:cs="Times New Roman"/>
                <w:color w:val="000000"/>
                <w:kern w:val="2"/>
                <w:sz w:val="24"/>
                <w:szCs w:val="24"/>
                <w:lang w:val="en-US" w:eastAsia="zh-CN"/>
              </w:rPr>
              <w:t>（2）本项目施工期产生的生产废水主要是施工机械维护和冲洗废水，设置沉淀池经沉淀后回用，不外排。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lang w:val="en-US" w:eastAsia="zh-CN"/>
              </w:rPr>
            </w:pPr>
            <w:r>
              <w:rPr>
                <w:rFonts w:hint="default" w:ascii="Times New Roman" w:hAnsi="Times New Roman" w:eastAsia="宋体" w:cs="Times New Roman"/>
                <w:color w:val="000000"/>
                <w:kern w:val="2"/>
                <w:sz w:val="24"/>
                <w:szCs w:val="24"/>
                <w:lang w:val="en-US" w:eastAsia="zh-CN"/>
              </w:rPr>
              <w:t>（3）</w:t>
            </w:r>
            <w:r>
              <w:rPr>
                <w:rFonts w:hint="eastAsia" w:ascii="Times New Roman" w:hAnsi="Times New Roman" w:eastAsia="宋体" w:cs="Times New Roman"/>
                <w:color w:val="000000"/>
                <w:kern w:val="2"/>
                <w:sz w:val="24"/>
                <w:szCs w:val="24"/>
                <w:lang w:val="en-US" w:eastAsia="zh-CN"/>
              </w:rPr>
              <w:t>施工区</w:t>
            </w:r>
            <w:r>
              <w:rPr>
                <w:rFonts w:hint="default" w:ascii="Times New Roman" w:hAnsi="Times New Roman" w:eastAsia="宋体" w:cs="Times New Roman"/>
                <w:color w:val="000000"/>
                <w:kern w:val="2"/>
                <w:sz w:val="24"/>
                <w:szCs w:val="24"/>
                <w:lang w:val="en-US" w:eastAsia="zh-CN"/>
              </w:rPr>
              <w:t>修筑</w:t>
            </w:r>
            <w:r>
              <w:rPr>
                <w:rFonts w:hint="eastAsia" w:ascii="Times New Roman" w:hAnsi="Times New Roman" w:eastAsia="宋体" w:cs="Times New Roman"/>
                <w:color w:val="000000"/>
                <w:kern w:val="2"/>
                <w:sz w:val="24"/>
                <w:szCs w:val="24"/>
                <w:lang w:val="en-US" w:eastAsia="zh-CN"/>
              </w:rPr>
              <w:t>临时</w:t>
            </w:r>
            <w:r>
              <w:rPr>
                <w:rFonts w:hint="default" w:ascii="Times New Roman" w:hAnsi="Times New Roman" w:eastAsia="宋体" w:cs="Times New Roman"/>
                <w:color w:val="000000"/>
                <w:kern w:val="2"/>
                <w:sz w:val="24"/>
                <w:szCs w:val="24"/>
                <w:lang w:val="en-US" w:eastAsia="zh-CN"/>
              </w:rPr>
              <w:t>排水沟，并设置沉淀池；在降水来临前用防雨布对施工材料覆盖。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napToGrid w:val="0"/>
                <w:kern w:val="0"/>
                <w:sz w:val="24"/>
                <w:lang w:eastAsia="zh-CN"/>
              </w:rPr>
            </w:pPr>
            <w:r>
              <w:rPr>
                <w:rFonts w:hint="default" w:ascii="Times New Roman" w:hAnsi="Times New Roman" w:eastAsia="宋体" w:cs="Times New Roman"/>
                <w:color w:val="000000"/>
                <w:kern w:val="2"/>
                <w:sz w:val="24"/>
                <w:szCs w:val="24"/>
                <w:lang w:val="en-US" w:eastAsia="zh-CN"/>
              </w:rPr>
              <w:t>采取以上措施后，施工期废水不外排，对水环境影响小，措施可行合理。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bCs/>
                <w:snapToGrid w:val="0"/>
                <w:kern w:val="0"/>
                <w:sz w:val="24"/>
                <w:lang w:eastAsia="zh-CN"/>
              </w:rPr>
            </w:pPr>
            <w:r>
              <w:rPr>
                <w:rFonts w:hint="eastAsia" w:ascii="Times New Roman" w:hAnsi="Times New Roman"/>
                <w:b/>
                <w:bCs/>
                <w:snapToGrid w:val="0"/>
                <w:kern w:val="0"/>
                <w:sz w:val="24"/>
                <w:lang w:eastAsia="zh-CN"/>
              </w:rPr>
              <w:t>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napToGrid w:val="0"/>
                <w:kern w:val="0"/>
                <w:sz w:val="24"/>
                <w:lang w:eastAsia="zh-CN"/>
              </w:rPr>
            </w:pPr>
            <w:r>
              <w:rPr>
                <w:rFonts w:hint="eastAsia" w:ascii="Times New Roman" w:hAnsi="Times New Roman"/>
                <w:snapToGrid w:val="0"/>
                <w:kern w:val="0"/>
                <w:sz w:val="24"/>
                <w:lang w:eastAsia="zh-CN"/>
              </w:rPr>
              <w:t>（1）合理安排施工进度，尽量缩短施工场地施工时间。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napToGrid w:val="0"/>
                <w:kern w:val="0"/>
                <w:sz w:val="24"/>
                <w:lang w:eastAsia="zh-CN"/>
              </w:rPr>
            </w:pPr>
            <w:r>
              <w:rPr>
                <w:rFonts w:hint="eastAsia" w:ascii="Times New Roman" w:hAnsi="Times New Roman"/>
                <w:snapToGrid w:val="0"/>
                <w:kern w:val="0"/>
                <w:sz w:val="24"/>
                <w:lang w:eastAsia="zh-CN"/>
              </w:rPr>
              <w:t>（2）合理安排施工时段，避免夜间施工。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napToGrid w:val="0"/>
                <w:kern w:val="0"/>
                <w:sz w:val="24"/>
                <w:lang w:eastAsia="zh-CN"/>
              </w:rPr>
            </w:pPr>
            <w:r>
              <w:rPr>
                <w:rFonts w:hint="eastAsia" w:ascii="Times New Roman" w:hAnsi="Times New Roman"/>
                <w:snapToGrid w:val="0"/>
                <w:kern w:val="0"/>
                <w:sz w:val="24"/>
                <w:lang w:eastAsia="zh-CN"/>
              </w:rPr>
              <w:t>（3）在满足施工需要的前提下，尽可能选择低噪声的先进设备，加强设备的维护保养，避免由于设备性能差而使机械噪声增大的现象发生。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napToGrid w:val="0"/>
                <w:kern w:val="0"/>
                <w:sz w:val="24"/>
                <w:lang w:eastAsia="zh-CN"/>
              </w:rPr>
            </w:pPr>
            <w:r>
              <w:rPr>
                <w:rFonts w:hint="eastAsia" w:ascii="Times New Roman" w:hAnsi="Times New Roman"/>
                <w:snapToGrid w:val="0"/>
                <w:kern w:val="0"/>
                <w:sz w:val="24"/>
                <w:lang w:eastAsia="zh-CN"/>
              </w:rPr>
              <w:t>（4）施工期运输车辆经过路线两侧居民点时，应积极采取缓速、禁鸣等措施减小影响。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napToGrid w:val="0"/>
                <w:kern w:val="0"/>
                <w:sz w:val="24"/>
                <w:lang w:eastAsia="zh-CN"/>
              </w:rPr>
            </w:pPr>
            <w:r>
              <w:rPr>
                <w:rFonts w:hint="eastAsia" w:ascii="Times New Roman" w:hAnsi="Times New Roman"/>
                <w:snapToGrid w:val="0"/>
                <w:kern w:val="0"/>
                <w:sz w:val="24"/>
                <w:lang w:eastAsia="zh-CN"/>
              </w:rPr>
              <w:t>（5）业主单位和施工单位应高度重视噪声影响，并做好群众的宣传解释工作，使工程建设能顺利进行。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snapToGrid w:val="0"/>
                <w:kern w:val="0"/>
                <w:sz w:val="24"/>
                <w:lang w:eastAsia="zh-CN"/>
              </w:rPr>
            </w:pPr>
            <w:r>
              <w:rPr>
                <w:rFonts w:hint="eastAsia" w:ascii="Times New Roman" w:hAnsi="Times New Roman"/>
                <w:snapToGrid w:val="0"/>
                <w:kern w:val="0"/>
                <w:sz w:val="24"/>
                <w:lang w:eastAsia="zh-CN"/>
              </w:rPr>
              <w:t>采用以上措施后，施工期对周边声环境的影响小，措施可行</w:t>
            </w:r>
            <w:r>
              <w:rPr>
                <w:rFonts w:hint="eastAsia" w:eastAsia="宋体"/>
                <w:snapToGrid w:val="0"/>
                <w:kern w:val="0"/>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eastAsia="宋体"/>
                <w:snapToGrid w:val="0"/>
                <w:kern w:val="0"/>
                <w:sz w:val="24"/>
                <w:lang w:val="en-US" w:eastAsia="zh-CN"/>
              </w:rPr>
            </w:pPr>
            <w:r>
              <w:rPr>
                <w:rFonts w:hint="eastAsia" w:eastAsia="宋体"/>
                <w:b/>
                <w:bCs/>
                <w:snapToGrid w:val="0"/>
                <w:kern w:val="0"/>
                <w:sz w:val="24"/>
                <w:lang w:eastAsia="zh-CN"/>
              </w:rPr>
              <w:t>固体废物</w:t>
            </w:r>
            <w:r>
              <w:rPr>
                <w:rFonts w:hint="eastAsia" w:eastAsia="宋体"/>
                <w:snapToGrid w:val="0"/>
                <w:kern w:val="0"/>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snapToGrid w:val="0"/>
                <w:kern w:val="0"/>
                <w:sz w:val="24"/>
                <w:lang w:val="en-US" w:eastAsia="zh-CN"/>
              </w:rPr>
            </w:pPr>
            <w:r>
              <w:rPr>
                <w:rFonts w:hint="eastAsia" w:eastAsia="宋体"/>
                <w:snapToGrid w:val="0"/>
                <w:kern w:val="0"/>
                <w:sz w:val="24"/>
                <w:lang w:val="en-US" w:eastAsia="zh-CN"/>
              </w:rPr>
              <w:t>（1）施工期剥离物运至排土场临时分区堆放，表土用于土地复垦， 废石外售；施工期挖填方基本平衡，无弃方外排。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snapToGrid w:val="0"/>
                <w:kern w:val="0"/>
                <w:sz w:val="24"/>
                <w:lang w:val="en-US" w:eastAsia="zh-CN"/>
              </w:rPr>
            </w:pPr>
            <w:r>
              <w:rPr>
                <w:rFonts w:hint="eastAsia" w:eastAsia="宋体"/>
                <w:snapToGrid w:val="0"/>
                <w:kern w:val="0"/>
                <w:sz w:val="24"/>
                <w:lang w:val="en-US" w:eastAsia="zh-CN"/>
              </w:rPr>
              <w:t>（2）施工人员生活垃圾统一收集后交由当地环卫部门处置，对环境不利影响较小。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s="Times New Roman"/>
                <w:color w:val="000000"/>
                <w:kern w:val="2"/>
                <w:sz w:val="24"/>
                <w:szCs w:val="24"/>
                <w:lang w:val="en-US" w:eastAsia="zh-CN"/>
              </w:rPr>
            </w:pPr>
            <w:r>
              <w:rPr>
                <w:rFonts w:hint="eastAsia" w:eastAsia="宋体"/>
                <w:snapToGrid w:val="0"/>
                <w:kern w:val="0"/>
                <w:sz w:val="24"/>
                <w:lang w:val="en-US" w:eastAsia="zh-CN"/>
              </w:rPr>
              <w:t>综上所述，本项目施工期采取的污染防治措施简单易行，能有效减缓大气环境、水环境、声环境影响，措施可行</w:t>
            </w:r>
            <w:r>
              <w:rPr>
                <w:rFonts w:hint="eastAsia" w:eastAsia="宋体"/>
                <w:snapToGrid w:val="0"/>
                <w:kern w:val="0"/>
                <w:sz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31" w:hRule="atLeast"/>
        </w:trPr>
        <w:tc>
          <w:tcPr>
            <w:tcW w:w="246" w:type="pct"/>
            <w:shd w:val="clear" w:color="auto" w:fill="auto"/>
            <w:vAlign w:val="center"/>
          </w:tcPr>
          <w:p>
            <w:pPr>
              <w:autoSpaceDE w:val="0"/>
              <w:autoSpaceDN w:val="0"/>
              <w:adjustRightInd w:val="0"/>
              <w:spacing w:line="440" w:lineRule="exact"/>
              <w:jc w:val="center"/>
              <w:outlineLvl w:val="0"/>
              <w:rPr>
                <w:rFonts w:hint="default" w:ascii="Times New Roman" w:hAnsi="Times New Roman" w:eastAsia="宋体" w:cs="Times New Roman"/>
                <w:b/>
                <w:color w:val="000000"/>
                <w:sz w:val="28"/>
                <w:szCs w:val="28"/>
              </w:rPr>
            </w:pPr>
            <w:r>
              <w:rPr>
                <w:rFonts w:hint="default" w:ascii="Times New Roman" w:hAnsi="Times New Roman" w:eastAsia="宋体" w:cs="Times New Roman"/>
                <w:b/>
                <w:bCs/>
                <w:color w:val="000000"/>
                <w:sz w:val="24"/>
                <w:szCs w:val="24"/>
              </w:rPr>
              <w:t>运营期</w:t>
            </w:r>
          </w:p>
        </w:tc>
        <w:tc>
          <w:tcPr>
            <w:tcW w:w="246" w:type="pct"/>
            <w:shd w:val="clear" w:color="auto" w:fill="auto"/>
            <w:vAlign w:val="center"/>
          </w:tcPr>
          <w:p>
            <w:pPr>
              <w:autoSpaceDE w:val="0"/>
              <w:autoSpaceDN w:val="0"/>
              <w:adjustRightInd w:val="0"/>
              <w:spacing w:line="440" w:lineRule="exact"/>
              <w:jc w:val="center"/>
              <w:outlineLvl w:val="0"/>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生态影响</w:t>
            </w:r>
          </w:p>
        </w:tc>
        <w:tc>
          <w:tcPr>
            <w:tcW w:w="4507" w:type="pct"/>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rPr>
            </w:pPr>
            <w:r>
              <w:rPr>
                <w:rFonts w:hint="eastAsia" w:cs="Times New Roman"/>
                <w:sz w:val="24"/>
                <w:szCs w:val="24"/>
                <w:lang w:eastAsia="zh-CN"/>
              </w:rPr>
              <w:t>本项目为城市排水工程，项目运营期无生产运营活动。工程建成后将场镇生活污水未经处理直接排放的现状，减轻了地表水的污染负荷，对水环境的影响是有利的。总体而言，项目运营期对生态环境的影响以有利为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46" w:type="pct"/>
            <w:shd w:val="clear" w:color="auto" w:fill="auto"/>
            <w:vAlign w:val="center"/>
          </w:tcPr>
          <w:p>
            <w:pPr>
              <w:autoSpaceDE w:val="0"/>
              <w:autoSpaceDN w:val="0"/>
              <w:adjustRightInd w:val="0"/>
              <w:spacing w:line="440" w:lineRule="exact"/>
              <w:jc w:val="both"/>
              <w:outlineLvl w:val="0"/>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运营期</w:t>
            </w:r>
          </w:p>
        </w:tc>
        <w:tc>
          <w:tcPr>
            <w:tcW w:w="246" w:type="pct"/>
            <w:shd w:val="clear" w:color="auto" w:fill="auto"/>
            <w:vAlign w:val="center"/>
          </w:tcPr>
          <w:p>
            <w:pPr>
              <w:autoSpaceDE w:val="0"/>
              <w:autoSpaceDN w:val="0"/>
              <w:adjustRightInd w:val="0"/>
              <w:spacing w:line="440" w:lineRule="exact"/>
              <w:jc w:val="both"/>
              <w:outlineLvl w:val="0"/>
              <w:rPr>
                <w:rFonts w:hint="default" w:ascii="Times New Roman" w:hAnsi="Times New Roman" w:eastAsia="宋体" w:cs="Times New Roman"/>
                <w:b/>
                <w:color w:val="000000"/>
                <w:sz w:val="24"/>
                <w:szCs w:val="24"/>
              </w:rPr>
            </w:pPr>
            <w:r>
              <w:rPr>
                <w:rFonts w:hint="default" w:ascii="Times New Roman" w:hAnsi="Times New Roman" w:cs="Times New Roman"/>
                <w:b/>
                <w:color w:val="000000"/>
                <w:sz w:val="24"/>
                <w:szCs w:val="24"/>
                <w:lang w:val="en-US" w:eastAsia="zh-CN"/>
              </w:rPr>
              <w:t>污染</w:t>
            </w:r>
            <w:r>
              <w:rPr>
                <w:rFonts w:hint="default" w:ascii="Times New Roman" w:hAnsi="Times New Roman" w:eastAsia="宋体" w:cs="Times New Roman"/>
                <w:b/>
                <w:color w:val="000000"/>
                <w:sz w:val="24"/>
                <w:szCs w:val="24"/>
              </w:rPr>
              <w:t>影响</w:t>
            </w:r>
          </w:p>
        </w:tc>
        <w:tc>
          <w:tcPr>
            <w:tcW w:w="4507" w:type="pct"/>
            <w:shd w:val="clear" w:color="auto" w:fill="auto"/>
          </w:tcPr>
          <w:p>
            <w:pPr>
              <w:pStyle w:val="32"/>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000000"/>
                <w:sz w:val="24"/>
                <w:szCs w:val="21"/>
                <w:lang w:eastAsia="zh-CN"/>
              </w:rPr>
            </w:pPr>
            <w:r>
              <w:rPr>
                <w:rFonts w:hint="eastAsia" w:cs="Times New Roman"/>
                <w:sz w:val="24"/>
                <w:szCs w:val="24"/>
                <w:lang w:eastAsia="zh-CN"/>
              </w:rPr>
              <w:t>本项目为城市排水工程，</w:t>
            </w:r>
            <w:r>
              <w:rPr>
                <w:rFonts w:hint="default" w:ascii="Times New Roman" w:hAnsi="Times New Roman" w:eastAsia="宋体" w:cs="Times New Roman"/>
                <w:color w:val="000000"/>
                <w:sz w:val="24"/>
                <w:szCs w:val="21"/>
                <w:lang w:eastAsia="zh-CN"/>
              </w:rPr>
              <w:t>工程运营期本身无废水产生，</w:t>
            </w:r>
            <w:r>
              <w:rPr>
                <w:rFonts w:hint="eastAsia" w:ascii="Times New Roman" w:hAnsi="Times New Roman" w:eastAsia="宋体" w:cs="Times New Roman"/>
                <w:color w:val="000000"/>
                <w:sz w:val="24"/>
                <w:szCs w:val="21"/>
                <w:lang w:eastAsia="zh-CN"/>
              </w:rPr>
              <w:t>补充</w:t>
            </w:r>
            <w:r>
              <w:rPr>
                <w:rFonts w:hint="default" w:ascii="Times New Roman" w:hAnsi="Times New Roman" w:eastAsia="宋体" w:cs="Times New Roman"/>
                <w:color w:val="000000"/>
                <w:sz w:val="24"/>
                <w:szCs w:val="21"/>
                <w:lang w:eastAsia="zh-CN"/>
              </w:rPr>
              <w:t>工程污水管网将</w:t>
            </w:r>
            <w:r>
              <w:rPr>
                <w:rFonts w:hint="eastAsia" w:ascii="Times New Roman" w:hAnsi="Times New Roman" w:eastAsia="宋体" w:cs="Times New Roman"/>
                <w:color w:val="000000"/>
                <w:sz w:val="24"/>
                <w:szCs w:val="21"/>
                <w:lang w:eastAsia="zh-CN"/>
              </w:rPr>
              <w:t>未收集的</w:t>
            </w:r>
            <w:r>
              <w:rPr>
                <w:rFonts w:hint="default" w:ascii="Times New Roman" w:hAnsi="Times New Roman" w:eastAsia="宋体" w:cs="Times New Roman"/>
                <w:color w:val="000000"/>
                <w:sz w:val="24"/>
                <w:szCs w:val="21"/>
                <w:lang w:eastAsia="zh-CN"/>
              </w:rPr>
              <w:t>生活污水引入</w:t>
            </w:r>
            <w:r>
              <w:rPr>
                <w:rFonts w:hint="eastAsia" w:ascii="Times New Roman" w:hAnsi="Times New Roman" w:eastAsia="宋体" w:cs="Times New Roman"/>
                <w:color w:val="000000"/>
                <w:sz w:val="24"/>
                <w:szCs w:val="21"/>
                <w:lang w:eastAsia="zh-CN"/>
              </w:rPr>
              <w:t>污水处理厂</w:t>
            </w:r>
            <w:r>
              <w:rPr>
                <w:rFonts w:hint="default" w:ascii="Times New Roman" w:hAnsi="Times New Roman" w:eastAsia="宋体" w:cs="Times New Roman"/>
                <w:color w:val="000000"/>
                <w:sz w:val="24"/>
                <w:szCs w:val="21"/>
                <w:lang w:eastAsia="zh-CN"/>
              </w:rPr>
              <w:t>集中处置，工程建成后将</w:t>
            </w:r>
            <w:r>
              <w:rPr>
                <w:rFonts w:hint="eastAsia" w:ascii="Times New Roman" w:hAnsi="Times New Roman" w:eastAsia="宋体" w:cs="Times New Roman"/>
                <w:color w:val="000000"/>
                <w:sz w:val="24"/>
                <w:szCs w:val="21"/>
                <w:lang w:eastAsia="zh-CN"/>
              </w:rPr>
              <w:t>场镇</w:t>
            </w:r>
            <w:r>
              <w:rPr>
                <w:rFonts w:hint="default" w:ascii="Times New Roman" w:hAnsi="Times New Roman" w:eastAsia="宋体" w:cs="Times New Roman"/>
                <w:color w:val="000000"/>
                <w:sz w:val="24"/>
                <w:szCs w:val="21"/>
                <w:lang w:eastAsia="zh-CN"/>
              </w:rPr>
              <w:t>生活污水未经处理直接排放的现状，减轻了</w:t>
            </w:r>
            <w:r>
              <w:rPr>
                <w:rFonts w:hint="eastAsia" w:ascii="Times New Roman" w:hAnsi="Times New Roman" w:eastAsia="宋体" w:cs="Times New Roman"/>
                <w:color w:val="000000"/>
                <w:sz w:val="24"/>
                <w:szCs w:val="21"/>
                <w:lang w:eastAsia="zh-CN"/>
              </w:rPr>
              <w:t>地表水</w:t>
            </w:r>
            <w:r>
              <w:rPr>
                <w:rFonts w:hint="default" w:ascii="Times New Roman" w:hAnsi="Times New Roman" w:eastAsia="宋体" w:cs="Times New Roman"/>
                <w:color w:val="000000"/>
                <w:sz w:val="24"/>
                <w:szCs w:val="21"/>
                <w:lang w:eastAsia="zh-CN"/>
              </w:rPr>
              <w:t>的污染负荷，对水环境的影响是有利的。</w:t>
            </w:r>
          </w:p>
          <w:p>
            <w:pPr>
              <w:pStyle w:val="32"/>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1"/>
                <w:lang w:eastAsia="zh-CN"/>
              </w:rPr>
              <w:t>项目建成后对区域内大气环境无影响。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59" w:hRule="atLeast"/>
        </w:trPr>
        <w:tc>
          <w:tcPr>
            <w:tcW w:w="246" w:type="pct"/>
            <w:shd w:val="clear" w:color="auto" w:fill="auto"/>
            <w:vAlign w:val="center"/>
          </w:tcPr>
          <w:p>
            <w:pPr>
              <w:autoSpaceDE w:val="0"/>
              <w:autoSpaceDN w:val="0"/>
              <w:adjustRightInd w:val="0"/>
              <w:spacing w:line="440" w:lineRule="exact"/>
              <w:jc w:val="center"/>
              <w:outlineLvl w:val="0"/>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运营期</w:t>
            </w:r>
          </w:p>
        </w:tc>
        <w:tc>
          <w:tcPr>
            <w:tcW w:w="246" w:type="pct"/>
            <w:shd w:val="clear" w:color="auto" w:fill="auto"/>
            <w:vAlign w:val="center"/>
          </w:tcPr>
          <w:p>
            <w:pPr>
              <w:autoSpaceDE w:val="0"/>
              <w:autoSpaceDN w:val="0"/>
              <w:adjustRightInd w:val="0"/>
              <w:spacing w:line="440" w:lineRule="exact"/>
              <w:jc w:val="center"/>
              <w:outlineLvl w:val="0"/>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cs="Times New Roman"/>
                <w:b/>
                <w:color w:val="000000"/>
                <w:sz w:val="24"/>
                <w:szCs w:val="24"/>
                <w:lang w:val="en-US" w:eastAsia="zh-CN"/>
              </w:rPr>
              <w:t>社会</w:t>
            </w:r>
            <w:r>
              <w:rPr>
                <w:rFonts w:hint="default" w:ascii="Times New Roman" w:hAnsi="Times New Roman" w:eastAsia="宋体" w:cs="Times New Roman"/>
                <w:b/>
                <w:color w:val="000000"/>
                <w:sz w:val="24"/>
                <w:szCs w:val="24"/>
              </w:rPr>
              <w:t>影响</w:t>
            </w:r>
          </w:p>
        </w:tc>
        <w:tc>
          <w:tcPr>
            <w:tcW w:w="4507" w:type="pct"/>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（1）完善市政排水设施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排水工程的建设应与城镇建设同步发展，本项目的建设完善了城镇污水收集系统，将改善当地水环境质量，提高城镇基础设施水平。</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（2）改善城镇及区域环境。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城镇污水治理状况，直接影响着市容及人民身体健康，本工程的建设将改善沿岸的环境，给沿岸居民一个清洁舒畅的环境，有利于区域内的持续发展。</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（3）改善长江水质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000000"/>
                <w:sz w:val="24"/>
                <w:szCs w:val="24"/>
              </w:rPr>
              <w:t>本项目建成后，主要收集</w:t>
            </w:r>
            <w:r>
              <w:rPr>
                <w:rFonts w:hint="eastAsia" w:cs="Times New Roman"/>
                <w:color w:val="000000"/>
                <w:sz w:val="24"/>
                <w:szCs w:val="24"/>
                <w:lang w:eastAsia="zh-CN"/>
              </w:rPr>
              <w:t>场镇</w:t>
            </w:r>
            <w:r>
              <w:rPr>
                <w:rFonts w:hint="default" w:ascii="Times New Roman" w:hAnsi="Times New Roman" w:eastAsia="宋体" w:cs="Times New Roman"/>
                <w:color w:val="000000"/>
                <w:sz w:val="24"/>
                <w:szCs w:val="24"/>
              </w:rPr>
              <w:t>的生活污水，将这些生活污水送到污水处理厂进行深度处理，处理达标后再排放。可以有效削减长江的污染负荷，改善长江水质。</w:t>
            </w:r>
          </w:p>
        </w:tc>
      </w:tr>
    </w:tbl>
    <w:p>
      <w:pPr>
        <w:rPr>
          <w:rFonts w:hint="default" w:ascii="Times New Roman" w:hAnsi="Times New Roman" w:cs="Times New Roman"/>
        </w:rPr>
      </w:pPr>
    </w:p>
    <w:p>
      <w:pPr>
        <w:pStyle w:val="10"/>
        <w:rPr>
          <w:rFonts w:hint="default" w:ascii="Times New Roman" w:hAnsi="Times New Roman" w:cs="Times New Roman"/>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autoSpaceDE w:val="0"/>
        <w:autoSpaceDN w:val="0"/>
        <w:adjustRightInd w:val="0"/>
        <w:spacing w:line="440" w:lineRule="exact"/>
        <w:jc w:val="both"/>
        <w:outlineLvl w:val="0"/>
        <w:rPr>
          <w:rFonts w:hint="default" w:ascii="Times New Roman" w:hAnsi="Times New Roman" w:eastAsia="宋体" w:cs="Times New Roman"/>
          <w:b/>
          <w:color w:val="auto"/>
          <w:sz w:val="24"/>
          <w:szCs w:val="24"/>
        </w:rPr>
      </w:pPr>
      <w:r>
        <w:rPr>
          <w:rFonts w:hint="default" w:ascii="Times New Roman" w:hAnsi="Times New Roman" w:cs="Times New Roman"/>
          <w:b/>
          <w:color w:val="auto"/>
          <w:sz w:val="24"/>
          <w:szCs w:val="24"/>
          <w:lang w:val="en-US" w:eastAsia="zh-CN"/>
        </w:rPr>
        <w:t>八、</w:t>
      </w:r>
      <w:r>
        <w:rPr>
          <w:rFonts w:hint="default" w:ascii="Times New Roman" w:hAnsi="Times New Roman" w:eastAsia="宋体" w:cs="Times New Roman"/>
          <w:b/>
          <w:color w:val="auto"/>
          <w:sz w:val="24"/>
          <w:szCs w:val="24"/>
        </w:rPr>
        <w:t>环境质量及污染源监测（附监测图）</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77" w:hRule="atLeast"/>
          <w:jc w:val="center"/>
        </w:trPr>
        <w:tc>
          <w:tcPr>
            <w:tcW w:w="5000" w:type="pct"/>
          </w:tcPr>
          <w:p>
            <w:pPr>
              <w:autoSpaceDE w:val="0"/>
              <w:autoSpaceDN w:val="0"/>
              <w:adjustRightInd w:val="0"/>
              <w:snapToGrid w:val="0"/>
              <w:spacing w:line="360" w:lineRule="auto"/>
              <w:jc w:val="left"/>
              <w:rPr>
                <w:rFonts w:hint="default" w:ascii="Times New Roman" w:hAnsi="Times New Roman" w:eastAsia="宋体" w:cs="Times New Roman"/>
                <w:b/>
                <w:bCs/>
                <w:color w:val="000000"/>
                <w:sz w:val="24"/>
                <w:szCs w:val="24"/>
              </w:rPr>
            </w:pPr>
            <w:r>
              <w:rPr>
                <w:rFonts w:hint="default" w:ascii="Times New Roman" w:hAnsi="Times New Roman" w:cs="Times New Roman"/>
                <w:b/>
                <w:bCs/>
                <w:color w:val="000000"/>
                <w:sz w:val="24"/>
                <w:szCs w:val="24"/>
                <w:lang w:val="en-US" w:eastAsia="zh-CN"/>
              </w:rPr>
              <w:t xml:space="preserve">8.1 </w:t>
            </w:r>
            <w:r>
              <w:rPr>
                <w:rFonts w:hint="default" w:ascii="Times New Roman" w:hAnsi="Times New Roman" w:eastAsia="宋体" w:cs="Times New Roman"/>
                <w:b/>
                <w:bCs/>
                <w:color w:val="000000"/>
                <w:sz w:val="24"/>
                <w:szCs w:val="24"/>
              </w:rPr>
              <w:t>监测点位、因子和频率（根据项目特征，选择水、气、声、固废、振动、生态等项目）</w:t>
            </w:r>
          </w:p>
          <w:p>
            <w:pPr>
              <w:pStyle w:val="98"/>
              <w:widowControl w:val="0"/>
              <w:bidi w:val="0"/>
              <w:jc w:val="both"/>
              <w:rPr>
                <w:rFonts w:hint="default" w:ascii="Times New Roman" w:hAnsi="Times New Roman" w:cs="Times New Roman"/>
                <w:lang w:val="en-US" w:eastAsia="zh-CN"/>
              </w:rPr>
            </w:pPr>
            <w:r>
              <w:rPr>
                <w:rFonts w:hint="default" w:ascii="Times New Roman" w:hAnsi="Times New Roman" w:cs="Times New Roman"/>
                <w:lang w:val="en-US" w:eastAsia="zh-CN"/>
              </w:rPr>
              <w:t>考虑本项目为</w:t>
            </w:r>
            <w:r>
              <w:rPr>
                <w:rFonts w:hint="eastAsia" w:cs="Times New Roman"/>
                <w:lang w:val="en-US" w:eastAsia="zh-CN"/>
              </w:rPr>
              <w:t>城市排水</w:t>
            </w:r>
            <w:r>
              <w:rPr>
                <w:rFonts w:hint="default" w:ascii="Times New Roman" w:hAnsi="Times New Roman" w:cs="Times New Roman"/>
                <w:lang w:val="en-US" w:eastAsia="zh-CN"/>
              </w:rPr>
              <w:t>工程，项目运营期无生产运行活动，运营期无废水、废气、噪声以及固体废物等污染产生，因此可不开展监测。</w:t>
            </w:r>
            <w:r>
              <w:rPr>
                <w:rFonts w:hint="eastAsia" w:cs="Times New Roman"/>
                <w:lang w:val="en-US" w:eastAsia="zh-CN"/>
              </w:rPr>
              <w:t>后续</w:t>
            </w:r>
            <w:r>
              <w:rPr>
                <w:rFonts w:hint="default" w:ascii="Times New Roman" w:hAnsi="Times New Roman" w:cs="Times New Roman"/>
                <w:lang w:val="en-US" w:eastAsia="zh-CN"/>
              </w:rPr>
              <w:t>根据需要，建设单位</w:t>
            </w:r>
            <w:r>
              <w:rPr>
                <w:rFonts w:hint="eastAsia" w:cs="Times New Roman"/>
                <w:lang w:val="en-US" w:eastAsia="zh-CN"/>
              </w:rPr>
              <w:t>可</w:t>
            </w:r>
            <w:r>
              <w:rPr>
                <w:rFonts w:hint="default" w:ascii="Times New Roman" w:hAnsi="Times New Roman" w:cs="Times New Roman"/>
                <w:lang w:val="en-US" w:eastAsia="zh-CN"/>
              </w:rPr>
              <w:t>委托万州区环境监测站及水土保持部门或其他有相应资质的单位负责。定期对地面水质、水土流失等进行监测和动态观测。</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000000"/>
                <w:sz w:val="24"/>
                <w:szCs w:val="24"/>
              </w:rPr>
            </w:pPr>
          </w:p>
          <w:p>
            <w:pPr>
              <w:autoSpaceDE w:val="0"/>
              <w:autoSpaceDN w:val="0"/>
              <w:adjustRightInd w:val="0"/>
              <w:snapToGrid w:val="0"/>
              <w:spacing w:line="360" w:lineRule="auto"/>
              <w:jc w:val="left"/>
              <w:rPr>
                <w:rFonts w:hint="default" w:ascii="Times New Roman" w:hAnsi="Times New Roman" w:eastAsia="宋体" w:cs="Times New Roman"/>
                <w:color w:val="000000"/>
                <w:sz w:val="24"/>
                <w:szCs w:val="24"/>
                <w:lang w:val="en-US" w:eastAsia="zh-CN"/>
              </w:rPr>
            </w:pPr>
          </w:p>
          <w:p>
            <w:pPr>
              <w:pStyle w:val="5"/>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autoSpaceDE w:val="0"/>
              <w:autoSpaceDN w:val="0"/>
              <w:adjustRightInd w:val="0"/>
              <w:spacing w:line="480" w:lineRule="exact"/>
              <w:jc w:val="left"/>
              <w:rPr>
                <w:rFonts w:hint="default" w:ascii="Times New Roman" w:hAnsi="Times New Roman" w:eastAsia="宋体" w:cs="Times New Roman"/>
                <w:color w:val="FF0000"/>
                <w:sz w:val="26"/>
                <w:szCs w:val="26"/>
              </w:rPr>
            </w:pPr>
          </w:p>
        </w:tc>
      </w:tr>
    </w:tbl>
    <w:p>
      <w:pPr>
        <w:autoSpaceDE w:val="0"/>
        <w:autoSpaceDN w:val="0"/>
        <w:adjustRightInd w:val="0"/>
        <w:spacing w:line="440" w:lineRule="exact"/>
        <w:jc w:val="left"/>
        <w:outlineLvl w:val="0"/>
        <w:rPr>
          <w:rFonts w:hint="default" w:ascii="Times New Roman" w:hAnsi="Times New Roman" w:eastAsia="宋体" w:cs="Times New Roman"/>
          <w:b/>
          <w:color w:val="000000"/>
          <w:sz w:val="26"/>
          <w:szCs w:val="26"/>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autoSpaceDE w:val="0"/>
        <w:autoSpaceDN w:val="0"/>
        <w:adjustRightInd w:val="0"/>
        <w:spacing w:line="440" w:lineRule="exact"/>
        <w:jc w:val="both"/>
        <w:outlineLvl w:val="0"/>
        <w:rPr>
          <w:rFonts w:hint="default" w:ascii="Times New Roman" w:hAnsi="Times New Roman" w:eastAsia="宋体" w:cs="Times New Roman"/>
          <w:b/>
          <w:color w:val="000000"/>
          <w:kern w:val="0"/>
          <w:sz w:val="24"/>
          <w:szCs w:val="24"/>
        </w:rPr>
      </w:pPr>
      <w:r>
        <w:rPr>
          <w:rFonts w:hint="default" w:ascii="Times New Roman" w:hAnsi="Times New Roman" w:cs="Times New Roman"/>
          <w:b/>
          <w:color w:val="000000"/>
          <w:sz w:val="24"/>
          <w:szCs w:val="24"/>
          <w:lang w:val="en-US" w:eastAsia="zh-CN"/>
        </w:rPr>
        <w:t>九、</w:t>
      </w:r>
      <w:r>
        <w:rPr>
          <w:rFonts w:hint="default" w:ascii="Times New Roman" w:hAnsi="Times New Roman" w:eastAsia="宋体" w:cs="Times New Roman"/>
          <w:b/>
          <w:color w:val="000000"/>
          <w:kern w:val="0"/>
          <w:sz w:val="24"/>
          <w:szCs w:val="24"/>
        </w:rPr>
        <w:t>环境管理状况及监测计划</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07" w:hRule="atLeast"/>
          <w:jc w:val="center"/>
        </w:trPr>
        <w:tc>
          <w:tcPr>
            <w:tcW w:w="5000" w:type="pct"/>
          </w:tcPr>
          <w:p>
            <w:pPr>
              <w:pageBreakBefore w:val="0"/>
              <w:widowControl w:val="0"/>
              <w:kinsoku/>
              <w:wordWrap/>
              <w:overflowPunct/>
              <w:topLinePunct w:val="0"/>
              <w:autoSpaceDE w:val="0"/>
              <w:autoSpaceDN w:val="0"/>
              <w:bidi w:val="0"/>
              <w:adjustRightInd w:val="0"/>
              <w:snapToGrid/>
              <w:spacing w:line="360" w:lineRule="auto"/>
              <w:jc w:val="both"/>
              <w:textAlignment w:val="auto"/>
              <w:outlineLvl w:val="9"/>
              <w:rPr>
                <w:rFonts w:hint="default" w:ascii="Times New Roman" w:hAnsi="Times New Roman" w:eastAsia="宋体" w:cs="Times New Roman"/>
                <w:b/>
                <w:bCs/>
                <w:color w:val="000000"/>
                <w:kern w:val="0"/>
                <w:sz w:val="24"/>
                <w:szCs w:val="24"/>
              </w:rPr>
            </w:pPr>
            <w:r>
              <w:rPr>
                <w:rFonts w:hint="default" w:ascii="Times New Roman" w:hAnsi="Times New Roman" w:cs="Times New Roman"/>
                <w:b/>
                <w:bCs/>
                <w:color w:val="000000"/>
                <w:kern w:val="0"/>
                <w:sz w:val="24"/>
                <w:szCs w:val="24"/>
                <w:lang w:val="en-US" w:eastAsia="zh-CN"/>
              </w:rPr>
              <w:t xml:space="preserve">9.1 </w:t>
            </w:r>
            <w:r>
              <w:rPr>
                <w:rFonts w:hint="default" w:ascii="Times New Roman" w:hAnsi="Times New Roman" w:eastAsia="宋体" w:cs="Times New Roman"/>
                <w:b/>
                <w:bCs/>
                <w:color w:val="000000"/>
                <w:kern w:val="0"/>
                <w:sz w:val="24"/>
                <w:szCs w:val="24"/>
              </w:rPr>
              <w:t>环境管理机构设置</w:t>
            </w:r>
          </w:p>
          <w:p>
            <w:pPr>
              <w:keepNext w:val="0"/>
              <w:keepLines w:val="0"/>
              <w:pageBreakBefore w:val="0"/>
              <w:widowControl w:val="0"/>
              <w:kinsoku/>
              <w:wordWrap/>
              <w:overflowPunct/>
              <w:topLinePunct w:val="0"/>
              <w:autoSpaceDE w:val="0"/>
              <w:autoSpaceDN w:val="0"/>
              <w:bidi w:val="0"/>
              <w:adjustRightInd w:val="0"/>
              <w:snapToGrid/>
              <w:spacing w:line="360" w:lineRule="auto"/>
              <w:ind w:left="0" w:right="0" w:firstLine="480" w:firstLineChars="200"/>
              <w:jc w:val="both"/>
              <w:textAlignment w:val="auto"/>
              <w:outlineLvl w:val="9"/>
              <w:rPr>
                <w:rFonts w:hint="default" w:ascii="Times New Roman" w:hAnsi="Times New Roman" w:cs="Times New Roman"/>
                <w:sz w:val="24"/>
                <w:szCs w:val="24"/>
                <w:lang w:eastAsia="zh-CN"/>
              </w:rPr>
            </w:pPr>
            <w:r>
              <w:rPr>
                <w:rFonts w:hint="default" w:ascii="Times New Roman" w:hAnsi="Times New Roman" w:eastAsia="宋体" w:cs="Times New Roman"/>
                <w:sz w:val="24"/>
                <w:szCs w:val="24"/>
              </w:rPr>
              <w:t>本项目正式投入运行后，</w:t>
            </w:r>
            <w:r>
              <w:rPr>
                <w:rFonts w:hint="default" w:ascii="Times New Roman" w:hAnsi="Times New Roman" w:cs="Times New Roman"/>
                <w:sz w:val="24"/>
                <w:szCs w:val="24"/>
                <w:lang w:eastAsia="zh-CN"/>
              </w:rPr>
              <w:t>无</w:t>
            </w:r>
            <w:r>
              <w:rPr>
                <w:rFonts w:hint="default" w:ascii="Times New Roman" w:hAnsi="Times New Roman" w:cs="Times New Roman"/>
                <w:sz w:val="24"/>
                <w:szCs w:val="24"/>
                <w:lang w:val="en-US" w:eastAsia="zh-CN"/>
              </w:rPr>
              <w:t>废水、废气、噪声以及固体废物等污染产生，因此</w:t>
            </w:r>
            <w:r>
              <w:rPr>
                <w:rFonts w:hint="default" w:ascii="Times New Roman" w:hAnsi="Times New Roman" w:eastAsia="宋体" w:cs="Times New Roman"/>
                <w:sz w:val="24"/>
                <w:szCs w:val="24"/>
              </w:rPr>
              <w:t>由</w:t>
            </w:r>
            <w:r>
              <w:rPr>
                <w:rFonts w:hint="eastAsia" w:cs="Times New Roman" w:eastAsiaTheme="minorEastAsia"/>
                <w:sz w:val="24"/>
                <w:szCs w:val="24"/>
                <w:lang w:val="en-US" w:eastAsia="zh-CN"/>
              </w:rPr>
              <w:t>重庆平湖环保工程有限责任公司</w:t>
            </w:r>
            <w:r>
              <w:rPr>
                <w:rFonts w:hint="default" w:ascii="Times New Roman" w:hAnsi="Times New Roman" w:cs="Times New Roman"/>
                <w:sz w:val="24"/>
                <w:szCs w:val="24"/>
                <w:lang w:eastAsia="zh-CN"/>
              </w:rPr>
              <w:t>作为日常主要管理部门，管理内容如下：</w:t>
            </w:r>
          </w:p>
          <w:p>
            <w:pPr>
              <w:pStyle w:val="93"/>
              <w:keepNext w:val="0"/>
              <w:keepLines w:val="0"/>
              <w:pageBreakBefore w:val="0"/>
              <w:widowControl w:val="0"/>
              <w:numPr>
                <w:ilvl w:val="0"/>
                <w:numId w:val="0"/>
              </w:numPr>
              <w:tabs>
                <w:tab w:val="left" w:pos="1187"/>
              </w:tabs>
              <w:kinsoku/>
              <w:wordWrap/>
              <w:overflowPunct/>
              <w:topLinePunct w:val="0"/>
              <w:bidi w:val="0"/>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lang w:eastAsia="zh-CN"/>
              </w:rPr>
              <w:t>）</w:t>
            </w:r>
            <w:r>
              <w:rPr>
                <w:rFonts w:hint="default" w:ascii="Times New Roman" w:hAnsi="Times New Roman" w:cs="Times New Roman"/>
                <w:sz w:val="24"/>
                <w:szCs w:val="24"/>
              </w:rPr>
              <w:t>施工结束后，在明确生态修复目标的基础上，进行长期的维护与管理。</w:t>
            </w:r>
          </w:p>
          <w:p>
            <w:pPr>
              <w:pStyle w:val="93"/>
              <w:keepNext w:val="0"/>
              <w:keepLines w:val="0"/>
              <w:pageBreakBefore w:val="0"/>
              <w:widowControl w:val="0"/>
              <w:numPr>
                <w:ilvl w:val="0"/>
                <w:numId w:val="0"/>
              </w:numPr>
              <w:tabs>
                <w:tab w:val="left" w:pos="1187"/>
              </w:tabs>
              <w:kinsoku/>
              <w:wordWrap/>
              <w:overflowPunct/>
              <w:topLinePunct w:val="0"/>
              <w:bidi w:val="0"/>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lang w:eastAsia="zh-CN"/>
              </w:rPr>
              <w:t>）巡查管护过程中</w:t>
            </w:r>
            <w:r>
              <w:rPr>
                <w:rFonts w:hint="default" w:ascii="Times New Roman" w:hAnsi="Times New Roman" w:cs="Times New Roman"/>
                <w:sz w:val="24"/>
                <w:szCs w:val="24"/>
              </w:rPr>
              <w:t>发现</w:t>
            </w:r>
            <w:r>
              <w:rPr>
                <w:rFonts w:hint="default" w:ascii="Times New Roman" w:hAnsi="Times New Roman" w:cs="Times New Roman"/>
                <w:sz w:val="24"/>
                <w:szCs w:val="24"/>
                <w:lang w:eastAsia="zh-CN"/>
              </w:rPr>
              <w:t>工程区域坍塌时，</w:t>
            </w:r>
            <w:r>
              <w:rPr>
                <w:rFonts w:hint="default" w:ascii="Times New Roman" w:hAnsi="Times New Roman" w:cs="Times New Roman"/>
                <w:sz w:val="24"/>
                <w:szCs w:val="24"/>
              </w:rPr>
              <w:t>及时启动清淤</w:t>
            </w:r>
            <w:r>
              <w:rPr>
                <w:rFonts w:hint="default" w:ascii="Times New Roman" w:hAnsi="Times New Roman" w:cs="Times New Roman"/>
                <w:sz w:val="24"/>
                <w:szCs w:val="24"/>
                <w:lang w:eastAsia="zh-CN"/>
              </w:rPr>
              <w:t>修复</w:t>
            </w:r>
            <w:r>
              <w:rPr>
                <w:rFonts w:hint="default" w:ascii="Times New Roman" w:hAnsi="Times New Roman" w:cs="Times New Roman"/>
                <w:sz w:val="24"/>
                <w:szCs w:val="24"/>
              </w:rPr>
              <w:t>工程计划。</w:t>
            </w:r>
          </w:p>
          <w:p>
            <w:pPr>
              <w:pStyle w:val="93"/>
              <w:keepNext w:val="0"/>
              <w:keepLines w:val="0"/>
              <w:pageBreakBefore w:val="0"/>
              <w:widowControl w:val="0"/>
              <w:numPr>
                <w:ilvl w:val="0"/>
                <w:numId w:val="0"/>
              </w:numPr>
              <w:tabs>
                <w:tab w:val="left" w:pos="1193"/>
              </w:tabs>
              <w:kinsoku/>
              <w:wordWrap/>
              <w:overflowPunct/>
              <w:topLinePunct w:val="0"/>
              <w:bidi w:val="0"/>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lang w:eastAsia="zh-CN"/>
              </w:rPr>
              <w:t>）</w:t>
            </w:r>
            <w:r>
              <w:rPr>
                <w:rFonts w:hint="default" w:ascii="Times New Roman" w:hAnsi="Times New Roman" w:cs="Times New Roman"/>
                <w:sz w:val="24"/>
                <w:szCs w:val="24"/>
              </w:rPr>
              <w:t>安排巡查人员，对</w:t>
            </w:r>
            <w:r>
              <w:rPr>
                <w:rFonts w:hint="default" w:ascii="Times New Roman" w:hAnsi="Times New Roman" w:cs="Times New Roman"/>
                <w:sz w:val="24"/>
                <w:szCs w:val="24"/>
                <w:lang w:eastAsia="zh-CN"/>
              </w:rPr>
              <w:t>复绿区域的</w:t>
            </w:r>
            <w:r>
              <w:rPr>
                <w:rFonts w:hint="default" w:ascii="Times New Roman" w:hAnsi="Times New Roman" w:cs="Times New Roman"/>
                <w:sz w:val="24"/>
                <w:szCs w:val="24"/>
              </w:rPr>
              <w:t>绿化</w:t>
            </w:r>
            <w:r>
              <w:rPr>
                <w:rFonts w:hint="default" w:ascii="Times New Roman" w:hAnsi="Times New Roman" w:cs="Times New Roman"/>
                <w:sz w:val="24"/>
                <w:szCs w:val="24"/>
                <w:lang w:eastAsia="zh-CN"/>
              </w:rPr>
              <w:t>植被</w:t>
            </w:r>
            <w:r>
              <w:rPr>
                <w:rFonts w:hint="default" w:ascii="Times New Roman" w:hAnsi="Times New Roman" w:cs="Times New Roman"/>
                <w:sz w:val="24"/>
                <w:szCs w:val="24"/>
              </w:rPr>
              <w:t>进行管护，发现长势不良的及时补植，防止人为破坏，及时清理垃圾等。</w:t>
            </w:r>
          </w:p>
          <w:p>
            <w:pPr>
              <w:pageBreakBefore w:val="0"/>
              <w:widowControl w:val="0"/>
              <w:kinsoku/>
              <w:wordWrap/>
              <w:overflowPunct/>
              <w:topLinePunct w:val="0"/>
              <w:autoSpaceDE w:val="0"/>
              <w:autoSpaceDN w:val="0"/>
              <w:bidi w:val="0"/>
              <w:adjustRightInd w:val="0"/>
              <w:snapToGrid/>
              <w:spacing w:line="360" w:lineRule="auto"/>
              <w:jc w:val="both"/>
              <w:textAlignment w:val="auto"/>
              <w:outlineLvl w:val="9"/>
              <w:rPr>
                <w:rFonts w:hint="default" w:ascii="Times New Roman" w:hAnsi="Times New Roman" w:eastAsia="宋体" w:cs="Times New Roman"/>
                <w:b/>
                <w:bCs/>
                <w:color w:val="000000"/>
                <w:kern w:val="0"/>
                <w:sz w:val="24"/>
                <w:szCs w:val="24"/>
              </w:rPr>
            </w:pPr>
            <w:r>
              <w:rPr>
                <w:rFonts w:hint="default" w:ascii="Times New Roman" w:hAnsi="Times New Roman" w:cs="Times New Roman"/>
                <w:b/>
                <w:bCs/>
                <w:color w:val="000000"/>
                <w:kern w:val="0"/>
                <w:sz w:val="24"/>
                <w:szCs w:val="24"/>
                <w:lang w:val="en-US" w:eastAsia="zh-CN"/>
              </w:rPr>
              <w:t xml:space="preserve">9.2 </w:t>
            </w:r>
            <w:r>
              <w:rPr>
                <w:rFonts w:hint="default" w:ascii="Times New Roman" w:hAnsi="Times New Roman" w:eastAsia="宋体" w:cs="Times New Roman"/>
                <w:b/>
                <w:bCs/>
                <w:color w:val="000000"/>
                <w:kern w:val="0"/>
                <w:sz w:val="24"/>
                <w:szCs w:val="24"/>
              </w:rPr>
              <w:t>环境监测能力建设情况</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cs="Times New Roman"/>
                <w:sz w:val="24"/>
              </w:rPr>
            </w:pPr>
            <w:r>
              <w:rPr>
                <w:rFonts w:hint="default" w:ascii="Times New Roman" w:hAnsi="Times New Roman" w:cs="Times New Roman"/>
                <w:sz w:val="24"/>
              </w:rPr>
              <w:t>环保管理：建设单位应加强该项目环境保护管理工作，设置专门的环保机构，配备专业的环保管理人员，负责项目建设和运营过程中的环境管理工作及监测计划；并根据环境影响报告中提出的环保措施，结合在施工和运营期间实际造成的环境影响，详细制定施工期和运营期环境保护规章制度。</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00"/>
                <w:sz w:val="24"/>
                <w:szCs w:val="24"/>
              </w:rPr>
            </w:pPr>
            <w:r>
              <w:rPr>
                <w:rFonts w:hint="default" w:ascii="Times New Roman" w:hAnsi="Times New Roman" w:cs="Times New Roman"/>
                <w:sz w:val="24"/>
              </w:rPr>
              <w:t>环境监测：环境监测工作可由建设单位委托万州区环境监测站及水土保持部门或其他有相应资质的单位负责。定期对地面水质、水土流失等进行监测和动态观测。</w:t>
            </w:r>
          </w:p>
          <w:p>
            <w:pPr>
              <w:pageBreakBefore w:val="0"/>
              <w:widowControl w:val="0"/>
              <w:kinsoku/>
              <w:wordWrap/>
              <w:overflowPunct/>
              <w:topLinePunct w:val="0"/>
              <w:autoSpaceDE w:val="0"/>
              <w:autoSpaceDN w:val="0"/>
              <w:bidi w:val="0"/>
              <w:adjustRightInd w:val="0"/>
              <w:snapToGrid/>
              <w:spacing w:line="360" w:lineRule="auto"/>
              <w:jc w:val="both"/>
              <w:textAlignment w:val="auto"/>
              <w:outlineLvl w:val="9"/>
              <w:rPr>
                <w:rFonts w:hint="default" w:ascii="Times New Roman" w:hAnsi="Times New Roman" w:eastAsia="宋体" w:cs="Times New Roman"/>
                <w:b/>
                <w:bCs/>
                <w:color w:val="000000"/>
                <w:kern w:val="0"/>
                <w:sz w:val="24"/>
                <w:szCs w:val="24"/>
              </w:rPr>
            </w:pPr>
            <w:r>
              <w:rPr>
                <w:rFonts w:hint="default" w:ascii="Times New Roman" w:hAnsi="Times New Roman" w:cs="Times New Roman"/>
                <w:b/>
                <w:bCs/>
                <w:color w:val="000000"/>
                <w:kern w:val="0"/>
                <w:sz w:val="24"/>
                <w:szCs w:val="24"/>
                <w:lang w:val="en-US" w:eastAsia="zh-CN"/>
              </w:rPr>
              <w:t xml:space="preserve">9.3 </w:t>
            </w:r>
            <w:r>
              <w:rPr>
                <w:rFonts w:hint="default" w:ascii="Times New Roman" w:hAnsi="Times New Roman" w:eastAsia="宋体" w:cs="Times New Roman"/>
                <w:b/>
                <w:bCs/>
                <w:color w:val="000000"/>
                <w:kern w:val="0"/>
                <w:sz w:val="24"/>
                <w:szCs w:val="24"/>
              </w:rPr>
              <w:t>环境影响报告表中提出的监测计划及其落实情况</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cs="Times New Roman"/>
                <w:b w:val="0"/>
                <w:bCs w:val="0"/>
                <w:color w:val="000000"/>
                <w:kern w:val="0"/>
                <w:sz w:val="24"/>
                <w:szCs w:val="24"/>
                <w:lang w:val="en-US" w:eastAsia="zh-CN"/>
              </w:rPr>
            </w:pPr>
            <w:r>
              <w:rPr>
                <w:rFonts w:hint="default" w:ascii="Times New Roman" w:hAnsi="Times New Roman" w:cs="Times New Roman"/>
                <w:b w:val="0"/>
                <w:bCs w:val="0"/>
                <w:color w:val="000000"/>
                <w:kern w:val="0"/>
                <w:sz w:val="24"/>
                <w:szCs w:val="24"/>
                <w:lang w:val="en-US" w:eastAsia="zh-CN"/>
              </w:rPr>
              <w:t>《</w:t>
            </w:r>
            <w:r>
              <w:rPr>
                <w:rFonts w:hint="eastAsia" w:cs="Times New Roman"/>
                <w:b w:val="0"/>
                <w:bCs w:val="0"/>
                <w:color w:val="000000"/>
                <w:sz w:val="24"/>
                <w:lang w:eastAsia="zh-CN"/>
              </w:rPr>
              <w:t>万州区2022年镇乡污水管网补充工程</w:t>
            </w:r>
            <w:r>
              <w:rPr>
                <w:rFonts w:hint="default" w:ascii="Times New Roman" w:hAnsi="Times New Roman" w:cs="Times New Roman"/>
                <w:b w:val="0"/>
                <w:bCs w:val="0"/>
                <w:color w:val="000000"/>
                <w:sz w:val="24"/>
                <w:lang w:eastAsia="zh-CN"/>
              </w:rPr>
              <w:t>环境影响评价报告表</w:t>
            </w:r>
            <w:r>
              <w:rPr>
                <w:rFonts w:hint="default" w:ascii="Times New Roman" w:hAnsi="Times New Roman" w:cs="Times New Roman"/>
                <w:b w:val="0"/>
                <w:bCs w:val="0"/>
                <w:color w:val="000000"/>
                <w:kern w:val="0"/>
                <w:sz w:val="24"/>
                <w:szCs w:val="24"/>
                <w:lang w:val="en-US" w:eastAsia="zh-CN"/>
              </w:rPr>
              <w:t>》中未提出监测计划，且从本项目运营期产排污特点分析，本项目运营期无废气、废水、噪声、固体废物产生，因此本项目运营期可不开展自行监测。</w:t>
            </w:r>
          </w:p>
          <w:p>
            <w:pPr>
              <w:pageBreakBefore w:val="0"/>
              <w:widowControl w:val="0"/>
              <w:kinsoku/>
              <w:wordWrap/>
              <w:overflowPunct/>
              <w:topLinePunct w:val="0"/>
              <w:autoSpaceDE w:val="0"/>
              <w:autoSpaceDN w:val="0"/>
              <w:bidi w:val="0"/>
              <w:adjustRightInd w:val="0"/>
              <w:snapToGrid/>
              <w:spacing w:line="360" w:lineRule="auto"/>
              <w:jc w:val="both"/>
              <w:textAlignment w:val="auto"/>
              <w:outlineLvl w:val="9"/>
              <w:rPr>
                <w:rFonts w:hint="default" w:ascii="Times New Roman" w:hAnsi="Times New Roman" w:eastAsia="宋体" w:cs="Times New Roman"/>
                <w:b/>
                <w:bCs/>
                <w:color w:val="000000"/>
                <w:kern w:val="0"/>
                <w:sz w:val="24"/>
                <w:szCs w:val="24"/>
              </w:rPr>
            </w:pPr>
            <w:r>
              <w:rPr>
                <w:rFonts w:hint="default" w:ascii="Times New Roman" w:hAnsi="Times New Roman" w:cs="Times New Roman"/>
                <w:b/>
                <w:bCs/>
                <w:color w:val="000000"/>
                <w:kern w:val="0"/>
                <w:sz w:val="24"/>
                <w:szCs w:val="24"/>
                <w:lang w:val="en-US" w:eastAsia="zh-CN"/>
              </w:rPr>
              <w:t xml:space="preserve">9.4 </w:t>
            </w:r>
            <w:r>
              <w:rPr>
                <w:rFonts w:hint="default" w:ascii="Times New Roman" w:hAnsi="Times New Roman" w:eastAsia="宋体" w:cs="Times New Roman"/>
                <w:b/>
                <w:bCs/>
                <w:color w:val="000000"/>
                <w:kern w:val="0"/>
                <w:sz w:val="24"/>
                <w:szCs w:val="24"/>
              </w:rPr>
              <w:t>环境管理状况分析与建议</w:t>
            </w:r>
          </w:p>
          <w:p>
            <w:pPr>
              <w:pStyle w:val="98"/>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000000"/>
                <w:kern w:val="2"/>
                <w:sz w:val="24"/>
                <w:szCs w:val="20"/>
                <w:lang w:val="en-US" w:eastAsia="zh-CN" w:bidi="ar-SA"/>
              </w:rPr>
            </w:pPr>
            <w:r>
              <w:rPr>
                <w:rFonts w:hint="default" w:ascii="Times New Roman" w:hAnsi="Times New Roman" w:cs="Times New Roman"/>
                <w:lang w:eastAsia="zh-CN"/>
              </w:rPr>
              <w:t>根据监理报</w:t>
            </w:r>
            <w:r>
              <w:rPr>
                <w:rFonts w:hint="default" w:ascii="Times New Roman" w:hAnsi="Times New Roman" w:eastAsia="宋体" w:cs="Times New Roman"/>
                <w:b w:val="0"/>
                <w:bCs w:val="0"/>
                <w:color w:val="000000"/>
                <w:kern w:val="2"/>
                <w:sz w:val="24"/>
                <w:szCs w:val="20"/>
                <w:lang w:val="en-US" w:eastAsia="zh-CN" w:bidi="ar-SA"/>
              </w:rPr>
              <w:t>告及现场调查，施工期的环保工作较完善，环境保护“三同时”执行情况较好，为进一步做好各项环境保护工作，提出如下建议：</w:t>
            </w:r>
          </w:p>
          <w:p>
            <w:pPr>
              <w:pStyle w:val="93"/>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kern w:val="2"/>
                <w:sz w:val="24"/>
                <w:szCs w:val="20"/>
                <w:lang w:val="en-US" w:eastAsia="zh-CN" w:bidi="ar-SA"/>
              </w:rPr>
            </w:pPr>
            <w:r>
              <w:rPr>
                <w:rFonts w:hint="default" w:ascii="Times New Roman" w:hAnsi="Times New Roman" w:cs="Times New Roman"/>
                <w:b w:val="0"/>
                <w:bCs w:val="0"/>
                <w:color w:val="000000"/>
                <w:kern w:val="2"/>
                <w:sz w:val="24"/>
                <w:szCs w:val="20"/>
                <w:lang w:val="en-US" w:eastAsia="zh-CN" w:bidi="ar-SA"/>
              </w:rPr>
              <w:t>①</w:t>
            </w:r>
            <w:r>
              <w:rPr>
                <w:rFonts w:hint="default" w:ascii="Times New Roman" w:hAnsi="Times New Roman" w:eastAsia="宋体" w:cs="Times New Roman"/>
                <w:b w:val="0"/>
                <w:bCs w:val="0"/>
                <w:color w:val="000000"/>
                <w:kern w:val="2"/>
                <w:sz w:val="24"/>
                <w:szCs w:val="20"/>
                <w:lang w:val="en-US" w:eastAsia="zh-CN" w:bidi="ar-SA"/>
              </w:rPr>
              <w:t>树立界碑明确</w:t>
            </w:r>
            <w:r>
              <w:rPr>
                <w:rFonts w:hint="default" w:ascii="Times New Roman" w:hAnsi="Times New Roman" w:cs="Times New Roman"/>
                <w:b w:val="0"/>
                <w:bCs w:val="0"/>
                <w:color w:val="000000"/>
                <w:kern w:val="2"/>
                <w:sz w:val="24"/>
                <w:szCs w:val="20"/>
                <w:lang w:val="en-US" w:eastAsia="zh-CN" w:bidi="ar-SA"/>
              </w:rPr>
              <w:t>工程</w:t>
            </w:r>
            <w:r>
              <w:rPr>
                <w:rFonts w:hint="default" w:ascii="Times New Roman" w:hAnsi="Times New Roman" w:eastAsia="宋体" w:cs="Times New Roman"/>
                <w:b w:val="0"/>
                <w:bCs w:val="0"/>
                <w:color w:val="000000"/>
                <w:kern w:val="2"/>
                <w:sz w:val="24"/>
                <w:szCs w:val="20"/>
                <w:lang w:val="en-US" w:eastAsia="zh-CN" w:bidi="ar-SA"/>
              </w:rPr>
              <w:t>管理范围；</w:t>
            </w:r>
          </w:p>
          <w:p>
            <w:pPr>
              <w:pStyle w:val="93"/>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kern w:val="2"/>
                <w:sz w:val="24"/>
                <w:szCs w:val="20"/>
                <w:lang w:val="en-US" w:eastAsia="zh-CN" w:bidi="ar-SA"/>
              </w:rPr>
            </w:pPr>
            <w:r>
              <w:rPr>
                <w:rFonts w:hint="default" w:ascii="Times New Roman" w:hAnsi="Times New Roman" w:cs="Times New Roman"/>
                <w:b w:val="0"/>
                <w:bCs w:val="0"/>
                <w:color w:val="000000"/>
                <w:kern w:val="2"/>
                <w:sz w:val="24"/>
                <w:szCs w:val="20"/>
                <w:lang w:val="en-US" w:eastAsia="zh-CN" w:bidi="ar-SA"/>
              </w:rPr>
              <w:t>②</w:t>
            </w:r>
            <w:r>
              <w:rPr>
                <w:rFonts w:hint="default" w:ascii="Times New Roman" w:hAnsi="Times New Roman" w:eastAsia="宋体" w:cs="Times New Roman"/>
                <w:b w:val="0"/>
                <w:bCs w:val="0"/>
                <w:color w:val="000000"/>
                <w:kern w:val="2"/>
                <w:sz w:val="24"/>
                <w:szCs w:val="20"/>
                <w:lang w:val="en-US" w:eastAsia="zh-CN" w:bidi="ar-SA"/>
              </w:rPr>
              <w:t>严格控制经济发展和社会活动占用</w:t>
            </w:r>
            <w:r>
              <w:rPr>
                <w:rFonts w:hint="default" w:ascii="Times New Roman" w:hAnsi="Times New Roman" w:cs="Times New Roman"/>
                <w:b w:val="0"/>
                <w:bCs w:val="0"/>
                <w:color w:val="000000"/>
                <w:kern w:val="2"/>
                <w:sz w:val="24"/>
                <w:szCs w:val="20"/>
                <w:lang w:val="en-US" w:eastAsia="zh-CN" w:bidi="ar-SA"/>
              </w:rPr>
              <w:t>工程区域</w:t>
            </w:r>
            <w:r>
              <w:rPr>
                <w:rFonts w:hint="default" w:ascii="Times New Roman" w:hAnsi="Times New Roman" w:eastAsia="宋体" w:cs="Times New Roman"/>
                <w:b w:val="0"/>
                <w:bCs w:val="0"/>
                <w:color w:val="000000"/>
                <w:kern w:val="2"/>
                <w:sz w:val="24"/>
                <w:szCs w:val="20"/>
                <w:lang w:val="en-US" w:eastAsia="zh-CN" w:bidi="ar-SA"/>
              </w:rPr>
              <w:t>护岸及缓冲带，防止污染物进入</w:t>
            </w:r>
            <w:r>
              <w:rPr>
                <w:rFonts w:hint="default" w:ascii="Times New Roman" w:hAnsi="Times New Roman" w:cs="Times New Roman"/>
                <w:b w:val="0"/>
                <w:bCs w:val="0"/>
                <w:color w:val="000000"/>
                <w:kern w:val="2"/>
                <w:sz w:val="24"/>
                <w:szCs w:val="20"/>
                <w:lang w:val="en-US" w:eastAsia="zh-CN" w:bidi="ar-SA"/>
              </w:rPr>
              <w:t>蓄洪池、排洪渠内</w:t>
            </w:r>
            <w:r>
              <w:rPr>
                <w:rFonts w:hint="default" w:ascii="Times New Roman" w:hAnsi="Times New Roman" w:eastAsia="宋体" w:cs="Times New Roman"/>
                <w:b w:val="0"/>
                <w:bCs w:val="0"/>
                <w:color w:val="000000"/>
                <w:kern w:val="2"/>
                <w:sz w:val="24"/>
                <w:szCs w:val="20"/>
                <w:lang w:val="en-US" w:eastAsia="zh-CN" w:bidi="ar-SA"/>
              </w:rPr>
              <w:t>；</w:t>
            </w:r>
          </w:p>
          <w:p>
            <w:pPr>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jc w:val="both"/>
              <w:textAlignment w:val="auto"/>
              <w:outlineLvl w:val="9"/>
              <w:rPr>
                <w:rFonts w:hint="default" w:ascii="Times New Roman" w:hAnsi="Times New Roman" w:eastAsia="宋体" w:cs="Times New Roman"/>
                <w:b w:val="0"/>
                <w:bCs w:val="0"/>
                <w:color w:val="000000"/>
                <w:kern w:val="2"/>
                <w:sz w:val="24"/>
                <w:szCs w:val="20"/>
                <w:lang w:val="en-US" w:eastAsia="zh-CN" w:bidi="ar-SA"/>
              </w:rPr>
            </w:pPr>
            <w:r>
              <w:rPr>
                <w:rFonts w:hint="default" w:ascii="Times New Roman" w:hAnsi="Times New Roman" w:cs="Times New Roman"/>
                <w:b w:val="0"/>
                <w:bCs w:val="0"/>
                <w:color w:val="000000"/>
                <w:kern w:val="2"/>
                <w:sz w:val="24"/>
                <w:szCs w:val="20"/>
                <w:lang w:val="en-US" w:eastAsia="zh-CN" w:bidi="ar-SA"/>
              </w:rPr>
              <w:t>③</w:t>
            </w:r>
            <w:r>
              <w:rPr>
                <w:rFonts w:hint="default" w:ascii="Times New Roman" w:hAnsi="Times New Roman" w:eastAsia="宋体" w:cs="Times New Roman"/>
                <w:b w:val="0"/>
                <w:bCs w:val="0"/>
                <w:color w:val="000000"/>
                <w:kern w:val="2"/>
                <w:sz w:val="24"/>
                <w:szCs w:val="20"/>
                <w:lang w:val="en-US" w:eastAsia="zh-CN" w:bidi="ar-SA"/>
              </w:rPr>
              <w:t>维护生态系统完整性，</w:t>
            </w:r>
            <w:r>
              <w:rPr>
                <w:rFonts w:hint="default" w:ascii="Times New Roman" w:hAnsi="Times New Roman" w:cs="Times New Roman"/>
                <w:b w:val="0"/>
                <w:bCs w:val="0"/>
                <w:color w:val="000000"/>
                <w:kern w:val="2"/>
                <w:sz w:val="24"/>
                <w:szCs w:val="20"/>
                <w:lang w:val="en-US" w:eastAsia="zh-CN" w:bidi="ar-SA"/>
              </w:rPr>
              <w:t>绿化</w:t>
            </w:r>
            <w:r>
              <w:rPr>
                <w:rFonts w:hint="default" w:ascii="Times New Roman" w:hAnsi="Times New Roman" w:eastAsia="宋体" w:cs="Times New Roman"/>
                <w:b w:val="0"/>
                <w:bCs w:val="0"/>
                <w:color w:val="000000"/>
                <w:kern w:val="2"/>
                <w:sz w:val="24"/>
                <w:szCs w:val="20"/>
                <w:lang w:val="en-US" w:eastAsia="zh-CN" w:bidi="ar-SA"/>
              </w:rPr>
              <w:t>植被防止病虫害、防止人为侵占破坏。</w:t>
            </w:r>
          </w:p>
          <w:p>
            <w:pPr>
              <w:rPr>
                <w:rFonts w:hint="default" w:ascii="Times New Roman" w:hAnsi="Times New Roman" w:cs="Times New Roman"/>
              </w:rPr>
            </w:pPr>
          </w:p>
          <w:p>
            <w:pPr>
              <w:autoSpaceDE w:val="0"/>
              <w:autoSpaceDN w:val="0"/>
              <w:adjustRightInd w:val="0"/>
              <w:spacing w:line="440" w:lineRule="exact"/>
              <w:ind w:firstLine="480" w:firstLineChars="200"/>
              <w:jc w:val="left"/>
              <w:rPr>
                <w:rFonts w:hint="default" w:ascii="Times New Roman" w:hAnsi="Times New Roman" w:eastAsia="宋体" w:cs="Times New Roman"/>
                <w:color w:val="000000"/>
                <w:sz w:val="24"/>
                <w:szCs w:val="24"/>
              </w:rPr>
            </w:pPr>
          </w:p>
          <w:p>
            <w:pPr>
              <w:autoSpaceDE w:val="0"/>
              <w:autoSpaceDN w:val="0"/>
              <w:adjustRightInd w:val="0"/>
              <w:spacing w:line="440" w:lineRule="exact"/>
              <w:ind w:firstLine="480" w:firstLineChars="200"/>
              <w:jc w:val="left"/>
              <w:rPr>
                <w:rFonts w:hint="default" w:ascii="Times New Roman" w:hAnsi="Times New Roman" w:eastAsia="宋体" w:cs="Times New Roman"/>
                <w:color w:val="000000"/>
                <w:sz w:val="24"/>
                <w:szCs w:val="24"/>
              </w:rPr>
            </w:pPr>
          </w:p>
          <w:p>
            <w:pPr>
              <w:autoSpaceDE w:val="0"/>
              <w:autoSpaceDN w:val="0"/>
              <w:adjustRightInd w:val="0"/>
              <w:spacing w:line="440" w:lineRule="exact"/>
              <w:jc w:val="left"/>
              <w:rPr>
                <w:rFonts w:hint="default" w:ascii="Times New Roman" w:hAnsi="Times New Roman" w:eastAsia="宋体" w:cs="Times New Roman"/>
                <w:color w:val="000000"/>
                <w:sz w:val="24"/>
                <w:szCs w:val="24"/>
                <w:lang w:val="en-US" w:eastAsia="zh-CN"/>
              </w:rPr>
            </w:pPr>
          </w:p>
        </w:tc>
      </w:tr>
    </w:tbl>
    <w:p>
      <w:pPr>
        <w:autoSpaceDE w:val="0"/>
        <w:autoSpaceDN w:val="0"/>
        <w:adjustRightInd w:val="0"/>
        <w:spacing w:line="440" w:lineRule="exact"/>
        <w:jc w:val="left"/>
        <w:outlineLvl w:val="0"/>
        <w:rPr>
          <w:rFonts w:hint="default" w:ascii="Times New Roman" w:hAnsi="Times New Roman" w:eastAsia="宋体" w:cs="Times New Roman"/>
          <w:b/>
          <w:color w:val="000000"/>
          <w:sz w:val="26"/>
          <w:szCs w:val="26"/>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autoSpaceDE w:val="0"/>
        <w:autoSpaceDN w:val="0"/>
        <w:adjustRightInd w:val="0"/>
        <w:spacing w:line="440" w:lineRule="exact"/>
        <w:jc w:val="both"/>
        <w:outlineLvl w:val="0"/>
        <w:rPr>
          <w:rFonts w:hint="default" w:ascii="Times New Roman" w:hAnsi="Times New Roman" w:eastAsia="宋体" w:cs="Times New Roman"/>
          <w:b/>
          <w:sz w:val="24"/>
          <w:szCs w:val="24"/>
        </w:rPr>
      </w:pPr>
      <w:r>
        <w:rPr>
          <w:rFonts w:hint="default" w:ascii="Times New Roman" w:hAnsi="Times New Roman" w:cs="Times New Roman"/>
          <w:b/>
          <w:sz w:val="24"/>
          <w:szCs w:val="24"/>
          <w:lang w:val="en-US" w:eastAsia="zh-CN"/>
        </w:rPr>
        <w:t>十、</w:t>
      </w:r>
      <w:r>
        <w:rPr>
          <w:rFonts w:hint="default" w:ascii="Times New Roman" w:hAnsi="Times New Roman" w:eastAsia="宋体" w:cs="Times New Roman"/>
          <w:b/>
          <w:sz w:val="24"/>
          <w:szCs w:val="24"/>
        </w:rPr>
        <w:t>结论与建议</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958" w:hRule="atLeast"/>
          <w:jc w:val="center"/>
        </w:trPr>
        <w:tc>
          <w:tcPr>
            <w:tcW w:w="5000" w:type="pct"/>
          </w:tcPr>
          <w:p>
            <w:pPr>
              <w:autoSpaceDE w:val="0"/>
              <w:autoSpaceDN w:val="0"/>
              <w:adjustRightInd w:val="0"/>
              <w:snapToGrid w:val="0"/>
              <w:spacing w:line="360" w:lineRule="auto"/>
              <w:jc w:val="left"/>
              <w:rPr>
                <w:rFonts w:hint="default" w:ascii="Times New Roman" w:hAnsi="Times New Roman" w:eastAsia="宋体" w:cs="Times New Roman"/>
                <w:b/>
                <w:bCs/>
                <w:color w:val="000000"/>
                <w:sz w:val="24"/>
                <w:szCs w:val="24"/>
              </w:rPr>
            </w:pPr>
            <w:r>
              <w:rPr>
                <w:rFonts w:hint="default" w:ascii="Times New Roman" w:hAnsi="Times New Roman" w:cs="Times New Roman"/>
                <w:b/>
                <w:bCs/>
                <w:color w:val="000000"/>
                <w:sz w:val="24"/>
                <w:szCs w:val="24"/>
                <w:lang w:val="en-US" w:eastAsia="zh-CN"/>
              </w:rPr>
              <w:t xml:space="preserve">10.1 </w:t>
            </w:r>
            <w:r>
              <w:rPr>
                <w:rFonts w:hint="default" w:ascii="Times New Roman" w:hAnsi="Times New Roman" w:eastAsia="宋体" w:cs="Times New Roman"/>
                <w:b/>
                <w:bCs/>
                <w:color w:val="000000"/>
                <w:sz w:val="24"/>
                <w:szCs w:val="24"/>
              </w:rPr>
              <w:t>调查结论及建议</w:t>
            </w:r>
          </w:p>
          <w:p>
            <w:pPr>
              <w:tabs>
                <w:tab w:val="left" w:pos="630"/>
              </w:tabs>
              <w:adjustRightInd w:val="0"/>
              <w:snapToGrid w:val="0"/>
              <w:spacing w:line="360" w:lineRule="auto"/>
              <w:ind w:firstLine="480"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10.1.1 </w:t>
            </w:r>
            <w:r>
              <w:rPr>
                <w:rFonts w:hint="default" w:ascii="Times New Roman" w:hAnsi="Times New Roman" w:eastAsia="宋体" w:cs="Times New Roman"/>
                <w:b/>
                <w:bCs/>
                <w:color w:val="000000" w:themeColor="text1"/>
                <w:sz w:val="24"/>
                <w:szCs w:val="24"/>
                <w14:textFill>
                  <w14:solidFill>
                    <w14:schemeClr w14:val="tx1"/>
                  </w14:solidFill>
                </w14:textFill>
              </w:rPr>
              <w:t>调查结论</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项目概况</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eastAsia" w:hAnsi="宋体" w:eastAsia="宋体"/>
                <w:color w:val="auto"/>
                <w:sz w:val="24"/>
                <w:lang w:eastAsia="zh-CN"/>
              </w:rPr>
            </w:pPr>
            <w:r>
              <w:rPr>
                <w:rFonts w:hint="eastAsia" w:cs="Times New Roman" w:eastAsiaTheme="minorEastAsia"/>
                <w:color w:val="auto"/>
                <w:sz w:val="24"/>
                <w:szCs w:val="24"/>
                <w:lang w:val="en-US" w:eastAsia="zh-CN"/>
              </w:rPr>
              <w:t>项目位于万州区分水、李河、高梁、大周、熊家5个镇乡，长岭凉水、长岭响滩、长岭青石、武陵石桥、武陵鹿井、龙沙岩口、龙沙龙安、响水国家、甘宁河口、分水培文、李河高升、李河茅坝、高梁大碑、高梁葵花、天城付沟15个撤并场镇。主要建设内容为补充建设污水管网122489米，包含D630×12涂塑复合钢管2400米，D530×12涂塑复合钢管6600米，D426×10涂塑复合钢管4870米，HDPE双壁波纹管（DN500）200米，HDPE 双壁波纹管（DN400）5082 米，HDPE双壁波纹管（DN300）37033米，D325×8涂塑复合钢管8780米，φ200×4.9埋地排污、排水硬聚氯乙烯（PVC-U）二级支管52204米，D219x6涂塑复合钢管5110米，D108×6涂塑复合钢管210米，新建一体化污水提升泵站13座，钢筋混凝土化粪池188座，配套建设污水检查井、消能井、跌水井、埋地排污三级入户管等附属设施。项目实际总投资16400.00</w:t>
            </w:r>
            <w:r>
              <w:rPr>
                <w:rFonts w:hint="default" w:cs="Times New Roman" w:eastAsiaTheme="minorEastAsia"/>
                <w:color w:val="auto"/>
                <w:sz w:val="24"/>
                <w:szCs w:val="24"/>
                <w:lang w:val="en-US" w:eastAsia="zh-CN"/>
              </w:rPr>
              <w:t>万元，其中环保投资</w:t>
            </w:r>
            <w:r>
              <w:rPr>
                <w:rFonts w:hint="eastAsia" w:cs="Times New Roman" w:eastAsiaTheme="minorEastAsia"/>
                <w:color w:val="auto"/>
                <w:sz w:val="24"/>
                <w:szCs w:val="24"/>
                <w:lang w:val="en-US" w:eastAsia="zh-CN"/>
              </w:rPr>
              <w:t>274.00</w:t>
            </w:r>
            <w:r>
              <w:rPr>
                <w:rFonts w:hint="default" w:cs="Times New Roman" w:eastAsiaTheme="minorEastAsia"/>
                <w:color w:val="auto"/>
                <w:sz w:val="24"/>
                <w:szCs w:val="24"/>
                <w:lang w:val="en-US" w:eastAsia="zh-CN"/>
              </w:rPr>
              <w:t>万元，占实际总投资的</w:t>
            </w:r>
            <w:r>
              <w:rPr>
                <w:rFonts w:hint="eastAsia" w:cs="Times New Roman" w:eastAsiaTheme="minorEastAsia"/>
                <w:color w:val="auto"/>
                <w:sz w:val="24"/>
                <w:szCs w:val="24"/>
                <w:lang w:val="en-US" w:eastAsia="zh-CN"/>
              </w:rPr>
              <w:t>1.7</w:t>
            </w:r>
            <w:r>
              <w:rPr>
                <w:rFonts w:hint="default"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lang w:eastAsia="zh-CN"/>
                <w14:textFill>
                  <w14:solidFill>
                    <w14:schemeClr w14:val="tx1"/>
                  </w14:solidFill>
                </w14:textFill>
              </w:rPr>
              <w:t>）验收范围</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default" w:hAnsi="宋体" w:eastAsia="宋体"/>
                <w:color w:val="000000" w:themeColor="text1"/>
                <w:sz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本次验收项目为</w:t>
            </w:r>
            <w:r>
              <w:rPr>
                <w:rFonts w:hint="eastAsia" w:cs="Times New Roman" w:eastAsiaTheme="minorEastAsia"/>
                <w:sz w:val="24"/>
                <w:szCs w:val="24"/>
                <w:lang w:val="en-US" w:eastAsia="zh-CN"/>
              </w:rPr>
              <w:t>重庆平湖环保工程有限责任公司</w:t>
            </w:r>
            <w:r>
              <w:rPr>
                <w:rFonts w:hint="eastAsia" w:hAnsi="宋体" w:eastAsiaTheme="minorEastAsia"/>
                <w:color w:val="000000" w:themeColor="text1"/>
                <w:sz w:val="24"/>
                <w:lang w:eastAsia="zh-CN"/>
                <w14:textFill>
                  <w14:solidFill>
                    <w14:schemeClr w14:val="tx1"/>
                  </w14:solidFill>
                </w14:textFill>
              </w:rPr>
              <w:t>万州区2022年镇乡污水管网补充工程</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eastAsia="zh-CN"/>
                <w14:textFill>
                  <w14:solidFill>
                    <w14:schemeClr w14:val="tx1"/>
                  </w14:solidFill>
                </w14:textFill>
              </w:rPr>
              <w:t>验收范围包括</w:t>
            </w:r>
            <w:r>
              <w:rPr>
                <w:rFonts w:hint="eastAsia" w:cs="Times New Roman"/>
                <w:bCs/>
                <w:color w:val="000000" w:themeColor="text1"/>
                <w:sz w:val="24"/>
                <w:szCs w:val="24"/>
                <w:lang w:eastAsia="zh-CN"/>
                <w14:textFill>
                  <w14:solidFill>
                    <w14:schemeClr w14:val="tx1"/>
                  </w14:solidFill>
                </w14:textFill>
              </w:rPr>
              <w:t>官网工程</w:t>
            </w:r>
            <w:r>
              <w:rPr>
                <w:rFonts w:hint="default" w:ascii="Times New Roman" w:hAnsi="Times New Roman" w:eastAsia="宋体" w:cs="Times New Roman"/>
                <w:bCs/>
                <w:color w:val="000000" w:themeColor="text1"/>
                <w:sz w:val="24"/>
                <w:szCs w:val="24"/>
                <w:lang w:eastAsia="zh-CN"/>
                <w14:textFill>
                  <w14:solidFill>
                    <w14:schemeClr w14:val="tx1"/>
                  </w14:solidFill>
                </w14:textFill>
              </w:rPr>
              <w:t>产生的废水、废气、固废、噪声等</w:t>
            </w:r>
            <w:r>
              <w:rPr>
                <w:rFonts w:hint="eastAsia" w:cs="Times New Roman"/>
                <w:bCs/>
                <w:color w:val="000000" w:themeColor="text1"/>
                <w:sz w:val="24"/>
                <w:szCs w:val="24"/>
                <w:lang w:eastAsia="zh-CN"/>
                <w14:textFill>
                  <w14:solidFill>
                    <w14:schemeClr w14:val="tx1"/>
                  </w14:solidFill>
                </w14:textFill>
              </w:rPr>
              <w:t>环境污染防治情况，临时工程迹地恢</w:t>
            </w:r>
            <w:r>
              <w:rPr>
                <w:rFonts w:hint="eastAsia" w:hAnsi="宋体" w:eastAsia="宋体"/>
                <w:color w:val="000000" w:themeColor="text1"/>
                <w:sz w:val="24"/>
                <w:lang w:eastAsia="zh-CN"/>
                <w14:textFill>
                  <w14:solidFill>
                    <w14:schemeClr w14:val="tx1"/>
                  </w14:solidFill>
                </w14:textFill>
              </w:rPr>
              <w:t>复以及覆土复绿情况</w:t>
            </w:r>
            <w:r>
              <w:rPr>
                <w:rFonts w:hint="default" w:hAnsi="宋体" w:eastAsia="宋体"/>
                <w:color w:val="000000" w:themeColor="text1"/>
                <w:sz w:val="24"/>
                <w:lang w:eastAsia="zh-CN"/>
                <w14:textFill>
                  <w14:solidFill>
                    <w14:schemeClr w14:val="tx1"/>
                  </w14:solidFill>
                </w14:textFill>
              </w:rPr>
              <w:t>，各管理制度落实情况进行核实。</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default" w:hAnsi="宋体" w:eastAsia="宋体"/>
                <w:color w:val="000000" w:themeColor="text1"/>
                <w:sz w:val="24"/>
                <w:lang w:val="en-US" w:eastAsia="zh-CN"/>
                <w14:textFill>
                  <w14:solidFill>
                    <w14:schemeClr w14:val="tx1"/>
                  </w14:solidFill>
                </w14:textFill>
              </w:rPr>
            </w:pPr>
            <w:r>
              <w:rPr>
                <w:rFonts w:hint="default" w:hAnsi="宋体" w:eastAsia="宋体"/>
                <w:color w:val="000000" w:themeColor="text1"/>
                <w:sz w:val="24"/>
                <w:lang w:val="en-US" w:eastAsia="zh-CN"/>
                <w14:textFill>
                  <w14:solidFill>
                    <w14:schemeClr w14:val="tx1"/>
                  </w14:solidFill>
                </w14:textFill>
              </w:rPr>
              <w:t>（3）项目变动情况</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default" w:hAnsi="宋体" w:eastAsia="宋体"/>
                <w:color w:val="000000" w:themeColor="text1"/>
                <w:sz w:val="24"/>
                <w:lang w:val="en-US" w:eastAsia="zh-CN"/>
                <w14:textFill>
                  <w14:solidFill>
                    <w14:schemeClr w14:val="tx1"/>
                  </w14:solidFill>
                </w14:textFill>
              </w:rPr>
            </w:pPr>
            <w:r>
              <w:rPr>
                <w:rFonts w:hint="default" w:hAnsi="宋体" w:eastAsia="宋体"/>
                <w:color w:val="000000" w:themeColor="text1"/>
                <w:sz w:val="24"/>
                <w:lang w:val="en-US" w:eastAsia="zh-CN"/>
                <w14:textFill>
                  <w14:solidFill>
                    <w14:schemeClr w14:val="tx1"/>
                  </w14:solidFill>
                </w14:textFill>
              </w:rPr>
              <w:t>根据《环境影响评价法》和《建设项目环境保护管理条例》有关规定，建设项目得性质、规模、地点、生产工艺和环境保护措施五个因素中的一项或一项以上发生重大变动，且可能导致环境影响显著变化（特别是不利环境影响加重）的界定为重大变动。经过现场勘查，对照项目环评及批复建设内容</w:t>
            </w:r>
            <w:r>
              <w:rPr>
                <w:rFonts w:hint="eastAsia" w:hAnsi="宋体" w:eastAsia="宋体"/>
                <w:color w:val="000000" w:themeColor="text1"/>
                <w:sz w:val="24"/>
                <w:lang w:val="en-US" w:eastAsia="zh-CN"/>
                <w14:textFill>
                  <w14:solidFill>
                    <w14:schemeClr w14:val="tx1"/>
                  </w14:solidFill>
                </w14:textFill>
              </w:rPr>
              <w:t>，本项目建设性质、建设地点、生产工艺和环境保护措施与环评一致，建设规模未发生变化，</w:t>
            </w:r>
            <w:r>
              <w:rPr>
                <w:rFonts w:hint="default" w:hAnsi="宋体" w:eastAsia="宋体"/>
                <w:color w:val="000000" w:themeColor="text1"/>
                <w:sz w:val="24"/>
                <w:lang w:val="en-US" w:eastAsia="zh-CN"/>
                <w14:textFill>
                  <w14:solidFill>
                    <w14:schemeClr w14:val="tx1"/>
                  </w14:solidFill>
                </w14:textFill>
              </w:rPr>
              <w:t>因此本项目不属于重大变动，可纳入竣工环境保护验收管理。</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default" w:hAnsi="宋体" w:eastAsia="宋体"/>
                <w:color w:val="000000" w:themeColor="text1"/>
                <w:sz w:val="24"/>
                <w:lang w:val="en-US" w:eastAsia="zh-CN"/>
                <w14:textFill>
                  <w14:solidFill>
                    <w14:schemeClr w14:val="tx1"/>
                  </w14:solidFill>
                </w14:textFill>
              </w:rPr>
            </w:pPr>
            <w:r>
              <w:rPr>
                <w:rFonts w:hint="default" w:hAnsi="宋体" w:eastAsia="宋体"/>
                <w:color w:val="000000" w:themeColor="text1"/>
                <w:sz w:val="24"/>
                <w:lang w:val="en-US" w:eastAsia="zh-CN"/>
                <w14:textFill>
                  <w14:solidFill>
                    <w14:schemeClr w14:val="tx1"/>
                  </w14:solidFill>
                </w14:textFill>
              </w:rPr>
              <w:t>（4）环境保护验收调查与分析结果</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default" w:hAnsi="宋体" w:eastAsia="宋体"/>
                <w:color w:val="000000" w:themeColor="text1"/>
                <w:sz w:val="24"/>
                <w:lang w:val="en-US" w:eastAsia="zh-CN"/>
                <w14:textFill>
                  <w14:solidFill>
                    <w14:schemeClr w14:val="tx1"/>
                  </w14:solidFill>
                </w14:textFill>
              </w:rPr>
            </w:pPr>
            <w:r>
              <w:rPr>
                <w:rFonts w:hint="default" w:hAnsi="宋体" w:eastAsia="宋体"/>
                <w:color w:val="000000" w:themeColor="text1"/>
                <w:sz w:val="24"/>
                <w:lang w:val="en-US" w:eastAsia="zh-CN"/>
                <w14:textFill>
                  <w14:solidFill>
                    <w14:schemeClr w14:val="tx1"/>
                  </w14:solidFill>
                </w14:textFill>
              </w:rPr>
              <w:t>项目在设计、施工和运行过程中，</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按照环境影响评价文件及批复、工程设计文件等的要求采取了有效的环保措施，严格执行“三同时”制度。施工期尽量减少地表扰动且各项环境措施</w:t>
            </w:r>
            <w:r>
              <w:rPr>
                <w:rFonts w:hint="default" w:hAnsi="宋体" w:eastAsia="宋体"/>
                <w:color w:val="000000" w:themeColor="text1"/>
                <w:sz w:val="24"/>
                <w:lang w:val="en-US" w:eastAsia="zh-CN"/>
                <w14:textFill>
                  <w14:solidFill>
                    <w14:schemeClr w14:val="tx1"/>
                  </w14:solidFill>
                </w14:textFill>
              </w:rPr>
              <w:t>均比较到位，目前运营期运行状况良好。</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default" w:hAnsi="宋体" w:eastAsia="宋体"/>
                <w:color w:val="000000" w:themeColor="text1"/>
                <w:sz w:val="24"/>
                <w:lang w:val="en-US" w:eastAsia="zh-CN"/>
                <w14:textFill>
                  <w14:solidFill>
                    <w14:schemeClr w14:val="tx1"/>
                  </w14:solidFill>
                </w14:textFill>
              </w:rPr>
            </w:pPr>
            <w:r>
              <w:rPr>
                <w:rFonts w:hint="default" w:hAnsi="宋体" w:eastAsia="宋体"/>
                <w:color w:val="000000" w:themeColor="text1"/>
                <w:sz w:val="24"/>
                <w:lang w:val="en-US" w:eastAsia="zh-CN"/>
                <w14:textFill>
                  <w14:solidFill>
                    <w14:schemeClr w14:val="tx1"/>
                  </w14:solidFill>
                </w14:textFill>
              </w:rPr>
              <w:t>1）生态环境</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eastAsia" w:hAnsi="宋体" w:eastAsia="宋体"/>
                <w:color w:val="000000" w:themeColor="text1"/>
                <w:sz w:val="24"/>
                <w:lang w:val="en-US" w:eastAsia="zh-CN"/>
                <w14:textFill>
                  <w14:solidFill>
                    <w14:schemeClr w14:val="tx1"/>
                  </w14:solidFill>
                </w14:textFill>
              </w:rPr>
            </w:pPr>
            <w:r>
              <w:rPr>
                <w:rFonts w:hint="default" w:hAnsi="宋体" w:eastAsia="宋体"/>
                <w:color w:val="000000" w:themeColor="text1"/>
                <w:sz w:val="24"/>
                <w:lang w:val="en-US" w:eastAsia="zh-CN"/>
                <w14:textFill>
                  <w14:solidFill>
                    <w14:schemeClr w14:val="tx1"/>
                  </w14:solidFill>
                </w14:textFill>
              </w:rPr>
              <w:t>调查区域内野生物种较少，无珍稀保护物种，大多为常见鸟类和兽类，本</w:t>
            </w:r>
            <w:r>
              <w:rPr>
                <w:rFonts w:hint="eastAsia" w:hAnsi="宋体" w:eastAsia="宋体"/>
                <w:color w:val="000000" w:themeColor="text1"/>
                <w:sz w:val="24"/>
                <w:lang w:val="en-US" w:eastAsia="zh-CN"/>
                <w14:textFill>
                  <w14:solidFill>
                    <w14:schemeClr w14:val="tx1"/>
                  </w14:solidFill>
                </w14:textFill>
              </w:rPr>
              <w:t>项目施工期</w:t>
            </w:r>
            <w:r>
              <w:rPr>
                <w:rFonts w:hint="default" w:hAnsi="宋体" w:eastAsia="宋体"/>
                <w:color w:val="000000" w:themeColor="text1"/>
                <w:sz w:val="24"/>
                <w:lang w:val="en-US" w:eastAsia="zh-CN"/>
                <w14:textFill>
                  <w14:solidFill>
                    <w14:schemeClr w14:val="tx1"/>
                  </w14:solidFill>
                </w14:textFill>
              </w:rPr>
              <w:t>对区域野生动物的影响轻微。</w:t>
            </w:r>
            <w:r>
              <w:rPr>
                <w:rFonts w:hint="eastAsia" w:hAnsi="宋体" w:eastAsia="宋体"/>
                <w:color w:val="000000" w:themeColor="text1"/>
                <w:sz w:val="24"/>
                <w:lang w:val="en-US" w:eastAsia="zh-CN"/>
                <w14:textFill>
                  <w14:solidFill>
                    <w14:schemeClr w14:val="tx1"/>
                  </w14:solidFill>
                </w14:textFill>
              </w:rPr>
              <w:t>项目施工期</w:t>
            </w:r>
            <w:r>
              <w:rPr>
                <w:rFonts w:hint="default" w:hAnsi="宋体" w:eastAsia="宋体"/>
                <w:color w:val="000000" w:themeColor="text1"/>
                <w:sz w:val="24"/>
                <w:lang w:val="en-US" w:eastAsia="zh-CN"/>
                <w14:textFill>
                  <w14:solidFill>
                    <w14:schemeClr w14:val="tx1"/>
                  </w14:solidFill>
                </w14:textFill>
              </w:rPr>
              <w:t>会对地表植被进行清除，调查区域内植被主要为旱地、灌草地等，但不会造成某一种物种的消失，</w:t>
            </w:r>
            <w:r>
              <w:rPr>
                <w:rFonts w:hint="eastAsia" w:hAnsi="宋体" w:eastAsia="宋体"/>
                <w:color w:val="000000" w:themeColor="text1"/>
                <w:sz w:val="24"/>
                <w:lang w:val="en-US" w:eastAsia="zh-CN"/>
                <w14:textFill>
                  <w14:solidFill>
                    <w14:schemeClr w14:val="tx1"/>
                  </w14:solidFill>
                </w14:textFill>
              </w:rPr>
              <w:t>通过现场调查，未发现项目区域乱砍乱伐现象，</w:t>
            </w:r>
            <w:r>
              <w:rPr>
                <w:rFonts w:hint="default" w:hAnsi="宋体" w:eastAsia="宋体"/>
                <w:color w:val="000000" w:themeColor="text1"/>
                <w:sz w:val="24"/>
                <w:lang w:val="en-US" w:eastAsia="zh-CN"/>
                <w14:textFill>
                  <w14:solidFill>
                    <w14:schemeClr w14:val="tx1"/>
                  </w14:solidFill>
                </w14:textFill>
              </w:rPr>
              <w:t>因此项目的实施对项目区及周边生物多样性的影响较小。</w:t>
            </w:r>
            <w:r>
              <w:rPr>
                <w:rFonts w:hint="eastAsia" w:hAnsi="宋体" w:eastAsia="宋体"/>
                <w:color w:val="000000" w:themeColor="text1"/>
                <w:sz w:val="24"/>
                <w:lang w:val="en-US" w:eastAsia="zh-CN"/>
                <w14:textFill>
                  <w14:solidFill>
                    <w14:schemeClr w14:val="tx1"/>
                  </w14:solidFill>
                </w14:textFill>
              </w:rPr>
              <w:t>工程建成后将场镇生活污水未经处理直接排放的现状，减轻了地表水的污染负荷，对水环境的影响是有利的</w:t>
            </w:r>
            <w:r>
              <w:rPr>
                <w:rFonts w:hint="default" w:hAnsi="宋体" w:eastAsia="宋体"/>
                <w:color w:val="000000" w:themeColor="text1"/>
                <w:sz w:val="24"/>
                <w:lang w:val="en-US" w:eastAsia="zh-CN"/>
                <w14:textFill>
                  <w14:solidFill>
                    <w14:schemeClr w14:val="tx1"/>
                  </w14:solidFill>
                </w14:textFill>
              </w:rPr>
              <w:t>。</w:t>
            </w:r>
            <w:r>
              <w:rPr>
                <w:rFonts w:hint="eastAsia" w:hAnsi="宋体" w:eastAsia="宋体"/>
                <w:color w:val="000000" w:themeColor="text1"/>
                <w:sz w:val="24"/>
                <w:lang w:val="en-US" w:eastAsia="zh-CN"/>
                <w14:textFill>
                  <w14:solidFill>
                    <w14:schemeClr w14:val="tx1"/>
                  </w14:solidFill>
                </w14:textFill>
              </w:rPr>
              <w:t>本项目临时工程占地区域内各临时建筑均已拆除，对临时占地区域进行覆土复绿，目前植被生长较好，项目周边动物也回归工程区进行觅食、生存，重新形成了生态系统</w:t>
            </w:r>
            <w:r>
              <w:rPr>
                <w:rFonts w:hint="default" w:hAnsi="宋体" w:eastAsia="宋体"/>
                <w:color w:val="000000" w:themeColor="text1"/>
                <w:sz w:val="24"/>
                <w:lang w:val="en-US" w:eastAsia="zh-CN"/>
                <w14:textFill>
                  <w14:solidFill>
                    <w14:schemeClr w14:val="tx1"/>
                  </w14:solidFill>
                </w14:textFill>
              </w:rPr>
              <w:t>。</w:t>
            </w:r>
            <w:r>
              <w:rPr>
                <w:rFonts w:hint="eastAsia" w:hAnsi="宋体" w:eastAsia="宋体"/>
                <w:color w:val="000000" w:themeColor="text1"/>
                <w:sz w:val="24"/>
                <w:lang w:val="en-US" w:eastAsia="zh-CN"/>
                <w14:textFill>
                  <w14:solidFill>
                    <w14:schemeClr w14:val="tx1"/>
                  </w14:solidFill>
                </w14:textFill>
              </w:rPr>
              <w:t>因此，本项目施工期对生态环境影响较小。</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eastAsia" w:hAnsi="宋体" w:eastAsia="宋体"/>
                <w:color w:val="000000" w:themeColor="text1"/>
                <w:sz w:val="24"/>
                <w:lang w:val="en-US" w:eastAsia="zh-CN"/>
                <w14:textFill>
                  <w14:solidFill>
                    <w14:schemeClr w14:val="tx1"/>
                  </w14:solidFill>
                </w14:textFill>
              </w:rPr>
            </w:pPr>
            <w:r>
              <w:rPr>
                <w:rFonts w:hint="eastAsia" w:hAnsi="宋体" w:eastAsia="宋体"/>
                <w:color w:val="000000" w:themeColor="text1"/>
                <w:sz w:val="24"/>
                <w:lang w:val="en-US" w:eastAsia="zh-CN"/>
                <w14:textFill>
                  <w14:solidFill>
                    <w14:schemeClr w14:val="tx1"/>
                  </w14:solidFill>
                </w14:textFill>
              </w:rPr>
              <w:t>本项目运营期无生产运营活动，建设的</w:t>
            </w:r>
            <w:r>
              <w:rPr>
                <w:rFonts w:hint="eastAsia" w:hAnsi="宋体"/>
                <w:color w:val="000000" w:themeColor="text1"/>
                <w:sz w:val="24"/>
                <w:lang w:val="en-US" w:eastAsia="zh-CN"/>
                <w14:textFill>
                  <w14:solidFill>
                    <w14:schemeClr w14:val="tx1"/>
                  </w14:solidFill>
                </w14:textFill>
              </w:rPr>
              <w:t>管网工程改变</w:t>
            </w:r>
            <w:r>
              <w:rPr>
                <w:rFonts w:hint="eastAsia" w:hAnsi="宋体" w:eastAsia="宋体"/>
                <w:color w:val="000000" w:themeColor="text1"/>
                <w:sz w:val="24"/>
                <w:lang w:val="en-US" w:eastAsia="zh-CN"/>
                <w14:textFill>
                  <w14:solidFill>
                    <w14:schemeClr w14:val="tx1"/>
                  </w14:solidFill>
                </w14:textFill>
              </w:rPr>
              <w:t>项目区</w:t>
            </w:r>
            <w:r>
              <w:rPr>
                <w:rFonts w:hint="eastAsia" w:hAnsi="宋体"/>
                <w:color w:val="000000" w:themeColor="text1"/>
                <w:sz w:val="24"/>
                <w:lang w:val="en-US" w:eastAsia="zh-CN"/>
                <w14:textFill>
                  <w14:solidFill>
                    <w14:schemeClr w14:val="tx1"/>
                  </w14:solidFill>
                </w14:textFill>
              </w:rPr>
              <w:t>污水直排现状</w:t>
            </w:r>
            <w:r>
              <w:rPr>
                <w:rFonts w:hint="eastAsia" w:hAnsi="宋体" w:eastAsia="宋体"/>
                <w:color w:val="000000" w:themeColor="text1"/>
                <w:sz w:val="24"/>
                <w:lang w:val="en-US" w:eastAsia="zh-CN"/>
                <w14:textFill>
                  <w14:solidFill>
                    <w14:schemeClr w14:val="tx1"/>
                  </w14:solidFill>
                </w14:textFill>
              </w:rPr>
              <w:t>、美化环境，</w:t>
            </w:r>
            <w:r>
              <w:rPr>
                <w:rFonts w:hint="default" w:ascii="Times New Roman" w:hAnsi="Times New Roman" w:eastAsia="宋体" w:cs="Times New Roman"/>
                <w:color w:val="000000"/>
                <w:sz w:val="24"/>
                <w:szCs w:val="24"/>
              </w:rPr>
              <w:t>改善长江水质</w:t>
            </w:r>
            <w:r>
              <w:rPr>
                <w:rFonts w:hint="eastAsia" w:ascii="Times New Roman" w:hAnsi="Times New Roman" w:eastAsia="宋体" w:cs="Times New Roman"/>
                <w:color w:val="000000"/>
                <w:sz w:val="24"/>
                <w:szCs w:val="24"/>
                <w:lang w:eastAsia="zh-CN"/>
              </w:rPr>
              <w:t>，</w:t>
            </w:r>
            <w:r>
              <w:rPr>
                <w:rFonts w:hint="eastAsia" w:hAnsi="宋体" w:eastAsia="宋体"/>
                <w:color w:val="000000" w:themeColor="text1"/>
                <w:sz w:val="24"/>
                <w:lang w:val="en-US" w:eastAsia="zh-CN"/>
                <w14:textFill>
                  <w14:solidFill>
                    <w14:schemeClr w14:val="tx1"/>
                  </w14:solidFill>
                </w14:textFill>
              </w:rPr>
              <w:t>对生态环境的影响以有利为主。</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hAnsi="宋体" w:eastAsia="宋体"/>
                <w:color w:val="000000" w:themeColor="text1"/>
                <w:sz w:val="24"/>
                <w:lang w:val="en-US" w:eastAsia="zh-CN"/>
                <w14:textFill>
                  <w14:solidFill>
                    <w14:schemeClr w14:val="tx1"/>
                  </w14:solidFill>
                </w14:textFill>
              </w:rPr>
            </w:pPr>
            <w:r>
              <w:rPr>
                <w:rFonts w:hint="default" w:hAnsi="宋体" w:eastAsia="宋体"/>
                <w:color w:val="000000" w:themeColor="text1"/>
                <w:sz w:val="24"/>
                <w:lang w:val="en-US" w:eastAsia="zh-CN"/>
                <w14:textFill>
                  <w14:solidFill>
                    <w14:schemeClr w14:val="tx1"/>
                  </w14:solidFill>
                </w14:textFill>
              </w:rPr>
              <w:t>2）环境污染</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eastAsia" w:hAnsi="宋体" w:eastAsia="宋体"/>
                <w:color w:val="000000" w:themeColor="text1"/>
                <w:sz w:val="24"/>
                <w:lang w:val="en-US" w:eastAsia="zh-CN"/>
                <w14:textFill>
                  <w14:solidFill>
                    <w14:schemeClr w14:val="tx1"/>
                  </w14:solidFill>
                </w14:textFill>
              </w:rPr>
            </w:pPr>
            <w:r>
              <w:rPr>
                <w:rFonts w:hint="eastAsia" w:hAnsi="宋体" w:eastAsia="宋体"/>
                <w:color w:val="000000" w:themeColor="text1"/>
                <w:sz w:val="24"/>
                <w:lang w:val="en-US" w:eastAsia="zh-CN"/>
                <w14:textFill>
                  <w14:solidFill>
                    <w14:schemeClr w14:val="tx1"/>
                  </w14:solidFill>
                </w14:textFill>
              </w:rPr>
              <w:t>①施工期：</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eastAsia" w:hAnsi="宋体" w:eastAsia="宋体"/>
                <w:color w:val="000000" w:themeColor="text1"/>
                <w:sz w:val="24"/>
                <w:lang w:val="en-US" w:eastAsia="zh-CN"/>
                <w14:textFill>
                  <w14:solidFill>
                    <w14:schemeClr w14:val="tx1"/>
                  </w14:solidFill>
                </w14:textFill>
              </w:rPr>
            </w:pPr>
            <w:r>
              <w:rPr>
                <w:rFonts w:hint="eastAsia" w:hAnsi="宋体" w:eastAsia="宋体"/>
                <w:color w:val="000000" w:themeColor="text1"/>
                <w:sz w:val="24"/>
                <w:lang w:val="en-US" w:eastAsia="zh-CN"/>
                <w14:textFill>
                  <w14:solidFill>
                    <w14:schemeClr w14:val="tx1"/>
                  </w14:solidFill>
                </w14:textFill>
              </w:rPr>
              <w:t>废气：施工场地及场内道路并采取洒水抑尘措施，大风天气避免作业；材料运输车辆必须车身整洁，装载车厢完好，装载货物堆码整齐；驶出建筑工地的运输车辆必须冲洗干净，严禁带泥土上路，严禁超载，必须有掩盖和防护措施，防止建筑材料、垃圾和尘土飞扬、洒落和流溢；加强施工机械的管理和维护保养，控制车辆车速，使用清洁燃料；施工人员主要雇用当地居民，不设食堂和住宿。采取上述措施后，施工期产生的废气对周边环境影响较小。</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eastAsia" w:hAnsi="宋体" w:eastAsia="宋体"/>
                <w:color w:val="000000" w:themeColor="text1"/>
                <w:sz w:val="24"/>
                <w:lang w:val="en-US" w:eastAsia="zh-CN"/>
                <w14:textFill>
                  <w14:solidFill>
                    <w14:schemeClr w14:val="tx1"/>
                  </w14:solidFill>
                </w14:textFill>
              </w:rPr>
            </w:pPr>
            <w:r>
              <w:rPr>
                <w:rFonts w:hint="eastAsia" w:hAnsi="宋体" w:eastAsia="宋体"/>
                <w:color w:val="000000" w:themeColor="text1"/>
                <w:sz w:val="24"/>
                <w:lang w:val="en-US" w:eastAsia="zh-CN"/>
                <w14:textFill>
                  <w14:solidFill>
                    <w14:schemeClr w14:val="tx1"/>
                  </w14:solidFill>
                </w14:textFill>
              </w:rPr>
              <w:t>废水：本项目施工期废水主要为施工废水、基坑废水以及生活污水。</w:t>
            </w:r>
            <w:r>
              <w:rPr>
                <w:rFonts w:hint="default" w:hAnsi="宋体" w:eastAsia="宋体"/>
                <w:color w:val="000000" w:themeColor="text1"/>
                <w:sz w:val="24"/>
                <w:lang w:val="en-US" w:eastAsia="zh-CN"/>
                <w14:textFill>
                  <w14:solidFill>
                    <w14:schemeClr w14:val="tx1"/>
                  </w14:solidFill>
                </w14:textFill>
              </w:rPr>
              <w:t>施工期废水</w:t>
            </w:r>
            <w:r>
              <w:rPr>
                <w:rFonts w:hint="eastAsia" w:hAnsi="宋体" w:eastAsia="宋体"/>
                <w:color w:val="000000" w:themeColor="text1"/>
                <w:sz w:val="24"/>
                <w:lang w:val="en-US" w:eastAsia="zh-CN"/>
                <w14:textFill>
                  <w14:solidFill>
                    <w14:schemeClr w14:val="tx1"/>
                  </w14:solidFill>
                </w14:textFill>
              </w:rPr>
              <w:t>（施工废水以及基坑废水）</w:t>
            </w:r>
            <w:r>
              <w:rPr>
                <w:rFonts w:hint="default" w:hAnsi="宋体" w:eastAsia="宋体"/>
                <w:color w:val="000000" w:themeColor="text1"/>
                <w:sz w:val="24"/>
                <w:lang w:val="en-US" w:eastAsia="zh-CN"/>
                <w14:textFill>
                  <w14:solidFill>
                    <w14:schemeClr w14:val="tx1"/>
                  </w14:solidFill>
                </w14:textFill>
              </w:rPr>
              <w:t>经沉淀池处理后回用，不外排。施工期生活污水依托当地民房，经旱厕收集后用于农灌，不外排。</w:t>
            </w:r>
            <w:r>
              <w:rPr>
                <w:rFonts w:hint="eastAsia" w:hAnsi="宋体" w:eastAsia="宋体"/>
                <w:color w:val="000000" w:themeColor="text1"/>
                <w:sz w:val="24"/>
                <w:lang w:val="en-US" w:eastAsia="zh-CN"/>
                <w14:textFill>
                  <w14:solidFill>
                    <w14:schemeClr w14:val="tx1"/>
                  </w14:solidFill>
                </w14:textFill>
              </w:rPr>
              <w:t>经过现场勘察，无施工期废水外排痕迹，施工期废水对周边环境影响较小。</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eastAsia" w:hAnsi="宋体" w:eastAsia="宋体"/>
                <w:color w:val="000000" w:themeColor="text1"/>
                <w:sz w:val="24"/>
                <w:lang w:val="en-US" w:eastAsia="zh-CN"/>
                <w14:textFill>
                  <w14:solidFill>
                    <w14:schemeClr w14:val="tx1"/>
                  </w14:solidFill>
                </w14:textFill>
              </w:rPr>
            </w:pPr>
            <w:r>
              <w:rPr>
                <w:rFonts w:hint="eastAsia" w:hAnsi="宋体" w:eastAsia="宋体"/>
                <w:color w:val="000000" w:themeColor="text1"/>
                <w:sz w:val="24"/>
                <w:lang w:val="en-US" w:eastAsia="zh-CN"/>
                <w14:textFill>
                  <w14:solidFill>
                    <w14:schemeClr w14:val="tx1"/>
                  </w14:solidFill>
                </w14:textFill>
              </w:rPr>
              <w:t>噪声：本项目施工期噪声主要为施工机械噪声，合理安排施工时段，避免夜间施工时间；尽可能选择低噪声的先进设备，加强设备的维护保养，避免由于设备性能差而使机械噪声增大的现象发生；运输车辆缓速、禁鸣等措施后，施工期噪声对周边环境影响较小。施工期无因噪声产生的投诉、扰民事件发生。</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eastAsia" w:hAnsi="宋体" w:eastAsia="宋体"/>
                <w:color w:val="000000" w:themeColor="text1"/>
                <w:sz w:val="24"/>
                <w:lang w:val="en-US" w:eastAsia="zh-CN"/>
                <w14:textFill>
                  <w14:solidFill>
                    <w14:schemeClr w14:val="tx1"/>
                  </w14:solidFill>
                </w14:textFill>
              </w:rPr>
            </w:pPr>
            <w:r>
              <w:rPr>
                <w:rFonts w:hint="eastAsia" w:hAnsi="宋体" w:eastAsia="宋体"/>
                <w:color w:val="000000" w:themeColor="text1"/>
                <w:sz w:val="24"/>
                <w:lang w:val="en-US" w:eastAsia="zh-CN"/>
                <w14:textFill>
                  <w14:solidFill>
                    <w14:schemeClr w14:val="tx1"/>
                  </w14:solidFill>
                </w14:textFill>
              </w:rPr>
              <w:t>固体废物：本项目施工期间产生的固体废物主要为土石方、建筑垃圾以及生活垃圾。</w:t>
            </w:r>
            <w:r>
              <w:rPr>
                <w:rFonts w:hint="default" w:hAnsi="宋体" w:eastAsia="宋体"/>
                <w:color w:val="000000" w:themeColor="text1"/>
                <w:sz w:val="24"/>
                <w:lang w:val="en-US" w:eastAsia="zh-CN"/>
                <w14:textFill>
                  <w14:solidFill>
                    <w14:schemeClr w14:val="tx1"/>
                  </w14:solidFill>
                </w14:textFill>
              </w:rPr>
              <w:t>生活垃圾集中收集后，交由市政环卫部门统一处理。土石方开挖弃渣均运至市政部门指定的弃渣场填埋。</w:t>
            </w:r>
            <w:r>
              <w:rPr>
                <w:rFonts w:hint="eastAsia" w:hAnsi="宋体" w:eastAsia="宋体"/>
                <w:color w:val="000000" w:themeColor="text1"/>
                <w:sz w:val="24"/>
                <w:lang w:val="en-US" w:eastAsia="zh-CN"/>
                <w14:textFill>
                  <w14:solidFill>
                    <w14:schemeClr w14:val="tx1"/>
                  </w14:solidFill>
                </w14:textFill>
              </w:rPr>
              <w:t>建筑垃圾中钢筋等回收后外售废品收购店利用，不能回收的运至建筑垃圾填埋场处置。本项目施工期采取上述措施后，固体废物得到了有效处置，未造成二次污染。通过现场调查，项目区域无遗留的固体废物，无因固体废物肆意倾倒、堆放产生的投诉事件。</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eastAsia" w:hAnsi="宋体" w:eastAsia="宋体"/>
                <w:color w:val="000000" w:themeColor="text1"/>
                <w:sz w:val="24"/>
                <w:lang w:val="en-US" w:eastAsia="zh-CN"/>
                <w14:textFill>
                  <w14:solidFill>
                    <w14:schemeClr w14:val="tx1"/>
                  </w14:solidFill>
                </w14:textFill>
              </w:rPr>
            </w:pPr>
            <w:r>
              <w:rPr>
                <w:rFonts w:hint="eastAsia" w:hAnsi="宋体" w:eastAsia="宋体"/>
                <w:color w:val="000000" w:themeColor="text1"/>
                <w:sz w:val="24"/>
                <w:lang w:val="en-US" w:eastAsia="zh-CN"/>
                <w14:textFill>
                  <w14:solidFill>
                    <w14:schemeClr w14:val="tx1"/>
                  </w14:solidFill>
                </w14:textFill>
              </w:rPr>
              <w:t>②运营期：</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hAnsi="宋体" w:eastAsia="宋体"/>
                <w:color w:val="000000" w:themeColor="text1"/>
                <w:sz w:val="24"/>
                <w:lang w:val="en-US" w:eastAsia="zh-CN"/>
                <w14:textFill>
                  <w14:solidFill>
                    <w14:schemeClr w14:val="tx1"/>
                  </w14:solidFill>
                </w14:textFill>
              </w:rPr>
            </w:pPr>
            <w:r>
              <w:rPr>
                <w:rFonts w:hint="eastAsia" w:hAnsi="宋体" w:eastAsia="宋体"/>
                <w:color w:val="000000" w:themeColor="text1"/>
                <w:sz w:val="24"/>
                <w:lang w:val="en-US" w:eastAsia="zh-CN"/>
                <w14:textFill>
                  <w14:solidFill>
                    <w14:schemeClr w14:val="tx1"/>
                  </w14:solidFill>
                </w14:textFill>
              </w:rPr>
              <w:t>本项目运营期无生产运营活动，无废水、废气、噪声产生，仅游玩人员在项目区游玩时产生的生活垃圾，通过定期对项目区域进行垃圾清理，交由环卫部门统一处置，不会造成二次污染。</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hAnsi="宋体" w:eastAsia="宋体"/>
                <w:color w:val="000000" w:themeColor="text1"/>
                <w:sz w:val="24"/>
                <w:lang w:val="en-US" w:eastAsia="zh-CN"/>
                <w14:textFill>
                  <w14:solidFill>
                    <w14:schemeClr w14:val="tx1"/>
                  </w14:solidFill>
                </w14:textFill>
              </w:rPr>
            </w:pPr>
            <w:r>
              <w:rPr>
                <w:rFonts w:hint="default" w:hAnsi="宋体" w:eastAsia="宋体"/>
                <w:color w:val="000000" w:themeColor="text1"/>
                <w:sz w:val="24"/>
                <w:lang w:val="en-US" w:eastAsia="zh-CN"/>
                <w14:textFill>
                  <w14:solidFill>
                    <w14:schemeClr w14:val="tx1"/>
                  </w14:solidFill>
                </w14:textFill>
              </w:rPr>
              <w:t>综上，本项目</w:t>
            </w:r>
            <w:r>
              <w:rPr>
                <w:rFonts w:hint="eastAsia" w:hAnsi="宋体" w:eastAsia="宋体"/>
                <w:color w:val="000000" w:themeColor="text1"/>
                <w:sz w:val="24"/>
                <w:lang w:val="en-US" w:eastAsia="zh-CN"/>
                <w14:textFill>
                  <w14:solidFill>
                    <w14:schemeClr w14:val="tx1"/>
                  </w14:solidFill>
                </w14:textFill>
              </w:rPr>
              <w:t>施工期</w:t>
            </w:r>
            <w:r>
              <w:rPr>
                <w:rFonts w:hint="default" w:hAnsi="宋体" w:eastAsia="宋体"/>
                <w:color w:val="000000" w:themeColor="text1"/>
                <w:sz w:val="24"/>
                <w:lang w:val="en-US" w:eastAsia="zh-CN"/>
                <w14:textFill>
                  <w14:solidFill>
                    <w14:schemeClr w14:val="tx1"/>
                  </w14:solidFill>
                </w14:textFill>
              </w:rPr>
              <w:t>废气、噪声均能够达标排放，废水不外排，固体废弃物经妥善处置后</w:t>
            </w:r>
            <w:r>
              <w:rPr>
                <w:rFonts w:hint="eastAsia" w:hAnsi="宋体" w:eastAsia="宋体"/>
                <w:color w:val="000000" w:themeColor="text1"/>
                <w:sz w:val="24"/>
                <w:lang w:val="en-US" w:eastAsia="zh-CN"/>
                <w14:textFill>
                  <w14:solidFill>
                    <w14:schemeClr w14:val="tx1"/>
                  </w14:solidFill>
                </w14:textFill>
              </w:rPr>
              <w:t>不会</w:t>
            </w:r>
            <w:r>
              <w:rPr>
                <w:rFonts w:hint="default" w:hAnsi="宋体" w:eastAsia="宋体"/>
                <w:color w:val="000000" w:themeColor="text1"/>
                <w:sz w:val="24"/>
                <w:lang w:val="en-US" w:eastAsia="zh-CN"/>
                <w14:textFill>
                  <w14:solidFill>
                    <w14:schemeClr w14:val="tx1"/>
                  </w14:solidFill>
                </w14:textFill>
              </w:rPr>
              <w:t>造成二次污染。</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hAnsi="宋体" w:eastAsia="宋体"/>
                <w:color w:val="000000" w:themeColor="text1"/>
                <w:sz w:val="24"/>
                <w:lang w:val="en-US" w:eastAsia="zh-CN"/>
                <w14:textFill>
                  <w14:solidFill>
                    <w14:schemeClr w14:val="tx1"/>
                  </w14:solidFill>
                </w14:textFill>
              </w:rPr>
            </w:pPr>
            <w:r>
              <w:rPr>
                <w:rFonts w:hint="default" w:hAnsi="宋体" w:eastAsia="宋体"/>
                <w:color w:val="000000" w:themeColor="text1"/>
                <w:sz w:val="24"/>
                <w:lang w:val="en-US" w:eastAsia="zh-CN"/>
                <w14:textFill>
                  <w14:solidFill>
                    <w14:schemeClr w14:val="tx1"/>
                  </w14:solidFill>
                </w14:textFill>
              </w:rPr>
              <w:t>（5）结论</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hAnsi="宋体" w:eastAsia="宋体"/>
                <w:color w:val="000000" w:themeColor="text1"/>
                <w:sz w:val="24"/>
                <w:lang w:val="en-US" w:eastAsia="zh-CN"/>
                <w14:textFill>
                  <w14:solidFill>
                    <w14:schemeClr w14:val="tx1"/>
                  </w14:solidFill>
                </w14:textFill>
              </w:rPr>
            </w:pPr>
            <w:r>
              <w:rPr>
                <w:rFonts w:hint="eastAsia" w:cs="Times New Roman" w:eastAsiaTheme="minorEastAsia"/>
                <w:sz w:val="24"/>
                <w:szCs w:val="24"/>
                <w:lang w:val="en-US" w:eastAsia="zh-CN"/>
              </w:rPr>
              <w:t>重庆平湖环保工程有限责任公司</w:t>
            </w:r>
            <w:r>
              <w:rPr>
                <w:rFonts w:hint="eastAsia" w:hAnsi="宋体"/>
                <w:color w:val="000000" w:themeColor="text1"/>
                <w:sz w:val="24"/>
                <w:lang w:val="en-US" w:eastAsia="zh-CN"/>
                <w14:textFill>
                  <w14:solidFill>
                    <w14:schemeClr w14:val="tx1"/>
                  </w14:solidFill>
                </w14:textFill>
              </w:rPr>
              <w:t>万州区2022年镇乡污水管网补充工程</w:t>
            </w:r>
            <w:r>
              <w:rPr>
                <w:rFonts w:hint="default" w:hAnsi="宋体" w:eastAsia="宋体"/>
                <w:color w:val="000000" w:themeColor="text1"/>
                <w:sz w:val="24"/>
                <w:lang w:val="en-US" w:eastAsia="zh-CN"/>
                <w14:textFill>
                  <w14:solidFill>
                    <w14:schemeClr w14:val="tx1"/>
                  </w14:solidFill>
                </w14:textFill>
              </w:rPr>
              <w:t>在设计、施工和运营过程中采取的污染防治措施有效，环境保护设施及其他措施已基本按批准的环境影响报告表的要求落实，项目变动不会加大对环境污染，达到环评和生态环境局批复提出的环境保护和管理要求，试运营期间无污染投诉，建议通过本项目环境保护竣工验收。</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hAnsi="宋体" w:eastAsia="宋体"/>
                <w:b/>
                <w:bCs/>
                <w:color w:val="000000" w:themeColor="text1"/>
                <w:sz w:val="24"/>
                <w:lang w:val="en-US" w:eastAsia="zh-CN"/>
                <w14:textFill>
                  <w14:solidFill>
                    <w14:schemeClr w14:val="tx1"/>
                  </w14:solidFill>
                </w14:textFill>
              </w:rPr>
            </w:pPr>
            <w:r>
              <w:rPr>
                <w:rFonts w:hint="default" w:hAnsi="宋体" w:eastAsia="宋体"/>
                <w:b/>
                <w:bCs/>
                <w:color w:val="000000" w:themeColor="text1"/>
                <w:sz w:val="24"/>
                <w:lang w:val="en-US" w:eastAsia="zh-CN"/>
                <w14:textFill>
                  <w14:solidFill>
                    <w14:schemeClr w14:val="tx1"/>
                  </w14:solidFill>
                </w14:textFill>
              </w:rPr>
              <w:t>10.1.2 建议</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hAnsi="宋体" w:eastAsia="宋体"/>
                <w:color w:val="000000" w:themeColor="text1"/>
                <w:sz w:val="24"/>
                <w:lang w:val="en-US" w:eastAsia="zh-CN"/>
                <w14:textFill>
                  <w14:solidFill>
                    <w14:schemeClr w14:val="tx1"/>
                  </w14:solidFill>
                </w14:textFill>
              </w:rPr>
            </w:pPr>
            <w:r>
              <w:rPr>
                <w:rFonts w:hint="default" w:hAnsi="宋体" w:eastAsia="宋体"/>
                <w:color w:val="000000" w:themeColor="text1"/>
                <w:sz w:val="24"/>
                <w:lang w:val="en-US" w:eastAsia="zh-CN"/>
                <w14:textFill>
                  <w14:solidFill>
                    <w14:schemeClr w14:val="tx1"/>
                  </w14:solidFill>
                </w14:textFill>
              </w:rPr>
              <w:t>1、专人定期对污水管网进行巡回检查；</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hAnsi="宋体" w:eastAsia="宋体"/>
                <w:color w:val="000000" w:themeColor="text1"/>
                <w:sz w:val="24"/>
                <w:lang w:val="en-US" w:eastAsia="zh-CN"/>
                <w14:textFill>
                  <w14:solidFill>
                    <w14:schemeClr w14:val="tx1"/>
                  </w14:solidFill>
                </w14:textFill>
              </w:rPr>
            </w:pPr>
            <w:r>
              <w:rPr>
                <w:rFonts w:hint="default" w:hAnsi="宋体" w:eastAsia="宋体"/>
                <w:color w:val="000000" w:themeColor="text1"/>
                <w:sz w:val="24"/>
                <w:lang w:val="en-US" w:eastAsia="zh-CN"/>
                <w14:textFill>
                  <w14:solidFill>
                    <w14:schemeClr w14:val="tx1"/>
                  </w14:solidFill>
                </w14:textFill>
              </w:rPr>
              <w:t>2、</w:t>
            </w:r>
            <w:r>
              <w:rPr>
                <w:rFonts w:hint="eastAsia" w:hAnsi="宋体"/>
                <w:color w:val="000000" w:themeColor="text1"/>
                <w:sz w:val="24"/>
                <w:lang w:val="en-US" w:eastAsia="zh-CN"/>
                <w14:textFill>
                  <w14:solidFill>
                    <w14:schemeClr w14:val="tx1"/>
                  </w14:solidFill>
                </w14:textFill>
              </w:rPr>
              <w:t>制</w:t>
            </w:r>
            <w:r>
              <w:rPr>
                <w:rFonts w:hint="default" w:hAnsi="宋体" w:eastAsia="宋体"/>
                <w:color w:val="000000" w:themeColor="text1"/>
                <w:sz w:val="24"/>
                <w:lang w:val="en-US" w:eastAsia="zh-CN"/>
                <w14:textFill>
                  <w14:solidFill>
                    <w14:schemeClr w14:val="tx1"/>
                  </w14:solidFill>
                </w14:textFill>
              </w:rPr>
              <w:t>定严格的环保设施检查制度并按制度执行。</w:t>
            </w:r>
          </w:p>
          <w:p>
            <w:pPr>
              <w:tabs>
                <w:tab w:val="left" w:pos="840"/>
              </w:tabs>
              <w:adjustRightInd w:val="0"/>
              <w:snapToGrid w:val="0"/>
              <w:spacing w:line="360" w:lineRule="auto"/>
              <w:ind w:firstLine="480" w:firstLineChars="200"/>
              <w:rPr>
                <w:rFonts w:hint="default" w:ascii="Times New Roman" w:hAnsi="Times New Roman" w:cs="Times New Roman"/>
                <w:color w:val="FF0000"/>
                <w:sz w:val="24"/>
                <w:szCs w:val="24"/>
                <w:lang w:val="en-US" w:eastAsia="zh-CN"/>
              </w:rPr>
            </w:pPr>
          </w:p>
          <w:p>
            <w:pPr>
              <w:pStyle w:val="10"/>
              <w:rPr>
                <w:rFonts w:hint="default" w:ascii="Times New Roman" w:hAnsi="Times New Roman" w:cs="Times New Roman"/>
                <w:color w:val="FF0000"/>
                <w:sz w:val="24"/>
                <w:szCs w:val="24"/>
                <w:lang w:val="en-US" w:eastAsia="zh-CN"/>
              </w:rPr>
            </w:pPr>
          </w:p>
          <w:p>
            <w:pPr>
              <w:rPr>
                <w:rFonts w:hint="default" w:ascii="Times New Roman" w:hAnsi="Times New Roman" w:cs="Times New Roman"/>
                <w:color w:val="FF0000"/>
                <w:sz w:val="24"/>
                <w:szCs w:val="24"/>
                <w:lang w:val="en-US" w:eastAsia="zh-CN"/>
              </w:rPr>
            </w:pPr>
          </w:p>
          <w:p>
            <w:pPr>
              <w:pStyle w:val="10"/>
              <w:rPr>
                <w:rFonts w:hint="default" w:ascii="Times New Roman" w:hAnsi="Times New Roman" w:cs="Times New Roman"/>
                <w:color w:val="FF0000"/>
                <w:sz w:val="24"/>
                <w:szCs w:val="24"/>
                <w:lang w:val="en-US" w:eastAsia="zh-CN"/>
              </w:rPr>
            </w:pPr>
          </w:p>
          <w:p>
            <w:pPr>
              <w:rPr>
                <w:rFonts w:hint="default" w:ascii="Times New Roman" w:hAnsi="Times New Roman" w:cs="Times New Roman"/>
                <w:color w:val="FF0000"/>
                <w:sz w:val="24"/>
                <w:szCs w:val="24"/>
                <w:lang w:val="en-US" w:eastAsia="zh-CN"/>
              </w:rPr>
            </w:pPr>
          </w:p>
          <w:p>
            <w:pPr>
              <w:pStyle w:val="10"/>
              <w:rPr>
                <w:rFonts w:hint="default"/>
                <w:lang w:val="en-US" w:eastAsia="zh-CN"/>
              </w:rPr>
            </w:pPr>
          </w:p>
          <w:p>
            <w:pPr>
              <w:tabs>
                <w:tab w:val="left" w:pos="840"/>
              </w:tabs>
              <w:adjustRightInd w:val="0"/>
              <w:snapToGrid w:val="0"/>
              <w:spacing w:line="360" w:lineRule="auto"/>
              <w:ind w:firstLine="480" w:firstLineChars="200"/>
              <w:rPr>
                <w:rFonts w:hint="default" w:ascii="Times New Roman" w:hAnsi="Times New Roman" w:cs="Times New Roman"/>
                <w:color w:val="FF0000"/>
                <w:sz w:val="24"/>
                <w:szCs w:val="24"/>
                <w:lang w:val="en-US" w:eastAsia="zh-CN"/>
              </w:rPr>
            </w:pPr>
          </w:p>
          <w:p>
            <w:pPr>
              <w:tabs>
                <w:tab w:val="left" w:pos="840"/>
              </w:tabs>
              <w:adjustRightInd w:val="0"/>
              <w:snapToGrid w:val="0"/>
              <w:spacing w:line="360" w:lineRule="auto"/>
              <w:rPr>
                <w:rFonts w:hint="default" w:ascii="Times New Roman" w:hAnsi="Times New Roman" w:eastAsia="宋体" w:cs="Times New Roman"/>
                <w:color w:val="FF0000"/>
                <w:sz w:val="24"/>
                <w:szCs w:val="24"/>
                <w:lang w:val="en-US" w:eastAsia="zh-CN"/>
              </w:rPr>
            </w:pPr>
          </w:p>
        </w:tc>
      </w:tr>
    </w:tbl>
    <w:p>
      <w:pPr>
        <w:autoSpaceDE w:val="0"/>
        <w:autoSpaceDN w:val="0"/>
        <w:adjustRightInd w:val="0"/>
        <w:spacing w:line="440" w:lineRule="exact"/>
        <w:jc w:val="left"/>
        <w:rPr>
          <w:rFonts w:hint="default" w:ascii="Times New Roman" w:hAnsi="Times New Roman" w:eastAsia="宋体" w:cs="Times New Roman"/>
          <w:color w:val="000000"/>
          <w:sz w:val="26"/>
          <w:szCs w:val="26"/>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tabs>
          <w:tab w:val="left" w:pos="567"/>
        </w:tabs>
        <w:autoSpaceDE w:val="0"/>
        <w:autoSpaceDN w:val="0"/>
        <w:adjustRightInd w:val="0"/>
        <w:spacing w:line="440" w:lineRule="exact"/>
        <w:ind w:left="567" w:leftChars="270"/>
        <w:rPr>
          <w:rFonts w:hint="default" w:ascii="Times New Roman" w:hAnsi="Times New Roman" w:eastAsia="宋体" w:cs="Times New Roman"/>
          <w:sz w:val="24"/>
          <w:szCs w:val="24"/>
        </w:rPr>
      </w:pPr>
      <w:bookmarkStart w:id="8" w:name="_Toc191718397"/>
      <w:bookmarkStart w:id="9" w:name="_Toc4512978"/>
      <w:bookmarkStart w:id="10" w:name="_Toc191717976"/>
      <w:bookmarkStart w:id="11" w:name="_Toc191730373"/>
      <w:bookmarkStart w:id="12" w:name="_Toc191717524"/>
      <w:bookmarkStart w:id="13" w:name="_Toc188156756"/>
    </w:p>
    <w:p>
      <w:pPr>
        <w:tabs>
          <w:tab w:val="left" w:pos="567"/>
        </w:tabs>
        <w:autoSpaceDE w:val="0"/>
        <w:autoSpaceDN w:val="0"/>
        <w:adjustRightInd w:val="0"/>
        <w:spacing w:line="440" w:lineRule="exact"/>
        <w:ind w:left="567" w:leftChars="27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附件</w:t>
      </w:r>
      <w:bookmarkEnd w:id="8"/>
      <w:bookmarkEnd w:id="9"/>
      <w:bookmarkEnd w:id="10"/>
      <w:bookmarkEnd w:id="11"/>
      <w:bookmarkEnd w:id="12"/>
      <w:bookmarkEnd w:id="13"/>
    </w:p>
    <w:p>
      <w:pPr>
        <w:autoSpaceDE w:val="0"/>
        <w:autoSpaceDN w:val="0"/>
        <w:adjustRightInd w:val="0"/>
        <w:spacing w:line="440" w:lineRule="exact"/>
        <w:ind w:left="567" w:leftChars="27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附件1：</w:t>
      </w:r>
      <w:r>
        <w:rPr>
          <w:rFonts w:hint="eastAsia" w:cs="Times New Roman"/>
          <w:sz w:val="24"/>
          <w:szCs w:val="24"/>
          <w:lang w:val="en-US" w:eastAsia="zh-CN"/>
        </w:rPr>
        <w:t>概算批复</w:t>
      </w:r>
    </w:p>
    <w:p>
      <w:pPr>
        <w:autoSpaceDE w:val="0"/>
        <w:autoSpaceDN w:val="0"/>
        <w:adjustRightInd w:val="0"/>
        <w:spacing w:line="440" w:lineRule="exact"/>
        <w:ind w:left="567" w:leftChars="270"/>
        <w:rPr>
          <w:rFonts w:hint="default" w:ascii="Times New Roman" w:hAnsi="Times New Roman" w:eastAsia="宋体" w:cs="Times New Roman"/>
          <w:sz w:val="24"/>
          <w:szCs w:val="24"/>
          <w:lang w:val="en-US" w:eastAsia="zh-CN"/>
        </w:rPr>
      </w:pPr>
      <w:r>
        <w:rPr>
          <w:rFonts w:hint="eastAsia" w:cs="Times New Roman"/>
          <w:sz w:val="24"/>
          <w:szCs w:val="24"/>
          <w:lang w:val="en-US" w:eastAsia="zh-CN"/>
        </w:rPr>
        <w:t>附件2：可研批复</w:t>
      </w:r>
    </w:p>
    <w:p>
      <w:pPr>
        <w:autoSpaceDE w:val="0"/>
        <w:autoSpaceDN w:val="0"/>
        <w:adjustRightInd w:val="0"/>
        <w:spacing w:line="440" w:lineRule="exact"/>
        <w:ind w:left="567" w:leftChars="27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附件</w:t>
      </w:r>
      <w:r>
        <w:rPr>
          <w:rFonts w:hint="eastAsia" w:cs="Times New Roman"/>
          <w:sz w:val="24"/>
          <w:szCs w:val="24"/>
          <w:lang w:val="en-US" w:eastAsia="zh-CN"/>
        </w:rPr>
        <w:t>3</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环评复函</w:t>
      </w:r>
    </w:p>
    <w:p>
      <w:pPr>
        <w:autoSpaceDE w:val="0"/>
        <w:autoSpaceDN w:val="0"/>
        <w:adjustRightInd w:val="0"/>
        <w:spacing w:line="440" w:lineRule="exact"/>
        <w:ind w:left="567" w:leftChars="270"/>
        <w:rPr>
          <w:rFonts w:hint="eastAsia" w:ascii="Times New Roman" w:hAnsi="Times New Roman" w:eastAsia="宋体" w:cs="Times New Roman"/>
          <w:sz w:val="24"/>
          <w:szCs w:val="24"/>
          <w:lang w:val="en-US" w:eastAsia="zh-CN"/>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hint="default" w:ascii="Times New Roman" w:hAnsi="Times New Roman" w:eastAsia="宋体" w:cs="Times New Roman"/>
          <w:sz w:val="24"/>
          <w:szCs w:val="24"/>
          <w:lang w:val="en-US" w:eastAsia="zh-CN"/>
        </w:rPr>
        <w:t>附件</w:t>
      </w:r>
      <w:r>
        <w:rPr>
          <w:rFonts w:hint="eastAsia" w:cs="Times New Roman"/>
          <w:sz w:val="24"/>
          <w:szCs w:val="24"/>
          <w:lang w:val="en-US" w:eastAsia="zh-CN"/>
        </w:rPr>
        <w:t>4</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专家意见</w:t>
      </w:r>
    </w:p>
    <w:p>
      <w:pPr>
        <w:pStyle w:val="99"/>
        <w:keepNext/>
        <w:keepLines/>
        <w:pageBreakBefore w:val="0"/>
        <w:widowControl w:val="0"/>
        <w:kinsoku/>
        <w:wordWrap/>
        <w:overflowPunct/>
        <w:topLinePunct w:val="0"/>
        <w:autoSpaceDE/>
        <w:autoSpaceDN/>
        <w:bidi w:val="0"/>
        <w:adjustRightInd/>
        <w:snapToGrid/>
        <w:spacing w:before="120" w:after="120"/>
        <w:jc w:val="center"/>
        <w:textAlignment w:val="auto"/>
        <w:rPr>
          <w:rFonts w:cs="Times New Roman"/>
          <w:sz w:val="28"/>
          <w:szCs w:val="28"/>
        </w:rPr>
      </w:pPr>
      <w:bookmarkStart w:id="14" w:name="_Toc515603339"/>
      <w:bookmarkStart w:id="15" w:name="_Toc25915"/>
      <w:bookmarkStart w:id="16" w:name="_Toc510439652"/>
      <w:r>
        <w:rPr>
          <w:rFonts w:cs="Times New Roman"/>
          <w:sz w:val="28"/>
          <w:szCs w:val="28"/>
        </w:rPr>
        <w:t>建设项目工程竣工环境保护“三同时”验收登记表</w:t>
      </w:r>
      <w:bookmarkEnd w:id="14"/>
      <w:bookmarkEnd w:id="15"/>
      <w:bookmarkEnd w:id="16"/>
    </w:p>
    <w:p>
      <w:pPr>
        <w:pStyle w:val="10"/>
        <w:tabs>
          <w:tab w:val="left" w:pos="6256"/>
          <w:tab w:val="left" w:pos="11790"/>
        </w:tabs>
        <w:spacing w:after="0" w:line="400" w:lineRule="exact"/>
        <w:ind w:left="493"/>
        <w:rPr>
          <w:rFonts w:eastAsiaTheme="minorEastAsia"/>
          <w:szCs w:val="21"/>
        </w:rPr>
      </w:pPr>
      <w:r>
        <w:rPr>
          <w:rFonts w:eastAsiaTheme="minorEastAsia"/>
          <w:szCs w:val="21"/>
        </w:rPr>
        <w:t>填表</w:t>
      </w:r>
      <w:r>
        <w:rPr>
          <w:rFonts w:eastAsiaTheme="minorEastAsia"/>
          <w:spacing w:val="-3"/>
          <w:szCs w:val="21"/>
        </w:rPr>
        <w:t>单</w:t>
      </w:r>
      <w:r>
        <w:rPr>
          <w:rFonts w:eastAsiaTheme="minorEastAsia"/>
          <w:szCs w:val="21"/>
        </w:rPr>
        <w:t>位</w:t>
      </w:r>
      <w:r>
        <w:rPr>
          <w:rFonts w:eastAsiaTheme="minorEastAsia"/>
          <w:spacing w:val="-3"/>
          <w:szCs w:val="21"/>
        </w:rPr>
        <w:t>（</w:t>
      </w:r>
      <w:r>
        <w:rPr>
          <w:rFonts w:eastAsiaTheme="minorEastAsia"/>
          <w:szCs w:val="21"/>
        </w:rPr>
        <w:t>盖</w:t>
      </w:r>
      <w:r>
        <w:rPr>
          <w:rFonts w:eastAsiaTheme="minorEastAsia"/>
          <w:spacing w:val="-3"/>
          <w:szCs w:val="21"/>
        </w:rPr>
        <w:t>章</w:t>
      </w:r>
      <w:r>
        <w:rPr>
          <w:rFonts w:eastAsiaTheme="minorEastAsia"/>
          <w:szCs w:val="21"/>
        </w:rPr>
        <w:t>）：</w:t>
      </w:r>
      <w:r>
        <w:rPr>
          <w:rFonts w:hint="eastAsia" w:eastAsiaTheme="minorEastAsia"/>
          <w:szCs w:val="21"/>
          <w:lang w:eastAsia="zh-CN"/>
        </w:rPr>
        <w:t>重庆平湖环保工程有限责任公司</w:t>
      </w:r>
      <w:r>
        <w:rPr>
          <w:rFonts w:ascii="Times New Roman" w:hAnsi="Times New Roman" w:cs="Times New Roman" w:eastAsiaTheme="minorEastAsia"/>
          <w:spacing w:val="-3"/>
          <w:szCs w:val="21"/>
        </w:rPr>
        <w:t xml:space="preserve"> </w:t>
      </w:r>
      <w:r>
        <w:rPr>
          <w:rFonts w:eastAsiaTheme="minorEastAsia"/>
          <w:szCs w:val="21"/>
        </w:rPr>
        <w:t xml:space="preserve">       填表</w:t>
      </w:r>
      <w:r>
        <w:rPr>
          <w:rFonts w:eastAsiaTheme="minorEastAsia"/>
          <w:spacing w:val="-3"/>
          <w:szCs w:val="21"/>
        </w:rPr>
        <w:t>人</w:t>
      </w:r>
      <w:r>
        <w:rPr>
          <w:rFonts w:eastAsiaTheme="minorEastAsia"/>
          <w:szCs w:val="21"/>
        </w:rPr>
        <w:t>（</w:t>
      </w:r>
      <w:r>
        <w:rPr>
          <w:rFonts w:eastAsiaTheme="minorEastAsia"/>
          <w:spacing w:val="-3"/>
          <w:szCs w:val="21"/>
        </w:rPr>
        <w:t>签</w:t>
      </w:r>
      <w:r>
        <w:rPr>
          <w:rFonts w:eastAsiaTheme="minorEastAsia"/>
          <w:szCs w:val="21"/>
        </w:rPr>
        <w:t>字）：</w:t>
      </w:r>
      <w:r>
        <w:rPr>
          <w:rFonts w:hint="eastAsia" w:ascii="Times New Roman" w:hAnsi="Times New Roman" w:cs="Times New Roman" w:eastAsiaTheme="minorEastAsia"/>
          <w:spacing w:val="-3"/>
          <w:szCs w:val="21"/>
          <w:lang w:val="en-US" w:eastAsia="zh-CN"/>
        </w:rPr>
        <w:t xml:space="preserve">   </w:t>
      </w:r>
      <w:r>
        <w:rPr>
          <w:rFonts w:hint="eastAsia" w:eastAsiaTheme="minorEastAsia"/>
          <w:szCs w:val="21"/>
          <w:lang w:val="en-US" w:eastAsia="zh-CN"/>
        </w:rPr>
        <w:t xml:space="preserve">         </w:t>
      </w:r>
      <w:r>
        <w:rPr>
          <w:rFonts w:eastAsiaTheme="minorEastAsia"/>
          <w:szCs w:val="21"/>
        </w:rPr>
        <w:t>项目</w:t>
      </w:r>
      <w:r>
        <w:rPr>
          <w:rFonts w:eastAsiaTheme="minorEastAsia"/>
          <w:spacing w:val="-3"/>
          <w:szCs w:val="21"/>
        </w:rPr>
        <w:t>经</w:t>
      </w:r>
      <w:r>
        <w:rPr>
          <w:rFonts w:eastAsiaTheme="minorEastAsia"/>
          <w:szCs w:val="21"/>
        </w:rPr>
        <w:t>办</w:t>
      </w:r>
      <w:r>
        <w:rPr>
          <w:rFonts w:eastAsiaTheme="minorEastAsia"/>
          <w:spacing w:val="-3"/>
          <w:szCs w:val="21"/>
        </w:rPr>
        <w:t>人</w:t>
      </w:r>
      <w:r>
        <w:rPr>
          <w:rFonts w:eastAsiaTheme="minorEastAsia"/>
          <w:szCs w:val="21"/>
        </w:rPr>
        <w:t>（</w:t>
      </w:r>
      <w:r>
        <w:rPr>
          <w:rFonts w:eastAsiaTheme="minorEastAsia"/>
          <w:spacing w:val="-3"/>
          <w:szCs w:val="21"/>
        </w:rPr>
        <w:t>签</w:t>
      </w:r>
      <w:r>
        <w:rPr>
          <w:rFonts w:eastAsiaTheme="minorEastAsia"/>
          <w:szCs w:val="21"/>
        </w:rPr>
        <w:t>字</w:t>
      </w:r>
      <w:r>
        <w:rPr>
          <w:rFonts w:hint="eastAsia" w:eastAsiaTheme="minorEastAsia"/>
          <w:szCs w:val="21"/>
          <w:lang w:eastAsia="zh-CN"/>
        </w:rPr>
        <w:t>）：</w:t>
      </w:r>
    </w:p>
    <w:tbl>
      <w:tblPr>
        <w:tblStyle w:val="100"/>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57"/>
        <w:gridCol w:w="265"/>
        <w:gridCol w:w="919"/>
        <w:gridCol w:w="522"/>
        <w:gridCol w:w="788"/>
        <w:gridCol w:w="1061"/>
        <w:gridCol w:w="123"/>
        <w:gridCol w:w="927"/>
        <w:gridCol w:w="930"/>
        <w:gridCol w:w="545"/>
        <w:gridCol w:w="774"/>
        <w:gridCol w:w="123"/>
        <w:gridCol w:w="128"/>
        <w:gridCol w:w="799"/>
        <w:gridCol w:w="1056"/>
        <w:gridCol w:w="1190"/>
        <w:gridCol w:w="916"/>
        <w:gridCol w:w="779"/>
        <w:gridCol w:w="388"/>
        <w:gridCol w:w="614"/>
        <w:gridCol w:w="8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92" w:type="pct"/>
            <w:vMerge w:val="restar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0"/>
                <w:szCs w:val="22"/>
                <w:lang w:eastAsia="en-US"/>
                <w14:textFill>
                  <w14:solidFill>
                    <w14:schemeClr w14:val="tx1"/>
                  </w14:solidFill>
                </w14:textFill>
              </w:rPr>
            </w:pPr>
          </w:p>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建设项目</w:t>
            </w:r>
          </w:p>
        </w:tc>
        <w:tc>
          <w:tcPr>
            <w:tcW w:w="611"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项目名称</w:t>
            </w:r>
          </w:p>
        </w:tc>
        <w:tc>
          <w:tcPr>
            <w:tcW w:w="1371" w:type="pct"/>
            <w:gridSpan w:val="5"/>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ascii="黑体" w:hAnsi="黑体" w:eastAsia="黑体"/>
                <w:color w:val="000000" w:themeColor="text1"/>
                <w:sz w:val="15"/>
                <w:szCs w:val="22"/>
                <w:lang w:eastAsia="zh-CN"/>
                <w14:textFill>
                  <w14:solidFill>
                    <w14:schemeClr w14:val="tx1"/>
                  </w14:solidFill>
                </w14:textFill>
              </w:rPr>
            </w:pPr>
            <w:r>
              <w:rPr>
                <w:rFonts w:hint="eastAsia" w:ascii="黑体" w:hAnsi="黑体" w:eastAsia="黑体" w:cs="宋体"/>
                <w:color w:val="000000" w:themeColor="text1"/>
                <w:sz w:val="15"/>
                <w:szCs w:val="22"/>
                <w:lang w:val="en-US" w:eastAsia="zh-CN"/>
                <w14:textFill>
                  <w14:solidFill>
                    <w14:schemeClr w14:val="tx1"/>
                  </w14:solidFill>
                </w14:textFill>
              </w:rPr>
              <w:t>万州区2022年镇乡污水管网补充工程</w:t>
            </w:r>
          </w:p>
        </w:tc>
        <w:tc>
          <w:tcPr>
            <w:tcW w:w="562" w:type="pct"/>
            <w:gridSpan w:val="4"/>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项目代码</w:t>
            </w:r>
          </w:p>
        </w:tc>
        <w:tc>
          <w:tcPr>
            <w:tcW w:w="1090"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ascii="Times New Roman" w:hAnsi="Times New Roman" w:eastAsia="黑体" w:cs="Times New Roman"/>
                <w:color w:val="000000" w:themeColor="text1"/>
                <w:sz w:val="15"/>
                <w:szCs w:val="22"/>
                <w:lang w:eastAsia="en-US"/>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2102-500101-04-01-919005</w:t>
            </w:r>
          </w:p>
        </w:tc>
        <w:tc>
          <w:tcPr>
            <w:tcW w:w="607"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建设地点</w:t>
            </w:r>
          </w:p>
        </w:tc>
        <w:tc>
          <w:tcPr>
            <w:tcW w:w="665"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重庆市万州区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92" w:type="pct"/>
            <w:vMerge w:val="continue"/>
            <w:tcBorders>
              <w:top w:val="nil"/>
            </w:tcBorders>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000000" w:themeColor="text1"/>
                <w:sz w:val="2"/>
                <w:szCs w:val="2"/>
                <w:lang w:eastAsia="zh-CN"/>
                <w14:textFill>
                  <w14:solidFill>
                    <w14:schemeClr w14:val="tx1"/>
                  </w14:solidFill>
                </w14:textFill>
              </w:rPr>
            </w:pPr>
          </w:p>
        </w:tc>
        <w:tc>
          <w:tcPr>
            <w:tcW w:w="611"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行业类别(分类管理名录)</w:t>
            </w:r>
          </w:p>
        </w:tc>
        <w:tc>
          <w:tcPr>
            <w:tcW w:w="1371" w:type="pct"/>
            <w:gridSpan w:val="5"/>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黑体" w:hAnsi="黑体" w:eastAsia="黑体" w:cs="宋体"/>
                <w:color w:val="000000" w:themeColor="text1"/>
                <w:sz w:val="15"/>
                <w:szCs w:val="22"/>
                <w:lang w:val="en-US" w:eastAsia="zh-CN"/>
                <w14:textFill>
                  <w14:solidFill>
                    <w14:schemeClr w14:val="tx1"/>
                  </w14:solidFill>
                </w14:textFill>
              </w:rPr>
            </w:pPr>
            <w:r>
              <w:rPr>
                <w:rFonts w:hint="default" w:ascii="黑体" w:hAnsi="黑体" w:eastAsia="黑体" w:cs="宋体"/>
                <w:color w:val="000000" w:themeColor="text1"/>
                <w:sz w:val="15"/>
                <w:szCs w:val="22"/>
                <w:lang w:val="en-US" w:eastAsia="zh-CN"/>
                <w14:textFill>
                  <w14:solidFill>
                    <w14:schemeClr w14:val="tx1"/>
                  </w14:solidFill>
                </w14:textFill>
              </w:rPr>
              <w:t>N7810 市政设施管理</w:t>
            </w:r>
            <w:r>
              <w:rPr>
                <w:rFonts w:hint="eastAsia" w:ascii="黑体" w:hAnsi="黑体" w:eastAsia="黑体" w:cs="宋体"/>
                <w:color w:val="000000" w:themeColor="text1"/>
                <w:sz w:val="15"/>
                <w:szCs w:val="22"/>
                <w:lang w:val="en-US" w:eastAsia="zh-CN"/>
                <w14:textFill>
                  <w14:solidFill>
                    <w14:schemeClr w14:val="tx1"/>
                  </w14:solidFill>
                </w14:textFill>
              </w:rPr>
              <w:t>、</w:t>
            </w:r>
            <w:r>
              <w:rPr>
                <w:rFonts w:hint="default" w:ascii="黑体" w:hAnsi="黑体" w:eastAsia="黑体" w:cs="宋体"/>
                <w:color w:val="000000" w:themeColor="text1"/>
                <w:sz w:val="15"/>
                <w:szCs w:val="22"/>
                <w:lang w:val="en-US" w:eastAsia="zh-CN"/>
                <w14:textFill>
                  <w14:solidFill>
                    <w14:schemeClr w14:val="tx1"/>
                  </w14:solidFill>
                </w14:textFill>
              </w:rPr>
              <w:t>N7</w:t>
            </w:r>
            <w:r>
              <w:rPr>
                <w:rFonts w:hint="eastAsia" w:ascii="黑体" w:hAnsi="黑体" w:eastAsia="黑体" w:cs="宋体"/>
                <w:color w:val="000000" w:themeColor="text1"/>
                <w:sz w:val="15"/>
                <w:szCs w:val="22"/>
                <w:lang w:val="en-US" w:eastAsia="zh-CN"/>
                <w14:textFill>
                  <w14:solidFill>
                    <w14:schemeClr w14:val="tx1"/>
                  </w14:solidFill>
                </w14:textFill>
              </w:rPr>
              <w:t>721</w:t>
            </w:r>
            <w:r>
              <w:rPr>
                <w:rFonts w:hint="default" w:ascii="黑体" w:hAnsi="黑体" w:eastAsia="黑体" w:cs="宋体"/>
                <w:color w:val="000000" w:themeColor="text1"/>
                <w:sz w:val="15"/>
                <w:szCs w:val="22"/>
                <w:lang w:val="en-US" w:eastAsia="zh-CN"/>
                <w14:textFill>
                  <w14:solidFill>
                    <w14:schemeClr w14:val="tx1"/>
                  </w14:solidFill>
                </w14:textFill>
              </w:rPr>
              <w:t xml:space="preserve"> </w:t>
            </w:r>
            <w:r>
              <w:rPr>
                <w:rFonts w:hint="eastAsia" w:ascii="黑体" w:hAnsi="黑体" w:eastAsia="黑体" w:cs="宋体"/>
                <w:color w:val="000000" w:themeColor="text1"/>
                <w:sz w:val="15"/>
                <w:szCs w:val="22"/>
                <w:lang w:val="en-US" w:eastAsia="zh-CN"/>
                <w14:textFill>
                  <w14:solidFill>
                    <w14:schemeClr w14:val="tx1"/>
                  </w14:solidFill>
                </w14:textFill>
              </w:rPr>
              <w:t>水污染治理</w:t>
            </w:r>
          </w:p>
        </w:tc>
        <w:tc>
          <w:tcPr>
            <w:tcW w:w="562" w:type="pct"/>
            <w:gridSpan w:val="4"/>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建设性质</w:t>
            </w:r>
          </w:p>
        </w:tc>
        <w:tc>
          <w:tcPr>
            <w:tcW w:w="2363" w:type="pct"/>
            <w:gridSpan w:val="8"/>
            <w:vAlign w:val="center"/>
          </w:tcPr>
          <w:p>
            <w:pPr>
              <w:pStyle w:val="93"/>
              <w:keepNext w:val="0"/>
              <w:keepLines w:val="0"/>
              <w:pageBreakBefore w:val="0"/>
              <w:widowControl/>
              <w:tabs>
                <w:tab w:val="left" w:pos="685"/>
                <w:tab w:val="left" w:pos="1361"/>
              </w:tabs>
              <w:kinsoku/>
              <w:wordWrap/>
              <w:overflowPunct/>
              <w:topLinePunct w:val="0"/>
              <w:autoSpaceDE w:val="0"/>
              <w:autoSpaceDN w:val="0"/>
              <w:bidi w:val="0"/>
              <w:adjustRightInd w:val="0"/>
              <w:snapToGrid w:val="0"/>
              <w:spacing w:after="0" w:line="240" w:lineRule="auto"/>
              <w:jc w:val="center"/>
              <w:textAlignment w:val="auto"/>
              <w:rPr>
                <w:rFonts w:ascii="黑体" w:hAnsi="黑体" w:eastAsia="黑体"/>
                <w:color w:val="000000" w:themeColor="text1"/>
                <w:sz w:val="15"/>
                <w:szCs w:val="22"/>
                <w:lang w:eastAsia="en-US"/>
                <w14:textFill>
                  <w14:solidFill>
                    <w14:schemeClr w14:val="tx1"/>
                  </w14:solidFill>
                </w14:textFill>
              </w:rPr>
            </w:pPr>
            <w:r>
              <w:rPr>
                <w:rFonts w:ascii="黑体" w:hAnsi="黑体" w:eastAsia="黑体"/>
                <w:color w:val="000000" w:themeColor="text1"/>
                <w:sz w:val="15"/>
                <w:szCs w:val="22"/>
                <w:lang w:eastAsia="en-US"/>
                <w14:textFill>
                  <w14:solidFill>
                    <w14:schemeClr w14:val="tx1"/>
                  </w14:solidFill>
                </w14:textFill>
              </w:rPr>
              <w:fldChar w:fldCharType="begin"/>
            </w:r>
            <w:r>
              <w:rPr>
                <w:rFonts w:ascii="黑体" w:hAnsi="黑体" w:eastAsia="黑体"/>
                <w:color w:val="000000" w:themeColor="text1"/>
                <w:sz w:val="15"/>
                <w:szCs w:val="22"/>
                <w:lang w:eastAsia="en-US"/>
                <w14:textFill>
                  <w14:solidFill>
                    <w14:schemeClr w14:val="tx1"/>
                  </w14:solidFill>
                </w14:textFill>
              </w:rPr>
              <w:instrText xml:space="preserve"> </w:instrText>
            </w:r>
            <w:r>
              <w:rPr>
                <w:rFonts w:hint="eastAsia" w:ascii="黑体" w:hAnsi="黑体" w:eastAsia="黑体"/>
                <w:color w:val="000000" w:themeColor="text1"/>
                <w:sz w:val="15"/>
                <w:szCs w:val="22"/>
                <w:lang w:eastAsia="en-US"/>
                <w14:textFill>
                  <w14:solidFill>
                    <w14:schemeClr w14:val="tx1"/>
                  </w14:solidFill>
                </w14:textFill>
              </w:rPr>
              <w:instrText xml:space="preserve">eq \o\ac(□</w:instrText>
            </w:r>
            <w:r>
              <w:rPr>
                <w:rFonts w:hint="eastAsia" w:ascii="黑体" w:hAnsi="黑体" w:eastAsia="黑体"/>
                <w:color w:val="000000" w:themeColor="text1"/>
                <w:sz w:val="15"/>
                <w:szCs w:val="22"/>
                <w:lang w:eastAsia="zh-CN"/>
                <w14:textFill>
                  <w14:solidFill>
                    <w14:schemeClr w14:val="tx1"/>
                  </w14:solidFill>
                </w14:textFill>
              </w:rPr>
              <w:instrText xml:space="preserve">,</w:instrText>
            </w:r>
            <w:r>
              <w:rPr>
                <w:rFonts w:hint="eastAsia" w:ascii="黑体" w:hAnsi="黑体" w:eastAsia="黑体"/>
                <w:color w:val="000000" w:themeColor="text1"/>
                <w:position w:val="1"/>
                <w:sz w:val="10"/>
                <w:szCs w:val="22"/>
                <w:lang w:eastAsia="zh-CN"/>
                <w14:textFill>
                  <w14:solidFill>
                    <w14:schemeClr w14:val="tx1"/>
                  </w14:solidFill>
                </w14:textFill>
              </w:rPr>
              <w:instrText xml:space="preserve">√</w:instrText>
            </w:r>
            <w:r>
              <w:rPr>
                <w:rFonts w:hint="eastAsia" w:ascii="黑体" w:hAnsi="黑体" w:eastAsia="黑体"/>
                <w:color w:val="000000" w:themeColor="text1"/>
                <w:sz w:val="15"/>
                <w:szCs w:val="22"/>
                <w:lang w:eastAsia="en-US"/>
                <w14:textFill>
                  <w14:solidFill>
                    <w14:schemeClr w14:val="tx1"/>
                  </w14:solidFill>
                </w14:textFill>
              </w:rPr>
              <w:instrText xml:space="preserve">)</w:instrText>
            </w:r>
            <w:r>
              <w:rPr>
                <w:rFonts w:ascii="黑体" w:hAnsi="黑体" w:eastAsia="黑体"/>
                <w:color w:val="000000" w:themeColor="text1"/>
                <w:sz w:val="15"/>
                <w:szCs w:val="22"/>
                <w:lang w:eastAsia="en-US"/>
                <w14:textFill>
                  <w14:solidFill>
                    <w14:schemeClr w14:val="tx1"/>
                  </w14:solidFill>
                </w14:textFill>
              </w:rPr>
              <w:fldChar w:fldCharType="end"/>
            </w:r>
            <w:r>
              <w:rPr>
                <w:rFonts w:ascii="黑体" w:hAnsi="黑体" w:eastAsia="黑体"/>
                <w:color w:val="000000" w:themeColor="text1"/>
                <w:sz w:val="15"/>
                <w:szCs w:val="22"/>
                <w:lang w:eastAsia="en-US"/>
                <w14:textFill>
                  <w14:solidFill>
                    <w14:schemeClr w14:val="tx1"/>
                  </w14:solidFill>
                </w14:textFill>
              </w:rPr>
              <w:t>新建</w:t>
            </w:r>
            <w:r>
              <w:rPr>
                <w:rFonts w:ascii="黑体" w:hAnsi="黑体" w:eastAsia="黑体"/>
                <w:color w:val="000000" w:themeColor="text1"/>
                <w:sz w:val="15"/>
                <w:szCs w:val="22"/>
                <w:lang w:eastAsia="en-US"/>
                <w14:textFill>
                  <w14:solidFill>
                    <w14:schemeClr w14:val="tx1"/>
                  </w14:solidFill>
                </w14:textFill>
              </w:rPr>
              <w:tab/>
            </w:r>
            <w:r>
              <w:rPr>
                <w:rFonts w:ascii="黑体" w:hAnsi="黑体" w:eastAsia="黑体"/>
                <w:color w:val="000000" w:themeColor="text1"/>
                <w:sz w:val="15"/>
                <w:szCs w:val="22"/>
                <w:lang w:eastAsia="en-US"/>
                <w14:textFill>
                  <w14:solidFill>
                    <w14:schemeClr w14:val="tx1"/>
                  </w14:solidFill>
                </w14:textFill>
              </w:rPr>
              <w:fldChar w:fldCharType="begin"/>
            </w:r>
            <w:r>
              <w:rPr>
                <w:rFonts w:ascii="黑体" w:hAnsi="黑体" w:eastAsia="黑体"/>
                <w:color w:val="000000" w:themeColor="text1"/>
                <w:sz w:val="15"/>
                <w:szCs w:val="22"/>
                <w:lang w:eastAsia="en-US"/>
                <w14:textFill>
                  <w14:solidFill>
                    <w14:schemeClr w14:val="tx1"/>
                  </w14:solidFill>
                </w14:textFill>
              </w:rPr>
              <w:instrText xml:space="preserve"> </w:instrText>
            </w:r>
            <w:r>
              <w:rPr>
                <w:rFonts w:hint="eastAsia" w:ascii="黑体" w:hAnsi="黑体" w:eastAsia="黑体"/>
                <w:color w:val="000000" w:themeColor="text1"/>
                <w:sz w:val="15"/>
                <w:szCs w:val="22"/>
                <w:lang w:eastAsia="en-US"/>
                <w14:textFill>
                  <w14:solidFill>
                    <w14:schemeClr w14:val="tx1"/>
                  </w14:solidFill>
                </w14:textFill>
              </w:rPr>
              <w:instrText xml:space="preserve">eq \o\ac(□)</w:instrText>
            </w:r>
            <w:r>
              <w:rPr>
                <w:rFonts w:ascii="黑体" w:hAnsi="黑体" w:eastAsia="黑体"/>
                <w:color w:val="000000" w:themeColor="text1"/>
                <w:sz w:val="15"/>
                <w:szCs w:val="22"/>
                <w:lang w:eastAsia="en-US"/>
                <w14:textFill>
                  <w14:solidFill>
                    <w14:schemeClr w14:val="tx1"/>
                  </w14:solidFill>
                </w14:textFill>
              </w:rPr>
              <w:fldChar w:fldCharType="end"/>
            </w:r>
            <w:r>
              <w:rPr>
                <w:rFonts w:ascii="黑体" w:hAnsi="黑体" w:eastAsia="黑体"/>
                <w:color w:val="000000" w:themeColor="text1"/>
                <w:sz w:val="15"/>
                <w:szCs w:val="22"/>
                <w:lang w:eastAsia="en-US"/>
                <w14:textFill>
                  <w14:solidFill>
                    <w14:schemeClr w14:val="tx1"/>
                  </w14:solidFill>
                </w14:textFill>
              </w:rPr>
              <w:t>改</w:t>
            </w:r>
            <w:r>
              <w:rPr>
                <w:rFonts w:ascii="黑体" w:hAnsi="黑体" w:eastAsia="黑体"/>
                <w:color w:val="000000" w:themeColor="text1"/>
                <w:spacing w:val="-3"/>
                <w:sz w:val="15"/>
                <w:szCs w:val="22"/>
                <w:lang w:eastAsia="en-US"/>
                <w14:textFill>
                  <w14:solidFill>
                    <w14:schemeClr w14:val="tx1"/>
                  </w14:solidFill>
                </w14:textFill>
              </w:rPr>
              <w:t>扩</w:t>
            </w:r>
            <w:r>
              <w:rPr>
                <w:rFonts w:ascii="黑体" w:hAnsi="黑体" w:eastAsia="黑体"/>
                <w:color w:val="000000" w:themeColor="text1"/>
                <w:sz w:val="15"/>
                <w:szCs w:val="22"/>
                <w:lang w:eastAsia="en-US"/>
                <w14:textFill>
                  <w14:solidFill>
                    <w14:schemeClr w14:val="tx1"/>
                  </w14:solidFill>
                </w14:textFill>
              </w:rPr>
              <w:t>建</w:t>
            </w:r>
            <w:r>
              <w:rPr>
                <w:rFonts w:ascii="黑体" w:hAnsi="黑体" w:eastAsia="黑体"/>
                <w:color w:val="000000" w:themeColor="text1"/>
                <w:sz w:val="15"/>
                <w:szCs w:val="22"/>
                <w:lang w:eastAsia="en-US"/>
                <w14:textFill>
                  <w14:solidFill>
                    <w14:schemeClr w14:val="tx1"/>
                  </w14:solidFill>
                </w14:textFill>
              </w:rPr>
              <w:tab/>
            </w:r>
            <w:r>
              <w:rPr>
                <w:rFonts w:ascii="黑体" w:hAnsi="黑体" w:eastAsia="黑体"/>
                <w:color w:val="000000" w:themeColor="text1"/>
                <w:sz w:val="15"/>
                <w:szCs w:val="22"/>
                <w:lang w:eastAsia="en-US"/>
                <w14:textFill>
                  <w14:solidFill>
                    <w14:schemeClr w14:val="tx1"/>
                  </w14:solidFill>
                </w14:textFill>
              </w:rPr>
              <w:fldChar w:fldCharType="begin"/>
            </w:r>
            <w:r>
              <w:rPr>
                <w:rFonts w:ascii="黑体" w:hAnsi="黑体" w:eastAsia="黑体"/>
                <w:color w:val="000000" w:themeColor="text1"/>
                <w:sz w:val="15"/>
                <w:szCs w:val="22"/>
                <w:lang w:eastAsia="en-US"/>
                <w14:textFill>
                  <w14:solidFill>
                    <w14:schemeClr w14:val="tx1"/>
                  </w14:solidFill>
                </w14:textFill>
              </w:rPr>
              <w:instrText xml:space="preserve"> </w:instrText>
            </w:r>
            <w:r>
              <w:rPr>
                <w:rFonts w:hint="eastAsia" w:ascii="黑体" w:hAnsi="黑体" w:eastAsia="黑体"/>
                <w:color w:val="000000" w:themeColor="text1"/>
                <w:sz w:val="15"/>
                <w:szCs w:val="22"/>
                <w:lang w:eastAsia="en-US"/>
                <w14:textFill>
                  <w14:solidFill>
                    <w14:schemeClr w14:val="tx1"/>
                  </w14:solidFill>
                </w14:textFill>
              </w:rPr>
              <w:instrText xml:space="preserve">eq \o\ac(□)</w:instrText>
            </w:r>
            <w:r>
              <w:rPr>
                <w:rFonts w:ascii="黑体" w:hAnsi="黑体" w:eastAsia="黑体"/>
                <w:color w:val="000000" w:themeColor="text1"/>
                <w:sz w:val="15"/>
                <w:szCs w:val="22"/>
                <w:lang w:eastAsia="en-US"/>
                <w14:textFill>
                  <w14:solidFill>
                    <w14:schemeClr w14:val="tx1"/>
                  </w14:solidFill>
                </w14:textFill>
              </w:rPr>
              <w:fldChar w:fldCharType="end"/>
            </w:r>
            <w:r>
              <w:rPr>
                <w:rFonts w:ascii="黑体" w:hAnsi="黑体" w:eastAsia="黑体"/>
                <w:color w:val="000000" w:themeColor="text1"/>
                <w:spacing w:val="-3"/>
                <w:sz w:val="15"/>
                <w:szCs w:val="22"/>
                <w:lang w:eastAsia="en-US"/>
                <w14:textFill>
                  <w14:solidFill>
                    <w14:schemeClr w14:val="tx1"/>
                  </w14:solidFill>
                </w14:textFill>
              </w:rPr>
              <w:t>技</w:t>
            </w:r>
            <w:r>
              <w:rPr>
                <w:rFonts w:ascii="黑体" w:hAnsi="黑体" w:eastAsia="黑体"/>
                <w:color w:val="000000" w:themeColor="text1"/>
                <w:sz w:val="15"/>
                <w:szCs w:val="22"/>
                <w:lang w:eastAsia="en-US"/>
                <w14:textFill>
                  <w14:solidFill>
                    <w14:schemeClr w14:val="tx1"/>
                  </w14:solidFill>
                </w14:textFill>
              </w:rPr>
              <w:t>术</w:t>
            </w:r>
            <w:r>
              <w:rPr>
                <w:rFonts w:ascii="黑体" w:hAnsi="黑体" w:eastAsia="黑体"/>
                <w:color w:val="000000" w:themeColor="text1"/>
                <w:spacing w:val="-3"/>
                <w:sz w:val="15"/>
                <w:szCs w:val="22"/>
                <w:lang w:eastAsia="en-US"/>
                <w14:textFill>
                  <w14:solidFill>
                    <w14:schemeClr w14:val="tx1"/>
                  </w14:solidFill>
                </w14:textFill>
              </w:rPr>
              <w:t>改</w:t>
            </w:r>
            <w:r>
              <w:rPr>
                <w:rFonts w:ascii="黑体" w:hAnsi="黑体" w:eastAsia="黑体"/>
                <w:color w:val="000000" w:themeColor="text1"/>
                <w:sz w:val="15"/>
                <w:szCs w:val="22"/>
                <w:lang w:eastAsia="en-US"/>
                <w14:textFill>
                  <w14:solidFill>
                    <w14:schemeClr w14:val="tx1"/>
                  </w14:solidFill>
                </w14:textFill>
              </w:rPr>
              <w:t>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92" w:type="pct"/>
            <w:vMerge w:val="continue"/>
            <w:tcBorders>
              <w:top w:val="nil"/>
            </w:tcBorders>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000000" w:themeColor="text1"/>
                <w:sz w:val="2"/>
                <w:szCs w:val="2"/>
                <w:lang w:eastAsia="en-US"/>
                <w14:textFill>
                  <w14:solidFill>
                    <w14:schemeClr w14:val="tx1"/>
                  </w14:solidFill>
                </w14:textFill>
              </w:rPr>
            </w:pPr>
          </w:p>
        </w:tc>
        <w:tc>
          <w:tcPr>
            <w:tcW w:w="611"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设计</w:t>
            </w:r>
            <w:r>
              <w:rPr>
                <w:rFonts w:hint="eastAsia" w:ascii="黑体" w:hAnsi="黑体" w:eastAsia="黑体"/>
                <w:b/>
                <w:color w:val="000000" w:themeColor="text1"/>
                <w:sz w:val="15"/>
                <w:szCs w:val="22"/>
                <w:lang w:eastAsia="zh-CN"/>
                <w14:textFill>
                  <w14:solidFill>
                    <w14:schemeClr w14:val="tx1"/>
                  </w14:solidFill>
                </w14:textFill>
              </w:rPr>
              <w:t>销售</w:t>
            </w:r>
            <w:r>
              <w:rPr>
                <w:rFonts w:ascii="黑体" w:hAnsi="黑体" w:eastAsia="黑体"/>
                <w:b/>
                <w:color w:val="000000" w:themeColor="text1"/>
                <w:sz w:val="15"/>
                <w:szCs w:val="22"/>
                <w:lang w:eastAsia="en-US"/>
                <w14:textFill>
                  <w14:solidFill>
                    <w14:schemeClr w14:val="tx1"/>
                  </w14:solidFill>
                </w14:textFill>
              </w:rPr>
              <w:t>能力</w:t>
            </w:r>
          </w:p>
        </w:tc>
        <w:tc>
          <w:tcPr>
            <w:tcW w:w="1371" w:type="pct"/>
            <w:gridSpan w:val="5"/>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eastAsia" w:ascii="黑体" w:hAnsi="黑体" w:eastAsia="黑体" w:cs="宋体"/>
                <w:color w:val="000000" w:themeColor="text1"/>
                <w:sz w:val="15"/>
                <w:szCs w:val="22"/>
                <w:lang w:val="en-US" w:eastAsia="zh-CN"/>
                <w14:textFill>
                  <w14:solidFill>
                    <w14:schemeClr w14:val="tx1"/>
                  </w14:solidFill>
                </w14:textFill>
              </w:rPr>
            </w:pPr>
            <w:r>
              <w:rPr>
                <w:rFonts w:hint="eastAsia" w:ascii="黑体" w:hAnsi="黑体" w:eastAsia="黑体" w:cs="宋体"/>
                <w:color w:val="000000" w:themeColor="text1"/>
                <w:sz w:val="15"/>
                <w:szCs w:val="22"/>
                <w:lang w:val="en-US" w:eastAsia="zh-CN"/>
                <w14:textFill>
                  <w14:solidFill>
                    <w14:schemeClr w14:val="tx1"/>
                  </w14:solidFill>
                </w14:textFill>
              </w:rPr>
              <w:t>/</w:t>
            </w:r>
          </w:p>
        </w:tc>
        <w:tc>
          <w:tcPr>
            <w:tcW w:w="562" w:type="pct"/>
            <w:gridSpan w:val="4"/>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实际</w:t>
            </w:r>
            <w:r>
              <w:rPr>
                <w:rFonts w:hint="eastAsia" w:ascii="黑体" w:hAnsi="黑体" w:eastAsia="黑体"/>
                <w:b/>
                <w:color w:val="000000" w:themeColor="text1"/>
                <w:sz w:val="15"/>
                <w:szCs w:val="22"/>
                <w:lang w:eastAsia="zh-CN"/>
                <w14:textFill>
                  <w14:solidFill>
                    <w14:schemeClr w14:val="tx1"/>
                  </w14:solidFill>
                </w14:textFill>
              </w:rPr>
              <w:t>销售</w:t>
            </w:r>
            <w:r>
              <w:rPr>
                <w:rFonts w:ascii="黑体" w:hAnsi="黑体" w:eastAsia="黑体"/>
                <w:b/>
                <w:color w:val="000000" w:themeColor="text1"/>
                <w:sz w:val="15"/>
                <w:szCs w:val="22"/>
                <w:lang w:eastAsia="en-US"/>
                <w14:textFill>
                  <w14:solidFill>
                    <w14:schemeClr w14:val="tx1"/>
                  </w14:solidFill>
                </w14:textFill>
              </w:rPr>
              <w:t>能力</w:t>
            </w:r>
          </w:p>
        </w:tc>
        <w:tc>
          <w:tcPr>
            <w:tcW w:w="1090"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ascii="Times New Roman" w:hAnsi="Times New Roman" w:eastAsia="黑体" w:cs="Times New Roman"/>
                <w:color w:val="000000" w:themeColor="text1"/>
                <w:sz w:val="15"/>
                <w:szCs w:val="22"/>
                <w:lang w:eastAsia="zh-CN"/>
                <w14:textFill>
                  <w14:solidFill>
                    <w14:schemeClr w14:val="tx1"/>
                  </w14:solidFill>
                </w14:textFill>
              </w:rPr>
            </w:pPr>
            <w:r>
              <w:rPr>
                <w:rFonts w:hint="eastAsia" w:ascii="Times New Roman" w:hAnsi="Times New Roman" w:eastAsia="黑体" w:cs="Times New Roman"/>
                <w:color w:val="000000" w:themeColor="text1"/>
                <w:sz w:val="15"/>
                <w:szCs w:val="22"/>
                <w:lang w:eastAsia="zh-CN"/>
                <w14:textFill>
                  <w14:solidFill>
                    <w14:schemeClr w14:val="tx1"/>
                  </w14:solidFill>
                </w14:textFill>
              </w:rPr>
              <w:t>/</w:t>
            </w:r>
          </w:p>
        </w:tc>
        <w:tc>
          <w:tcPr>
            <w:tcW w:w="607"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环评单位</w:t>
            </w:r>
          </w:p>
        </w:tc>
        <w:tc>
          <w:tcPr>
            <w:tcW w:w="665"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eastAsia"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eastAsia="zh-CN"/>
                <w14:textFill>
                  <w14:solidFill>
                    <w14:schemeClr w14:val="tx1"/>
                  </w14:solidFill>
                </w14:textFill>
              </w:rPr>
              <w:t>重庆三雨生态环境咨询服务有限公司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92" w:type="pct"/>
            <w:vMerge w:val="continue"/>
            <w:tcBorders>
              <w:top w:val="nil"/>
            </w:tcBorders>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000000" w:themeColor="text1"/>
                <w:sz w:val="2"/>
                <w:szCs w:val="2"/>
                <w:lang w:eastAsia="zh-CN"/>
                <w14:textFill>
                  <w14:solidFill>
                    <w14:schemeClr w14:val="tx1"/>
                  </w14:solidFill>
                </w14:textFill>
              </w:rPr>
            </w:pPr>
          </w:p>
        </w:tc>
        <w:tc>
          <w:tcPr>
            <w:tcW w:w="611"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环评文件审批机关</w:t>
            </w:r>
          </w:p>
        </w:tc>
        <w:tc>
          <w:tcPr>
            <w:tcW w:w="1371" w:type="pct"/>
            <w:gridSpan w:val="5"/>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ascii="黑体" w:hAnsi="黑体" w:eastAsia="黑体"/>
                <w:color w:val="000000" w:themeColor="text1"/>
                <w:sz w:val="15"/>
                <w:szCs w:val="22"/>
                <w:lang w:eastAsia="en-US"/>
                <w14:textFill>
                  <w14:solidFill>
                    <w14:schemeClr w14:val="tx1"/>
                  </w14:solidFill>
                </w14:textFill>
              </w:rPr>
            </w:pPr>
            <w:r>
              <w:rPr>
                <w:rFonts w:ascii="黑体" w:hAnsi="黑体" w:eastAsia="黑体"/>
                <w:color w:val="000000" w:themeColor="text1"/>
                <w:sz w:val="15"/>
                <w:szCs w:val="22"/>
                <w:lang w:val="en-US" w:eastAsia="en-US"/>
                <w14:textFill>
                  <w14:solidFill>
                    <w14:schemeClr w14:val="tx1"/>
                  </w14:solidFill>
                </w14:textFill>
              </w:rPr>
              <w:t>重庆市</w:t>
            </w:r>
            <w:r>
              <w:rPr>
                <w:rFonts w:hint="eastAsia" w:ascii="黑体" w:hAnsi="黑体" w:eastAsia="黑体"/>
                <w:color w:val="000000" w:themeColor="text1"/>
                <w:sz w:val="15"/>
                <w:szCs w:val="22"/>
                <w:lang w:val="en-US" w:eastAsia="zh-CN"/>
                <w14:textFill>
                  <w14:solidFill>
                    <w14:schemeClr w14:val="tx1"/>
                  </w14:solidFill>
                </w14:textFill>
              </w:rPr>
              <w:t>万州区生态环境</w:t>
            </w:r>
            <w:r>
              <w:rPr>
                <w:rFonts w:ascii="黑体" w:hAnsi="黑体" w:eastAsia="黑体"/>
                <w:color w:val="000000" w:themeColor="text1"/>
                <w:sz w:val="15"/>
                <w:szCs w:val="22"/>
                <w:lang w:val="en-US" w:eastAsia="en-US"/>
                <w14:textFill>
                  <w14:solidFill>
                    <w14:schemeClr w14:val="tx1"/>
                  </w14:solidFill>
                </w14:textFill>
              </w:rPr>
              <w:t>局</w:t>
            </w:r>
          </w:p>
        </w:tc>
        <w:tc>
          <w:tcPr>
            <w:tcW w:w="562" w:type="pct"/>
            <w:gridSpan w:val="4"/>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审批文号</w:t>
            </w:r>
          </w:p>
        </w:tc>
        <w:tc>
          <w:tcPr>
            <w:tcW w:w="1090"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ascii="黑体" w:hAnsi="黑体" w:eastAsia="黑体"/>
                <w:color w:val="000000" w:themeColor="text1"/>
                <w:sz w:val="15"/>
                <w:szCs w:val="22"/>
                <w:lang w:eastAsia="en-US"/>
                <w14:textFill>
                  <w14:solidFill>
                    <w14:schemeClr w14:val="tx1"/>
                  </w14:solidFill>
                </w14:textFill>
              </w:rPr>
            </w:pPr>
          </w:p>
        </w:tc>
        <w:tc>
          <w:tcPr>
            <w:tcW w:w="607"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环评文件类型</w:t>
            </w:r>
          </w:p>
        </w:tc>
        <w:tc>
          <w:tcPr>
            <w:tcW w:w="665"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ascii="黑体" w:hAnsi="黑体" w:eastAsia="黑体"/>
                <w:color w:val="000000" w:themeColor="text1"/>
                <w:sz w:val="15"/>
                <w:szCs w:val="22"/>
                <w:lang w:eastAsia="zh-CN"/>
                <w14:textFill>
                  <w14:solidFill>
                    <w14:schemeClr w14:val="tx1"/>
                  </w14:solidFill>
                </w14:textFill>
              </w:rPr>
            </w:pPr>
            <w:r>
              <w:rPr>
                <w:rFonts w:hint="eastAsia" w:ascii="黑体" w:hAnsi="黑体" w:eastAsia="黑体"/>
                <w:color w:val="000000" w:themeColor="text1"/>
                <w:sz w:val="15"/>
                <w:szCs w:val="22"/>
                <w:lang w:eastAsia="en-US"/>
                <w14:textFill>
                  <w14:solidFill>
                    <w14:schemeClr w14:val="tx1"/>
                  </w14:solidFill>
                </w14:textFill>
              </w:rPr>
              <w:t>环境影响报告</w:t>
            </w:r>
            <w:r>
              <w:rPr>
                <w:rFonts w:hint="eastAsia" w:ascii="黑体" w:hAnsi="黑体" w:eastAsia="黑体"/>
                <w:color w:val="000000" w:themeColor="text1"/>
                <w:sz w:val="15"/>
                <w:szCs w:val="22"/>
                <w:lang w:eastAsia="zh-CN"/>
                <w14:textFill>
                  <w14:solidFill>
                    <w14:schemeClr w14:val="tx1"/>
                  </w14:solidFill>
                </w14:textFill>
              </w:rPr>
              <w:t>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92" w:type="pct"/>
            <w:vMerge w:val="continue"/>
            <w:tcBorders>
              <w:top w:val="nil"/>
            </w:tcBorders>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000000" w:themeColor="text1"/>
                <w:sz w:val="2"/>
                <w:szCs w:val="2"/>
                <w:lang w:eastAsia="en-US"/>
                <w14:textFill>
                  <w14:solidFill>
                    <w14:schemeClr w14:val="tx1"/>
                  </w14:solidFill>
                </w14:textFill>
              </w:rPr>
            </w:pPr>
          </w:p>
        </w:tc>
        <w:tc>
          <w:tcPr>
            <w:tcW w:w="611"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开工日期</w:t>
            </w:r>
          </w:p>
        </w:tc>
        <w:tc>
          <w:tcPr>
            <w:tcW w:w="1371" w:type="pct"/>
            <w:gridSpan w:val="5"/>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eastAsia="en-US"/>
                <w14:textFill>
                  <w14:solidFill>
                    <w14:schemeClr w14:val="tx1"/>
                  </w14:solidFill>
                </w14:textFill>
              </w:rPr>
              <w:t>20</w:t>
            </w:r>
            <w:r>
              <w:rPr>
                <w:rFonts w:hint="eastAsia" w:ascii="黑体" w:hAnsi="黑体" w:eastAsia="黑体"/>
                <w:color w:val="000000" w:themeColor="text1"/>
                <w:sz w:val="15"/>
                <w:szCs w:val="22"/>
                <w:lang w:val="en-US" w:eastAsia="zh-CN"/>
                <w14:textFill>
                  <w14:solidFill>
                    <w14:schemeClr w14:val="tx1"/>
                  </w14:solidFill>
                </w14:textFill>
              </w:rPr>
              <w:t>22.2</w:t>
            </w:r>
          </w:p>
        </w:tc>
        <w:tc>
          <w:tcPr>
            <w:tcW w:w="562" w:type="pct"/>
            <w:gridSpan w:val="4"/>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竣工日期</w:t>
            </w:r>
          </w:p>
        </w:tc>
        <w:tc>
          <w:tcPr>
            <w:tcW w:w="1090"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ascii="黑体" w:hAnsi="黑体" w:eastAsia="黑体"/>
                <w:color w:val="000000" w:themeColor="text1"/>
                <w:sz w:val="15"/>
                <w:szCs w:val="22"/>
                <w:lang w:eastAsia="zh-CN"/>
                <w14:textFill>
                  <w14:solidFill>
                    <w14:schemeClr w14:val="tx1"/>
                  </w14:solidFill>
                </w14:textFill>
              </w:rPr>
            </w:pPr>
            <w:r>
              <w:rPr>
                <w:rFonts w:hint="eastAsia" w:ascii="黑体" w:hAnsi="黑体" w:eastAsia="黑体"/>
                <w:color w:val="000000" w:themeColor="text1"/>
                <w:sz w:val="15"/>
                <w:szCs w:val="22"/>
                <w:lang w:eastAsia="en-US"/>
                <w14:textFill>
                  <w14:solidFill>
                    <w14:schemeClr w14:val="tx1"/>
                  </w14:solidFill>
                </w14:textFill>
              </w:rPr>
              <w:t>20</w:t>
            </w:r>
            <w:r>
              <w:rPr>
                <w:rFonts w:hint="eastAsia" w:ascii="黑体" w:hAnsi="黑体" w:eastAsia="黑体"/>
                <w:color w:val="000000" w:themeColor="text1"/>
                <w:sz w:val="15"/>
                <w:szCs w:val="22"/>
                <w:lang w:val="en-US" w:eastAsia="zh-CN"/>
                <w14:textFill>
                  <w14:solidFill>
                    <w14:schemeClr w14:val="tx1"/>
                  </w14:solidFill>
                </w14:textFill>
              </w:rPr>
              <w:t>23</w:t>
            </w:r>
            <w:r>
              <w:rPr>
                <w:rFonts w:hint="eastAsia" w:ascii="黑体" w:hAnsi="黑体" w:eastAsia="黑体"/>
                <w:color w:val="000000" w:themeColor="text1"/>
                <w:sz w:val="15"/>
                <w:szCs w:val="22"/>
                <w:lang w:eastAsia="zh-CN"/>
                <w14:textFill>
                  <w14:solidFill>
                    <w14:schemeClr w14:val="tx1"/>
                  </w14:solidFill>
                </w14:textFill>
              </w:rPr>
              <w:t>.</w:t>
            </w:r>
            <w:r>
              <w:rPr>
                <w:rFonts w:hint="eastAsia" w:ascii="黑体" w:hAnsi="黑体" w:eastAsia="黑体"/>
                <w:color w:val="000000" w:themeColor="text1"/>
                <w:sz w:val="15"/>
                <w:szCs w:val="22"/>
                <w:lang w:val="en-US" w:eastAsia="zh-CN"/>
                <w14:textFill>
                  <w14:solidFill>
                    <w14:schemeClr w14:val="tx1"/>
                  </w14:solidFill>
                </w14:textFill>
              </w:rPr>
              <w:t>12</w:t>
            </w:r>
            <w:r>
              <w:rPr>
                <w:rFonts w:ascii="黑体" w:hAnsi="黑体" w:eastAsia="黑体"/>
                <w:color w:val="000000" w:themeColor="text1"/>
                <w:sz w:val="15"/>
                <w:szCs w:val="22"/>
                <w:lang w:eastAsia="zh-CN"/>
                <w14:textFill>
                  <w14:solidFill>
                    <w14:schemeClr w14:val="tx1"/>
                  </w14:solidFill>
                </w14:textFill>
              </w:rPr>
              <w:t xml:space="preserve"> </w:t>
            </w:r>
          </w:p>
        </w:tc>
        <w:tc>
          <w:tcPr>
            <w:tcW w:w="607"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排污许可证申领时间</w:t>
            </w:r>
          </w:p>
        </w:tc>
        <w:tc>
          <w:tcPr>
            <w:tcW w:w="665"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ascii="黑体" w:hAnsi="黑体" w:eastAsia="黑体"/>
                <w:color w:val="000000" w:themeColor="text1"/>
                <w:sz w:val="15"/>
                <w:szCs w:val="22"/>
                <w:lang w:eastAsia="en-US"/>
                <w14:textFill>
                  <w14:solidFill>
                    <w14:schemeClr w14:val="tx1"/>
                  </w14:solidFill>
                </w14:textFill>
              </w:rPr>
            </w:pPr>
            <w:r>
              <w:rPr>
                <w:rFonts w:ascii="Times New Roman" w:hAnsi="Times New Roman" w:eastAsia="黑体" w:cs="Times New Roman"/>
                <w:color w:val="000000" w:themeColor="text1"/>
                <w:sz w:val="15"/>
                <w:szCs w:val="22"/>
                <w:lang w:eastAsia="en-US"/>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92" w:type="pct"/>
            <w:vMerge w:val="continue"/>
            <w:tcBorders>
              <w:top w:val="nil"/>
            </w:tcBorders>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000000" w:themeColor="text1"/>
                <w:sz w:val="2"/>
                <w:szCs w:val="2"/>
                <w:lang w:eastAsia="en-US"/>
                <w14:textFill>
                  <w14:solidFill>
                    <w14:schemeClr w14:val="tx1"/>
                  </w14:solidFill>
                </w14:textFill>
              </w:rPr>
            </w:pPr>
          </w:p>
        </w:tc>
        <w:tc>
          <w:tcPr>
            <w:tcW w:w="611"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环保设施设计单位</w:t>
            </w:r>
          </w:p>
        </w:tc>
        <w:tc>
          <w:tcPr>
            <w:tcW w:w="1371" w:type="pct"/>
            <w:gridSpan w:val="5"/>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w:t>
            </w:r>
          </w:p>
        </w:tc>
        <w:tc>
          <w:tcPr>
            <w:tcW w:w="562" w:type="pct"/>
            <w:gridSpan w:val="4"/>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环保设施施工单位</w:t>
            </w:r>
          </w:p>
        </w:tc>
        <w:tc>
          <w:tcPr>
            <w:tcW w:w="1090"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w:t>
            </w:r>
          </w:p>
        </w:tc>
        <w:tc>
          <w:tcPr>
            <w:tcW w:w="607"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本工程排污许可证编号</w:t>
            </w:r>
          </w:p>
        </w:tc>
        <w:tc>
          <w:tcPr>
            <w:tcW w:w="665"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ascii="黑体" w:hAnsi="黑体" w:eastAsia="黑体"/>
                <w:color w:val="000000" w:themeColor="text1"/>
                <w:sz w:val="15"/>
                <w:szCs w:val="22"/>
                <w:lang w:eastAsia="en-US"/>
                <w14:textFill>
                  <w14:solidFill>
                    <w14:schemeClr w14:val="tx1"/>
                  </w14:solidFill>
                </w14:textFill>
              </w:rPr>
            </w:pPr>
            <w:r>
              <w:rPr>
                <w:rFonts w:ascii="Times New Roman" w:hAnsi="Times New Roman" w:eastAsia="黑体" w:cs="Times New Roman"/>
                <w:color w:val="000000" w:themeColor="text1"/>
                <w:sz w:val="15"/>
                <w:szCs w:val="22"/>
                <w:lang w:eastAsia="en-US"/>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92" w:type="pct"/>
            <w:vMerge w:val="continue"/>
            <w:tcBorders>
              <w:top w:val="nil"/>
            </w:tcBorders>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000000" w:themeColor="text1"/>
                <w:sz w:val="2"/>
                <w:szCs w:val="2"/>
                <w:lang w:eastAsia="en-US"/>
                <w14:textFill>
                  <w14:solidFill>
                    <w14:schemeClr w14:val="tx1"/>
                  </w14:solidFill>
                </w14:textFill>
              </w:rPr>
            </w:pPr>
          </w:p>
        </w:tc>
        <w:tc>
          <w:tcPr>
            <w:tcW w:w="611"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验收单位</w:t>
            </w:r>
          </w:p>
        </w:tc>
        <w:tc>
          <w:tcPr>
            <w:tcW w:w="1371" w:type="pct"/>
            <w:gridSpan w:val="5"/>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ascii="黑体" w:hAnsi="黑体" w:eastAsia="黑体"/>
                <w:color w:val="000000" w:themeColor="text1"/>
                <w:sz w:val="15"/>
                <w:szCs w:val="22"/>
                <w:lang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重庆万世缘环保科技有限公司</w:t>
            </w:r>
          </w:p>
        </w:tc>
        <w:tc>
          <w:tcPr>
            <w:tcW w:w="562" w:type="pct"/>
            <w:gridSpan w:val="4"/>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环保设施监测单位</w:t>
            </w:r>
          </w:p>
        </w:tc>
        <w:tc>
          <w:tcPr>
            <w:tcW w:w="1090"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ascii="黑体" w:hAnsi="黑体" w:eastAsia="黑体"/>
                <w:color w:val="000000" w:themeColor="text1"/>
                <w:sz w:val="15"/>
                <w:szCs w:val="22"/>
                <w:lang w:eastAsia="zh-CN"/>
                <w14:textFill>
                  <w14:solidFill>
                    <w14:schemeClr w14:val="tx1"/>
                  </w14:solidFill>
                </w14:textFill>
              </w:rPr>
            </w:pPr>
            <w:r>
              <w:rPr>
                <w:rFonts w:hint="eastAsia" w:ascii="Times New Roman" w:hAnsi="Times New Roman" w:eastAsia="黑体" w:cs="Times New Roman"/>
                <w:color w:val="000000" w:themeColor="text1"/>
                <w:sz w:val="15"/>
                <w:szCs w:val="22"/>
                <w:lang w:val="en-US" w:eastAsia="zh-CN"/>
                <w14:textFill>
                  <w14:solidFill>
                    <w14:schemeClr w14:val="tx1"/>
                  </w14:solidFill>
                </w14:textFill>
              </w:rPr>
              <w:t>/</w:t>
            </w:r>
          </w:p>
        </w:tc>
        <w:tc>
          <w:tcPr>
            <w:tcW w:w="607"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验收监测时工况</w:t>
            </w:r>
          </w:p>
        </w:tc>
        <w:tc>
          <w:tcPr>
            <w:tcW w:w="665"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ascii="黑体" w:hAnsi="黑体" w:eastAsia="黑体"/>
                <w:color w:val="000000" w:themeColor="text1"/>
                <w:sz w:val="15"/>
                <w:szCs w:val="22"/>
                <w:lang w:eastAsia="zh-CN"/>
                <w14:textFill>
                  <w14:solidFill>
                    <w14:schemeClr w14:val="tx1"/>
                  </w14:solidFill>
                </w14:textFill>
              </w:rPr>
            </w:pPr>
            <w:r>
              <w:rPr>
                <w:rFonts w:hint="eastAsia" w:ascii="Times New Roman" w:hAnsi="Times New Roman" w:eastAsia="黑体" w:cs="Times New Roman"/>
                <w:color w:val="000000" w:themeColor="text1"/>
                <w:sz w:val="15"/>
                <w:szCs w:val="22"/>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92" w:type="pct"/>
            <w:vMerge w:val="continue"/>
            <w:tcBorders>
              <w:top w:val="nil"/>
            </w:tcBorders>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000000" w:themeColor="text1"/>
                <w:sz w:val="2"/>
                <w:szCs w:val="2"/>
                <w:lang w:eastAsia="en-US"/>
                <w14:textFill>
                  <w14:solidFill>
                    <w14:schemeClr w14:val="tx1"/>
                  </w14:solidFill>
                </w14:textFill>
              </w:rPr>
            </w:pPr>
          </w:p>
        </w:tc>
        <w:tc>
          <w:tcPr>
            <w:tcW w:w="611"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投资总概算（万元）</w:t>
            </w:r>
          </w:p>
        </w:tc>
        <w:tc>
          <w:tcPr>
            <w:tcW w:w="1371" w:type="pct"/>
            <w:gridSpan w:val="5"/>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16400.00</w:t>
            </w:r>
          </w:p>
        </w:tc>
        <w:tc>
          <w:tcPr>
            <w:tcW w:w="562" w:type="pct"/>
            <w:gridSpan w:val="4"/>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zh-CN"/>
                <w14:textFill>
                  <w14:solidFill>
                    <w14:schemeClr w14:val="tx1"/>
                  </w14:solidFill>
                </w14:textFill>
              </w:rPr>
            </w:pPr>
            <w:r>
              <w:rPr>
                <w:rFonts w:hint="eastAsia" w:ascii="黑体" w:hAnsi="黑体" w:eastAsia="黑体" w:cs="宋体"/>
                <w:b/>
                <w:color w:val="000000" w:themeColor="text1"/>
                <w:sz w:val="15"/>
                <w:szCs w:val="22"/>
                <w:lang w:eastAsia="zh-CN"/>
                <w14:textFill>
                  <w14:solidFill>
                    <w14:schemeClr w14:val="tx1"/>
                  </w14:solidFill>
                </w14:textFill>
              </w:rPr>
              <w:t>环保投资总概算（万元）</w:t>
            </w:r>
          </w:p>
        </w:tc>
        <w:tc>
          <w:tcPr>
            <w:tcW w:w="1090"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274.00</w:t>
            </w:r>
          </w:p>
        </w:tc>
        <w:tc>
          <w:tcPr>
            <w:tcW w:w="607"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所占比例（%）</w:t>
            </w:r>
          </w:p>
        </w:tc>
        <w:tc>
          <w:tcPr>
            <w:tcW w:w="665"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92" w:type="pct"/>
            <w:vMerge w:val="continue"/>
            <w:tcBorders>
              <w:top w:val="nil"/>
            </w:tcBorders>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000000" w:themeColor="text1"/>
                <w:sz w:val="2"/>
                <w:szCs w:val="2"/>
                <w:lang w:eastAsia="en-US"/>
                <w14:textFill>
                  <w14:solidFill>
                    <w14:schemeClr w14:val="tx1"/>
                  </w14:solidFill>
                </w14:textFill>
              </w:rPr>
            </w:pPr>
          </w:p>
        </w:tc>
        <w:tc>
          <w:tcPr>
            <w:tcW w:w="611"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实际总投资（万元）</w:t>
            </w:r>
          </w:p>
        </w:tc>
        <w:tc>
          <w:tcPr>
            <w:tcW w:w="1371" w:type="pct"/>
            <w:gridSpan w:val="5"/>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16400.00</w:t>
            </w:r>
          </w:p>
        </w:tc>
        <w:tc>
          <w:tcPr>
            <w:tcW w:w="562" w:type="pct"/>
            <w:gridSpan w:val="4"/>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zh-CN"/>
                <w14:textFill>
                  <w14:solidFill>
                    <w14:schemeClr w14:val="tx1"/>
                  </w14:solidFill>
                </w14:textFill>
              </w:rPr>
            </w:pPr>
            <w:r>
              <w:rPr>
                <w:rFonts w:hint="eastAsia" w:ascii="黑体" w:hAnsi="黑体" w:eastAsia="黑体" w:cs="宋体"/>
                <w:b/>
                <w:color w:val="000000" w:themeColor="text1"/>
                <w:sz w:val="15"/>
                <w:szCs w:val="22"/>
                <w:lang w:eastAsia="zh-CN"/>
                <w14:textFill>
                  <w14:solidFill>
                    <w14:schemeClr w14:val="tx1"/>
                  </w14:solidFill>
                </w14:textFill>
              </w:rPr>
              <w:t>实际环保投资（万元）</w:t>
            </w:r>
          </w:p>
        </w:tc>
        <w:tc>
          <w:tcPr>
            <w:tcW w:w="1090"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274.00</w:t>
            </w:r>
          </w:p>
        </w:tc>
        <w:tc>
          <w:tcPr>
            <w:tcW w:w="607"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所占比例（%）</w:t>
            </w:r>
          </w:p>
        </w:tc>
        <w:tc>
          <w:tcPr>
            <w:tcW w:w="665"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92" w:type="pct"/>
            <w:vMerge w:val="continue"/>
            <w:tcBorders>
              <w:top w:val="nil"/>
            </w:tcBorders>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FF0000"/>
                <w:sz w:val="2"/>
                <w:szCs w:val="2"/>
                <w:lang w:eastAsia="en-US"/>
              </w:rPr>
            </w:pPr>
          </w:p>
        </w:tc>
        <w:tc>
          <w:tcPr>
            <w:tcW w:w="611"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废水治理（万元）</w:t>
            </w:r>
          </w:p>
        </w:tc>
        <w:tc>
          <w:tcPr>
            <w:tcW w:w="28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70</w:t>
            </w:r>
          </w:p>
        </w:tc>
        <w:tc>
          <w:tcPr>
            <w:tcW w:w="424"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210" w:rightChars="-100"/>
              <w:jc w:val="both"/>
              <w:textAlignment w:val="auto"/>
              <w:rPr>
                <w:rFonts w:ascii="黑体" w:hAnsi="黑体" w:eastAsia="黑体"/>
                <w:b/>
                <w:color w:val="000000" w:themeColor="text1"/>
                <w:sz w:val="15"/>
                <w:szCs w:val="22"/>
                <w:lang w:eastAsia="en-US"/>
                <w14:textFill>
                  <w14:solidFill>
                    <w14:schemeClr w14:val="tx1"/>
                  </w14:solidFill>
                </w14:textFill>
              </w:rPr>
            </w:pPr>
            <w:r>
              <w:rPr>
                <w:rFonts w:hint="eastAsia" w:ascii="黑体" w:hAnsi="黑体" w:eastAsia="黑体" w:cs="宋体"/>
                <w:b/>
                <w:color w:val="000000" w:themeColor="text1"/>
                <w:sz w:val="15"/>
                <w:szCs w:val="22"/>
                <w:lang w:eastAsia="en-US"/>
                <w14:textFill>
                  <w14:solidFill>
                    <w14:schemeClr w14:val="tx1"/>
                  </w14:solidFill>
                </w14:textFill>
              </w:rPr>
              <w:t>废气治理（万元）</w:t>
            </w:r>
          </w:p>
        </w:tc>
        <w:tc>
          <w:tcPr>
            <w:tcW w:w="331"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70</w:t>
            </w:r>
          </w:p>
        </w:tc>
        <w:tc>
          <w:tcPr>
            <w:tcW w:w="527"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噪声治理（万元）</w:t>
            </w:r>
          </w:p>
        </w:tc>
        <w:tc>
          <w:tcPr>
            <w:tcW w:w="320"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Times New Roman" w:hAnsi="Times New Roman" w:eastAsia="黑体" w:cs="Times New Roman"/>
                <w:color w:val="000000" w:themeColor="text1"/>
                <w:sz w:val="15"/>
                <w:szCs w:val="22"/>
                <w:lang w:val="en-US" w:eastAsia="zh-CN"/>
                <w14:textFill>
                  <w14:solidFill>
                    <w14:schemeClr w14:val="tx1"/>
                  </w14:solidFill>
                </w14:textFill>
              </w:rPr>
              <w:t>50</w:t>
            </w:r>
          </w:p>
        </w:tc>
        <w:tc>
          <w:tcPr>
            <w:tcW w:w="710"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固体废物治理（万元）</w:t>
            </w:r>
          </w:p>
        </w:tc>
        <w:tc>
          <w:tcPr>
            <w:tcW w:w="42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30</w:t>
            </w:r>
          </w:p>
        </w:tc>
        <w:tc>
          <w:tcPr>
            <w:tcW w:w="607"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绿化及生态（万元）</w:t>
            </w:r>
          </w:p>
        </w:tc>
        <w:tc>
          <w:tcPr>
            <w:tcW w:w="139"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50</w:t>
            </w:r>
          </w:p>
        </w:tc>
        <w:tc>
          <w:tcPr>
            <w:tcW w:w="220"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pacing w:val="-26"/>
                <w:sz w:val="15"/>
                <w:szCs w:val="22"/>
                <w:lang w:eastAsia="en-US"/>
                <w14:textFill>
                  <w14:solidFill>
                    <w14:schemeClr w14:val="tx1"/>
                  </w14:solidFill>
                </w14:textFill>
              </w:rPr>
              <w:t>其他</w:t>
            </w:r>
            <w:r>
              <w:rPr>
                <w:rFonts w:ascii="黑体" w:hAnsi="黑体" w:eastAsia="黑体"/>
                <w:b/>
                <w:color w:val="000000" w:themeColor="text1"/>
                <w:sz w:val="15"/>
                <w:szCs w:val="22"/>
                <w:lang w:eastAsia="en-US"/>
                <w14:textFill>
                  <w14:solidFill>
                    <w14:schemeClr w14:val="tx1"/>
                  </w14:solidFill>
                </w14:textFill>
              </w:rPr>
              <w:t>（</w:t>
            </w:r>
            <w:r>
              <w:rPr>
                <w:rFonts w:ascii="黑体" w:hAnsi="黑体" w:eastAsia="黑体"/>
                <w:b/>
                <w:color w:val="000000" w:themeColor="text1"/>
                <w:spacing w:val="-3"/>
                <w:sz w:val="15"/>
                <w:szCs w:val="22"/>
                <w:lang w:eastAsia="en-US"/>
                <w14:textFill>
                  <w14:solidFill>
                    <w14:schemeClr w14:val="tx1"/>
                  </w14:solidFill>
                </w14:textFill>
              </w:rPr>
              <w:t>万元</w:t>
            </w:r>
            <w:r>
              <w:rPr>
                <w:rFonts w:ascii="黑体" w:hAnsi="黑体" w:eastAsia="黑体"/>
                <w:b/>
                <w:color w:val="000000" w:themeColor="text1"/>
                <w:sz w:val="15"/>
                <w:szCs w:val="22"/>
                <w:lang w:eastAsia="en-US"/>
                <w14:textFill>
                  <w14:solidFill>
                    <w14:schemeClr w14:val="tx1"/>
                  </w14:solidFill>
                </w14:textFill>
              </w:rPr>
              <w:t>）</w:t>
            </w:r>
          </w:p>
        </w:tc>
        <w:tc>
          <w:tcPr>
            <w:tcW w:w="305"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Times New Roman" w:hAnsi="Times New Roman" w:eastAsia="黑体" w:cs="Times New Roman"/>
                <w:color w:val="000000" w:themeColor="text1"/>
                <w:sz w:val="15"/>
                <w:szCs w:val="22"/>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92" w:type="pct"/>
            <w:vMerge w:val="continue"/>
            <w:tcBorders>
              <w:top w:val="nil"/>
            </w:tcBorders>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FF0000"/>
                <w:sz w:val="2"/>
                <w:szCs w:val="2"/>
                <w:lang w:eastAsia="en-US"/>
              </w:rPr>
            </w:pPr>
          </w:p>
        </w:tc>
        <w:tc>
          <w:tcPr>
            <w:tcW w:w="611"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新增废水处理设施能力</w:t>
            </w:r>
          </w:p>
        </w:tc>
        <w:tc>
          <w:tcPr>
            <w:tcW w:w="1887" w:type="pct"/>
            <w:gridSpan w:val="8"/>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center"/>
              <w:textAlignment w:val="auto"/>
              <w:rPr>
                <w:rFonts w:hint="eastAsia"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w:t>
            </w:r>
          </w:p>
        </w:tc>
        <w:tc>
          <w:tcPr>
            <w:tcW w:w="710"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新增废气处理设施能力</w:t>
            </w:r>
          </w:p>
        </w:tc>
        <w:tc>
          <w:tcPr>
            <w:tcW w:w="42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center"/>
              <w:textAlignment w:val="auto"/>
              <w:rPr>
                <w:rFonts w:ascii="黑体" w:hAnsi="黑体" w:eastAsia="黑体"/>
                <w:b/>
                <w:color w:val="000000" w:themeColor="text1"/>
                <w:sz w:val="15"/>
                <w:szCs w:val="22"/>
                <w:lang w:eastAsia="en-US"/>
                <w14:textFill>
                  <w14:solidFill>
                    <w14:schemeClr w14:val="tx1"/>
                  </w14:solidFill>
                </w14:textFill>
              </w:rPr>
            </w:pPr>
            <w:r>
              <w:rPr>
                <w:rFonts w:ascii="Times New Roman" w:hAnsi="Times New Roman" w:eastAsia="黑体" w:cs="Times New Roman"/>
                <w:color w:val="000000" w:themeColor="text1"/>
                <w:sz w:val="15"/>
                <w:szCs w:val="22"/>
                <w:lang w:eastAsia="en-US"/>
                <w14:textFill>
                  <w14:solidFill>
                    <w14:schemeClr w14:val="tx1"/>
                  </w14:solidFill>
                </w14:textFill>
              </w:rPr>
              <w:t>/</w:t>
            </w:r>
          </w:p>
        </w:tc>
        <w:tc>
          <w:tcPr>
            <w:tcW w:w="607"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年平均工作时（h/a）</w:t>
            </w:r>
          </w:p>
        </w:tc>
        <w:tc>
          <w:tcPr>
            <w:tcW w:w="665"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center"/>
              <w:textAlignment w:val="auto"/>
              <w:rPr>
                <w:rFonts w:hint="eastAsia" w:ascii="黑体" w:hAnsi="黑体" w:eastAsia="黑体"/>
                <w:color w:val="000000" w:themeColor="text1"/>
                <w:sz w:val="15"/>
                <w:szCs w:val="22"/>
                <w:lang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703" w:type="pct"/>
            <w:gridSpan w:val="4"/>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运营单位</w:t>
            </w:r>
          </w:p>
        </w:tc>
        <w:tc>
          <w:tcPr>
            <w:tcW w:w="1371" w:type="pct"/>
            <w:gridSpan w:val="5"/>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center"/>
              <w:textAlignment w:val="auto"/>
              <w:rPr>
                <w:rFonts w:ascii="黑体" w:hAnsi="黑体" w:eastAsia="黑体"/>
                <w:b/>
                <w:color w:val="000000" w:themeColor="text1"/>
                <w:sz w:val="15"/>
                <w:szCs w:val="22"/>
                <w:lang w:eastAsia="en-US"/>
                <w14:textFill>
                  <w14:solidFill>
                    <w14:schemeClr w14:val="tx1"/>
                  </w14:solidFill>
                </w14:textFill>
              </w:rPr>
            </w:pPr>
            <w:r>
              <w:rPr>
                <w:rFonts w:hint="eastAsia" w:ascii="黑体" w:hAnsi="黑体" w:eastAsia="黑体" w:cs="宋体"/>
                <w:color w:val="000000" w:themeColor="text1"/>
                <w:sz w:val="15"/>
                <w:szCs w:val="22"/>
                <w:lang w:val="en-US" w:eastAsia="zh-CN"/>
                <w14:textFill>
                  <w14:solidFill>
                    <w14:schemeClr w14:val="tx1"/>
                  </w14:solidFill>
                </w14:textFill>
              </w:rPr>
              <w:t>重庆平湖环保工程有限责任公司</w:t>
            </w:r>
          </w:p>
        </w:tc>
        <w:tc>
          <w:tcPr>
            <w:tcW w:w="1225" w:type="pct"/>
            <w:gridSpan w:val="6"/>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运营单位社会统一信用代码（或组织机构代码）</w:t>
            </w:r>
          </w:p>
        </w:tc>
        <w:tc>
          <w:tcPr>
            <w:tcW w:w="754"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center"/>
              <w:textAlignment w:val="auto"/>
              <w:rPr>
                <w:rFonts w:hint="default" w:ascii="黑体" w:hAnsi="黑体" w:eastAsia="黑体"/>
                <w:b/>
                <w:color w:val="000000" w:themeColor="text1"/>
                <w:sz w:val="15"/>
                <w:szCs w:val="22"/>
                <w:lang w:val="en-US" w:eastAsia="zh-CN"/>
                <w14:textFill>
                  <w14:solidFill>
                    <w14:schemeClr w14:val="tx1"/>
                  </w14:solidFill>
                </w14:textFill>
              </w:rPr>
            </w:pPr>
            <w:r>
              <w:rPr>
                <w:rFonts w:hint="default" w:ascii="黑体" w:hAnsi="黑体" w:eastAsia="黑体" w:cs="宋体"/>
                <w:color w:val="000000" w:themeColor="text1"/>
                <w:sz w:val="15"/>
                <w:szCs w:val="22"/>
                <w:lang w:val="en-US" w:eastAsia="zh-CN"/>
                <w14:textFill>
                  <w14:solidFill>
                    <w14:schemeClr w14:val="tx1"/>
                  </w14:solidFill>
                </w14:textFill>
              </w:rPr>
              <w:t>91500101MAABNUWQ97</w:t>
            </w:r>
          </w:p>
        </w:tc>
        <w:tc>
          <w:tcPr>
            <w:tcW w:w="279"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验收时间</w:t>
            </w:r>
          </w:p>
        </w:tc>
        <w:tc>
          <w:tcPr>
            <w:tcW w:w="665"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right="-105" w:rightChars="-50"/>
              <w:jc w:val="center"/>
              <w:textAlignment w:val="auto"/>
              <w:rPr>
                <w:rFonts w:hint="default" w:ascii="黑体" w:hAnsi="黑体" w:eastAsia="黑体"/>
                <w:b/>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eastAsia="en-US"/>
                <w14:textFill>
                  <w14:solidFill>
                    <w14:schemeClr w14:val="tx1"/>
                  </w14:solidFill>
                </w14:textFill>
              </w:rPr>
              <w:t>20</w:t>
            </w:r>
            <w:r>
              <w:rPr>
                <w:rFonts w:hint="eastAsia" w:ascii="黑体" w:hAnsi="黑体" w:eastAsia="黑体"/>
                <w:color w:val="000000" w:themeColor="text1"/>
                <w:sz w:val="15"/>
                <w:szCs w:val="22"/>
                <w:lang w:val="en-US" w:eastAsia="zh-CN"/>
                <w14:textFill>
                  <w14:solidFill>
                    <w14:schemeClr w14:val="tx1"/>
                  </w14:solidFill>
                </w14:textFill>
              </w:rPr>
              <w:t>24</w:t>
            </w:r>
            <w:r>
              <w:rPr>
                <w:rFonts w:hint="eastAsia" w:ascii="黑体" w:hAnsi="黑体" w:eastAsia="黑体"/>
                <w:color w:val="000000" w:themeColor="text1"/>
                <w:sz w:val="15"/>
                <w:szCs w:val="22"/>
                <w:lang w:eastAsia="en-US"/>
                <w14:textFill>
                  <w14:solidFill>
                    <w14:schemeClr w14:val="tx1"/>
                  </w14:solidFill>
                </w14:textFill>
              </w:rPr>
              <w:t>.</w:t>
            </w:r>
            <w:r>
              <w:rPr>
                <w:rFonts w:hint="eastAsia" w:ascii="黑体" w:hAnsi="黑体" w:eastAsia="黑体"/>
                <w:color w:val="000000" w:themeColor="text1"/>
                <w:sz w:val="15"/>
                <w:szCs w:val="22"/>
                <w:lang w:val="en-US" w:eastAsia="zh-CN"/>
                <w14:textFill>
                  <w14:solidFill>
                    <w14:schemeClr w14:val="tx1"/>
                  </w14:solidFill>
                </w14:textFill>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87" w:type="pct"/>
            <w:gridSpan w:val="2"/>
            <w:vMerge w:val="restar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63" w:leftChars="30" w:right="63" w:rightChars="30"/>
              <w:jc w:val="center"/>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污染物排放达标与总量控制</w:t>
            </w:r>
          </w:p>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63" w:leftChars="30" w:right="63" w:rightChars="30"/>
              <w:jc w:val="center"/>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（工业建设项目祥填）</w:t>
            </w:r>
          </w:p>
        </w:tc>
        <w:tc>
          <w:tcPr>
            <w:tcW w:w="515"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6"/>
                <w:szCs w:val="22"/>
                <w:lang w:eastAsia="zh-CN"/>
                <w14:textFill>
                  <w14:solidFill>
                    <w14:schemeClr w14:val="tx1"/>
                  </w14:solidFill>
                </w14:textFill>
              </w:rPr>
            </w:pPr>
          </w:p>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污染物</w:t>
            </w:r>
          </w:p>
        </w:tc>
        <w:tc>
          <w:tcPr>
            <w:tcW w:w="28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原有排放量（1）</w:t>
            </w:r>
          </w:p>
        </w:tc>
        <w:tc>
          <w:tcPr>
            <w:tcW w:w="380"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本期工程实际排放浓度（2）</w:t>
            </w:r>
          </w:p>
        </w:tc>
        <w:tc>
          <w:tcPr>
            <w:tcW w:w="376"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本期工程允许排放浓度（3）</w:t>
            </w:r>
          </w:p>
        </w:tc>
        <w:tc>
          <w:tcPr>
            <w:tcW w:w="33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本期工程产生量（4）</w:t>
            </w:r>
          </w:p>
        </w:tc>
        <w:tc>
          <w:tcPr>
            <w:tcW w:w="472"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本期工程自身削减量（5）</w:t>
            </w:r>
          </w:p>
        </w:tc>
        <w:tc>
          <w:tcPr>
            <w:tcW w:w="376"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本期工程实际排放量（6）</w:t>
            </w:r>
          </w:p>
        </w:tc>
        <w:tc>
          <w:tcPr>
            <w:tcW w:w="37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本期工程核定排放总量（7）</w:t>
            </w:r>
          </w:p>
        </w:tc>
        <w:tc>
          <w:tcPr>
            <w:tcW w:w="42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pacing w:val="-1"/>
                <w:sz w:val="15"/>
                <w:szCs w:val="22"/>
                <w:lang w:eastAsia="zh-CN"/>
                <w14:textFill>
                  <w14:solidFill>
                    <w14:schemeClr w14:val="tx1"/>
                  </w14:solidFill>
                </w14:textFill>
              </w:rPr>
              <w:t>本期工程</w:t>
            </w:r>
            <w:r>
              <w:rPr>
                <w:rFonts w:ascii="黑体" w:hAnsi="黑体" w:eastAsia="黑体"/>
                <w:b/>
                <w:color w:val="000000" w:themeColor="text1"/>
                <w:spacing w:val="-3"/>
                <w:sz w:val="15"/>
                <w:szCs w:val="22"/>
                <w:lang w:eastAsia="zh-CN"/>
                <w14:textFill>
                  <w14:solidFill>
                    <w14:schemeClr w14:val="tx1"/>
                  </w14:solidFill>
                </w14:textFill>
              </w:rPr>
              <w:t>“</w:t>
            </w:r>
            <w:r>
              <w:rPr>
                <w:rFonts w:ascii="黑体" w:hAnsi="黑体" w:eastAsia="黑体"/>
                <w:b/>
                <w:color w:val="000000" w:themeColor="text1"/>
                <w:sz w:val="15"/>
                <w:szCs w:val="22"/>
                <w:lang w:eastAsia="zh-CN"/>
                <w14:textFill>
                  <w14:solidFill>
                    <w14:schemeClr w14:val="tx1"/>
                  </w14:solidFill>
                </w14:textFill>
              </w:rPr>
              <w:t>以新带老</w:t>
            </w:r>
            <w:r>
              <w:rPr>
                <w:rFonts w:ascii="黑体" w:hAnsi="黑体" w:eastAsia="黑体"/>
                <w:b/>
                <w:color w:val="000000" w:themeColor="text1"/>
                <w:spacing w:val="-3"/>
                <w:sz w:val="15"/>
                <w:szCs w:val="22"/>
                <w:lang w:eastAsia="zh-CN"/>
                <w14:textFill>
                  <w14:solidFill>
                    <w14:schemeClr w14:val="tx1"/>
                  </w14:solidFill>
                </w14:textFill>
              </w:rPr>
              <w:t>”</w:t>
            </w:r>
            <w:r>
              <w:rPr>
                <w:rFonts w:ascii="黑体" w:hAnsi="黑体" w:eastAsia="黑体"/>
                <w:b/>
                <w:color w:val="000000" w:themeColor="text1"/>
                <w:spacing w:val="-20"/>
                <w:sz w:val="15"/>
                <w:szCs w:val="22"/>
                <w:lang w:eastAsia="zh-CN"/>
                <w14:textFill>
                  <w14:solidFill>
                    <w14:schemeClr w14:val="tx1"/>
                  </w14:solidFill>
                </w14:textFill>
              </w:rPr>
              <w:t>削减量</w:t>
            </w:r>
            <w:r>
              <w:rPr>
                <w:rFonts w:ascii="黑体" w:hAnsi="黑体" w:eastAsia="黑体"/>
                <w:b/>
                <w:color w:val="000000" w:themeColor="text1"/>
                <w:sz w:val="15"/>
                <w:szCs w:val="22"/>
                <w:lang w:eastAsia="zh-CN"/>
                <w14:textFill>
                  <w14:solidFill>
                    <w14:schemeClr w14:val="tx1"/>
                  </w14:solidFill>
                </w14:textFill>
              </w:rPr>
              <w:t>（8）</w:t>
            </w:r>
          </w:p>
        </w:tc>
        <w:tc>
          <w:tcPr>
            <w:tcW w:w="327"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全厂实际排放总量（9）</w:t>
            </w:r>
          </w:p>
        </w:tc>
        <w:tc>
          <w:tcPr>
            <w:tcW w:w="279"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全厂核定排放总量（10）</w:t>
            </w:r>
          </w:p>
        </w:tc>
        <w:tc>
          <w:tcPr>
            <w:tcW w:w="359"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区域平衡替代削减量（11）</w:t>
            </w:r>
          </w:p>
        </w:tc>
        <w:tc>
          <w:tcPr>
            <w:tcW w:w="305"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排放增减量</w:t>
            </w:r>
          </w:p>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87" w:type="pct"/>
            <w:gridSpan w:val="2"/>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000000" w:themeColor="text1"/>
                <w:sz w:val="2"/>
                <w:szCs w:val="2"/>
                <w:lang w:eastAsia="en-US"/>
                <w14:textFill>
                  <w14:solidFill>
                    <w14:schemeClr w14:val="tx1"/>
                  </w14:solidFill>
                </w14:textFill>
              </w:rPr>
            </w:pPr>
          </w:p>
        </w:tc>
        <w:tc>
          <w:tcPr>
            <w:tcW w:w="515"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hint="eastAsia" w:ascii="黑体" w:hAnsi="黑体" w:eastAsia="黑体"/>
                <w:b/>
                <w:color w:val="000000" w:themeColor="text1"/>
                <w:sz w:val="15"/>
                <w:szCs w:val="22"/>
                <w:lang w:eastAsia="zh-CN"/>
                <w14:textFill>
                  <w14:solidFill>
                    <w14:schemeClr w14:val="tx1"/>
                  </w14:solidFill>
                </w14:textFill>
              </w:rPr>
            </w:pPr>
            <w:r>
              <w:rPr>
                <w:rFonts w:hint="eastAsia" w:ascii="黑体" w:hAnsi="黑体" w:eastAsia="黑体"/>
                <w:b/>
                <w:color w:val="000000" w:themeColor="text1"/>
                <w:sz w:val="15"/>
                <w:szCs w:val="22"/>
                <w:lang w:eastAsia="zh-CN"/>
                <w14:textFill>
                  <w14:solidFill>
                    <w14:schemeClr w14:val="tx1"/>
                  </w14:solidFill>
                </w14:textFill>
              </w:rPr>
              <w:t>无组织废气</w:t>
            </w:r>
          </w:p>
        </w:tc>
        <w:tc>
          <w:tcPr>
            <w:tcW w:w="28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hint="default" w:ascii="黑体" w:hAnsi="黑体" w:eastAsia="黑体"/>
                <w:b/>
                <w:color w:val="000000" w:themeColor="text1"/>
                <w:sz w:val="15"/>
                <w:szCs w:val="22"/>
                <w:lang w:val="en-US" w:eastAsia="zh-CN"/>
                <w14:textFill>
                  <w14:solidFill>
                    <w14:schemeClr w14:val="tx1"/>
                  </w14:solidFill>
                </w14:textFill>
              </w:rPr>
            </w:pPr>
            <w:r>
              <w:rPr>
                <w:rFonts w:hint="eastAsia" w:ascii="黑体" w:hAnsi="黑体" w:eastAsia="黑体"/>
                <w:b/>
                <w:color w:val="000000" w:themeColor="text1"/>
                <w:sz w:val="15"/>
                <w:szCs w:val="22"/>
                <w:lang w:val="en-US" w:eastAsia="zh-CN"/>
                <w14:textFill>
                  <w14:solidFill>
                    <w14:schemeClr w14:val="tx1"/>
                  </w14:solidFill>
                </w14:textFill>
              </w:rPr>
              <w:t>/</w:t>
            </w:r>
          </w:p>
        </w:tc>
        <w:tc>
          <w:tcPr>
            <w:tcW w:w="380"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hint="eastAsia" w:ascii="黑体" w:hAnsi="黑体" w:eastAsia="黑体"/>
                <w:b/>
                <w:color w:val="000000" w:themeColor="text1"/>
                <w:sz w:val="15"/>
                <w:szCs w:val="22"/>
                <w:lang w:val="en-US" w:eastAsia="zh-CN"/>
                <w14:textFill>
                  <w14:solidFill>
                    <w14:schemeClr w14:val="tx1"/>
                  </w14:solidFill>
                </w14:textFill>
              </w:rPr>
            </w:pPr>
            <w:r>
              <w:rPr>
                <w:rFonts w:hint="eastAsia" w:ascii="黑体" w:hAnsi="黑体" w:eastAsia="黑体"/>
                <w:b/>
                <w:color w:val="000000" w:themeColor="text1"/>
                <w:sz w:val="15"/>
                <w:szCs w:val="22"/>
                <w:lang w:val="en-US" w:eastAsia="zh-CN"/>
                <w14:textFill>
                  <w14:solidFill>
                    <w14:schemeClr w14:val="tx1"/>
                  </w14:solidFill>
                </w14:textFill>
              </w:rPr>
              <w:t>/</w:t>
            </w:r>
          </w:p>
        </w:tc>
        <w:tc>
          <w:tcPr>
            <w:tcW w:w="376"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hint="eastAsia" w:ascii="黑体" w:hAnsi="黑体" w:eastAsia="黑体"/>
                <w:b/>
                <w:color w:val="000000" w:themeColor="text1"/>
                <w:sz w:val="15"/>
                <w:szCs w:val="22"/>
                <w:lang w:val="en-US" w:eastAsia="zh-CN"/>
                <w14:textFill>
                  <w14:solidFill>
                    <w14:schemeClr w14:val="tx1"/>
                  </w14:solidFill>
                </w14:textFill>
              </w:rPr>
            </w:pPr>
            <w:r>
              <w:rPr>
                <w:rFonts w:hint="eastAsia" w:ascii="黑体" w:hAnsi="黑体" w:eastAsia="黑体"/>
                <w:b/>
                <w:color w:val="000000" w:themeColor="text1"/>
                <w:sz w:val="15"/>
                <w:szCs w:val="22"/>
                <w:lang w:val="en-US" w:eastAsia="zh-CN"/>
                <w14:textFill>
                  <w14:solidFill>
                    <w14:schemeClr w14:val="tx1"/>
                  </w14:solidFill>
                </w14:textFill>
              </w:rPr>
              <w:t>/</w:t>
            </w:r>
          </w:p>
        </w:tc>
        <w:tc>
          <w:tcPr>
            <w:tcW w:w="33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hint="default" w:ascii="黑体" w:hAnsi="黑体" w:eastAsia="黑体"/>
                <w:b/>
                <w:color w:val="000000" w:themeColor="text1"/>
                <w:sz w:val="15"/>
                <w:szCs w:val="22"/>
                <w:lang w:val="en-US" w:eastAsia="zh-CN"/>
                <w14:textFill>
                  <w14:solidFill>
                    <w14:schemeClr w14:val="tx1"/>
                  </w14:solidFill>
                </w14:textFill>
              </w:rPr>
            </w:pPr>
            <w:r>
              <w:rPr>
                <w:rFonts w:hint="eastAsia" w:ascii="黑体" w:hAnsi="黑体" w:eastAsia="黑体"/>
                <w:b/>
                <w:color w:val="000000" w:themeColor="text1"/>
                <w:sz w:val="15"/>
                <w:szCs w:val="22"/>
                <w:lang w:val="en-US" w:eastAsia="zh-CN"/>
                <w14:textFill>
                  <w14:solidFill>
                    <w14:schemeClr w14:val="tx1"/>
                  </w14:solidFill>
                </w14:textFill>
              </w:rPr>
              <w:t>/</w:t>
            </w:r>
          </w:p>
        </w:tc>
        <w:tc>
          <w:tcPr>
            <w:tcW w:w="472"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hint="eastAsia" w:ascii="黑体" w:hAnsi="黑体" w:eastAsia="黑体"/>
                <w:b/>
                <w:color w:val="000000" w:themeColor="text1"/>
                <w:sz w:val="15"/>
                <w:szCs w:val="22"/>
                <w:lang w:val="en-US" w:eastAsia="zh-CN"/>
                <w14:textFill>
                  <w14:solidFill>
                    <w14:schemeClr w14:val="tx1"/>
                  </w14:solidFill>
                </w14:textFill>
              </w:rPr>
            </w:pPr>
            <w:r>
              <w:rPr>
                <w:rFonts w:hint="eastAsia" w:ascii="黑体" w:hAnsi="黑体" w:eastAsia="黑体"/>
                <w:b/>
                <w:color w:val="000000" w:themeColor="text1"/>
                <w:sz w:val="15"/>
                <w:szCs w:val="22"/>
                <w:lang w:val="en-US" w:eastAsia="zh-CN"/>
                <w14:textFill>
                  <w14:solidFill>
                    <w14:schemeClr w14:val="tx1"/>
                  </w14:solidFill>
                </w14:textFill>
              </w:rPr>
              <w:t>/</w:t>
            </w:r>
          </w:p>
        </w:tc>
        <w:tc>
          <w:tcPr>
            <w:tcW w:w="376"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hint="eastAsia" w:ascii="黑体" w:hAnsi="黑体" w:eastAsia="黑体"/>
                <w:b/>
                <w:color w:val="000000" w:themeColor="text1"/>
                <w:sz w:val="15"/>
                <w:szCs w:val="22"/>
                <w:lang w:val="en-US" w:eastAsia="zh-CN"/>
                <w14:textFill>
                  <w14:solidFill>
                    <w14:schemeClr w14:val="tx1"/>
                  </w14:solidFill>
                </w14:textFill>
              </w:rPr>
            </w:pPr>
            <w:r>
              <w:rPr>
                <w:rFonts w:hint="eastAsia" w:ascii="黑体" w:hAnsi="黑体" w:eastAsia="黑体"/>
                <w:b/>
                <w:color w:val="000000" w:themeColor="text1"/>
                <w:sz w:val="15"/>
                <w:szCs w:val="22"/>
                <w:lang w:val="en-US" w:eastAsia="zh-CN"/>
                <w14:textFill>
                  <w14:solidFill>
                    <w14:schemeClr w14:val="tx1"/>
                  </w14:solidFill>
                </w14:textFill>
              </w:rPr>
              <w:t>/</w:t>
            </w:r>
          </w:p>
        </w:tc>
        <w:tc>
          <w:tcPr>
            <w:tcW w:w="37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hint="eastAsia" w:ascii="黑体" w:hAnsi="黑体" w:eastAsia="黑体"/>
                <w:b/>
                <w:color w:val="000000" w:themeColor="text1"/>
                <w:sz w:val="15"/>
                <w:szCs w:val="22"/>
                <w:lang w:val="en-US" w:eastAsia="zh-CN"/>
                <w14:textFill>
                  <w14:solidFill>
                    <w14:schemeClr w14:val="tx1"/>
                  </w14:solidFill>
                </w14:textFill>
              </w:rPr>
            </w:pPr>
            <w:r>
              <w:rPr>
                <w:rFonts w:hint="eastAsia" w:ascii="黑体" w:hAnsi="黑体" w:eastAsia="黑体"/>
                <w:b/>
                <w:color w:val="000000" w:themeColor="text1"/>
                <w:sz w:val="15"/>
                <w:szCs w:val="22"/>
                <w:lang w:val="en-US" w:eastAsia="zh-CN"/>
                <w14:textFill>
                  <w14:solidFill>
                    <w14:schemeClr w14:val="tx1"/>
                  </w14:solidFill>
                </w14:textFill>
              </w:rPr>
              <w:t>/</w:t>
            </w:r>
          </w:p>
        </w:tc>
        <w:tc>
          <w:tcPr>
            <w:tcW w:w="42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hint="eastAsia" w:ascii="黑体" w:hAnsi="黑体" w:eastAsia="黑体"/>
                <w:b/>
                <w:color w:val="000000" w:themeColor="text1"/>
                <w:sz w:val="15"/>
                <w:szCs w:val="22"/>
                <w:lang w:val="en-US" w:eastAsia="zh-CN"/>
                <w14:textFill>
                  <w14:solidFill>
                    <w14:schemeClr w14:val="tx1"/>
                  </w14:solidFill>
                </w14:textFill>
              </w:rPr>
            </w:pPr>
            <w:r>
              <w:rPr>
                <w:rFonts w:hint="eastAsia" w:ascii="黑体" w:hAnsi="黑体" w:eastAsia="黑体"/>
                <w:b/>
                <w:color w:val="000000" w:themeColor="text1"/>
                <w:sz w:val="15"/>
                <w:szCs w:val="22"/>
                <w:lang w:val="en-US" w:eastAsia="zh-CN"/>
                <w14:textFill>
                  <w14:solidFill>
                    <w14:schemeClr w14:val="tx1"/>
                  </w14:solidFill>
                </w14:textFill>
              </w:rPr>
              <w:t>/</w:t>
            </w:r>
          </w:p>
        </w:tc>
        <w:tc>
          <w:tcPr>
            <w:tcW w:w="327"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hint="eastAsia" w:ascii="黑体" w:hAnsi="黑体" w:eastAsia="黑体"/>
                <w:b/>
                <w:color w:val="000000" w:themeColor="text1"/>
                <w:sz w:val="15"/>
                <w:szCs w:val="22"/>
                <w:lang w:val="en-US" w:eastAsia="zh-CN"/>
                <w14:textFill>
                  <w14:solidFill>
                    <w14:schemeClr w14:val="tx1"/>
                  </w14:solidFill>
                </w14:textFill>
              </w:rPr>
            </w:pPr>
            <w:r>
              <w:rPr>
                <w:rFonts w:hint="eastAsia" w:ascii="黑体" w:hAnsi="黑体" w:eastAsia="黑体"/>
                <w:b/>
                <w:color w:val="000000" w:themeColor="text1"/>
                <w:sz w:val="15"/>
                <w:szCs w:val="22"/>
                <w:lang w:val="en-US" w:eastAsia="zh-CN"/>
                <w14:textFill>
                  <w14:solidFill>
                    <w14:schemeClr w14:val="tx1"/>
                  </w14:solidFill>
                </w14:textFill>
              </w:rPr>
              <w:t>/</w:t>
            </w:r>
          </w:p>
        </w:tc>
        <w:tc>
          <w:tcPr>
            <w:tcW w:w="279"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hint="eastAsia" w:ascii="黑体" w:hAnsi="黑体" w:eastAsia="黑体"/>
                <w:b/>
                <w:color w:val="000000" w:themeColor="text1"/>
                <w:sz w:val="15"/>
                <w:szCs w:val="22"/>
                <w:lang w:val="en-US" w:eastAsia="zh-CN"/>
                <w14:textFill>
                  <w14:solidFill>
                    <w14:schemeClr w14:val="tx1"/>
                  </w14:solidFill>
                </w14:textFill>
              </w:rPr>
            </w:pPr>
            <w:r>
              <w:rPr>
                <w:rFonts w:hint="eastAsia" w:ascii="黑体" w:hAnsi="黑体" w:eastAsia="黑体"/>
                <w:b/>
                <w:color w:val="000000" w:themeColor="text1"/>
                <w:sz w:val="15"/>
                <w:szCs w:val="22"/>
                <w:lang w:val="en-US" w:eastAsia="zh-CN"/>
                <w14:textFill>
                  <w14:solidFill>
                    <w14:schemeClr w14:val="tx1"/>
                  </w14:solidFill>
                </w14:textFill>
              </w:rPr>
              <w:t>/</w:t>
            </w:r>
          </w:p>
        </w:tc>
        <w:tc>
          <w:tcPr>
            <w:tcW w:w="359"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hint="eastAsia" w:ascii="黑体" w:hAnsi="黑体" w:eastAsia="黑体"/>
                <w:b/>
                <w:color w:val="000000" w:themeColor="text1"/>
                <w:sz w:val="15"/>
                <w:szCs w:val="22"/>
                <w:lang w:val="en-US" w:eastAsia="zh-CN"/>
                <w14:textFill>
                  <w14:solidFill>
                    <w14:schemeClr w14:val="tx1"/>
                  </w14:solidFill>
                </w14:textFill>
              </w:rPr>
            </w:pPr>
            <w:r>
              <w:rPr>
                <w:rFonts w:hint="eastAsia" w:ascii="黑体" w:hAnsi="黑体" w:eastAsia="黑体"/>
                <w:b/>
                <w:color w:val="000000" w:themeColor="text1"/>
                <w:sz w:val="15"/>
                <w:szCs w:val="22"/>
                <w:lang w:val="en-US" w:eastAsia="zh-CN"/>
                <w14:textFill>
                  <w14:solidFill>
                    <w14:schemeClr w14:val="tx1"/>
                  </w14:solidFill>
                </w14:textFill>
              </w:rPr>
              <w:t>/</w:t>
            </w:r>
          </w:p>
        </w:tc>
        <w:tc>
          <w:tcPr>
            <w:tcW w:w="305"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hint="eastAsia"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87" w:type="pct"/>
            <w:gridSpan w:val="2"/>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FF0000"/>
                <w:sz w:val="2"/>
                <w:szCs w:val="2"/>
                <w:lang w:eastAsia="en-US"/>
              </w:rPr>
            </w:pPr>
          </w:p>
        </w:tc>
        <w:tc>
          <w:tcPr>
            <w:tcW w:w="515"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hint="default" w:ascii="黑体" w:hAnsi="黑体" w:eastAsia="黑体"/>
                <w:b/>
                <w:color w:val="000000" w:themeColor="text1"/>
                <w:sz w:val="15"/>
                <w:szCs w:val="22"/>
                <w:lang w:val="en-US" w:eastAsia="zh-CN"/>
                <w14:textFill>
                  <w14:solidFill>
                    <w14:schemeClr w14:val="tx1"/>
                  </w14:solidFill>
                </w14:textFill>
              </w:rPr>
            </w:pPr>
          </w:p>
        </w:tc>
        <w:tc>
          <w:tcPr>
            <w:tcW w:w="28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5"/>
                <w:szCs w:val="22"/>
                <w:lang w:eastAsia="en-US"/>
                <w14:textFill>
                  <w14:solidFill>
                    <w14:schemeClr w14:val="tx1"/>
                  </w14:solidFill>
                </w14:textFill>
              </w:rPr>
            </w:pPr>
          </w:p>
        </w:tc>
        <w:tc>
          <w:tcPr>
            <w:tcW w:w="380"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hint="default" w:ascii="黑体" w:hAnsi="黑体" w:eastAsia="黑体"/>
                <w:b/>
                <w:color w:val="000000" w:themeColor="text1"/>
                <w:sz w:val="15"/>
                <w:szCs w:val="22"/>
                <w:lang w:val="en-US" w:eastAsia="zh-CN"/>
                <w14:textFill>
                  <w14:solidFill>
                    <w14:schemeClr w14:val="tx1"/>
                  </w14:solidFill>
                </w14:textFill>
              </w:rPr>
            </w:pPr>
          </w:p>
        </w:tc>
        <w:tc>
          <w:tcPr>
            <w:tcW w:w="376"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5"/>
                <w:szCs w:val="22"/>
                <w:lang w:eastAsia="en-US"/>
              </w:rPr>
            </w:pPr>
          </w:p>
        </w:tc>
        <w:tc>
          <w:tcPr>
            <w:tcW w:w="33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hint="default" w:ascii="黑体" w:hAnsi="黑体" w:eastAsia="黑体"/>
                <w:b/>
                <w:color w:val="FF0000"/>
                <w:sz w:val="15"/>
                <w:szCs w:val="22"/>
                <w:lang w:val="en-US" w:eastAsia="zh-CN"/>
              </w:rPr>
            </w:pPr>
          </w:p>
        </w:tc>
        <w:tc>
          <w:tcPr>
            <w:tcW w:w="472"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5"/>
                <w:szCs w:val="22"/>
                <w:lang w:eastAsia="en-US"/>
              </w:rPr>
            </w:pPr>
          </w:p>
        </w:tc>
        <w:tc>
          <w:tcPr>
            <w:tcW w:w="376"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hint="default" w:ascii="黑体" w:hAnsi="黑体" w:eastAsia="黑体"/>
                <w:b/>
                <w:color w:val="FF0000"/>
                <w:sz w:val="15"/>
                <w:szCs w:val="22"/>
                <w:lang w:val="en-US" w:eastAsia="zh-CN"/>
              </w:rPr>
            </w:pPr>
          </w:p>
        </w:tc>
        <w:tc>
          <w:tcPr>
            <w:tcW w:w="37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hint="default" w:ascii="黑体" w:hAnsi="黑体" w:eastAsia="黑体"/>
                <w:b/>
                <w:color w:val="FF0000"/>
                <w:sz w:val="15"/>
                <w:szCs w:val="22"/>
                <w:lang w:val="en-US" w:eastAsia="zh-CN"/>
              </w:rPr>
            </w:pPr>
          </w:p>
        </w:tc>
        <w:tc>
          <w:tcPr>
            <w:tcW w:w="42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5"/>
                <w:szCs w:val="22"/>
                <w:lang w:eastAsia="en-US"/>
              </w:rPr>
            </w:pPr>
          </w:p>
        </w:tc>
        <w:tc>
          <w:tcPr>
            <w:tcW w:w="327"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5"/>
                <w:szCs w:val="22"/>
                <w:lang w:eastAsia="en-US"/>
              </w:rPr>
            </w:pPr>
          </w:p>
        </w:tc>
        <w:tc>
          <w:tcPr>
            <w:tcW w:w="279"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5"/>
                <w:szCs w:val="22"/>
                <w:lang w:eastAsia="en-US"/>
              </w:rPr>
            </w:pPr>
          </w:p>
        </w:tc>
        <w:tc>
          <w:tcPr>
            <w:tcW w:w="359"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5"/>
                <w:szCs w:val="22"/>
                <w:lang w:eastAsia="en-US"/>
              </w:rPr>
            </w:pPr>
          </w:p>
        </w:tc>
        <w:tc>
          <w:tcPr>
            <w:tcW w:w="305"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5"/>
                <w:szCs w:val="2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87" w:type="pct"/>
            <w:gridSpan w:val="2"/>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FF0000"/>
                <w:sz w:val="2"/>
                <w:szCs w:val="2"/>
                <w:lang w:eastAsia="en-US"/>
              </w:rPr>
            </w:pPr>
          </w:p>
        </w:tc>
        <w:tc>
          <w:tcPr>
            <w:tcW w:w="515"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hint="default" w:ascii="黑体" w:hAnsi="黑体" w:eastAsia="黑体"/>
                <w:b/>
                <w:color w:val="000000" w:themeColor="text1"/>
                <w:sz w:val="15"/>
                <w:szCs w:val="22"/>
                <w:lang w:val="en-US" w:eastAsia="zh-CN"/>
                <w14:textFill>
                  <w14:solidFill>
                    <w14:schemeClr w14:val="tx1"/>
                  </w14:solidFill>
                </w14:textFill>
              </w:rPr>
            </w:pPr>
          </w:p>
        </w:tc>
        <w:tc>
          <w:tcPr>
            <w:tcW w:w="28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4"/>
                <w:szCs w:val="22"/>
                <w:lang w:eastAsia="en-US"/>
                <w14:textFill>
                  <w14:solidFill>
                    <w14:schemeClr w14:val="tx1"/>
                  </w14:solidFill>
                </w14:textFill>
              </w:rPr>
            </w:pPr>
          </w:p>
        </w:tc>
        <w:tc>
          <w:tcPr>
            <w:tcW w:w="380"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hint="default" w:ascii="黑体" w:hAnsi="黑体" w:eastAsia="黑体"/>
                <w:b/>
                <w:color w:val="000000" w:themeColor="text1"/>
                <w:sz w:val="14"/>
                <w:szCs w:val="22"/>
                <w:lang w:val="en-US" w:eastAsia="zh-CN"/>
                <w14:textFill>
                  <w14:solidFill>
                    <w14:schemeClr w14:val="tx1"/>
                  </w14:solidFill>
                </w14:textFill>
              </w:rPr>
            </w:pPr>
          </w:p>
        </w:tc>
        <w:tc>
          <w:tcPr>
            <w:tcW w:w="376"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33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hint="default" w:ascii="黑体" w:hAnsi="黑体" w:eastAsia="黑体"/>
                <w:b/>
                <w:color w:val="FF0000"/>
                <w:sz w:val="14"/>
                <w:szCs w:val="22"/>
                <w:lang w:val="en-US" w:eastAsia="zh-CN"/>
              </w:rPr>
            </w:pPr>
          </w:p>
        </w:tc>
        <w:tc>
          <w:tcPr>
            <w:tcW w:w="472"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376"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hint="default" w:ascii="黑体" w:hAnsi="黑体" w:eastAsia="黑体"/>
                <w:b/>
                <w:color w:val="FF0000"/>
                <w:sz w:val="14"/>
                <w:szCs w:val="22"/>
                <w:lang w:val="en-US" w:eastAsia="zh-CN"/>
              </w:rPr>
            </w:pPr>
          </w:p>
        </w:tc>
        <w:tc>
          <w:tcPr>
            <w:tcW w:w="37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hint="default" w:ascii="黑体" w:hAnsi="黑体" w:eastAsia="黑体"/>
                <w:b/>
                <w:color w:val="FF0000"/>
                <w:sz w:val="14"/>
                <w:szCs w:val="22"/>
                <w:lang w:val="en-US" w:eastAsia="zh-CN"/>
              </w:rPr>
            </w:pPr>
          </w:p>
        </w:tc>
        <w:tc>
          <w:tcPr>
            <w:tcW w:w="42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327"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279"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359"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305"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87" w:type="pct"/>
            <w:gridSpan w:val="2"/>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FF0000"/>
                <w:sz w:val="2"/>
                <w:szCs w:val="2"/>
                <w:lang w:eastAsia="en-US"/>
              </w:rPr>
            </w:pPr>
          </w:p>
        </w:tc>
        <w:tc>
          <w:tcPr>
            <w:tcW w:w="515"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5"/>
                <w:szCs w:val="22"/>
                <w:lang w:eastAsia="en-US"/>
                <w14:textFill>
                  <w14:solidFill>
                    <w14:schemeClr w14:val="tx1"/>
                  </w14:solidFill>
                </w14:textFill>
              </w:rPr>
            </w:pPr>
          </w:p>
        </w:tc>
        <w:tc>
          <w:tcPr>
            <w:tcW w:w="28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4"/>
                <w:szCs w:val="22"/>
                <w:lang w:eastAsia="en-US"/>
                <w14:textFill>
                  <w14:solidFill>
                    <w14:schemeClr w14:val="tx1"/>
                  </w14:solidFill>
                </w14:textFill>
              </w:rPr>
            </w:pPr>
          </w:p>
        </w:tc>
        <w:tc>
          <w:tcPr>
            <w:tcW w:w="380"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4"/>
                <w:szCs w:val="22"/>
                <w:lang w:eastAsia="en-US"/>
                <w14:textFill>
                  <w14:solidFill>
                    <w14:schemeClr w14:val="tx1"/>
                  </w14:solidFill>
                </w14:textFill>
              </w:rPr>
            </w:pPr>
          </w:p>
        </w:tc>
        <w:tc>
          <w:tcPr>
            <w:tcW w:w="376"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33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472"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376"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37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42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327"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279"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359"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305"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87" w:type="pct"/>
            <w:gridSpan w:val="2"/>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FF0000"/>
                <w:sz w:val="2"/>
                <w:szCs w:val="2"/>
                <w:lang w:eastAsia="en-US"/>
              </w:rPr>
            </w:pPr>
          </w:p>
        </w:tc>
        <w:tc>
          <w:tcPr>
            <w:tcW w:w="329" w:type="pct"/>
            <w:vMerge w:val="restar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jc w:val="both"/>
              <w:textAlignment w:val="auto"/>
              <w:rPr>
                <w:rFonts w:ascii="黑体" w:hAnsi="黑体" w:eastAsia="黑体"/>
                <w:b/>
                <w:color w:val="000000" w:themeColor="text1"/>
                <w:sz w:val="15"/>
                <w:szCs w:val="22"/>
                <w:lang w:eastAsia="zh-CN"/>
                <w14:textFill>
                  <w14:solidFill>
                    <w14:schemeClr w14:val="tx1"/>
                  </w14:solidFill>
                </w14:textFill>
              </w:rPr>
            </w:pPr>
            <w:r>
              <w:rPr>
                <w:rFonts w:hint="eastAsia" w:ascii="黑体" w:hAnsi="黑体" w:eastAsia="黑体" w:cs="宋体"/>
                <w:b/>
                <w:color w:val="000000" w:themeColor="text1"/>
                <w:sz w:val="15"/>
                <w:szCs w:val="22"/>
                <w:lang w:eastAsia="zh-CN"/>
                <w14:textFill>
                  <w14:solidFill>
                    <w14:schemeClr w14:val="tx1"/>
                  </w14:solidFill>
                </w14:textFill>
              </w:rPr>
              <w:t>与项目有关的其他特征污染物</w:t>
            </w:r>
          </w:p>
        </w:tc>
        <w:tc>
          <w:tcPr>
            <w:tcW w:w="18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4"/>
                <w:szCs w:val="22"/>
                <w:lang w:eastAsia="zh-CN"/>
                <w14:textFill>
                  <w14:solidFill>
                    <w14:schemeClr w14:val="tx1"/>
                  </w14:solidFill>
                </w14:textFill>
              </w:rPr>
            </w:pPr>
          </w:p>
        </w:tc>
        <w:tc>
          <w:tcPr>
            <w:tcW w:w="28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4"/>
                <w:szCs w:val="22"/>
                <w:lang w:eastAsia="zh-CN"/>
                <w14:textFill>
                  <w14:solidFill>
                    <w14:schemeClr w14:val="tx1"/>
                  </w14:solidFill>
                </w14:textFill>
              </w:rPr>
            </w:pPr>
          </w:p>
        </w:tc>
        <w:tc>
          <w:tcPr>
            <w:tcW w:w="380"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4"/>
                <w:szCs w:val="22"/>
                <w:lang w:eastAsia="zh-CN"/>
                <w14:textFill>
                  <w14:solidFill>
                    <w14:schemeClr w14:val="tx1"/>
                  </w14:solidFill>
                </w14:textFill>
              </w:rPr>
            </w:pPr>
          </w:p>
        </w:tc>
        <w:tc>
          <w:tcPr>
            <w:tcW w:w="376"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33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472"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376"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37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42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327"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279"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359"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305"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87" w:type="pct"/>
            <w:gridSpan w:val="2"/>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FF0000"/>
                <w:sz w:val="2"/>
                <w:szCs w:val="2"/>
                <w:lang w:eastAsia="zh-CN"/>
              </w:rPr>
            </w:pPr>
          </w:p>
        </w:tc>
        <w:tc>
          <w:tcPr>
            <w:tcW w:w="329" w:type="pct"/>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000000" w:themeColor="text1"/>
                <w:sz w:val="2"/>
                <w:szCs w:val="2"/>
                <w:lang w:eastAsia="zh-CN"/>
                <w14:textFill>
                  <w14:solidFill>
                    <w14:schemeClr w14:val="tx1"/>
                  </w14:solidFill>
                </w14:textFill>
              </w:rPr>
            </w:pPr>
          </w:p>
        </w:tc>
        <w:tc>
          <w:tcPr>
            <w:tcW w:w="18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4"/>
                <w:szCs w:val="22"/>
                <w:lang w:eastAsia="zh-CN"/>
                <w14:textFill>
                  <w14:solidFill>
                    <w14:schemeClr w14:val="tx1"/>
                  </w14:solidFill>
                </w14:textFill>
              </w:rPr>
            </w:pPr>
          </w:p>
        </w:tc>
        <w:tc>
          <w:tcPr>
            <w:tcW w:w="28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4"/>
                <w:szCs w:val="22"/>
                <w:lang w:eastAsia="zh-CN"/>
                <w14:textFill>
                  <w14:solidFill>
                    <w14:schemeClr w14:val="tx1"/>
                  </w14:solidFill>
                </w14:textFill>
              </w:rPr>
            </w:pPr>
          </w:p>
        </w:tc>
        <w:tc>
          <w:tcPr>
            <w:tcW w:w="380"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4"/>
                <w:szCs w:val="22"/>
                <w:lang w:eastAsia="zh-CN"/>
                <w14:textFill>
                  <w14:solidFill>
                    <w14:schemeClr w14:val="tx1"/>
                  </w14:solidFill>
                </w14:textFill>
              </w:rPr>
            </w:pPr>
          </w:p>
        </w:tc>
        <w:tc>
          <w:tcPr>
            <w:tcW w:w="376"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33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472"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376"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37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42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327"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279"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359"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305"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87" w:type="pct"/>
            <w:gridSpan w:val="2"/>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color w:val="FF0000"/>
                <w:sz w:val="2"/>
                <w:szCs w:val="2"/>
                <w:lang w:eastAsia="zh-CN"/>
              </w:rPr>
            </w:pPr>
          </w:p>
        </w:tc>
        <w:tc>
          <w:tcPr>
            <w:tcW w:w="329" w:type="pct"/>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color w:val="000000" w:themeColor="text1"/>
                <w:sz w:val="2"/>
                <w:szCs w:val="2"/>
                <w:lang w:eastAsia="zh-CN"/>
                <w14:textFill>
                  <w14:solidFill>
                    <w14:schemeClr w14:val="tx1"/>
                  </w14:solidFill>
                </w14:textFill>
              </w:rPr>
            </w:pPr>
          </w:p>
        </w:tc>
        <w:tc>
          <w:tcPr>
            <w:tcW w:w="18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000000" w:themeColor="text1"/>
                <w:sz w:val="14"/>
                <w:szCs w:val="22"/>
                <w:lang w:eastAsia="zh-CN"/>
                <w14:textFill>
                  <w14:solidFill>
                    <w14:schemeClr w14:val="tx1"/>
                  </w14:solidFill>
                </w14:textFill>
              </w:rPr>
            </w:pPr>
          </w:p>
        </w:tc>
        <w:tc>
          <w:tcPr>
            <w:tcW w:w="28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000000" w:themeColor="text1"/>
                <w:sz w:val="14"/>
                <w:szCs w:val="22"/>
                <w:lang w:eastAsia="zh-CN"/>
                <w14:textFill>
                  <w14:solidFill>
                    <w14:schemeClr w14:val="tx1"/>
                  </w14:solidFill>
                </w14:textFill>
              </w:rPr>
            </w:pPr>
          </w:p>
        </w:tc>
        <w:tc>
          <w:tcPr>
            <w:tcW w:w="380"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000000" w:themeColor="text1"/>
                <w:sz w:val="14"/>
                <w:szCs w:val="22"/>
                <w:lang w:eastAsia="zh-CN"/>
                <w14:textFill>
                  <w14:solidFill>
                    <w14:schemeClr w14:val="tx1"/>
                  </w14:solidFill>
                </w14:textFill>
              </w:rPr>
            </w:pPr>
          </w:p>
        </w:tc>
        <w:tc>
          <w:tcPr>
            <w:tcW w:w="376"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zh-CN"/>
              </w:rPr>
            </w:pPr>
          </w:p>
        </w:tc>
        <w:tc>
          <w:tcPr>
            <w:tcW w:w="33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zh-CN"/>
              </w:rPr>
            </w:pPr>
          </w:p>
        </w:tc>
        <w:tc>
          <w:tcPr>
            <w:tcW w:w="472"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zh-CN"/>
              </w:rPr>
            </w:pPr>
          </w:p>
        </w:tc>
        <w:tc>
          <w:tcPr>
            <w:tcW w:w="376"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zh-CN"/>
              </w:rPr>
            </w:pPr>
          </w:p>
        </w:tc>
        <w:tc>
          <w:tcPr>
            <w:tcW w:w="37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zh-CN"/>
              </w:rPr>
            </w:pPr>
          </w:p>
        </w:tc>
        <w:tc>
          <w:tcPr>
            <w:tcW w:w="42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zh-CN"/>
              </w:rPr>
            </w:pPr>
          </w:p>
        </w:tc>
        <w:tc>
          <w:tcPr>
            <w:tcW w:w="327"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zh-CN"/>
              </w:rPr>
            </w:pPr>
          </w:p>
        </w:tc>
        <w:tc>
          <w:tcPr>
            <w:tcW w:w="279"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zh-CN"/>
              </w:rPr>
            </w:pPr>
          </w:p>
        </w:tc>
        <w:tc>
          <w:tcPr>
            <w:tcW w:w="359"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zh-CN"/>
              </w:rPr>
            </w:pPr>
          </w:p>
        </w:tc>
        <w:tc>
          <w:tcPr>
            <w:tcW w:w="305"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zh-CN"/>
              </w:rPr>
            </w:pPr>
          </w:p>
        </w:tc>
      </w:tr>
    </w:tbl>
    <w:p>
      <w:pPr>
        <w:pStyle w:val="10"/>
        <w:keepNext w:val="0"/>
        <w:keepLines w:val="0"/>
        <w:pageBreakBefore w:val="0"/>
        <w:widowControl/>
        <w:tabs>
          <w:tab w:val="left" w:pos="6256"/>
          <w:tab w:val="left" w:pos="11790"/>
        </w:tabs>
        <w:kinsoku/>
        <w:wordWrap/>
        <w:overflowPunct/>
        <w:topLinePunct w:val="0"/>
        <w:autoSpaceDE/>
        <w:autoSpaceDN/>
        <w:bidi w:val="0"/>
        <w:adjustRightInd w:val="0"/>
        <w:snapToGrid w:val="0"/>
        <w:spacing w:after="0" w:line="240" w:lineRule="auto"/>
        <w:ind w:left="0"/>
        <w:textAlignment w:val="auto"/>
        <w:rPr>
          <w:rFonts w:hint="default"/>
          <w:lang w:val="en-US" w:eastAsia="zh-CN"/>
        </w:rPr>
      </w:pPr>
      <w:r>
        <w:rPr>
          <w:sz w:val="15"/>
          <w:szCs w:val="15"/>
        </w:rPr>
        <w:t>注：1、排放增减量：（+）表示增加，（-）表示减少；2、(12)=(6)-(8)-(11)，（9）= (4)-(5)-(8)- (11) +（1）；3</w:t>
      </w:r>
      <w:r>
        <w:rPr>
          <w:spacing w:val="-3"/>
          <w:sz w:val="15"/>
          <w:szCs w:val="15"/>
        </w:rPr>
        <w:t>、计量单位：废水排放量——万吨</w:t>
      </w:r>
      <w:r>
        <w:rPr>
          <w:sz w:val="15"/>
          <w:szCs w:val="15"/>
        </w:rPr>
        <w:t>/</w:t>
      </w:r>
      <w:r>
        <w:rPr>
          <w:spacing w:val="-3"/>
          <w:sz w:val="15"/>
          <w:szCs w:val="15"/>
        </w:rPr>
        <w:t>年；废气排放量——万标立方米</w:t>
      </w:r>
      <w:r>
        <w:rPr>
          <w:sz w:val="15"/>
          <w:szCs w:val="15"/>
        </w:rPr>
        <w:t>/</w:t>
      </w:r>
      <w:r>
        <w:rPr>
          <w:spacing w:val="-3"/>
          <w:sz w:val="15"/>
          <w:szCs w:val="15"/>
        </w:rPr>
        <w:t>年；工业固体废物排放量——万吨</w:t>
      </w:r>
      <w:r>
        <w:rPr>
          <w:sz w:val="15"/>
          <w:szCs w:val="15"/>
        </w:rPr>
        <w:t>/</w:t>
      </w:r>
      <w:r>
        <w:rPr>
          <w:spacing w:val="-2"/>
          <w:sz w:val="15"/>
          <w:szCs w:val="15"/>
        </w:rPr>
        <w:t>年； 水污染物排放浓度——毫克</w:t>
      </w:r>
      <w:r>
        <w:rPr>
          <w:sz w:val="15"/>
          <w:szCs w:val="15"/>
        </w:rPr>
        <w:t>/</w:t>
      </w:r>
      <w:r>
        <w:rPr>
          <w:spacing w:val="-3"/>
          <w:sz w:val="15"/>
          <w:szCs w:val="15"/>
        </w:rPr>
        <w:t>升； 大气污染物排放浓度——毫克</w:t>
      </w:r>
      <w:r>
        <w:rPr>
          <w:sz w:val="15"/>
          <w:szCs w:val="15"/>
        </w:rPr>
        <w:t>/</w:t>
      </w:r>
      <w:r>
        <w:rPr>
          <w:spacing w:val="-3"/>
          <w:sz w:val="15"/>
          <w:szCs w:val="15"/>
        </w:rPr>
        <w:t>立方米；水污染物排放量——吨</w:t>
      </w:r>
      <w:r>
        <w:rPr>
          <w:sz w:val="15"/>
          <w:szCs w:val="15"/>
        </w:rPr>
        <w:t>/</w:t>
      </w:r>
      <w:r>
        <w:rPr>
          <w:spacing w:val="-3"/>
          <w:sz w:val="15"/>
          <w:szCs w:val="15"/>
        </w:rPr>
        <w:t>年；大气污染物排放量——吨</w:t>
      </w:r>
      <w:r>
        <w:rPr>
          <w:sz w:val="15"/>
          <w:szCs w:val="15"/>
        </w:rPr>
        <w:t>/年</w:t>
      </w:r>
    </w:p>
    <w:sectPr>
      <w:headerReference r:id="rId6" w:type="default"/>
      <w:footerReference r:id="rId7" w:type="default"/>
      <w:pgSz w:w="16838" w:h="11906" w:orient="landscape"/>
      <w:pgMar w:top="1418" w:right="1440" w:bottom="1418" w:left="1440" w:header="851" w:footer="992" w:gutter="0"/>
      <w:pgBorders>
        <w:top w:val="none" w:sz="0" w:space="0"/>
        <w:left w:val="none" w:sz="0" w:space="0"/>
        <w:bottom w:val="none" w:sz="0" w:space="0"/>
        <w:right w:val="none" w:sz="0" w:space="0"/>
      </w:pgBorders>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５</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５</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8929FB"/>
    <w:multiLevelType w:val="singleLevel"/>
    <w:tmpl w:val="098929FB"/>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jZjM5M2FmNTBlYmZkZTU2MTk1ZDlhZWM5OWE2YjgifQ=="/>
  </w:docVars>
  <w:rsids>
    <w:rsidRoot w:val="00172A27"/>
    <w:rsid w:val="00000131"/>
    <w:rsid w:val="00004478"/>
    <w:rsid w:val="0000510D"/>
    <w:rsid w:val="0000561F"/>
    <w:rsid w:val="00010DCA"/>
    <w:rsid w:val="00013946"/>
    <w:rsid w:val="00015A4B"/>
    <w:rsid w:val="00016041"/>
    <w:rsid w:val="000218F3"/>
    <w:rsid w:val="000243A1"/>
    <w:rsid w:val="000244D7"/>
    <w:rsid w:val="00024C38"/>
    <w:rsid w:val="00024F92"/>
    <w:rsid w:val="00030D85"/>
    <w:rsid w:val="00030E9F"/>
    <w:rsid w:val="00031DB6"/>
    <w:rsid w:val="00032C55"/>
    <w:rsid w:val="000344E6"/>
    <w:rsid w:val="000349B9"/>
    <w:rsid w:val="00034C67"/>
    <w:rsid w:val="00037D45"/>
    <w:rsid w:val="000403F2"/>
    <w:rsid w:val="000403FF"/>
    <w:rsid w:val="000443D6"/>
    <w:rsid w:val="0004605E"/>
    <w:rsid w:val="00046E83"/>
    <w:rsid w:val="0004714C"/>
    <w:rsid w:val="0004766F"/>
    <w:rsid w:val="000476E3"/>
    <w:rsid w:val="000506F8"/>
    <w:rsid w:val="00052685"/>
    <w:rsid w:val="000530D3"/>
    <w:rsid w:val="00062C91"/>
    <w:rsid w:val="00065D6D"/>
    <w:rsid w:val="00070261"/>
    <w:rsid w:val="00072C78"/>
    <w:rsid w:val="000737F9"/>
    <w:rsid w:val="00073F68"/>
    <w:rsid w:val="000776B8"/>
    <w:rsid w:val="00077B8C"/>
    <w:rsid w:val="00085241"/>
    <w:rsid w:val="00086EE5"/>
    <w:rsid w:val="000916B1"/>
    <w:rsid w:val="00092371"/>
    <w:rsid w:val="00092C23"/>
    <w:rsid w:val="00094150"/>
    <w:rsid w:val="00096380"/>
    <w:rsid w:val="000B1AF4"/>
    <w:rsid w:val="000B1FF4"/>
    <w:rsid w:val="000B6CA5"/>
    <w:rsid w:val="000C144C"/>
    <w:rsid w:val="000C1926"/>
    <w:rsid w:val="000C1C15"/>
    <w:rsid w:val="000C2C42"/>
    <w:rsid w:val="000C30E6"/>
    <w:rsid w:val="000D2AC8"/>
    <w:rsid w:val="000D37BF"/>
    <w:rsid w:val="000D3FFB"/>
    <w:rsid w:val="000D44CC"/>
    <w:rsid w:val="000D4CFD"/>
    <w:rsid w:val="000D785A"/>
    <w:rsid w:val="000D79BF"/>
    <w:rsid w:val="000E2DED"/>
    <w:rsid w:val="000E353C"/>
    <w:rsid w:val="000E3738"/>
    <w:rsid w:val="000E440D"/>
    <w:rsid w:val="000E59C8"/>
    <w:rsid w:val="000E5CBE"/>
    <w:rsid w:val="000F0B2E"/>
    <w:rsid w:val="000F2B8D"/>
    <w:rsid w:val="000F582B"/>
    <w:rsid w:val="000F7614"/>
    <w:rsid w:val="000F7AB4"/>
    <w:rsid w:val="000F7BCF"/>
    <w:rsid w:val="0010152F"/>
    <w:rsid w:val="00101D92"/>
    <w:rsid w:val="00102777"/>
    <w:rsid w:val="0010619E"/>
    <w:rsid w:val="00107BE1"/>
    <w:rsid w:val="001101A7"/>
    <w:rsid w:val="00113362"/>
    <w:rsid w:val="0011480D"/>
    <w:rsid w:val="00114DED"/>
    <w:rsid w:val="00116240"/>
    <w:rsid w:val="001168DA"/>
    <w:rsid w:val="00120210"/>
    <w:rsid w:val="001243B3"/>
    <w:rsid w:val="0012464E"/>
    <w:rsid w:val="00124F12"/>
    <w:rsid w:val="00131A2F"/>
    <w:rsid w:val="00135893"/>
    <w:rsid w:val="001366B6"/>
    <w:rsid w:val="0014003B"/>
    <w:rsid w:val="00143BC8"/>
    <w:rsid w:val="00143F5E"/>
    <w:rsid w:val="001458F6"/>
    <w:rsid w:val="001466FF"/>
    <w:rsid w:val="001515A1"/>
    <w:rsid w:val="0015390D"/>
    <w:rsid w:val="00153B0D"/>
    <w:rsid w:val="00156DD9"/>
    <w:rsid w:val="00157E8C"/>
    <w:rsid w:val="00157FA7"/>
    <w:rsid w:val="00162726"/>
    <w:rsid w:val="00164021"/>
    <w:rsid w:val="00167D19"/>
    <w:rsid w:val="00170171"/>
    <w:rsid w:val="00172A27"/>
    <w:rsid w:val="0017314A"/>
    <w:rsid w:val="00173458"/>
    <w:rsid w:val="00174365"/>
    <w:rsid w:val="00174450"/>
    <w:rsid w:val="001774B5"/>
    <w:rsid w:val="00180D55"/>
    <w:rsid w:val="00181A86"/>
    <w:rsid w:val="00181D33"/>
    <w:rsid w:val="0018326E"/>
    <w:rsid w:val="00183F85"/>
    <w:rsid w:val="00184919"/>
    <w:rsid w:val="001864A9"/>
    <w:rsid w:val="0019169A"/>
    <w:rsid w:val="00194BBF"/>
    <w:rsid w:val="00194EAB"/>
    <w:rsid w:val="00195D1B"/>
    <w:rsid w:val="001960D8"/>
    <w:rsid w:val="001A2EF8"/>
    <w:rsid w:val="001A36B8"/>
    <w:rsid w:val="001A51F4"/>
    <w:rsid w:val="001B1A95"/>
    <w:rsid w:val="001B2A04"/>
    <w:rsid w:val="001B6C41"/>
    <w:rsid w:val="001B6EE5"/>
    <w:rsid w:val="001C1D6F"/>
    <w:rsid w:val="001C42F8"/>
    <w:rsid w:val="001C6489"/>
    <w:rsid w:val="001C683D"/>
    <w:rsid w:val="001D2182"/>
    <w:rsid w:val="001D3077"/>
    <w:rsid w:val="001D5073"/>
    <w:rsid w:val="001D686B"/>
    <w:rsid w:val="001E0930"/>
    <w:rsid w:val="001E0A52"/>
    <w:rsid w:val="001E1A24"/>
    <w:rsid w:val="001E37C0"/>
    <w:rsid w:val="001E3A45"/>
    <w:rsid w:val="001E3A8D"/>
    <w:rsid w:val="001E4072"/>
    <w:rsid w:val="001E501B"/>
    <w:rsid w:val="001E51B0"/>
    <w:rsid w:val="001E57B4"/>
    <w:rsid w:val="001E6447"/>
    <w:rsid w:val="001E72AB"/>
    <w:rsid w:val="001E7857"/>
    <w:rsid w:val="001F1820"/>
    <w:rsid w:val="001F1A77"/>
    <w:rsid w:val="001F20AD"/>
    <w:rsid w:val="001F2540"/>
    <w:rsid w:val="001F2F4D"/>
    <w:rsid w:val="001F4110"/>
    <w:rsid w:val="001F65CE"/>
    <w:rsid w:val="001F6FC8"/>
    <w:rsid w:val="001F78D7"/>
    <w:rsid w:val="002000DE"/>
    <w:rsid w:val="002018AB"/>
    <w:rsid w:val="002025A1"/>
    <w:rsid w:val="00203B7D"/>
    <w:rsid w:val="00203BFA"/>
    <w:rsid w:val="00205EB4"/>
    <w:rsid w:val="00205F58"/>
    <w:rsid w:val="00207705"/>
    <w:rsid w:val="002105AB"/>
    <w:rsid w:val="002114C9"/>
    <w:rsid w:val="002159A0"/>
    <w:rsid w:val="0021653F"/>
    <w:rsid w:val="002208B1"/>
    <w:rsid w:val="00220C6E"/>
    <w:rsid w:val="00220EC5"/>
    <w:rsid w:val="00222388"/>
    <w:rsid w:val="00223E8C"/>
    <w:rsid w:val="002319C5"/>
    <w:rsid w:val="00231F4F"/>
    <w:rsid w:val="00232285"/>
    <w:rsid w:val="00234FE6"/>
    <w:rsid w:val="00237A6B"/>
    <w:rsid w:val="00240706"/>
    <w:rsid w:val="00241718"/>
    <w:rsid w:val="002417FE"/>
    <w:rsid w:val="00241B23"/>
    <w:rsid w:val="00243069"/>
    <w:rsid w:val="00247556"/>
    <w:rsid w:val="00251C82"/>
    <w:rsid w:val="00252AD2"/>
    <w:rsid w:val="00254DA1"/>
    <w:rsid w:val="00255942"/>
    <w:rsid w:val="00255B87"/>
    <w:rsid w:val="002560FC"/>
    <w:rsid w:val="00256905"/>
    <w:rsid w:val="002609E1"/>
    <w:rsid w:val="00261677"/>
    <w:rsid w:val="002618F8"/>
    <w:rsid w:val="002620DC"/>
    <w:rsid w:val="002621C5"/>
    <w:rsid w:val="00271858"/>
    <w:rsid w:val="00272C7C"/>
    <w:rsid w:val="0027488D"/>
    <w:rsid w:val="00274A78"/>
    <w:rsid w:val="00276072"/>
    <w:rsid w:val="00276797"/>
    <w:rsid w:val="00276B0B"/>
    <w:rsid w:val="00284D53"/>
    <w:rsid w:val="002855C0"/>
    <w:rsid w:val="00286CB7"/>
    <w:rsid w:val="002878BC"/>
    <w:rsid w:val="00287CDF"/>
    <w:rsid w:val="002915C0"/>
    <w:rsid w:val="00291984"/>
    <w:rsid w:val="002947D7"/>
    <w:rsid w:val="002951A5"/>
    <w:rsid w:val="0029532F"/>
    <w:rsid w:val="00295881"/>
    <w:rsid w:val="002A4318"/>
    <w:rsid w:val="002A4A2A"/>
    <w:rsid w:val="002B076E"/>
    <w:rsid w:val="002B1FF9"/>
    <w:rsid w:val="002B60C3"/>
    <w:rsid w:val="002C467F"/>
    <w:rsid w:val="002C49E0"/>
    <w:rsid w:val="002D2156"/>
    <w:rsid w:val="002D29CD"/>
    <w:rsid w:val="002D4D13"/>
    <w:rsid w:val="002D6620"/>
    <w:rsid w:val="002E1C52"/>
    <w:rsid w:val="002E27C9"/>
    <w:rsid w:val="002E5EC0"/>
    <w:rsid w:val="002E68A0"/>
    <w:rsid w:val="002E7D55"/>
    <w:rsid w:val="002E7E75"/>
    <w:rsid w:val="002F445B"/>
    <w:rsid w:val="002F5F6E"/>
    <w:rsid w:val="002F6476"/>
    <w:rsid w:val="002F6788"/>
    <w:rsid w:val="002F67DC"/>
    <w:rsid w:val="002F6E22"/>
    <w:rsid w:val="002F7CDF"/>
    <w:rsid w:val="0030143A"/>
    <w:rsid w:val="00307F87"/>
    <w:rsid w:val="003208B5"/>
    <w:rsid w:val="00324290"/>
    <w:rsid w:val="00325DB7"/>
    <w:rsid w:val="00335E0A"/>
    <w:rsid w:val="00337179"/>
    <w:rsid w:val="00341C46"/>
    <w:rsid w:val="00341D22"/>
    <w:rsid w:val="0034754D"/>
    <w:rsid w:val="003508C1"/>
    <w:rsid w:val="00351661"/>
    <w:rsid w:val="00351D9F"/>
    <w:rsid w:val="003528AA"/>
    <w:rsid w:val="003538FD"/>
    <w:rsid w:val="003547D1"/>
    <w:rsid w:val="00355D25"/>
    <w:rsid w:val="00357033"/>
    <w:rsid w:val="00357283"/>
    <w:rsid w:val="00361B4C"/>
    <w:rsid w:val="00362331"/>
    <w:rsid w:val="00363B0C"/>
    <w:rsid w:val="00363EAC"/>
    <w:rsid w:val="003642AE"/>
    <w:rsid w:val="00364A3E"/>
    <w:rsid w:val="003660F7"/>
    <w:rsid w:val="00367F5B"/>
    <w:rsid w:val="003731FA"/>
    <w:rsid w:val="0037557D"/>
    <w:rsid w:val="003817CA"/>
    <w:rsid w:val="00385BE6"/>
    <w:rsid w:val="003904C1"/>
    <w:rsid w:val="003928AB"/>
    <w:rsid w:val="00394591"/>
    <w:rsid w:val="00396BA5"/>
    <w:rsid w:val="003A0576"/>
    <w:rsid w:val="003A48DD"/>
    <w:rsid w:val="003A57B9"/>
    <w:rsid w:val="003A57C5"/>
    <w:rsid w:val="003A5C38"/>
    <w:rsid w:val="003A7401"/>
    <w:rsid w:val="003A74B5"/>
    <w:rsid w:val="003B019F"/>
    <w:rsid w:val="003B0205"/>
    <w:rsid w:val="003B14EA"/>
    <w:rsid w:val="003B1CD9"/>
    <w:rsid w:val="003B2451"/>
    <w:rsid w:val="003B369B"/>
    <w:rsid w:val="003B5BDE"/>
    <w:rsid w:val="003B6EA0"/>
    <w:rsid w:val="003B773C"/>
    <w:rsid w:val="003B7FC1"/>
    <w:rsid w:val="003C049F"/>
    <w:rsid w:val="003C1DFF"/>
    <w:rsid w:val="003C24C0"/>
    <w:rsid w:val="003C31F1"/>
    <w:rsid w:val="003C4E20"/>
    <w:rsid w:val="003C553E"/>
    <w:rsid w:val="003C7AE5"/>
    <w:rsid w:val="003D2960"/>
    <w:rsid w:val="003D33E3"/>
    <w:rsid w:val="003D37C9"/>
    <w:rsid w:val="003D4017"/>
    <w:rsid w:val="003D43D6"/>
    <w:rsid w:val="003D47F2"/>
    <w:rsid w:val="003D4E32"/>
    <w:rsid w:val="003D5715"/>
    <w:rsid w:val="003E24B2"/>
    <w:rsid w:val="003E2D9B"/>
    <w:rsid w:val="003E536D"/>
    <w:rsid w:val="003E5B98"/>
    <w:rsid w:val="003E5EED"/>
    <w:rsid w:val="003E60FE"/>
    <w:rsid w:val="003E74DA"/>
    <w:rsid w:val="003E7AC4"/>
    <w:rsid w:val="003F3C80"/>
    <w:rsid w:val="003F51A3"/>
    <w:rsid w:val="004004FF"/>
    <w:rsid w:val="004032AA"/>
    <w:rsid w:val="0040411A"/>
    <w:rsid w:val="0040414F"/>
    <w:rsid w:val="00404480"/>
    <w:rsid w:val="00406E65"/>
    <w:rsid w:val="004107E8"/>
    <w:rsid w:val="00410B31"/>
    <w:rsid w:val="00411BBA"/>
    <w:rsid w:val="0041281D"/>
    <w:rsid w:val="00412A11"/>
    <w:rsid w:val="00412C3E"/>
    <w:rsid w:val="00413CC6"/>
    <w:rsid w:val="00414AE0"/>
    <w:rsid w:val="004163C0"/>
    <w:rsid w:val="00416DC7"/>
    <w:rsid w:val="00422E5E"/>
    <w:rsid w:val="00424C59"/>
    <w:rsid w:val="004303EF"/>
    <w:rsid w:val="00432058"/>
    <w:rsid w:val="00435419"/>
    <w:rsid w:val="0043788C"/>
    <w:rsid w:val="00440E96"/>
    <w:rsid w:val="0044496F"/>
    <w:rsid w:val="00444BC4"/>
    <w:rsid w:val="00445E91"/>
    <w:rsid w:val="00447444"/>
    <w:rsid w:val="004532F4"/>
    <w:rsid w:val="00454FBB"/>
    <w:rsid w:val="00454FE2"/>
    <w:rsid w:val="0045552E"/>
    <w:rsid w:val="00455E9A"/>
    <w:rsid w:val="00456C6F"/>
    <w:rsid w:val="004573AE"/>
    <w:rsid w:val="00457A00"/>
    <w:rsid w:val="00463338"/>
    <w:rsid w:val="0046408D"/>
    <w:rsid w:val="004646C0"/>
    <w:rsid w:val="00466870"/>
    <w:rsid w:val="00467F9C"/>
    <w:rsid w:val="0047205B"/>
    <w:rsid w:val="004721C5"/>
    <w:rsid w:val="004729B7"/>
    <w:rsid w:val="00473E37"/>
    <w:rsid w:val="004767E9"/>
    <w:rsid w:val="00476D20"/>
    <w:rsid w:val="00480147"/>
    <w:rsid w:val="00483C4E"/>
    <w:rsid w:val="00484B53"/>
    <w:rsid w:val="004871A3"/>
    <w:rsid w:val="0048799B"/>
    <w:rsid w:val="00492898"/>
    <w:rsid w:val="0049359F"/>
    <w:rsid w:val="0049790C"/>
    <w:rsid w:val="004A1518"/>
    <w:rsid w:val="004A2A6C"/>
    <w:rsid w:val="004A48F6"/>
    <w:rsid w:val="004A5217"/>
    <w:rsid w:val="004A5642"/>
    <w:rsid w:val="004A5B71"/>
    <w:rsid w:val="004B05FA"/>
    <w:rsid w:val="004B1075"/>
    <w:rsid w:val="004B2357"/>
    <w:rsid w:val="004B27D7"/>
    <w:rsid w:val="004B36AD"/>
    <w:rsid w:val="004B3980"/>
    <w:rsid w:val="004B5441"/>
    <w:rsid w:val="004B6046"/>
    <w:rsid w:val="004B6294"/>
    <w:rsid w:val="004B7439"/>
    <w:rsid w:val="004C6DAB"/>
    <w:rsid w:val="004C7DD3"/>
    <w:rsid w:val="004D0107"/>
    <w:rsid w:val="004D3197"/>
    <w:rsid w:val="004D3CC0"/>
    <w:rsid w:val="004D6AA6"/>
    <w:rsid w:val="004E3003"/>
    <w:rsid w:val="004E4499"/>
    <w:rsid w:val="004E4D45"/>
    <w:rsid w:val="004E6EAE"/>
    <w:rsid w:val="004E7483"/>
    <w:rsid w:val="004F3CE0"/>
    <w:rsid w:val="004F4F0F"/>
    <w:rsid w:val="004F6BE2"/>
    <w:rsid w:val="00503CA8"/>
    <w:rsid w:val="00503EE0"/>
    <w:rsid w:val="00505902"/>
    <w:rsid w:val="00506725"/>
    <w:rsid w:val="005103CC"/>
    <w:rsid w:val="005104DD"/>
    <w:rsid w:val="0051070A"/>
    <w:rsid w:val="00513F51"/>
    <w:rsid w:val="00515356"/>
    <w:rsid w:val="00515DA7"/>
    <w:rsid w:val="005203BF"/>
    <w:rsid w:val="00521E61"/>
    <w:rsid w:val="00523D92"/>
    <w:rsid w:val="005250D1"/>
    <w:rsid w:val="00525B5B"/>
    <w:rsid w:val="005301D9"/>
    <w:rsid w:val="005329AB"/>
    <w:rsid w:val="00537D72"/>
    <w:rsid w:val="00541991"/>
    <w:rsid w:val="00541B78"/>
    <w:rsid w:val="005426F8"/>
    <w:rsid w:val="0054473C"/>
    <w:rsid w:val="005471DE"/>
    <w:rsid w:val="005502CE"/>
    <w:rsid w:val="00550AC4"/>
    <w:rsid w:val="00552A7C"/>
    <w:rsid w:val="00552D16"/>
    <w:rsid w:val="00553295"/>
    <w:rsid w:val="0055425D"/>
    <w:rsid w:val="00556BF3"/>
    <w:rsid w:val="0055790A"/>
    <w:rsid w:val="0056006A"/>
    <w:rsid w:val="00560F9F"/>
    <w:rsid w:val="0056316A"/>
    <w:rsid w:val="005638ED"/>
    <w:rsid w:val="00563ABA"/>
    <w:rsid w:val="00567F04"/>
    <w:rsid w:val="00571108"/>
    <w:rsid w:val="0057157F"/>
    <w:rsid w:val="00572BFE"/>
    <w:rsid w:val="005732C4"/>
    <w:rsid w:val="00573651"/>
    <w:rsid w:val="00576246"/>
    <w:rsid w:val="0057764C"/>
    <w:rsid w:val="00580AE1"/>
    <w:rsid w:val="00583396"/>
    <w:rsid w:val="005843F0"/>
    <w:rsid w:val="00584DD8"/>
    <w:rsid w:val="0059001D"/>
    <w:rsid w:val="0059250E"/>
    <w:rsid w:val="00592941"/>
    <w:rsid w:val="00592FE9"/>
    <w:rsid w:val="00594872"/>
    <w:rsid w:val="00595FFF"/>
    <w:rsid w:val="005A06BE"/>
    <w:rsid w:val="005A205D"/>
    <w:rsid w:val="005A25CC"/>
    <w:rsid w:val="005A6E6C"/>
    <w:rsid w:val="005B1844"/>
    <w:rsid w:val="005B318A"/>
    <w:rsid w:val="005B39DC"/>
    <w:rsid w:val="005C5744"/>
    <w:rsid w:val="005C7FBA"/>
    <w:rsid w:val="005D0209"/>
    <w:rsid w:val="005D19A1"/>
    <w:rsid w:val="005D2EA7"/>
    <w:rsid w:val="005D38DC"/>
    <w:rsid w:val="005D4749"/>
    <w:rsid w:val="005D5770"/>
    <w:rsid w:val="005D6662"/>
    <w:rsid w:val="005D67C7"/>
    <w:rsid w:val="005D6C8A"/>
    <w:rsid w:val="005D6ED2"/>
    <w:rsid w:val="005D716C"/>
    <w:rsid w:val="005E40D0"/>
    <w:rsid w:val="005E6F8C"/>
    <w:rsid w:val="005F41B1"/>
    <w:rsid w:val="005F4E74"/>
    <w:rsid w:val="005F727C"/>
    <w:rsid w:val="00601DFD"/>
    <w:rsid w:val="00610879"/>
    <w:rsid w:val="0061173D"/>
    <w:rsid w:val="00611D22"/>
    <w:rsid w:val="00620B35"/>
    <w:rsid w:val="00622B58"/>
    <w:rsid w:val="00624B5B"/>
    <w:rsid w:val="00624DD4"/>
    <w:rsid w:val="00630BF4"/>
    <w:rsid w:val="00631F00"/>
    <w:rsid w:val="00632287"/>
    <w:rsid w:val="00635726"/>
    <w:rsid w:val="00635BA4"/>
    <w:rsid w:val="0063666C"/>
    <w:rsid w:val="0063691D"/>
    <w:rsid w:val="00636C79"/>
    <w:rsid w:val="00640773"/>
    <w:rsid w:val="006423E1"/>
    <w:rsid w:val="0064385A"/>
    <w:rsid w:val="00643D59"/>
    <w:rsid w:val="006455FD"/>
    <w:rsid w:val="00645EAE"/>
    <w:rsid w:val="00646752"/>
    <w:rsid w:val="006468B4"/>
    <w:rsid w:val="00646E0C"/>
    <w:rsid w:val="00647D7F"/>
    <w:rsid w:val="006502CC"/>
    <w:rsid w:val="00651668"/>
    <w:rsid w:val="006530D1"/>
    <w:rsid w:val="00656FE3"/>
    <w:rsid w:val="00660CB2"/>
    <w:rsid w:val="00662EFF"/>
    <w:rsid w:val="00663EF0"/>
    <w:rsid w:val="006646B6"/>
    <w:rsid w:val="006676BA"/>
    <w:rsid w:val="006701AA"/>
    <w:rsid w:val="006704AC"/>
    <w:rsid w:val="006714A4"/>
    <w:rsid w:val="0067481A"/>
    <w:rsid w:val="00676CF5"/>
    <w:rsid w:val="00677D6F"/>
    <w:rsid w:val="00682384"/>
    <w:rsid w:val="00684961"/>
    <w:rsid w:val="00692576"/>
    <w:rsid w:val="0069383B"/>
    <w:rsid w:val="00694263"/>
    <w:rsid w:val="00695CA0"/>
    <w:rsid w:val="00695D7D"/>
    <w:rsid w:val="00696ECC"/>
    <w:rsid w:val="006977DC"/>
    <w:rsid w:val="006A0846"/>
    <w:rsid w:val="006A17D5"/>
    <w:rsid w:val="006B208D"/>
    <w:rsid w:val="006B311A"/>
    <w:rsid w:val="006B3428"/>
    <w:rsid w:val="006B356F"/>
    <w:rsid w:val="006B3C32"/>
    <w:rsid w:val="006B4FD0"/>
    <w:rsid w:val="006B61FC"/>
    <w:rsid w:val="006B6F5E"/>
    <w:rsid w:val="006B72C6"/>
    <w:rsid w:val="006C26BB"/>
    <w:rsid w:val="006C5026"/>
    <w:rsid w:val="006C6BEB"/>
    <w:rsid w:val="006D0C13"/>
    <w:rsid w:val="006D206D"/>
    <w:rsid w:val="006D271D"/>
    <w:rsid w:val="006D2FF7"/>
    <w:rsid w:val="006D4E5E"/>
    <w:rsid w:val="006D5FBC"/>
    <w:rsid w:val="006D6237"/>
    <w:rsid w:val="006D6539"/>
    <w:rsid w:val="006D66F7"/>
    <w:rsid w:val="006D7AA3"/>
    <w:rsid w:val="006E0B70"/>
    <w:rsid w:val="006E29CE"/>
    <w:rsid w:val="006E3982"/>
    <w:rsid w:val="006E6DAE"/>
    <w:rsid w:val="006F023C"/>
    <w:rsid w:val="006F05C2"/>
    <w:rsid w:val="006F0E9F"/>
    <w:rsid w:val="006F11F0"/>
    <w:rsid w:val="006F40F1"/>
    <w:rsid w:val="006F6D3C"/>
    <w:rsid w:val="0070188F"/>
    <w:rsid w:val="007029DD"/>
    <w:rsid w:val="00703BD6"/>
    <w:rsid w:val="007066FA"/>
    <w:rsid w:val="00707C4B"/>
    <w:rsid w:val="007113FA"/>
    <w:rsid w:val="00712923"/>
    <w:rsid w:val="0071349B"/>
    <w:rsid w:val="0072184F"/>
    <w:rsid w:val="00721918"/>
    <w:rsid w:val="00723264"/>
    <w:rsid w:val="00723E23"/>
    <w:rsid w:val="0072499E"/>
    <w:rsid w:val="0073212C"/>
    <w:rsid w:val="00733696"/>
    <w:rsid w:val="007340C0"/>
    <w:rsid w:val="007403C2"/>
    <w:rsid w:val="007404A6"/>
    <w:rsid w:val="00740B35"/>
    <w:rsid w:val="0074131E"/>
    <w:rsid w:val="00742ED6"/>
    <w:rsid w:val="007432C1"/>
    <w:rsid w:val="0074512E"/>
    <w:rsid w:val="00745BF6"/>
    <w:rsid w:val="00746443"/>
    <w:rsid w:val="00747F9B"/>
    <w:rsid w:val="00750CC4"/>
    <w:rsid w:val="007528B7"/>
    <w:rsid w:val="007546FB"/>
    <w:rsid w:val="0075586E"/>
    <w:rsid w:val="00761C29"/>
    <w:rsid w:val="007638B1"/>
    <w:rsid w:val="007644F4"/>
    <w:rsid w:val="0077357A"/>
    <w:rsid w:val="0077684F"/>
    <w:rsid w:val="00782D66"/>
    <w:rsid w:val="0078418A"/>
    <w:rsid w:val="0078618D"/>
    <w:rsid w:val="007869DB"/>
    <w:rsid w:val="00786D16"/>
    <w:rsid w:val="00791833"/>
    <w:rsid w:val="007928E5"/>
    <w:rsid w:val="00793F08"/>
    <w:rsid w:val="00797034"/>
    <w:rsid w:val="007971F6"/>
    <w:rsid w:val="007A0915"/>
    <w:rsid w:val="007A0948"/>
    <w:rsid w:val="007A5613"/>
    <w:rsid w:val="007A5D28"/>
    <w:rsid w:val="007B4AC0"/>
    <w:rsid w:val="007B5193"/>
    <w:rsid w:val="007B65D3"/>
    <w:rsid w:val="007C0331"/>
    <w:rsid w:val="007C12DE"/>
    <w:rsid w:val="007C1465"/>
    <w:rsid w:val="007C41DC"/>
    <w:rsid w:val="007C4588"/>
    <w:rsid w:val="007C6732"/>
    <w:rsid w:val="007D07A4"/>
    <w:rsid w:val="007D1DEC"/>
    <w:rsid w:val="007D4303"/>
    <w:rsid w:val="007D52AB"/>
    <w:rsid w:val="007D53B2"/>
    <w:rsid w:val="007D5AA2"/>
    <w:rsid w:val="007D7DA0"/>
    <w:rsid w:val="007E0497"/>
    <w:rsid w:val="007E6F59"/>
    <w:rsid w:val="007E7E3F"/>
    <w:rsid w:val="007F06D7"/>
    <w:rsid w:val="007F4520"/>
    <w:rsid w:val="007F77E2"/>
    <w:rsid w:val="008012B7"/>
    <w:rsid w:val="00802975"/>
    <w:rsid w:val="00803998"/>
    <w:rsid w:val="008067D0"/>
    <w:rsid w:val="00812F9F"/>
    <w:rsid w:val="00813002"/>
    <w:rsid w:val="0081409B"/>
    <w:rsid w:val="008151BC"/>
    <w:rsid w:val="00821B2D"/>
    <w:rsid w:val="0082322A"/>
    <w:rsid w:val="00824E54"/>
    <w:rsid w:val="00825168"/>
    <w:rsid w:val="00825CBF"/>
    <w:rsid w:val="00830217"/>
    <w:rsid w:val="00830280"/>
    <w:rsid w:val="00830D05"/>
    <w:rsid w:val="00832332"/>
    <w:rsid w:val="008323C2"/>
    <w:rsid w:val="00837F42"/>
    <w:rsid w:val="0084322E"/>
    <w:rsid w:val="00844374"/>
    <w:rsid w:val="00844FAB"/>
    <w:rsid w:val="0084503D"/>
    <w:rsid w:val="00845B81"/>
    <w:rsid w:val="00850283"/>
    <w:rsid w:val="00863102"/>
    <w:rsid w:val="008658D2"/>
    <w:rsid w:val="0086670E"/>
    <w:rsid w:val="00870B5C"/>
    <w:rsid w:val="00871C54"/>
    <w:rsid w:val="00872827"/>
    <w:rsid w:val="00874338"/>
    <w:rsid w:val="00882B2A"/>
    <w:rsid w:val="00887A02"/>
    <w:rsid w:val="00890BAA"/>
    <w:rsid w:val="00891005"/>
    <w:rsid w:val="008945C6"/>
    <w:rsid w:val="008961BA"/>
    <w:rsid w:val="00896B0B"/>
    <w:rsid w:val="008A06D7"/>
    <w:rsid w:val="008A1BC1"/>
    <w:rsid w:val="008A2AA7"/>
    <w:rsid w:val="008A3723"/>
    <w:rsid w:val="008A4089"/>
    <w:rsid w:val="008A5205"/>
    <w:rsid w:val="008A5D57"/>
    <w:rsid w:val="008A6F44"/>
    <w:rsid w:val="008B1A14"/>
    <w:rsid w:val="008B3832"/>
    <w:rsid w:val="008B5D04"/>
    <w:rsid w:val="008B61E2"/>
    <w:rsid w:val="008B6326"/>
    <w:rsid w:val="008B68B5"/>
    <w:rsid w:val="008B6C63"/>
    <w:rsid w:val="008C1A57"/>
    <w:rsid w:val="008C41C8"/>
    <w:rsid w:val="008C69DB"/>
    <w:rsid w:val="008C7215"/>
    <w:rsid w:val="008D01AE"/>
    <w:rsid w:val="008D053D"/>
    <w:rsid w:val="008D09CA"/>
    <w:rsid w:val="008D1474"/>
    <w:rsid w:val="008D1B19"/>
    <w:rsid w:val="008D4626"/>
    <w:rsid w:val="008D509D"/>
    <w:rsid w:val="008D53A3"/>
    <w:rsid w:val="008D69DF"/>
    <w:rsid w:val="008D77C0"/>
    <w:rsid w:val="008E75F3"/>
    <w:rsid w:val="008E77C2"/>
    <w:rsid w:val="008E7E40"/>
    <w:rsid w:val="008E7F7B"/>
    <w:rsid w:val="008F1BB0"/>
    <w:rsid w:val="008F2811"/>
    <w:rsid w:val="008F3C6A"/>
    <w:rsid w:val="008F4A70"/>
    <w:rsid w:val="008F5A1B"/>
    <w:rsid w:val="00900AC4"/>
    <w:rsid w:val="0090178F"/>
    <w:rsid w:val="009030A2"/>
    <w:rsid w:val="009051C5"/>
    <w:rsid w:val="009063B3"/>
    <w:rsid w:val="009068FE"/>
    <w:rsid w:val="00906F21"/>
    <w:rsid w:val="0091134B"/>
    <w:rsid w:val="0091203C"/>
    <w:rsid w:val="00915672"/>
    <w:rsid w:val="00920B31"/>
    <w:rsid w:val="00921B24"/>
    <w:rsid w:val="00922DE6"/>
    <w:rsid w:val="009240E3"/>
    <w:rsid w:val="00926AF0"/>
    <w:rsid w:val="0092774A"/>
    <w:rsid w:val="00927D77"/>
    <w:rsid w:val="00930870"/>
    <w:rsid w:val="009316C9"/>
    <w:rsid w:val="0093188D"/>
    <w:rsid w:val="00936444"/>
    <w:rsid w:val="00936611"/>
    <w:rsid w:val="00937F95"/>
    <w:rsid w:val="0094148F"/>
    <w:rsid w:val="00942E2B"/>
    <w:rsid w:val="00946723"/>
    <w:rsid w:val="00950167"/>
    <w:rsid w:val="00950C85"/>
    <w:rsid w:val="00954D1B"/>
    <w:rsid w:val="009561B5"/>
    <w:rsid w:val="00956EAE"/>
    <w:rsid w:val="009601D5"/>
    <w:rsid w:val="00963791"/>
    <w:rsid w:val="00965ECF"/>
    <w:rsid w:val="009678A8"/>
    <w:rsid w:val="00975954"/>
    <w:rsid w:val="00977CB9"/>
    <w:rsid w:val="0098419A"/>
    <w:rsid w:val="00987E4F"/>
    <w:rsid w:val="00990CAD"/>
    <w:rsid w:val="00992C49"/>
    <w:rsid w:val="00994B5F"/>
    <w:rsid w:val="00995460"/>
    <w:rsid w:val="009A0961"/>
    <w:rsid w:val="009A1103"/>
    <w:rsid w:val="009A1C41"/>
    <w:rsid w:val="009A337E"/>
    <w:rsid w:val="009A38D1"/>
    <w:rsid w:val="009A4413"/>
    <w:rsid w:val="009A53F5"/>
    <w:rsid w:val="009A6749"/>
    <w:rsid w:val="009B0AE0"/>
    <w:rsid w:val="009B2C33"/>
    <w:rsid w:val="009B2F16"/>
    <w:rsid w:val="009B443C"/>
    <w:rsid w:val="009B4BF2"/>
    <w:rsid w:val="009B5259"/>
    <w:rsid w:val="009B6EF3"/>
    <w:rsid w:val="009B79DB"/>
    <w:rsid w:val="009C130A"/>
    <w:rsid w:val="009C2DD5"/>
    <w:rsid w:val="009C2E49"/>
    <w:rsid w:val="009C379B"/>
    <w:rsid w:val="009C60CE"/>
    <w:rsid w:val="009C74A0"/>
    <w:rsid w:val="009D2D1C"/>
    <w:rsid w:val="009D4670"/>
    <w:rsid w:val="009D7E76"/>
    <w:rsid w:val="009E3211"/>
    <w:rsid w:val="009E44D4"/>
    <w:rsid w:val="009E6769"/>
    <w:rsid w:val="009F3710"/>
    <w:rsid w:val="009F4AD3"/>
    <w:rsid w:val="009F6C8D"/>
    <w:rsid w:val="009F6E5B"/>
    <w:rsid w:val="009F7879"/>
    <w:rsid w:val="00A01055"/>
    <w:rsid w:val="00A01892"/>
    <w:rsid w:val="00A040B1"/>
    <w:rsid w:val="00A05028"/>
    <w:rsid w:val="00A0614E"/>
    <w:rsid w:val="00A06510"/>
    <w:rsid w:val="00A072DF"/>
    <w:rsid w:val="00A07AD8"/>
    <w:rsid w:val="00A103E5"/>
    <w:rsid w:val="00A12831"/>
    <w:rsid w:val="00A13D6E"/>
    <w:rsid w:val="00A17734"/>
    <w:rsid w:val="00A206DB"/>
    <w:rsid w:val="00A2184E"/>
    <w:rsid w:val="00A21E34"/>
    <w:rsid w:val="00A27C4C"/>
    <w:rsid w:val="00A337E7"/>
    <w:rsid w:val="00A341A1"/>
    <w:rsid w:val="00A34982"/>
    <w:rsid w:val="00A34DCA"/>
    <w:rsid w:val="00A3745A"/>
    <w:rsid w:val="00A37CB2"/>
    <w:rsid w:val="00A40D5C"/>
    <w:rsid w:val="00A41BF3"/>
    <w:rsid w:val="00A4345B"/>
    <w:rsid w:val="00A43BDB"/>
    <w:rsid w:val="00A442C1"/>
    <w:rsid w:val="00A45074"/>
    <w:rsid w:val="00A46129"/>
    <w:rsid w:val="00A46D6A"/>
    <w:rsid w:val="00A476A1"/>
    <w:rsid w:val="00A5041D"/>
    <w:rsid w:val="00A524E1"/>
    <w:rsid w:val="00A52A92"/>
    <w:rsid w:val="00A52ED7"/>
    <w:rsid w:val="00A5341D"/>
    <w:rsid w:val="00A55686"/>
    <w:rsid w:val="00A56151"/>
    <w:rsid w:val="00A56465"/>
    <w:rsid w:val="00A578D1"/>
    <w:rsid w:val="00A6312F"/>
    <w:rsid w:val="00A65FF3"/>
    <w:rsid w:val="00A660D0"/>
    <w:rsid w:val="00A665A8"/>
    <w:rsid w:val="00A665B0"/>
    <w:rsid w:val="00A71538"/>
    <w:rsid w:val="00A718F3"/>
    <w:rsid w:val="00A71BA9"/>
    <w:rsid w:val="00A71BEB"/>
    <w:rsid w:val="00A725B8"/>
    <w:rsid w:val="00A75FC1"/>
    <w:rsid w:val="00A7696E"/>
    <w:rsid w:val="00A774C8"/>
    <w:rsid w:val="00A80DCC"/>
    <w:rsid w:val="00A8213C"/>
    <w:rsid w:val="00A8286E"/>
    <w:rsid w:val="00A82B42"/>
    <w:rsid w:val="00A83BC5"/>
    <w:rsid w:val="00A858F4"/>
    <w:rsid w:val="00A87197"/>
    <w:rsid w:val="00A90D49"/>
    <w:rsid w:val="00A90ED8"/>
    <w:rsid w:val="00A91E4E"/>
    <w:rsid w:val="00A932B3"/>
    <w:rsid w:val="00A961EB"/>
    <w:rsid w:val="00AA072C"/>
    <w:rsid w:val="00AA1F1E"/>
    <w:rsid w:val="00AA22D1"/>
    <w:rsid w:val="00AA2511"/>
    <w:rsid w:val="00AA4829"/>
    <w:rsid w:val="00AB1266"/>
    <w:rsid w:val="00AB16C6"/>
    <w:rsid w:val="00AB2326"/>
    <w:rsid w:val="00AB2DB3"/>
    <w:rsid w:val="00AB60AD"/>
    <w:rsid w:val="00AB6899"/>
    <w:rsid w:val="00AB721B"/>
    <w:rsid w:val="00AC0914"/>
    <w:rsid w:val="00AD195E"/>
    <w:rsid w:val="00AD2DB4"/>
    <w:rsid w:val="00AD3243"/>
    <w:rsid w:val="00AD4F8D"/>
    <w:rsid w:val="00AD5860"/>
    <w:rsid w:val="00AD5A15"/>
    <w:rsid w:val="00AD607F"/>
    <w:rsid w:val="00AD7D96"/>
    <w:rsid w:val="00AE103E"/>
    <w:rsid w:val="00AE1B3F"/>
    <w:rsid w:val="00AE1FAF"/>
    <w:rsid w:val="00AE2C4A"/>
    <w:rsid w:val="00AE4D10"/>
    <w:rsid w:val="00AE5F37"/>
    <w:rsid w:val="00AF108C"/>
    <w:rsid w:val="00B0343B"/>
    <w:rsid w:val="00B06343"/>
    <w:rsid w:val="00B0647A"/>
    <w:rsid w:val="00B06E74"/>
    <w:rsid w:val="00B06E79"/>
    <w:rsid w:val="00B0744D"/>
    <w:rsid w:val="00B15D01"/>
    <w:rsid w:val="00B15EDF"/>
    <w:rsid w:val="00B15F1D"/>
    <w:rsid w:val="00B17AA8"/>
    <w:rsid w:val="00B24C3A"/>
    <w:rsid w:val="00B24C77"/>
    <w:rsid w:val="00B270BC"/>
    <w:rsid w:val="00B302E9"/>
    <w:rsid w:val="00B3165F"/>
    <w:rsid w:val="00B3213F"/>
    <w:rsid w:val="00B321EA"/>
    <w:rsid w:val="00B34119"/>
    <w:rsid w:val="00B3658A"/>
    <w:rsid w:val="00B36B47"/>
    <w:rsid w:val="00B400CD"/>
    <w:rsid w:val="00B4019C"/>
    <w:rsid w:val="00B419A4"/>
    <w:rsid w:val="00B4294A"/>
    <w:rsid w:val="00B441C6"/>
    <w:rsid w:val="00B44B00"/>
    <w:rsid w:val="00B44FD5"/>
    <w:rsid w:val="00B50180"/>
    <w:rsid w:val="00B5279F"/>
    <w:rsid w:val="00B53AAD"/>
    <w:rsid w:val="00B56149"/>
    <w:rsid w:val="00B56169"/>
    <w:rsid w:val="00B6445B"/>
    <w:rsid w:val="00B65BC5"/>
    <w:rsid w:val="00B65E7D"/>
    <w:rsid w:val="00B67783"/>
    <w:rsid w:val="00B67C80"/>
    <w:rsid w:val="00B71A83"/>
    <w:rsid w:val="00B71DA2"/>
    <w:rsid w:val="00B76C2B"/>
    <w:rsid w:val="00B8016F"/>
    <w:rsid w:val="00B81500"/>
    <w:rsid w:val="00B839C1"/>
    <w:rsid w:val="00B844AD"/>
    <w:rsid w:val="00B8529B"/>
    <w:rsid w:val="00B8554D"/>
    <w:rsid w:val="00B85767"/>
    <w:rsid w:val="00B878CD"/>
    <w:rsid w:val="00B87DA0"/>
    <w:rsid w:val="00B90222"/>
    <w:rsid w:val="00B925FC"/>
    <w:rsid w:val="00B93231"/>
    <w:rsid w:val="00B93299"/>
    <w:rsid w:val="00B9389A"/>
    <w:rsid w:val="00B94369"/>
    <w:rsid w:val="00B9713E"/>
    <w:rsid w:val="00BA1446"/>
    <w:rsid w:val="00BA173F"/>
    <w:rsid w:val="00BA501C"/>
    <w:rsid w:val="00BA7DB8"/>
    <w:rsid w:val="00BB04B2"/>
    <w:rsid w:val="00BB0ECD"/>
    <w:rsid w:val="00BB1B85"/>
    <w:rsid w:val="00BB2456"/>
    <w:rsid w:val="00BB2D95"/>
    <w:rsid w:val="00BB2F84"/>
    <w:rsid w:val="00BB68EE"/>
    <w:rsid w:val="00BC2A74"/>
    <w:rsid w:val="00BC38AA"/>
    <w:rsid w:val="00BC3BE7"/>
    <w:rsid w:val="00BC3EE9"/>
    <w:rsid w:val="00BC7EC1"/>
    <w:rsid w:val="00BD0BBD"/>
    <w:rsid w:val="00BD4DD0"/>
    <w:rsid w:val="00BD6637"/>
    <w:rsid w:val="00BD6F92"/>
    <w:rsid w:val="00BE5012"/>
    <w:rsid w:val="00BE5658"/>
    <w:rsid w:val="00BF42E0"/>
    <w:rsid w:val="00BF4385"/>
    <w:rsid w:val="00BF49F5"/>
    <w:rsid w:val="00BF79F8"/>
    <w:rsid w:val="00BF7D47"/>
    <w:rsid w:val="00C02938"/>
    <w:rsid w:val="00C037A1"/>
    <w:rsid w:val="00C06850"/>
    <w:rsid w:val="00C11D81"/>
    <w:rsid w:val="00C1363C"/>
    <w:rsid w:val="00C14134"/>
    <w:rsid w:val="00C148AB"/>
    <w:rsid w:val="00C1756C"/>
    <w:rsid w:val="00C217F0"/>
    <w:rsid w:val="00C22B8B"/>
    <w:rsid w:val="00C23B98"/>
    <w:rsid w:val="00C25CE1"/>
    <w:rsid w:val="00C30E86"/>
    <w:rsid w:val="00C310A6"/>
    <w:rsid w:val="00C32306"/>
    <w:rsid w:val="00C33537"/>
    <w:rsid w:val="00C34066"/>
    <w:rsid w:val="00C353B6"/>
    <w:rsid w:val="00C35BAA"/>
    <w:rsid w:val="00C376AF"/>
    <w:rsid w:val="00C401EC"/>
    <w:rsid w:val="00C403E1"/>
    <w:rsid w:val="00C454AA"/>
    <w:rsid w:val="00C4652D"/>
    <w:rsid w:val="00C51529"/>
    <w:rsid w:val="00C5175D"/>
    <w:rsid w:val="00C53356"/>
    <w:rsid w:val="00C5454E"/>
    <w:rsid w:val="00C54D51"/>
    <w:rsid w:val="00C6191F"/>
    <w:rsid w:val="00C63B6F"/>
    <w:rsid w:val="00C6498D"/>
    <w:rsid w:val="00C64D91"/>
    <w:rsid w:val="00C72620"/>
    <w:rsid w:val="00C7276F"/>
    <w:rsid w:val="00C74E14"/>
    <w:rsid w:val="00C7644D"/>
    <w:rsid w:val="00C81F65"/>
    <w:rsid w:val="00C822A7"/>
    <w:rsid w:val="00C82F54"/>
    <w:rsid w:val="00C83BF7"/>
    <w:rsid w:val="00C85D24"/>
    <w:rsid w:val="00C8787F"/>
    <w:rsid w:val="00C91736"/>
    <w:rsid w:val="00C9196C"/>
    <w:rsid w:val="00C9328F"/>
    <w:rsid w:val="00C97334"/>
    <w:rsid w:val="00CA163E"/>
    <w:rsid w:val="00CA1866"/>
    <w:rsid w:val="00CA5686"/>
    <w:rsid w:val="00CA714D"/>
    <w:rsid w:val="00CB028F"/>
    <w:rsid w:val="00CB1451"/>
    <w:rsid w:val="00CB4081"/>
    <w:rsid w:val="00CB5C94"/>
    <w:rsid w:val="00CB619C"/>
    <w:rsid w:val="00CB658C"/>
    <w:rsid w:val="00CC1534"/>
    <w:rsid w:val="00CC2A7A"/>
    <w:rsid w:val="00CC3009"/>
    <w:rsid w:val="00CC3975"/>
    <w:rsid w:val="00CC4D61"/>
    <w:rsid w:val="00CC5050"/>
    <w:rsid w:val="00CD25AE"/>
    <w:rsid w:val="00CD4607"/>
    <w:rsid w:val="00CD4B98"/>
    <w:rsid w:val="00CD55E8"/>
    <w:rsid w:val="00CE150B"/>
    <w:rsid w:val="00CE2029"/>
    <w:rsid w:val="00CE26CF"/>
    <w:rsid w:val="00CE2A29"/>
    <w:rsid w:val="00CE362C"/>
    <w:rsid w:val="00CE544E"/>
    <w:rsid w:val="00CE63B0"/>
    <w:rsid w:val="00CE7175"/>
    <w:rsid w:val="00CF19DD"/>
    <w:rsid w:val="00CF3829"/>
    <w:rsid w:val="00CF492E"/>
    <w:rsid w:val="00D0220F"/>
    <w:rsid w:val="00D02722"/>
    <w:rsid w:val="00D030A5"/>
    <w:rsid w:val="00D05670"/>
    <w:rsid w:val="00D07238"/>
    <w:rsid w:val="00D10D00"/>
    <w:rsid w:val="00D117A6"/>
    <w:rsid w:val="00D1195D"/>
    <w:rsid w:val="00D126CF"/>
    <w:rsid w:val="00D13499"/>
    <w:rsid w:val="00D168F8"/>
    <w:rsid w:val="00D2261C"/>
    <w:rsid w:val="00D23927"/>
    <w:rsid w:val="00D24760"/>
    <w:rsid w:val="00D33562"/>
    <w:rsid w:val="00D35F43"/>
    <w:rsid w:val="00D40A5A"/>
    <w:rsid w:val="00D454E4"/>
    <w:rsid w:val="00D46CB0"/>
    <w:rsid w:val="00D47A76"/>
    <w:rsid w:val="00D47E95"/>
    <w:rsid w:val="00D51959"/>
    <w:rsid w:val="00D51DE8"/>
    <w:rsid w:val="00D53801"/>
    <w:rsid w:val="00D54390"/>
    <w:rsid w:val="00D5442C"/>
    <w:rsid w:val="00D554DB"/>
    <w:rsid w:val="00D57605"/>
    <w:rsid w:val="00D57608"/>
    <w:rsid w:val="00D61207"/>
    <w:rsid w:val="00D612E1"/>
    <w:rsid w:val="00D63806"/>
    <w:rsid w:val="00D63A09"/>
    <w:rsid w:val="00D65ED2"/>
    <w:rsid w:val="00D70075"/>
    <w:rsid w:val="00D703BB"/>
    <w:rsid w:val="00D71D51"/>
    <w:rsid w:val="00D7203E"/>
    <w:rsid w:val="00D723D1"/>
    <w:rsid w:val="00D740A6"/>
    <w:rsid w:val="00D7571F"/>
    <w:rsid w:val="00D76AB9"/>
    <w:rsid w:val="00D77963"/>
    <w:rsid w:val="00D81232"/>
    <w:rsid w:val="00D8316D"/>
    <w:rsid w:val="00D84B3D"/>
    <w:rsid w:val="00D85E71"/>
    <w:rsid w:val="00D86EF9"/>
    <w:rsid w:val="00D92F36"/>
    <w:rsid w:val="00D934FC"/>
    <w:rsid w:val="00D940C3"/>
    <w:rsid w:val="00DA34B3"/>
    <w:rsid w:val="00DA6421"/>
    <w:rsid w:val="00DA7645"/>
    <w:rsid w:val="00DB58E7"/>
    <w:rsid w:val="00DB73D2"/>
    <w:rsid w:val="00DC12D9"/>
    <w:rsid w:val="00DC1469"/>
    <w:rsid w:val="00DC305B"/>
    <w:rsid w:val="00DC3964"/>
    <w:rsid w:val="00DC55BE"/>
    <w:rsid w:val="00DC5698"/>
    <w:rsid w:val="00DC61DD"/>
    <w:rsid w:val="00DC6C40"/>
    <w:rsid w:val="00DC7780"/>
    <w:rsid w:val="00DD161B"/>
    <w:rsid w:val="00DD1B96"/>
    <w:rsid w:val="00DD294D"/>
    <w:rsid w:val="00DD3570"/>
    <w:rsid w:val="00DD404F"/>
    <w:rsid w:val="00DD44B0"/>
    <w:rsid w:val="00DD7A97"/>
    <w:rsid w:val="00DE016D"/>
    <w:rsid w:val="00DE2545"/>
    <w:rsid w:val="00DE3482"/>
    <w:rsid w:val="00DE7537"/>
    <w:rsid w:val="00DF01B6"/>
    <w:rsid w:val="00DF118B"/>
    <w:rsid w:val="00DF18A1"/>
    <w:rsid w:val="00DF35C1"/>
    <w:rsid w:val="00DF3974"/>
    <w:rsid w:val="00DF3E50"/>
    <w:rsid w:val="00DF44F5"/>
    <w:rsid w:val="00DF56A9"/>
    <w:rsid w:val="00DF7473"/>
    <w:rsid w:val="00E0046D"/>
    <w:rsid w:val="00E048D5"/>
    <w:rsid w:val="00E0639A"/>
    <w:rsid w:val="00E0715D"/>
    <w:rsid w:val="00E12443"/>
    <w:rsid w:val="00E13B53"/>
    <w:rsid w:val="00E143FC"/>
    <w:rsid w:val="00E16D87"/>
    <w:rsid w:val="00E171B4"/>
    <w:rsid w:val="00E17899"/>
    <w:rsid w:val="00E17AE4"/>
    <w:rsid w:val="00E20590"/>
    <w:rsid w:val="00E215A9"/>
    <w:rsid w:val="00E22337"/>
    <w:rsid w:val="00E2251E"/>
    <w:rsid w:val="00E242E9"/>
    <w:rsid w:val="00E24F7F"/>
    <w:rsid w:val="00E25056"/>
    <w:rsid w:val="00E25382"/>
    <w:rsid w:val="00E26955"/>
    <w:rsid w:val="00E2698C"/>
    <w:rsid w:val="00E308E4"/>
    <w:rsid w:val="00E319B6"/>
    <w:rsid w:val="00E35C52"/>
    <w:rsid w:val="00E42202"/>
    <w:rsid w:val="00E43755"/>
    <w:rsid w:val="00E43FE2"/>
    <w:rsid w:val="00E44068"/>
    <w:rsid w:val="00E478E8"/>
    <w:rsid w:val="00E514ED"/>
    <w:rsid w:val="00E51C2D"/>
    <w:rsid w:val="00E520E5"/>
    <w:rsid w:val="00E5435D"/>
    <w:rsid w:val="00E548CD"/>
    <w:rsid w:val="00E54D6F"/>
    <w:rsid w:val="00E56A97"/>
    <w:rsid w:val="00E57221"/>
    <w:rsid w:val="00E57F06"/>
    <w:rsid w:val="00E62AE6"/>
    <w:rsid w:val="00E63FE5"/>
    <w:rsid w:val="00E705B0"/>
    <w:rsid w:val="00E70A2B"/>
    <w:rsid w:val="00E712EC"/>
    <w:rsid w:val="00E7280A"/>
    <w:rsid w:val="00E769E0"/>
    <w:rsid w:val="00E775E1"/>
    <w:rsid w:val="00E778AB"/>
    <w:rsid w:val="00E8155F"/>
    <w:rsid w:val="00E81C67"/>
    <w:rsid w:val="00E82017"/>
    <w:rsid w:val="00E82A75"/>
    <w:rsid w:val="00E832F1"/>
    <w:rsid w:val="00E83373"/>
    <w:rsid w:val="00E90AFF"/>
    <w:rsid w:val="00E90D03"/>
    <w:rsid w:val="00E928F1"/>
    <w:rsid w:val="00E95377"/>
    <w:rsid w:val="00E954D9"/>
    <w:rsid w:val="00E97425"/>
    <w:rsid w:val="00EA0E19"/>
    <w:rsid w:val="00EA1E13"/>
    <w:rsid w:val="00EA28DB"/>
    <w:rsid w:val="00EA4BD1"/>
    <w:rsid w:val="00EA4D14"/>
    <w:rsid w:val="00EA55D4"/>
    <w:rsid w:val="00EA6449"/>
    <w:rsid w:val="00EB2178"/>
    <w:rsid w:val="00EB2B18"/>
    <w:rsid w:val="00EB36AF"/>
    <w:rsid w:val="00EB38A3"/>
    <w:rsid w:val="00EB7845"/>
    <w:rsid w:val="00EB7FBE"/>
    <w:rsid w:val="00EC3323"/>
    <w:rsid w:val="00EC451B"/>
    <w:rsid w:val="00EC66C5"/>
    <w:rsid w:val="00EC6A8C"/>
    <w:rsid w:val="00ED0EA7"/>
    <w:rsid w:val="00ED405D"/>
    <w:rsid w:val="00ED44DD"/>
    <w:rsid w:val="00ED5998"/>
    <w:rsid w:val="00ED7509"/>
    <w:rsid w:val="00EE0D8F"/>
    <w:rsid w:val="00EE21EE"/>
    <w:rsid w:val="00EE2801"/>
    <w:rsid w:val="00EE50D6"/>
    <w:rsid w:val="00EF048C"/>
    <w:rsid w:val="00EF29A1"/>
    <w:rsid w:val="00EF2AFD"/>
    <w:rsid w:val="00EF443D"/>
    <w:rsid w:val="00EF6762"/>
    <w:rsid w:val="00EF7F90"/>
    <w:rsid w:val="00F017D4"/>
    <w:rsid w:val="00F023F7"/>
    <w:rsid w:val="00F024E3"/>
    <w:rsid w:val="00F04031"/>
    <w:rsid w:val="00F04731"/>
    <w:rsid w:val="00F0588E"/>
    <w:rsid w:val="00F06A6C"/>
    <w:rsid w:val="00F077FD"/>
    <w:rsid w:val="00F11947"/>
    <w:rsid w:val="00F123A7"/>
    <w:rsid w:val="00F139DD"/>
    <w:rsid w:val="00F13D4B"/>
    <w:rsid w:val="00F14C02"/>
    <w:rsid w:val="00F15633"/>
    <w:rsid w:val="00F16D83"/>
    <w:rsid w:val="00F170D9"/>
    <w:rsid w:val="00F17D2F"/>
    <w:rsid w:val="00F203DD"/>
    <w:rsid w:val="00F206AE"/>
    <w:rsid w:val="00F247C4"/>
    <w:rsid w:val="00F27159"/>
    <w:rsid w:val="00F3154C"/>
    <w:rsid w:val="00F32A8B"/>
    <w:rsid w:val="00F32DB2"/>
    <w:rsid w:val="00F34F34"/>
    <w:rsid w:val="00F354E5"/>
    <w:rsid w:val="00F35B2D"/>
    <w:rsid w:val="00F36364"/>
    <w:rsid w:val="00F36441"/>
    <w:rsid w:val="00F40068"/>
    <w:rsid w:val="00F43079"/>
    <w:rsid w:val="00F437F0"/>
    <w:rsid w:val="00F45524"/>
    <w:rsid w:val="00F46497"/>
    <w:rsid w:val="00F47441"/>
    <w:rsid w:val="00F5012B"/>
    <w:rsid w:val="00F54066"/>
    <w:rsid w:val="00F56B8B"/>
    <w:rsid w:val="00F60587"/>
    <w:rsid w:val="00F61C68"/>
    <w:rsid w:val="00F63406"/>
    <w:rsid w:val="00F67F0D"/>
    <w:rsid w:val="00F72573"/>
    <w:rsid w:val="00F735F8"/>
    <w:rsid w:val="00F73B5D"/>
    <w:rsid w:val="00F75024"/>
    <w:rsid w:val="00F75EC6"/>
    <w:rsid w:val="00F830B0"/>
    <w:rsid w:val="00F8434C"/>
    <w:rsid w:val="00F84A95"/>
    <w:rsid w:val="00F850C9"/>
    <w:rsid w:val="00F87A6B"/>
    <w:rsid w:val="00F87B03"/>
    <w:rsid w:val="00F87BE6"/>
    <w:rsid w:val="00F90F05"/>
    <w:rsid w:val="00F91142"/>
    <w:rsid w:val="00F93784"/>
    <w:rsid w:val="00F97DEA"/>
    <w:rsid w:val="00F97E14"/>
    <w:rsid w:val="00FA1356"/>
    <w:rsid w:val="00FA1DB3"/>
    <w:rsid w:val="00FA676B"/>
    <w:rsid w:val="00FA6C1D"/>
    <w:rsid w:val="00FB1564"/>
    <w:rsid w:val="00FB205C"/>
    <w:rsid w:val="00FB339D"/>
    <w:rsid w:val="00FB4A9C"/>
    <w:rsid w:val="00FB4B43"/>
    <w:rsid w:val="00FB4F58"/>
    <w:rsid w:val="00FB5E1C"/>
    <w:rsid w:val="00FB67EB"/>
    <w:rsid w:val="00FB7B88"/>
    <w:rsid w:val="00FC36C1"/>
    <w:rsid w:val="00FC4A76"/>
    <w:rsid w:val="00FC4E9E"/>
    <w:rsid w:val="00FC5E74"/>
    <w:rsid w:val="00FC67D5"/>
    <w:rsid w:val="00FD3AAF"/>
    <w:rsid w:val="00FD3CE2"/>
    <w:rsid w:val="00FD6E5A"/>
    <w:rsid w:val="00FD6FFF"/>
    <w:rsid w:val="00FE04F7"/>
    <w:rsid w:val="00FE17E4"/>
    <w:rsid w:val="00FE3453"/>
    <w:rsid w:val="00FE448F"/>
    <w:rsid w:val="00FE732B"/>
    <w:rsid w:val="00FF1877"/>
    <w:rsid w:val="00FF325B"/>
    <w:rsid w:val="00FF4960"/>
    <w:rsid w:val="00FF4D6A"/>
    <w:rsid w:val="00FF52F3"/>
    <w:rsid w:val="00FF5AA2"/>
    <w:rsid w:val="00FF68D2"/>
    <w:rsid w:val="00FF7502"/>
    <w:rsid w:val="012E13D6"/>
    <w:rsid w:val="013E4434"/>
    <w:rsid w:val="015662A6"/>
    <w:rsid w:val="017B0285"/>
    <w:rsid w:val="01877B89"/>
    <w:rsid w:val="018C519F"/>
    <w:rsid w:val="018C7615"/>
    <w:rsid w:val="019656E5"/>
    <w:rsid w:val="019E7268"/>
    <w:rsid w:val="01EA109C"/>
    <w:rsid w:val="022831DB"/>
    <w:rsid w:val="024B1E5A"/>
    <w:rsid w:val="02AD3238"/>
    <w:rsid w:val="02D07E29"/>
    <w:rsid w:val="031270CF"/>
    <w:rsid w:val="03651F6B"/>
    <w:rsid w:val="03680D31"/>
    <w:rsid w:val="039E3CE8"/>
    <w:rsid w:val="03DE5F00"/>
    <w:rsid w:val="040B302D"/>
    <w:rsid w:val="046B0CFF"/>
    <w:rsid w:val="04D62140"/>
    <w:rsid w:val="04FE41B0"/>
    <w:rsid w:val="04FF212C"/>
    <w:rsid w:val="05374CAF"/>
    <w:rsid w:val="055D73AF"/>
    <w:rsid w:val="057335C1"/>
    <w:rsid w:val="05C85C81"/>
    <w:rsid w:val="05E83CFD"/>
    <w:rsid w:val="05EF433E"/>
    <w:rsid w:val="061916B2"/>
    <w:rsid w:val="0627091B"/>
    <w:rsid w:val="065E6A9A"/>
    <w:rsid w:val="068138F9"/>
    <w:rsid w:val="06FB3D26"/>
    <w:rsid w:val="07131EBF"/>
    <w:rsid w:val="072F3F23"/>
    <w:rsid w:val="07516263"/>
    <w:rsid w:val="076C4BCF"/>
    <w:rsid w:val="078C182C"/>
    <w:rsid w:val="0790541E"/>
    <w:rsid w:val="07BA349B"/>
    <w:rsid w:val="07C03705"/>
    <w:rsid w:val="07CE48CF"/>
    <w:rsid w:val="07CF5C08"/>
    <w:rsid w:val="07EC34AB"/>
    <w:rsid w:val="08AE25AC"/>
    <w:rsid w:val="098B52A7"/>
    <w:rsid w:val="09BD383B"/>
    <w:rsid w:val="09D74D1B"/>
    <w:rsid w:val="09DE4A06"/>
    <w:rsid w:val="09E41D44"/>
    <w:rsid w:val="0A6E1256"/>
    <w:rsid w:val="0AE40A87"/>
    <w:rsid w:val="0B24656C"/>
    <w:rsid w:val="0B4601B4"/>
    <w:rsid w:val="0B4F66AE"/>
    <w:rsid w:val="0B696551"/>
    <w:rsid w:val="0BE65CAF"/>
    <w:rsid w:val="0BF84E2F"/>
    <w:rsid w:val="0C4E12BC"/>
    <w:rsid w:val="0C7270C3"/>
    <w:rsid w:val="0D496B21"/>
    <w:rsid w:val="0D5165E4"/>
    <w:rsid w:val="0D600034"/>
    <w:rsid w:val="0D667EC0"/>
    <w:rsid w:val="0D7710A5"/>
    <w:rsid w:val="0D8A1AB0"/>
    <w:rsid w:val="0DA90EE5"/>
    <w:rsid w:val="0DF540CC"/>
    <w:rsid w:val="0E745939"/>
    <w:rsid w:val="0E827932"/>
    <w:rsid w:val="0EA26883"/>
    <w:rsid w:val="0F9E5004"/>
    <w:rsid w:val="0FE142EA"/>
    <w:rsid w:val="108160EB"/>
    <w:rsid w:val="108649E9"/>
    <w:rsid w:val="109029EA"/>
    <w:rsid w:val="115F3808"/>
    <w:rsid w:val="11A976A8"/>
    <w:rsid w:val="11B7502D"/>
    <w:rsid w:val="120D3553"/>
    <w:rsid w:val="121B54B4"/>
    <w:rsid w:val="12217B86"/>
    <w:rsid w:val="123244D9"/>
    <w:rsid w:val="1272195D"/>
    <w:rsid w:val="127352A1"/>
    <w:rsid w:val="128679E9"/>
    <w:rsid w:val="12B163E4"/>
    <w:rsid w:val="12CC4541"/>
    <w:rsid w:val="12E12E71"/>
    <w:rsid w:val="13067655"/>
    <w:rsid w:val="13D81077"/>
    <w:rsid w:val="1430315E"/>
    <w:rsid w:val="144C2ECE"/>
    <w:rsid w:val="147A17CF"/>
    <w:rsid w:val="14983A03"/>
    <w:rsid w:val="14BF107E"/>
    <w:rsid w:val="14CB142B"/>
    <w:rsid w:val="14E04801"/>
    <w:rsid w:val="14E33C1F"/>
    <w:rsid w:val="15134AE4"/>
    <w:rsid w:val="153A5821"/>
    <w:rsid w:val="1611681C"/>
    <w:rsid w:val="169E34B4"/>
    <w:rsid w:val="16E27FFB"/>
    <w:rsid w:val="177F76A6"/>
    <w:rsid w:val="17920551"/>
    <w:rsid w:val="17BA600E"/>
    <w:rsid w:val="17F570AA"/>
    <w:rsid w:val="180E61A6"/>
    <w:rsid w:val="182B16F8"/>
    <w:rsid w:val="18301092"/>
    <w:rsid w:val="18420856"/>
    <w:rsid w:val="185B5B36"/>
    <w:rsid w:val="185E7673"/>
    <w:rsid w:val="18B839EC"/>
    <w:rsid w:val="18D773F0"/>
    <w:rsid w:val="194F0003"/>
    <w:rsid w:val="195A172B"/>
    <w:rsid w:val="197F3114"/>
    <w:rsid w:val="19A74E14"/>
    <w:rsid w:val="1A1C2B87"/>
    <w:rsid w:val="1A357D42"/>
    <w:rsid w:val="1B0F4370"/>
    <w:rsid w:val="1B432D4C"/>
    <w:rsid w:val="1B8C7BCD"/>
    <w:rsid w:val="1BB92C9A"/>
    <w:rsid w:val="1BD12AE0"/>
    <w:rsid w:val="1C077DEC"/>
    <w:rsid w:val="1C5402AC"/>
    <w:rsid w:val="1C715266"/>
    <w:rsid w:val="1C763E08"/>
    <w:rsid w:val="1D8C7106"/>
    <w:rsid w:val="1E223B73"/>
    <w:rsid w:val="1E942BD7"/>
    <w:rsid w:val="1EE33A19"/>
    <w:rsid w:val="1FAF3B51"/>
    <w:rsid w:val="1FD5415D"/>
    <w:rsid w:val="1FF8307D"/>
    <w:rsid w:val="205253AE"/>
    <w:rsid w:val="20553B56"/>
    <w:rsid w:val="207B5DE8"/>
    <w:rsid w:val="209C441A"/>
    <w:rsid w:val="20B41BC5"/>
    <w:rsid w:val="20D62DA2"/>
    <w:rsid w:val="21B005DE"/>
    <w:rsid w:val="225445F9"/>
    <w:rsid w:val="22635651"/>
    <w:rsid w:val="22B3482A"/>
    <w:rsid w:val="22BD4E4B"/>
    <w:rsid w:val="22E91D2B"/>
    <w:rsid w:val="23492D31"/>
    <w:rsid w:val="23525CEE"/>
    <w:rsid w:val="23841390"/>
    <w:rsid w:val="23A076DF"/>
    <w:rsid w:val="23A314C3"/>
    <w:rsid w:val="23D031BA"/>
    <w:rsid w:val="23E860B5"/>
    <w:rsid w:val="246E655B"/>
    <w:rsid w:val="247D6D03"/>
    <w:rsid w:val="24A70D24"/>
    <w:rsid w:val="24FE5A8B"/>
    <w:rsid w:val="25290DD3"/>
    <w:rsid w:val="25C1100C"/>
    <w:rsid w:val="25D217C1"/>
    <w:rsid w:val="26077F4E"/>
    <w:rsid w:val="2630720B"/>
    <w:rsid w:val="26992631"/>
    <w:rsid w:val="26D248F8"/>
    <w:rsid w:val="27075FE4"/>
    <w:rsid w:val="27AF30E6"/>
    <w:rsid w:val="27B23302"/>
    <w:rsid w:val="28125829"/>
    <w:rsid w:val="2899759C"/>
    <w:rsid w:val="28C349CB"/>
    <w:rsid w:val="28CB602E"/>
    <w:rsid w:val="294F0074"/>
    <w:rsid w:val="29530A33"/>
    <w:rsid w:val="2AAB02C0"/>
    <w:rsid w:val="2AC6222E"/>
    <w:rsid w:val="2BBF3737"/>
    <w:rsid w:val="2BF24ECB"/>
    <w:rsid w:val="2C3A1B18"/>
    <w:rsid w:val="2C632C0E"/>
    <w:rsid w:val="2C846257"/>
    <w:rsid w:val="2D180BE2"/>
    <w:rsid w:val="2DC55411"/>
    <w:rsid w:val="2E2A1312"/>
    <w:rsid w:val="2E2E1209"/>
    <w:rsid w:val="2E31204F"/>
    <w:rsid w:val="2E5549E7"/>
    <w:rsid w:val="2E6D46D7"/>
    <w:rsid w:val="2E7F43D7"/>
    <w:rsid w:val="2F9832E6"/>
    <w:rsid w:val="2F990904"/>
    <w:rsid w:val="302F2E0A"/>
    <w:rsid w:val="30A50C92"/>
    <w:rsid w:val="30D52593"/>
    <w:rsid w:val="31061226"/>
    <w:rsid w:val="31091AB9"/>
    <w:rsid w:val="314C1B25"/>
    <w:rsid w:val="31F359CE"/>
    <w:rsid w:val="32002EBC"/>
    <w:rsid w:val="32287D73"/>
    <w:rsid w:val="324F61A7"/>
    <w:rsid w:val="32992BB9"/>
    <w:rsid w:val="32B35E8C"/>
    <w:rsid w:val="334B63B9"/>
    <w:rsid w:val="33596D28"/>
    <w:rsid w:val="337A0A4C"/>
    <w:rsid w:val="345354FE"/>
    <w:rsid w:val="34732E9D"/>
    <w:rsid w:val="347831DE"/>
    <w:rsid w:val="34790C80"/>
    <w:rsid w:val="34A848CA"/>
    <w:rsid w:val="34E26A68"/>
    <w:rsid w:val="34FA7BE5"/>
    <w:rsid w:val="352F736F"/>
    <w:rsid w:val="35974087"/>
    <w:rsid w:val="35B91D00"/>
    <w:rsid w:val="36035534"/>
    <w:rsid w:val="36346206"/>
    <w:rsid w:val="367C0981"/>
    <w:rsid w:val="36971521"/>
    <w:rsid w:val="369C5723"/>
    <w:rsid w:val="36B83D65"/>
    <w:rsid w:val="37182A56"/>
    <w:rsid w:val="37386C54"/>
    <w:rsid w:val="374B2E2B"/>
    <w:rsid w:val="3772427F"/>
    <w:rsid w:val="377D6747"/>
    <w:rsid w:val="37A54A80"/>
    <w:rsid w:val="37C12BD4"/>
    <w:rsid w:val="37C5270E"/>
    <w:rsid w:val="37D54F27"/>
    <w:rsid w:val="37FF4D82"/>
    <w:rsid w:val="387F16FC"/>
    <w:rsid w:val="388E2629"/>
    <w:rsid w:val="38997340"/>
    <w:rsid w:val="394F5B7A"/>
    <w:rsid w:val="397A5AB3"/>
    <w:rsid w:val="3A12378C"/>
    <w:rsid w:val="3A7D5A04"/>
    <w:rsid w:val="3A9618A7"/>
    <w:rsid w:val="3AB057CA"/>
    <w:rsid w:val="3AC14860"/>
    <w:rsid w:val="3B32308C"/>
    <w:rsid w:val="3B5423EF"/>
    <w:rsid w:val="3B5A188F"/>
    <w:rsid w:val="3B8662B4"/>
    <w:rsid w:val="3BE5706E"/>
    <w:rsid w:val="3C0453DC"/>
    <w:rsid w:val="3C296279"/>
    <w:rsid w:val="3C582029"/>
    <w:rsid w:val="3C6E4EC6"/>
    <w:rsid w:val="3CC97291"/>
    <w:rsid w:val="3E036334"/>
    <w:rsid w:val="3EE80F60"/>
    <w:rsid w:val="3EF241AB"/>
    <w:rsid w:val="3EFE4D0C"/>
    <w:rsid w:val="3F9F0128"/>
    <w:rsid w:val="406E1939"/>
    <w:rsid w:val="40F31DFC"/>
    <w:rsid w:val="41097EE5"/>
    <w:rsid w:val="412861BC"/>
    <w:rsid w:val="413D4F48"/>
    <w:rsid w:val="41472280"/>
    <w:rsid w:val="4193338B"/>
    <w:rsid w:val="41E06866"/>
    <w:rsid w:val="41EC168C"/>
    <w:rsid w:val="41FB0188"/>
    <w:rsid w:val="423E345D"/>
    <w:rsid w:val="4246491B"/>
    <w:rsid w:val="4264480D"/>
    <w:rsid w:val="42701998"/>
    <w:rsid w:val="42C13FA2"/>
    <w:rsid w:val="42E163F2"/>
    <w:rsid w:val="436711BE"/>
    <w:rsid w:val="43A062AD"/>
    <w:rsid w:val="44A27619"/>
    <w:rsid w:val="44B07439"/>
    <w:rsid w:val="44CB2259"/>
    <w:rsid w:val="44CD4173"/>
    <w:rsid w:val="452D3B70"/>
    <w:rsid w:val="45C560A9"/>
    <w:rsid w:val="46C10024"/>
    <w:rsid w:val="477B7917"/>
    <w:rsid w:val="478F24B5"/>
    <w:rsid w:val="47FF061B"/>
    <w:rsid w:val="480E7CDC"/>
    <w:rsid w:val="481334F1"/>
    <w:rsid w:val="48413D99"/>
    <w:rsid w:val="484D436F"/>
    <w:rsid w:val="4855272F"/>
    <w:rsid w:val="490635B5"/>
    <w:rsid w:val="495A6EFE"/>
    <w:rsid w:val="49A762F7"/>
    <w:rsid w:val="49A7639A"/>
    <w:rsid w:val="4A0D3F70"/>
    <w:rsid w:val="4A6E4A09"/>
    <w:rsid w:val="4B140FBE"/>
    <w:rsid w:val="4B8B7843"/>
    <w:rsid w:val="4B936FBD"/>
    <w:rsid w:val="4B9A1834"/>
    <w:rsid w:val="4BAF11C6"/>
    <w:rsid w:val="4BCB5CEC"/>
    <w:rsid w:val="4BEF25C9"/>
    <w:rsid w:val="4C043151"/>
    <w:rsid w:val="4D150A35"/>
    <w:rsid w:val="4D157ACA"/>
    <w:rsid w:val="4D256209"/>
    <w:rsid w:val="4D675980"/>
    <w:rsid w:val="4E231AFF"/>
    <w:rsid w:val="4E4032F1"/>
    <w:rsid w:val="4E5C54C6"/>
    <w:rsid w:val="4ED01017"/>
    <w:rsid w:val="4EDC7FE9"/>
    <w:rsid w:val="4EF97150"/>
    <w:rsid w:val="4F5E1D6D"/>
    <w:rsid w:val="4F605C6F"/>
    <w:rsid w:val="4F720D0E"/>
    <w:rsid w:val="4FAE11DB"/>
    <w:rsid w:val="4FDA23BC"/>
    <w:rsid w:val="5003209D"/>
    <w:rsid w:val="504306EC"/>
    <w:rsid w:val="506017A3"/>
    <w:rsid w:val="507A46E2"/>
    <w:rsid w:val="50951189"/>
    <w:rsid w:val="50955245"/>
    <w:rsid w:val="50C61087"/>
    <w:rsid w:val="50FC2135"/>
    <w:rsid w:val="51472F49"/>
    <w:rsid w:val="51A65DED"/>
    <w:rsid w:val="51B30FFA"/>
    <w:rsid w:val="51E109E0"/>
    <w:rsid w:val="520A52AB"/>
    <w:rsid w:val="5263638F"/>
    <w:rsid w:val="52745D84"/>
    <w:rsid w:val="528769BF"/>
    <w:rsid w:val="528B6D42"/>
    <w:rsid w:val="528C42D4"/>
    <w:rsid w:val="52C72B50"/>
    <w:rsid w:val="533F163E"/>
    <w:rsid w:val="53981AC4"/>
    <w:rsid w:val="5401711E"/>
    <w:rsid w:val="54103DE2"/>
    <w:rsid w:val="5454100D"/>
    <w:rsid w:val="54631B0B"/>
    <w:rsid w:val="54C0055D"/>
    <w:rsid w:val="54C70564"/>
    <w:rsid w:val="54DB7D0B"/>
    <w:rsid w:val="54E9053C"/>
    <w:rsid w:val="5520190C"/>
    <w:rsid w:val="5589345D"/>
    <w:rsid w:val="558E2409"/>
    <w:rsid w:val="55DB3B4B"/>
    <w:rsid w:val="561D7C32"/>
    <w:rsid w:val="563A022A"/>
    <w:rsid w:val="565260B5"/>
    <w:rsid w:val="56886EAC"/>
    <w:rsid w:val="56B26CE8"/>
    <w:rsid w:val="56DF417F"/>
    <w:rsid w:val="56F9522F"/>
    <w:rsid w:val="573A58C1"/>
    <w:rsid w:val="579C6D0B"/>
    <w:rsid w:val="57BC10D3"/>
    <w:rsid w:val="57EE1B7F"/>
    <w:rsid w:val="582A3F3F"/>
    <w:rsid w:val="586133F0"/>
    <w:rsid w:val="58882BF3"/>
    <w:rsid w:val="58FA1B64"/>
    <w:rsid w:val="5906675A"/>
    <w:rsid w:val="598A64B7"/>
    <w:rsid w:val="5990287C"/>
    <w:rsid w:val="59BA3DCF"/>
    <w:rsid w:val="5A607BEB"/>
    <w:rsid w:val="5A6212F0"/>
    <w:rsid w:val="5AD12A5B"/>
    <w:rsid w:val="5AE64A95"/>
    <w:rsid w:val="5AE96334"/>
    <w:rsid w:val="5B2867BA"/>
    <w:rsid w:val="5B326465"/>
    <w:rsid w:val="5B994EE3"/>
    <w:rsid w:val="5BEA60FD"/>
    <w:rsid w:val="5C012EB8"/>
    <w:rsid w:val="5C4A2E02"/>
    <w:rsid w:val="5C7447C4"/>
    <w:rsid w:val="5C877BB2"/>
    <w:rsid w:val="5D0A5C95"/>
    <w:rsid w:val="5D1E72EE"/>
    <w:rsid w:val="5D2C42B6"/>
    <w:rsid w:val="5D722269"/>
    <w:rsid w:val="5D753EAF"/>
    <w:rsid w:val="5DC92311"/>
    <w:rsid w:val="5DCD737A"/>
    <w:rsid w:val="5DF85615"/>
    <w:rsid w:val="5E315B37"/>
    <w:rsid w:val="5E8F2D4E"/>
    <w:rsid w:val="5F1161BB"/>
    <w:rsid w:val="5F61499A"/>
    <w:rsid w:val="5F651662"/>
    <w:rsid w:val="5FCF2276"/>
    <w:rsid w:val="606326E4"/>
    <w:rsid w:val="61127D82"/>
    <w:rsid w:val="612479B5"/>
    <w:rsid w:val="61A87F15"/>
    <w:rsid w:val="62031511"/>
    <w:rsid w:val="620B5440"/>
    <w:rsid w:val="624437EE"/>
    <w:rsid w:val="62AD6EED"/>
    <w:rsid w:val="6305658F"/>
    <w:rsid w:val="63101A82"/>
    <w:rsid w:val="63172DAB"/>
    <w:rsid w:val="632B0A95"/>
    <w:rsid w:val="63666773"/>
    <w:rsid w:val="63676DA7"/>
    <w:rsid w:val="637B2B2B"/>
    <w:rsid w:val="63BF24CF"/>
    <w:rsid w:val="63C74D38"/>
    <w:rsid w:val="63EA60FD"/>
    <w:rsid w:val="64256F5E"/>
    <w:rsid w:val="64435F25"/>
    <w:rsid w:val="644F2785"/>
    <w:rsid w:val="645E3A45"/>
    <w:rsid w:val="64933703"/>
    <w:rsid w:val="64942E6C"/>
    <w:rsid w:val="655E2577"/>
    <w:rsid w:val="65643385"/>
    <w:rsid w:val="659E64DD"/>
    <w:rsid w:val="667C467C"/>
    <w:rsid w:val="67073D6B"/>
    <w:rsid w:val="67933DF1"/>
    <w:rsid w:val="67DB0036"/>
    <w:rsid w:val="67EB5F4B"/>
    <w:rsid w:val="68257574"/>
    <w:rsid w:val="683564D4"/>
    <w:rsid w:val="68580655"/>
    <w:rsid w:val="688A75FA"/>
    <w:rsid w:val="68BA4E6C"/>
    <w:rsid w:val="69482477"/>
    <w:rsid w:val="69880137"/>
    <w:rsid w:val="699923F4"/>
    <w:rsid w:val="69AE7E06"/>
    <w:rsid w:val="6A5D1378"/>
    <w:rsid w:val="6A9A1044"/>
    <w:rsid w:val="6AD44D3D"/>
    <w:rsid w:val="6B3E7EDD"/>
    <w:rsid w:val="6B7507E3"/>
    <w:rsid w:val="6BB805AE"/>
    <w:rsid w:val="6CB425B5"/>
    <w:rsid w:val="6CCF07E3"/>
    <w:rsid w:val="6CF748E0"/>
    <w:rsid w:val="6D117B87"/>
    <w:rsid w:val="6D4464A0"/>
    <w:rsid w:val="6D523A18"/>
    <w:rsid w:val="6DCE298D"/>
    <w:rsid w:val="6E0918AE"/>
    <w:rsid w:val="6E1B5A86"/>
    <w:rsid w:val="6EB2683E"/>
    <w:rsid w:val="6EEE61B7"/>
    <w:rsid w:val="6EF24771"/>
    <w:rsid w:val="6F3E5C10"/>
    <w:rsid w:val="6F4D4C8B"/>
    <w:rsid w:val="6F690030"/>
    <w:rsid w:val="6F6A3147"/>
    <w:rsid w:val="6F8E34D1"/>
    <w:rsid w:val="6FF038C1"/>
    <w:rsid w:val="6FFD65F1"/>
    <w:rsid w:val="700511BA"/>
    <w:rsid w:val="70096EFE"/>
    <w:rsid w:val="70126E8B"/>
    <w:rsid w:val="70132F4F"/>
    <w:rsid w:val="703B4E19"/>
    <w:rsid w:val="70775E57"/>
    <w:rsid w:val="708D5AEF"/>
    <w:rsid w:val="70B418E2"/>
    <w:rsid w:val="70C132ED"/>
    <w:rsid w:val="70D6480D"/>
    <w:rsid w:val="70FA674D"/>
    <w:rsid w:val="71533AA3"/>
    <w:rsid w:val="716E4199"/>
    <w:rsid w:val="71745DBE"/>
    <w:rsid w:val="719126DE"/>
    <w:rsid w:val="71940950"/>
    <w:rsid w:val="71C470CA"/>
    <w:rsid w:val="72253B2D"/>
    <w:rsid w:val="72800ED4"/>
    <w:rsid w:val="72BD5C84"/>
    <w:rsid w:val="732950C8"/>
    <w:rsid w:val="73573197"/>
    <w:rsid w:val="735D6A51"/>
    <w:rsid w:val="738143C3"/>
    <w:rsid w:val="73FC458A"/>
    <w:rsid w:val="742643F0"/>
    <w:rsid w:val="744321B9"/>
    <w:rsid w:val="74995561"/>
    <w:rsid w:val="74A220A4"/>
    <w:rsid w:val="753B414F"/>
    <w:rsid w:val="753F177D"/>
    <w:rsid w:val="756920F3"/>
    <w:rsid w:val="75B3511C"/>
    <w:rsid w:val="75CA6373"/>
    <w:rsid w:val="75D74D62"/>
    <w:rsid w:val="76012D68"/>
    <w:rsid w:val="761B23A2"/>
    <w:rsid w:val="76310089"/>
    <w:rsid w:val="763E0E8A"/>
    <w:rsid w:val="764E488B"/>
    <w:rsid w:val="76593C12"/>
    <w:rsid w:val="76D56824"/>
    <w:rsid w:val="76E953B6"/>
    <w:rsid w:val="76FA7407"/>
    <w:rsid w:val="77300F15"/>
    <w:rsid w:val="77523DCC"/>
    <w:rsid w:val="776E4192"/>
    <w:rsid w:val="77C25344"/>
    <w:rsid w:val="78B153DE"/>
    <w:rsid w:val="78C57258"/>
    <w:rsid w:val="78E10A43"/>
    <w:rsid w:val="78EC72C3"/>
    <w:rsid w:val="792E3438"/>
    <w:rsid w:val="79360DFE"/>
    <w:rsid w:val="79D402A8"/>
    <w:rsid w:val="7A293BFF"/>
    <w:rsid w:val="7A6C2AC5"/>
    <w:rsid w:val="7A9D56CA"/>
    <w:rsid w:val="7AE00762"/>
    <w:rsid w:val="7AF04FF4"/>
    <w:rsid w:val="7B3A2568"/>
    <w:rsid w:val="7B484460"/>
    <w:rsid w:val="7B6573CF"/>
    <w:rsid w:val="7BF006FA"/>
    <w:rsid w:val="7C043C82"/>
    <w:rsid w:val="7C386561"/>
    <w:rsid w:val="7CA26617"/>
    <w:rsid w:val="7CDB1C08"/>
    <w:rsid w:val="7D0F1412"/>
    <w:rsid w:val="7D10463E"/>
    <w:rsid w:val="7D590A67"/>
    <w:rsid w:val="7D8F734F"/>
    <w:rsid w:val="7EE03DA7"/>
    <w:rsid w:val="7EE542EB"/>
    <w:rsid w:val="7EF7251E"/>
    <w:rsid w:val="7F3B2CAD"/>
    <w:rsid w:val="7F3E04CD"/>
    <w:rsid w:val="7FA71790"/>
    <w:rsid w:val="7FCB7C32"/>
    <w:rsid w:val="7FD77676"/>
    <w:rsid w:val="7FDF54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40"/>
    <w:qFormat/>
    <w:uiPriority w:val="0"/>
    <w:pPr>
      <w:keepNext/>
      <w:keepLines/>
      <w:spacing w:before="340" w:after="330" w:line="576" w:lineRule="auto"/>
      <w:outlineLvl w:val="0"/>
    </w:pPr>
    <w:rPr>
      <w:b/>
      <w:kern w:val="44"/>
      <w:sz w:val="44"/>
    </w:rPr>
  </w:style>
  <w:style w:type="paragraph" w:styleId="5">
    <w:name w:val="heading 2"/>
    <w:basedOn w:val="1"/>
    <w:next w:val="1"/>
    <w:link w:val="69"/>
    <w:qFormat/>
    <w:uiPriority w:val="0"/>
    <w:pPr>
      <w:keepNext/>
      <w:keepLines/>
      <w:spacing w:before="260" w:after="260" w:line="413" w:lineRule="auto"/>
      <w:outlineLvl w:val="1"/>
    </w:pPr>
    <w:rPr>
      <w:rFonts w:ascii="Arial" w:hAnsi="Arial" w:eastAsia="黑体"/>
      <w:b/>
      <w:sz w:val="32"/>
    </w:rPr>
  </w:style>
  <w:style w:type="paragraph" w:styleId="6">
    <w:name w:val="heading 3"/>
    <w:basedOn w:val="1"/>
    <w:next w:val="1"/>
    <w:link w:val="60"/>
    <w:qFormat/>
    <w:uiPriority w:val="0"/>
    <w:pPr>
      <w:keepNext/>
      <w:keepLines/>
      <w:spacing w:before="260" w:after="260" w:line="413" w:lineRule="auto"/>
      <w:outlineLvl w:val="2"/>
    </w:pPr>
    <w:rPr>
      <w:b/>
      <w:sz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autoSpaceDE/>
      <w:autoSpaceDN/>
      <w:adjustRightInd/>
      <w:spacing w:after="120" w:line="240" w:lineRule="auto"/>
      <w:ind w:left="420" w:leftChars="200" w:firstLine="420"/>
    </w:pPr>
    <w:rPr>
      <w:szCs w:val="24"/>
    </w:rPr>
  </w:style>
  <w:style w:type="paragraph" w:styleId="3">
    <w:name w:val="Body Text Indent"/>
    <w:basedOn w:val="1"/>
    <w:link w:val="63"/>
    <w:qFormat/>
    <w:uiPriority w:val="0"/>
    <w:pPr>
      <w:spacing w:after="120"/>
      <w:ind w:left="420" w:leftChars="200"/>
    </w:pPr>
  </w:style>
  <w:style w:type="paragraph" w:styleId="7">
    <w:name w:val="Normal Indent"/>
    <w:basedOn w:val="1"/>
    <w:next w:val="1"/>
    <w:qFormat/>
    <w:uiPriority w:val="0"/>
    <w:pPr>
      <w:ind w:firstLine="420" w:firstLineChars="200"/>
    </w:pPr>
  </w:style>
  <w:style w:type="paragraph" w:styleId="8">
    <w:name w:val="Document Map"/>
    <w:basedOn w:val="1"/>
    <w:link w:val="59"/>
    <w:qFormat/>
    <w:uiPriority w:val="0"/>
    <w:pPr>
      <w:shd w:val="clear" w:color="auto" w:fill="000080"/>
    </w:pPr>
    <w:rPr>
      <w:shd w:val="clear" w:color="auto" w:fill="000080"/>
    </w:rPr>
  </w:style>
  <w:style w:type="paragraph" w:styleId="9">
    <w:name w:val="annotation text"/>
    <w:basedOn w:val="1"/>
    <w:qFormat/>
    <w:uiPriority w:val="0"/>
    <w:pPr>
      <w:jc w:val="left"/>
    </w:pPr>
  </w:style>
  <w:style w:type="paragraph" w:styleId="10">
    <w:name w:val="Body Text"/>
    <w:basedOn w:val="1"/>
    <w:link w:val="51"/>
    <w:qFormat/>
    <w:uiPriority w:val="0"/>
    <w:rPr>
      <w:sz w:val="24"/>
    </w:rPr>
  </w:style>
  <w:style w:type="paragraph" w:styleId="11">
    <w:name w:val="toc 3"/>
    <w:basedOn w:val="1"/>
    <w:next w:val="1"/>
    <w:qFormat/>
    <w:uiPriority w:val="0"/>
    <w:pPr>
      <w:ind w:left="840" w:leftChars="400"/>
    </w:pPr>
  </w:style>
  <w:style w:type="paragraph" w:styleId="12">
    <w:name w:val="Plain Text"/>
    <w:basedOn w:val="1"/>
    <w:qFormat/>
    <w:uiPriority w:val="0"/>
    <w:rPr>
      <w:rFonts w:ascii="宋体" w:hAnsi="Courier New" w:cs="Courier New"/>
      <w:szCs w:val="21"/>
    </w:rPr>
  </w:style>
  <w:style w:type="paragraph" w:styleId="13">
    <w:name w:val="Date"/>
    <w:basedOn w:val="1"/>
    <w:next w:val="1"/>
    <w:link w:val="66"/>
    <w:qFormat/>
    <w:uiPriority w:val="0"/>
    <w:pPr>
      <w:ind w:left="100" w:leftChars="2500"/>
    </w:pPr>
  </w:style>
  <w:style w:type="paragraph" w:styleId="14">
    <w:name w:val="Balloon Text"/>
    <w:basedOn w:val="1"/>
    <w:link w:val="48"/>
    <w:qFormat/>
    <w:uiPriority w:val="0"/>
    <w:rPr>
      <w:sz w:val="18"/>
    </w:rPr>
  </w:style>
  <w:style w:type="paragraph" w:styleId="15">
    <w:name w:val="footer"/>
    <w:basedOn w:val="1"/>
    <w:link w:val="45"/>
    <w:qFormat/>
    <w:uiPriority w:val="0"/>
    <w:pPr>
      <w:tabs>
        <w:tab w:val="center" w:pos="4153"/>
        <w:tab w:val="right" w:pos="8306"/>
      </w:tabs>
      <w:snapToGrid w:val="0"/>
      <w:jc w:val="left"/>
    </w:pPr>
    <w:rPr>
      <w:sz w:val="18"/>
    </w:rPr>
  </w:style>
  <w:style w:type="paragraph" w:styleId="16">
    <w:name w:val="header"/>
    <w:basedOn w:val="1"/>
    <w:link w:val="54"/>
    <w:qFormat/>
    <w:uiPriority w:val="0"/>
    <w:pPr>
      <w:pBdr>
        <w:bottom w:val="single" w:color="auto" w:sz="6" w:space="1"/>
      </w:pBdr>
      <w:tabs>
        <w:tab w:val="center" w:pos="4153"/>
        <w:tab w:val="right" w:pos="8306"/>
      </w:tabs>
      <w:snapToGrid w:val="0"/>
      <w:jc w:val="center"/>
    </w:pPr>
    <w:rPr>
      <w:sz w:val="18"/>
    </w:rPr>
  </w:style>
  <w:style w:type="paragraph" w:styleId="17">
    <w:name w:val="toc 1"/>
    <w:basedOn w:val="1"/>
    <w:next w:val="1"/>
    <w:qFormat/>
    <w:uiPriority w:val="0"/>
  </w:style>
  <w:style w:type="paragraph" w:styleId="18">
    <w:name w:val="toc 4"/>
    <w:basedOn w:val="1"/>
    <w:next w:val="1"/>
    <w:qFormat/>
    <w:uiPriority w:val="0"/>
    <w:pPr>
      <w:ind w:left="1260" w:leftChars="600"/>
    </w:pPr>
  </w:style>
  <w:style w:type="paragraph" w:styleId="19">
    <w:name w:val="index heading"/>
    <w:basedOn w:val="1"/>
    <w:next w:val="20"/>
    <w:semiHidden/>
    <w:qFormat/>
    <w:uiPriority w:val="0"/>
  </w:style>
  <w:style w:type="paragraph" w:styleId="20">
    <w:name w:val="index 1"/>
    <w:basedOn w:val="1"/>
    <w:next w:val="1"/>
    <w:qFormat/>
    <w:uiPriority w:val="0"/>
    <w:rPr>
      <w:rFonts w:ascii="Times New Roman" w:hAnsi="Times New Roman" w:cs="Times New Roman"/>
    </w:rPr>
  </w:style>
  <w:style w:type="paragraph" w:styleId="21">
    <w:name w:val="Body Text 2"/>
    <w:basedOn w:val="1"/>
    <w:qFormat/>
    <w:uiPriority w:val="0"/>
    <w:pPr>
      <w:jc w:val="center"/>
    </w:pPr>
    <w:rPr>
      <w:sz w:val="18"/>
    </w:rPr>
  </w:style>
  <w:style w:type="paragraph" w:styleId="22">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3">
    <w:name w:val="annotation subject"/>
    <w:basedOn w:val="9"/>
    <w:next w:val="9"/>
    <w:qFormat/>
    <w:uiPriority w:val="0"/>
    <w:rPr>
      <w:b/>
    </w:rPr>
  </w:style>
  <w:style w:type="paragraph" w:styleId="24">
    <w:name w:val="Body Text First Indent"/>
    <w:basedOn w:val="10"/>
    <w:qFormat/>
    <w:uiPriority w:val="0"/>
    <w:pPr>
      <w:spacing w:after="120"/>
      <w:ind w:firstLine="420" w:firstLineChars="100"/>
    </w:pPr>
    <w:rPr>
      <w:sz w:val="21"/>
      <w:szCs w:val="24"/>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basedOn w:val="27"/>
    <w:qFormat/>
    <w:uiPriority w:val="0"/>
  </w:style>
  <w:style w:type="character" w:styleId="29">
    <w:name w:val="FollowedHyperlink"/>
    <w:qFormat/>
    <w:uiPriority w:val="0"/>
    <w:rPr>
      <w:color w:val="800080"/>
      <w:u w:val="single"/>
    </w:rPr>
  </w:style>
  <w:style w:type="character" w:styleId="30">
    <w:name w:val="Hyperlink"/>
    <w:qFormat/>
    <w:uiPriority w:val="0"/>
    <w:rPr>
      <w:color w:val="0000FF"/>
      <w:u w:val="single"/>
    </w:rPr>
  </w:style>
  <w:style w:type="character" w:styleId="31">
    <w:name w:val="annotation reference"/>
    <w:qFormat/>
    <w:uiPriority w:val="0"/>
    <w:rPr>
      <w:sz w:val="21"/>
    </w:rPr>
  </w:style>
  <w:style w:type="paragraph" w:customStyle="1" w:styleId="32">
    <w:name w:val="样式 正文缩进正文缩进2正文缩进 Char Char正文缩进 Char Char Char Char正文缩进 Char ..."/>
    <w:basedOn w:val="7"/>
    <w:qFormat/>
    <w:uiPriority w:val="0"/>
    <w:pPr>
      <w:ind w:firstLine="200"/>
    </w:pPr>
    <w:rPr>
      <w:rFonts w:cs="宋体"/>
      <w:sz w:val="24"/>
    </w:rPr>
  </w:style>
  <w:style w:type="character" w:customStyle="1" w:styleId="33">
    <w:name w:val="样式5 Char"/>
    <w:link w:val="34"/>
    <w:qFormat/>
    <w:uiPriority w:val="0"/>
    <w:rPr>
      <w:rFonts w:ascii="Times New Roman" w:hAnsi="Times New Roman" w:eastAsia="Times New Roman"/>
      <w:snapToGrid w:val="0"/>
      <w:sz w:val="26"/>
    </w:rPr>
  </w:style>
  <w:style w:type="paragraph" w:customStyle="1" w:styleId="34">
    <w:name w:val="样式5"/>
    <w:basedOn w:val="35"/>
    <w:link w:val="33"/>
    <w:qFormat/>
    <w:uiPriority w:val="0"/>
    <w:pPr>
      <w:topLinePunct/>
      <w:spacing w:line="460" w:lineRule="exact"/>
      <w:jc w:val="left"/>
      <w:textAlignment w:val="top"/>
    </w:pPr>
    <w:rPr>
      <w:rFonts w:eastAsia="Times New Roman"/>
    </w:rPr>
  </w:style>
  <w:style w:type="paragraph" w:customStyle="1" w:styleId="35">
    <w:name w:val="样式2"/>
    <w:basedOn w:val="1"/>
    <w:link w:val="39"/>
    <w:qFormat/>
    <w:uiPriority w:val="0"/>
    <w:pPr>
      <w:adjustRightInd w:val="0"/>
      <w:snapToGrid w:val="0"/>
      <w:spacing w:line="480" w:lineRule="exact"/>
      <w:ind w:firstLine="200" w:firstLineChars="200"/>
    </w:pPr>
    <w:rPr>
      <w:snapToGrid w:val="0"/>
      <w:sz w:val="26"/>
    </w:rPr>
  </w:style>
  <w:style w:type="character" w:customStyle="1" w:styleId="36">
    <w:name w:val="apple-style-span"/>
    <w:basedOn w:val="27"/>
    <w:qFormat/>
    <w:uiPriority w:val="0"/>
  </w:style>
  <w:style w:type="character" w:customStyle="1" w:styleId="37">
    <w:name w:val="正文（首行缩进两字） Char"/>
    <w:link w:val="38"/>
    <w:qFormat/>
    <w:uiPriority w:val="0"/>
    <w:rPr>
      <w:rFonts w:ascii="Times New Roman" w:hAnsi="Times New Roman"/>
      <w:kern w:val="2"/>
      <w:sz w:val="21"/>
    </w:rPr>
  </w:style>
  <w:style w:type="paragraph" w:customStyle="1" w:styleId="38">
    <w:name w:val="正文（首行缩进两字）"/>
    <w:basedOn w:val="1"/>
    <w:link w:val="37"/>
    <w:qFormat/>
    <w:uiPriority w:val="0"/>
  </w:style>
  <w:style w:type="character" w:customStyle="1" w:styleId="39">
    <w:name w:val="样式2 Char"/>
    <w:link w:val="35"/>
    <w:qFormat/>
    <w:uiPriority w:val="0"/>
    <w:rPr>
      <w:rFonts w:ascii="Times New Roman" w:hAnsi="Times New Roman"/>
      <w:snapToGrid w:val="0"/>
      <w:kern w:val="2"/>
      <w:sz w:val="26"/>
    </w:rPr>
  </w:style>
  <w:style w:type="character" w:customStyle="1" w:styleId="40">
    <w:name w:val="标题 1 Char"/>
    <w:link w:val="4"/>
    <w:qFormat/>
    <w:uiPriority w:val="0"/>
    <w:rPr>
      <w:rFonts w:ascii="Times New Roman" w:hAnsi="Times New Roman"/>
      <w:b/>
      <w:kern w:val="44"/>
      <w:sz w:val="44"/>
    </w:rPr>
  </w:style>
  <w:style w:type="character" w:customStyle="1" w:styleId="41">
    <w:name w:val="样式10 Char"/>
    <w:link w:val="42"/>
    <w:qFormat/>
    <w:uiPriority w:val="0"/>
    <w:rPr>
      <w:rFonts w:ascii="Times New Roman" w:hAnsi="Times New Roman" w:eastAsia="Times New Roman"/>
      <w:kern w:val="2"/>
      <w:sz w:val="22"/>
    </w:rPr>
  </w:style>
  <w:style w:type="paragraph" w:customStyle="1" w:styleId="42">
    <w:name w:val="样式10"/>
    <w:basedOn w:val="1"/>
    <w:link w:val="41"/>
    <w:qFormat/>
    <w:uiPriority w:val="0"/>
    <w:pPr>
      <w:adjustRightInd w:val="0"/>
      <w:snapToGrid w:val="0"/>
      <w:spacing w:line="320" w:lineRule="exact"/>
      <w:jc w:val="center"/>
    </w:pPr>
    <w:rPr>
      <w:rFonts w:eastAsia="Times New Roman"/>
      <w:sz w:val="22"/>
    </w:rPr>
  </w:style>
  <w:style w:type="character" w:customStyle="1" w:styleId="43">
    <w:name w:val="排版正文 Char"/>
    <w:qFormat/>
    <w:uiPriority w:val="0"/>
  </w:style>
  <w:style w:type="character" w:customStyle="1" w:styleId="44">
    <w:name w:val="样式 宋体"/>
    <w:qFormat/>
    <w:uiPriority w:val="0"/>
    <w:rPr>
      <w:rFonts w:ascii="宋体" w:hAnsi="宋体" w:eastAsia="宋体"/>
      <w:sz w:val="24"/>
    </w:rPr>
  </w:style>
  <w:style w:type="character" w:customStyle="1" w:styleId="45">
    <w:name w:val="页脚 Char"/>
    <w:link w:val="15"/>
    <w:qFormat/>
    <w:uiPriority w:val="0"/>
    <w:rPr>
      <w:sz w:val="18"/>
    </w:rPr>
  </w:style>
  <w:style w:type="character" w:customStyle="1" w:styleId="46">
    <w:name w:val="01正文 Char"/>
    <w:link w:val="47"/>
    <w:qFormat/>
    <w:uiPriority w:val="0"/>
    <w:rPr>
      <w:rFonts w:ascii="Times New Roman" w:hAnsi="Times New Roman"/>
      <w:kern w:val="2"/>
      <w:sz w:val="26"/>
    </w:rPr>
  </w:style>
  <w:style w:type="paragraph" w:customStyle="1" w:styleId="47">
    <w:name w:val="01正文"/>
    <w:basedOn w:val="1"/>
    <w:link w:val="46"/>
    <w:qFormat/>
    <w:uiPriority w:val="0"/>
    <w:pPr>
      <w:adjustRightInd w:val="0"/>
      <w:snapToGrid w:val="0"/>
      <w:spacing w:line="480" w:lineRule="exact"/>
      <w:ind w:firstLine="520" w:firstLineChars="200"/>
    </w:pPr>
    <w:rPr>
      <w:sz w:val="26"/>
    </w:rPr>
  </w:style>
  <w:style w:type="character" w:customStyle="1" w:styleId="48">
    <w:name w:val="批注框文本 Char"/>
    <w:link w:val="14"/>
    <w:qFormat/>
    <w:uiPriority w:val="0"/>
    <w:rPr>
      <w:rFonts w:ascii="Times New Roman" w:hAnsi="Times New Roman"/>
      <w:kern w:val="2"/>
      <w:sz w:val="18"/>
    </w:rPr>
  </w:style>
  <w:style w:type="character" w:customStyle="1" w:styleId="49">
    <w:name w:val="样式 首行缩进:  2 字符 Char"/>
    <w:link w:val="50"/>
    <w:qFormat/>
    <w:uiPriority w:val="0"/>
    <w:rPr>
      <w:kern w:val="2"/>
      <w:sz w:val="21"/>
    </w:rPr>
  </w:style>
  <w:style w:type="paragraph" w:customStyle="1" w:styleId="50">
    <w:name w:val="样式 首行缩进:  2 字符"/>
    <w:basedOn w:val="1"/>
    <w:link w:val="49"/>
    <w:qFormat/>
    <w:uiPriority w:val="0"/>
    <w:pPr>
      <w:ind w:firstLine="420" w:firstLineChars="200"/>
    </w:pPr>
  </w:style>
  <w:style w:type="character" w:customStyle="1" w:styleId="51">
    <w:name w:val="正文文本 Char"/>
    <w:link w:val="10"/>
    <w:qFormat/>
    <w:uiPriority w:val="0"/>
    <w:rPr>
      <w:rFonts w:ascii="Times New Roman" w:hAnsi="Times New Roman"/>
      <w:kern w:val="2"/>
      <w:sz w:val="24"/>
    </w:rPr>
  </w:style>
  <w:style w:type="character" w:customStyle="1" w:styleId="52">
    <w:name w:val="样式 样式 标题 2 + (西文) Times New Roman (中文) 仿宋_GB2312 四号 行距: 1.5 倍行距 ... Char"/>
    <w:link w:val="53"/>
    <w:qFormat/>
    <w:uiPriority w:val="0"/>
    <w:rPr>
      <w:rFonts w:ascii="Times New Roman" w:hAnsi="Times New Roman" w:eastAsia="仿宋_GB2312"/>
      <w:b/>
      <w:sz w:val="30"/>
    </w:rPr>
  </w:style>
  <w:style w:type="paragraph" w:customStyle="1" w:styleId="53">
    <w:name w:val="样式 样式 标题 2 + (西文) Times New Roman (中文) 仿宋_GB2312 四号 行距: 1.5 倍行距 ..."/>
    <w:basedOn w:val="1"/>
    <w:link w:val="52"/>
    <w:qFormat/>
    <w:uiPriority w:val="0"/>
    <w:pPr>
      <w:keepNext/>
      <w:keepLines/>
      <w:spacing w:before="260" w:after="260" w:line="360" w:lineRule="auto"/>
      <w:outlineLvl w:val="1"/>
    </w:pPr>
    <w:rPr>
      <w:rFonts w:eastAsia="仿宋_GB2312"/>
      <w:b/>
      <w:sz w:val="30"/>
    </w:rPr>
  </w:style>
  <w:style w:type="character" w:customStyle="1" w:styleId="54">
    <w:name w:val="页眉 Char"/>
    <w:link w:val="16"/>
    <w:qFormat/>
    <w:uiPriority w:val="0"/>
    <w:rPr>
      <w:sz w:val="18"/>
    </w:rPr>
  </w:style>
  <w:style w:type="character" w:customStyle="1" w:styleId="55">
    <w:name w:val="03表格文字 Char"/>
    <w:link w:val="56"/>
    <w:qFormat/>
    <w:uiPriority w:val="0"/>
    <w:rPr>
      <w:rFonts w:ascii="Times New Roman" w:hAnsi="Times New Roman"/>
      <w:kern w:val="2"/>
      <w:sz w:val="22"/>
    </w:rPr>
  </w:style>
  <w:style w:type="paragraph" w:customStyle="1" w:styleId="56">
    <w:name w:val="03表格文字"/>
    <w:basedOn w:val="47"/>
    <w:link w:val="55"/>
    <w:qFormat/>
    <w:uiPriority w:val="0"/>
    <w:pPr>
      <w:spacing w:line="360" w:lineRule="exact"/>
      <w:ind w:firstLine="0" w:firstLineChars="0"/>
      <w:jc w:val="center"/>
    </w:pPr>
    <w:rPr>
      <w:sz w:val="22"/>
    </w:rPr>
  </w:style>
  <w:style w:type="character" w:customStyle="1" w:styleId="57">
    <w:name w:val="样式18 Char"/>
    <w:link w:val="58"/>
    <w:qFormat/>
    <w:uiPriority w:val="0"/>
    <w:rPr>
      <w:rFonts w:ascii="Times New Roman" w:hAnsi="Times New Roman"/>
      <w:sz w:val="26"/>
    </w:rPr>
  </w:style>
  <w:style w:type="paragraph" w:customStyle="1" w:styleId="58">
    <w:name w:val="样式18"/>
    <w:basedOn w:val="1"/>
    <w:link w:val="57"/>
    <w:qFormat/>
    <w:uiPriority w:val="0"/>
    <w:pPr>
      <w:widowControl/>
      <w:adjustRightInd w:val="0"/>
      <w:snapToGrid w:val="0"/>
      <w:spacing w:line="460" w:lineRule="exact"/>
      <w:ind w:firstLine="567" w:firstLineChars="218"/>
      <w:jc w:val="left"/>
    </w:pPr>
    <w:rPr>
      <w:sz w:val="26"/>
    </w:rPr>
  </w:style>
  <w:style w:type="character" w:customStyle="1" w:styleId="59">
    <w:name w:val="文档结构图 Char"/>
    <w:link w:val="8"/>
    <w:qFormat/>
    <w:uiPriority w:val="0"/>
    <w:rPr>
      <w:rFonts w:ascii="Times New Roman" w:hAnsi="Times New Roman"/>
      <w:kern w:val="2"/>
      <w:sz w:val="21"/>
      <w:shd w:val="clear" w:color="auto" w:fill="000080"/>
    </w:rPr>
  </w:style>
  <w:style w:type="character" w:customStyle="1" w:styleId="60">
    <w:name w:val="标题 3 Char"/>
    <w:link w:val="6"/>
    <w:qFormat/>
    <w:uiPriority w:val="0"/>
    <w:rPr>
      <w:rFonts w:ascii="Times New Roman" w:hAnsi="Times New Roman"/>
      <w:b/>
      <w:kern w:val="2"/>
      <w:sz w:val="32"/>
    </w:rPr>
  </w:style>
  <w:style w:type="character" w:customStyle="1" w:styleId="61">
    <w:name w:val="正文缩进 Char1"/>
    <w:link w:val="62"/>
    <w:qFormat/>
    <w:uiPriority w:val="0"/>
    <w:rPr>
      <w:kern w:val="2"/>
      <w:sz w:val="21"/>
    </w:rPr>
  </w:style>
  <w:style w:type="paragraph" w:customStyle="1" w:styleId="62">
    <w:name w:val="正文缩进1"/>
    <w:basedOn w:val="1"/>
    <w:link w:val="61"/>
    <w:qFormat/>
    <w:uiPriority w:val="0"/>
    <w:pPr>
      <w:ind w:firstLine="420" w:firstLineChars="200"/>
    </w:pPr>
  </w:style>
  <w:style w:type="character" w:customStyle="1" w:styleId="63">
    <w:name w:val="正文文本缩进 Char1"/>
    <w:link w:val="3"/>
    <w:qFormat/>
    <w:uiPriority w:val="0"/>
    <w:rPr>
      <w:kern w:val="2"/>
      <w:sz w:val="21"/>
    </w:rPr>
  </w:style>
  <w:style w:type="character" w:customStyle="1" w:styleId="64">
    <w:name w:val="样式16 Char"/>
    <w:link w:val="65"/>
    <w:qFormat/>
    <w:uiPriority w:val="0"/>
    <w:rPr>
      <w:rFonts w:ascii="宋体" w:hAnsi="宋体"/>
      <w:kern w:val="2"/>
      <w:sz w:val="26"/>
    </w:rPr>
  </w:style>
  <w:style w:type="paragraph" w:customStyle="1" w:styleId="65">
    <w:name w:val="样式16"/>
    <w:basedOn w:val="1"/>
    <w:link w:val="64"/>
    <w:qFormat/>
    <w:uiPriority w:val="0"/>
    <w:pPr>
      <w:adjustRightInd w:val="0"/>
      <w:snapToGrid w:val="0"/>
      <w:spacing w:line="480" w:lineRule="exact"/>
      <w:ind w:firstLine="520" w:firstLineChars="200"/>
    </w:pPr>
    <w:rPr>
      <w:rFonts w:ascii="宋体" w:hAnsi="宋体"/>
      <w:sz w:val="26"/>
    </w:rPr>
  </w:style>
  <w:style w:type="character" w:customStyle="1" w:styleId="66">
    <w:name w:val="日期 Char"/>
    <w:link w:val="13"/>
    <w:qFormat/>
    <w:uiPriority w:val="0"/>
    <w:rPr>
      <w:rFonts w:ascii="Times New Roman" w:hAnsi="Times New Roman"/>
      <w:kern w:val="2"/>
      <w:sz w:val="21"/>
    </w:rPr>
  </w:style>
  <w:style w:type="character" w:customStyle="1" w:styleId="67">
    <w:name w:val="正文文本缩进 Char"/>
    <w:link w:val="68"/>
    <w:qFormat/>
    <w:uiPriority w:val="0"/>
    <w:rPr>
      <w:kern w:val="2"/>
      <w:sz w:val="28"/>
    </w:rPr>
  </w:style>
  <w:style w:type="paragraph" w:customStyle="1" w:styleId="68">
    <w:name w:val="正文文本缩进1"/>
    <w:basedOn w:val="1"/>
    <w:link w:val="67"/>
    <w:qFormat/>
    <w:uiPriority w:val="0"/>
    <w:pPr>
      <w:spacing w:line="600" w:lineRule="exact"/>
      <w:ind w:firstLine="630" w:firstLineChars="225"/>
    </w:pPr>
    <w:rPr>
      <w:sz w:val="28"/>
    </w:rPr>
  </w:style>
  <w:style w:type="character" w:customStyle="1" w:styleId="69">
    <w:name w:val="标题 2 Char"/>
    <w:link w:val="5"/>
    <w:qFormat/>
    <w:uiPriority w:val="0"/>
    <w:rPr>
      <w:rFonts w:ascii="Arial" w:hAnsi="Arial" w:eastAsia="黑体"/>
      <w:b/>
      <w:kern w:val="2"/>
      <w:sz w:val="32"/>
    </w:rPr>
  </w:style>
  <w:style w:type="character" w:customStyle="1" w:styleId="70">
    <w:name w:val="样式1 Char"/>
    <w:link w:val="71"/>
    <w:qFormat/>
    <w:uiPriority w:val="0"/>
    <w:rPr>
      <w:rFonts w:ascii="宋体" w:hAnsi="宋体"/>
      <w:kern w:val="2"/>
      <w:sz w:val="26"/>
    </w:rPr>
  </w:style>
  <w:style w:type="paragraph" w:customStyle="1" w:styleId="71">
    <w:name w:val="样式1"/>
    <w:basedOn w:val="1"/>
    <w:link w:val="70"/>
    <w:qFormat/>
    <w:uiPriority w:val="0"/>
    <w:pPr>
      <w:spacing w:line="480" w:lineRule="exact"/>
      <w:ind w:firstLine="200" w:firstLineChars="200"/>
    </w:pPr>
    <w:rPr>
      <w:rFonts w:ascii="宋体" w:hAnsi="宋体"/>
      <w:sz w:val="26"/>
    </w:rPr>
  </w:style>
  <w:style w:type="paragraph" w:customStyle="1" w:styleId="72">
    <w:name w:val="Char Char Char Char Char2 Char"/>
    <w:basedOn w:val="1"/>
    <w:qFormat/>
    <w:uiPriority w:val="0"/>
    <w:pPr>
      <w:adjustRightInd w:val="0"/>
      <w:snapToGrid w:val="0"/>
      <w:spacing w:line="360" w:lineRule="auto"/>
      <w:ind w:firstLine="200" w:firstLineChars="200"/>
    </w:pPr>
    <w:rPr>
      <w:rFonts w:ascii="宋体" w:hAnsi="宋体"/>
      <w:sz w:val="24"/>
    </w:rPr>
  </w:style>
  <w:style w:type="paragraph" w:customStyle="1" w:styleId="73">
    <w:name w:val="Char"/>
    <w:basedOn w:val="1"/>
    <w:qFormat/>
    <w:uiPriority w:val="0"/>
  </w:style>
  <w:style w:type="paragraph" w:customStyle="1" w:styleId="74">
    <w:name w:val="环评正文"/>
    <w:basedOn w:val="4"/>
    <w:qFormat/>
    <w:uiPriority w:val="0"/>
    <w:pPr>
      <w:keepNext w:val="0"/>
      <w:keepLines w:val="0"/>
      <w:spacing w:before="0" w:after="0" w:line="360" w:lineRule="auto"/>
      <w:outlineLvl w:val="9"/>
    </w:pPr>
    <w:rPr>
      <w:rFonts w:ascii="宋体" w:hAnsi="宋体"/>
      <w:b w:val="0"/>
      <w:kern w:val="2"/>
      <w:sz w:val="28"/>
    </w:rPr>
  </w:style>
  <w:style w:type="paragraph" w:customStyle="1" w:styleId="75">
    <w:name w:val="3"/>
    <w:basedOn w:val="1"/>
    <w:next w:val="12"/>
    <w:qFormat/>
    <w:uiPriority w:val="0"/>
    <w:rPr>
      <w:rFonts w:ascii="宋体" w:hAnsi="Courier New" w:cs="Courier New"/>
      <w:szCs w:val="21"/>
    </w:rPr>
  </w:style>
  <w:style w:type="paragraph" w:customStyle="1" w:styleId="76">
    <w:name w:val="默认段落字体 Para Char"/>
    <w:basedOn w:val="1"/>
    <w:next w:val="1"/>
    <w:qFormat/>
    <w:uiPriority w:val="0"/>
    <w:pPr>
      <w:spacing w:line="360" w:lineRule="auto"/>
      <w:ind w:firstLine="200" w:firstLineChars="200"/>
    </w:pPr>
    <w:rPr>
      <w:rFonts w:ascii="宋体" w:hAnsi="宋体"/>
      <w:sz w:val="24"/>
    </w:rPr>
  </w:style>
  <w:style w:type="paragraph" w:customStyle="1" w:styleId="77">
    <w:name w:val="样式 标题 1 +"/>
    <w:basedOn w:val="4"/>
    <w:qFormat/>
    <w:uiPriority w:val="0"/>
    <w:rPr>
      <w:rFonts w:eastAsia="仿宋_GB2312"/>
      <w:kern w:val="0"/>
      <w:sz w:val="32"/>
    </w:rPr>
  </w:style>
  <w:style w:type="paragraph" w:customStyle="1" w:styleId="78">
    <w:name w:val="样式25"/>
    <w:basedOn w:val="58"/>
    <w:qFormat/>
    <w:uiPriority w:val="0"/>
  </w:style>
  <w:style w:type="paragraph" w:customStyle="1" w:styleId="79">
    <w:name w:val="表格文字"/>
    <w:basedOn w:val="7"/>
    <w:qFormat/>
    <w:uiPriority w:val="0"/>
    <w:pPr>
      <w:spacing w:line="360" w:lineRule="auto"/>
      <w:ind w:firstLine="0"/>
    </w:pPr>
    <w:rPr>
      <w:rFonts w:eastAsia="仿宋_GB2312"/>
      <w:color w:val="3366FF"/>
      <w:sz w:val="24"/>
    </w:rPr>
  </w:style>
  <w:style w:type="paragraph" w:customStyle="1" w:styleId="80">
    <w:name w:val="Char Char Char Char Char2 Char1"/>
    <w:basedOn w:val="1"/>
    <w:qFormat/>
    <w:uiPriority w:val="0"/>
    <w:pPr>
      <w:adjustRightInd w:val="0"/>
      <w:snapToGrid w:val="0"/>
      <w:spacing w:line="360" w:lineRule="auto"/>
      <w:ind w:firstLine="200" w:firstLineChars="200"/>
    </w:pPr>
    <w:rPr>
      <w:sz w:val="26"/>
    </w:rPr>
  </w:style>
  <w:style w:type="paragraph" w:customStyle="1" w:styleId="81">
    <w:name w:val="表格"/>
    <w:basedOn w:val="1"/>
    <w:qFormat/>
    <w:uiPriority w:val="0"/>
    <w:pPr>
      <w:keepNext/>
      <w:adjustRightInd w:val="0"/>
      <w:spacing w:line="312" w:lineRule="atLeast"/>
      <w:jc w:val="center"/>
      <w:textAlignment w:val="baseline"/>
    </w:pPr>
    <w:rPr>
      <w:kern w:val="0"/>
    </w:rPr>
  </w:style>
  <w:style w:type="paragraph" w:customStyle="1" w:styleId="82">
    <w:name w:val="Default"/>
    <w:qFormat/>
    <w:uiPriority w:val="0"/>
    <w:pPr>
      <w:widowControl w:val="0"/>
      <w:autoSpaceDE w:val="0"/>
      <w:autoSpaceDN w:val="0"/>
      <w:adjustRightInd w:val="0"/>
    </w:pPr>
    <w:rPr>
      <w:rFonts w:ascii="Times New Roman" w:hAnsi="Times New Roman" w:eastAsia="宋体" w:cs="Times New Roman"/>
      <w:color w:val="000000"/>
      <w:sz w:val="24"/>
      <w:lang w:val="en-US" w:eastAsia="zh-CN" w:bidi="ar-SA"/>
    </w:rPr>
  </w:style>
  <w:style w:type="paragraph" w:customStyle="1" w:styleId="83">
    <w:name w:val="样式 标题 3 + (中文) 仿宋_GB2312 四号 非加粗 行距: 1.5 倍行距"/>
    <w:basedOn w:val="6"/>
    <w:qFormat/>
    <w:uiPriority w:val="0"/>
    <w:pPr>
      <w:spacing w:line="360" w:lineRule="auto"/>
    </w:pPr>
    <w:rPr>
      <w:rFonts w:eastAsia="仿宋_GB2312"/>
      <w:kern w:val="0"/>
      <w:sz w:val="28"/>
    </w:rPr>
  </w:style>
  <w:style w:type="paragraph" w:customStyle="1" w:styleId="84">
    <w:name w:val="Char Char Char Char Char Char Char Char Char1 Char Char Char Char"/>
    <w:basedOn w:val="1"/>
    <w:qFormat/>
    <w:uiPriority w:val="0"/>
    <w:pPr>
      <w:spacing w:line="360" w:lineRule="auto"/>
      <w:ind w:firstLine="200" w:firstLineChars="200"/>
    </w:pPr>
    <w:rPr>
      <w:rFonts w:ascii="宋体" w:hAnsi="宋体"/>
      <w:sz w:val="24"/>
    </w:rPr>
  </w:style>
  <w:style w:type="paragraph" w:customStyle="1" w:styleId="85">
    <w:name w:val="标准样式"/>
    <w:qFormat/>
    <w:uiPriority w:val="0"/>
    <w:pPr>
      <w:widowControl w:val="0"/>
      <w:spacing w:line="600" w:lineRule="exact"/>
      <w:ind w:firstLine="200" w:firstLineChars="200"/>
      <w:jc w:val="both"/>
    </w:pPr>
    <w:rPr>
      <w:rFonts w:ascii="Times New Roman" w:hAnsi="Times New Roman" w:eastAsia="宋体" w:cs="Times New Roman"/>
      <w:sz w:val="28"/>
      <w:lang w:val="en-US" w:eastAsia="zh-CN" w:bidi="ar-SA"/>
    </w:rPr>
  </w:style>
  <w:style w:type="paragraph" w:customStyle="1" w:styleId="86">
    <w:name w:val="xl31"/>
    <w:basedOn w:val="1"/>
    <w:qFormat/>
    <w:uiPriority w:val="0"/>
    <w:pPr>
      <w:widowControl/>
      <w:spacing w:before="100" w:beforeAutospacing="1" w:after="100" w:afterAutospacing="1"/>
      <w:jc w:val="center"/>
    </w:pPr>
    <w:rPr>
      <w:kern w:val="0"/>
      <w:sz w:val="24"/>
    </w:rPr>
  </w:style>
  <w:style w:type="paragraph" w:customStyle="1" w:styleId="87">
    <w:name w:val="表内容"/>
    <w:basedOn w:val="1"/>
    <w:qFormat/>
    <w:uiPriority w:val="0"/>
    <w:pPr>
      <w:spacing w:line="280" w:lineRule="exact"/>
      <w:jc w:val="center"/>
    </w:pPr>
    <w:rPr>
      <w:sz w:val="18"/>
    </w:rPr>
  </w:style>
  <w:style w:type="paragraph" w:customStyle="1" w:styleId="88">
    <w:name w:val="04表格结尾"/>
    <w:basedOn w:val="1"/>
    <w:qFormat/>
    <w:uiPriority w:val="0"/>
    <w:pPr>
      <w:adjustRightInd w:val="0"/>
      <w:snapToGrid w:val="0"/>
      <w:ind w:firstLine="420" w:firstLineChars="200"/>
    </w:pPr>
  </w:style>
  <w:style w:type="paragraph" w:customStyle="1" w:styleId="89">
    <w:name w:val="6表格"/>
    <w:basedOn w:val="1"/>
    <w:qFormat/>
    <w:uiPriority w:val="0"/>
    <w:pPr>
      <w:adjustRightInd w:val="0"/>
      <w:snapToGrid w:val="0"/>
      <w:spacing w:before="120"/>
      <w:jc w:val="center"/>
    </w:pPr>
    <w:rPr>
      <w:snapToGrid w:val="0"/>
      <w:kern w:val="0"/>
    </w:rPr>
  </w:style>
  <w:style w:type="paragraph" w:customStyle="1" w:styleId="90">
    <w:name w:val="tb"/>
    <w:basedOn w:val="1"/>
    <w:qFormat/>
    <w:uiPriority w:val="0"/>
    <w:pPr>
      <w:spacing w:line="400" w:lineRule="atLeast"/>
    </w:pPr>
    <w:rPr>
      <w:rFonts w:ascii="宋体" w:hAnsi="Arial"/>
      <w:sz w:val="24"/>
      <w:szCs w:val="22"/>
    </w:rPr>
  </w:style>
  <w:style w:type="paragraph" w:customStyle="1" w:styleId="91">
    <w:name w:val="WPSOffice手动目录 1"/>
    <w:qFormat/>
    <w:uiPriority w:val="0"/>
    <w:rPr>
      <w:rFonts w:ascii="Calibri" w:hAnsi="Calibri" w:eastAsia="宋体" w:cs="Times New Roman"/>
      <w:lang w:val="en-US" w:eastAsia="zh-CN" w:bidi="ar-SA"/>
    </w:rPr>
  </w:style>
  <w:style w:type="paragraph" w:customStyle="1" w:styleId="92">
    <w:name w:val="WPSOffice手动目录 2"/>
    <w:qFormat/>
    <w:uiPriority w:val="0"/>
    <w:pPr>
      <w:ind w:left="200" w:leftChars="200"/>
    </w:pPr>
    <w:rPr>
      <w:rFonts w:ascii="Calibri" w:hAnsi="Calibri" w:eastAsia="宋体" w:cs="Times New Roman"/>
      <w:lang w:val="en-US" w:eastAsia="zh-CN" w:bidi="ar-SA"/>
    </w:rPr>
  </w:style>
  <w:style w:type="paragraph" w:customStyle="1" w:styleId="93">
    <w:name w:val="Table Paragraph"/>
    <w:basedOn w:val="1"/>
    <w:qFormat/>
    <w:uiPriority w:val="1"/>
    <w:rPr>
      <w:rFonts w:ascii="宋体" w:hAnsi="宋体" w:eastAsia="宋体" w:cs="宋体"/>
      <w:lang w:val="zh-CN" w:eastAsia="zh-CN" w:bidi="zh-CN"/>
    </w:rPr>
  </w:style>
  <w:style w:type="paragraph" w:customStyle="1" w:styleId="94">
    <w:name w:val="表文字"/>
    <w:basedOn w:val="1"/>
    <w:qFormat/>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95">
    <w:name w:val="样式7"/>
    <w:basedOn w:val="1"/>
    <w:qFormat/>
    <w:uiPriority w:val="0"/>
    <w:pPr>
      <w:autoSpaceDE w:val="0"/>
      <w:autoSpaceDN w:val="0"/>
      <w:adjustRightInd w:val="0"/>
      <w:snapToGrid w:val="0"/>
      <w:spacing w:line="480" w:lineRule="exact"/>
      <w:ind w:firstLine="520" w:firstLineChars="200"/>
    </w:pPr>
    <w:rPr>
      <w:rFonts w:ascii="Times New Roman" w:hAnsi="Times New Roman"/>
      <w:color w:val="000000"/>
      <w:kern w:val="0"/>
      <w:sz w:val="26"/>
      <w:szCs w:val="26"/>
    </w:rPr>
  </w:style>
  <w:style w:type="paragraph" w:customStyle="1" w:styleId="96">
    <w:name w:val="正文样式 Char"/>
    <w:basedOn w:val="1"/>
    <w:qFormat/>
    <w:uiPriority w:val="0"/>
    <w:pPr>
      <w:adjustRightInd w:val="0"/>
      <w:snapToGrid w:val="0"/>
      <w:spacing w:line="460" w:lineRule="exact"/>
      <w:ind w:firstLine="200" w:firstLineChars="200"/>
    </w:pPr>
    <w:rPr>
      <w:rFonts w:ascii="Times New Roman" w:hAnsi="Times New Roman"/>
      <w:color w:val="000000"/>
      <w:sz w:val="26"/>
      <w:szCs w:val="26"/>
    </w:rPr>
  </w:style>
  <w:style w:type="paragraph" w:customStyle="1" w:styleId="97">
    <w:name w:val="表内字"/>
    <w:qFormat/>
    <w:uiPriority w:val="0"/>
    <w:pPr>
      <w:widowControl w:val="0"/>
      <w:autoSpaceDE w:val="0"/>
      <w:autoSpaceDN w:val="0"/>
      <w:adjustRightInd w:val="0"/>
      <w:snapToGrid w:val="0"/>
      <w:jc w:val="center"/>
    </w:pPr>
    <w:rPr>
      <w:rFonts w:ascii="宋体" w:hAnsi="宋体" w:eastAsia="宋体" w:cs="Times New Roman"/>
      <w:sz w:val="21"/>
      <w:szCs w:val="21"/>
      <w:lang w:val="en-US" w:eastAsia="zh-CN" w:bidi="ar-SA"/>
    </w:rPr>
  </w:style>
  <w:style w:type="paragraph" w:customStyle="1" w:styleId="98">
    <w:name w:val="首行缩进"/>
    <w:qFormat/>
    <w:uiPriority w:val="0"/>
    <w:pPr>
      <w:spacing w:line="360" w:lineRule="auto"/>
      <w:ind w:firstLine="1044" w:firstLineChars="200"/>
    </w:pPr>
    <w:rPr>
      <w:rFonts w:ascii="Times New Roman" w:hAnsi="Times New Roman" w:eastAsia="宋体" w:cs="Times New Roman"/>
      <w:sz w:val="24"/>
      <w:szCs w:val="24"/>
    </w:rPr>
  </w:style>
  <w:style w:type="paragraph" w:customStyle="1" w:styleId="99">
    <w:name w:val="250/1"/>
    <w:basedOn w:val="77"/>
    <w:qFormat/>
    <w:uiPriority w:val="0"/>
    <w:pPr>
      <w:spacing w:line="480" w:lineRule="auto"/>
    </w:pPr>
    <w:rPr>
      <w:rFonts w:cs="宋体"/>
      <w:szCs w:val="20"/>
    </w:rPr>
  </w:style>
  <w:style w:type="table" w:customStyle="1" w:styleId="100">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101">
    <w:name w:val="xl25"/>
    <w:basedOn w:val="1"/>
    <w:qFormat/>
    <w:uiPriority w:val="0"/>
    <w:pPr>
      <w:widowControl/>
      <w:spacing w:before="100" w:after="100"/>
      <w:jc w:val="center"/>
    </w:pPr>
    <w:rPr>
      <w:rFonts w:eastAsia="Arial Unicode MS"/>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90164E-6D71-44EB-91CA-6618B231DB68}">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49</Pages>
  <Words>26509</Words>
  <Characters>29139</Characters>
  <Lines>156</Lines>
  <Paragraphs>44</Paragraphs>
  <TotalTime>4</TotalTime>
  <ScaleCrop>false</ScaleCrop>
  <LinksUpToDate>false</LinksUpToDate>
  <CharactersWithSpaces>29360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2017-08-03T09:52:00Z</dcterms:created>
  <dc:creator>thesnoW</dc:creator>
  <cp:lastModifiedBy>柳慧敏</cp:lastModifiedBy>
  <cp:lastPrinted>2022-12-22T08:19:00Z</cp:lastPrinted>
  <dcterms:modified xsi:type="dcterms:W3CDTF">2024-03-29T03:10:29Z</dcterms:modified>
  <dc:title>表1  项目基本情况</dc:title>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66D2142894B54BF3ACA2A47B1375944B</vt:lpwstr>
  </property>
</Properties>
</file>