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EEBECA">
      <w:pPr>
        <w:jc w:val="center"/>
        <w:rPr>
          <w:rFonts w:hint="eastAsia"/>
          <w:color w:val="auto"/>
        </w:rPr>
      </w:pPr>
    </w:p>
    <w:p w14:paraId="30BAAC13">
      <w:pPr>
        <w:jc w:val="center"/>
        <w:rPr>
          <w:rFonts w:hint="eastAsia"/>
          <w:color w:val="auto"/>
        </w:rPr>
      </w:pPr>
    </w:p>
    <w:p w14:paraId="4DAA0769">
      <w:pPr>
        <w:jc w:val="center"/>
        <w:rPr>
          <w:rFonts w:hint="eastAsia"/>
          <w:color w:val="auto"/>
        </w:rPr>
      </w:pPr>
    </w:p>
    <w:p w14:paraId="50474E64">
      <w:pPr>
        <w:jc w:val="center"/>
        <w:rPr>
          <w:rFonts w:hint="eastAsia"/>
          <w:color w:val="auto"/>
        </w:rPr>
      </w:pPr>
    </w:p>
    <w:p w14:paraId="4B61DEAA">
      <w:pPr>
        <w:jc w:val="center"/>
        <w:rPr>
          <w:rFonts w:hint="eastAsia" w:ascii="仿宋" w:hAnsi="仿宋" w:eastAsia="仿宋" w:cs="仿宋"/>
          <w:b/>
          <w:bCs/>
          <w:snapToGrid w:val="0"/>
          <w:color w:val="000000"/>
          <w:spacing w:val="-7"/>
          <w:kern w:val="0"/>
          <w:sz w:val="52"/>
          <w:szCs w:val="52"/>
          <w:lang w:val="en-US" w:eastAsia="zh-CN"/>
        </w:rPr>
      </w:pPr>
      <w:r>
        <w:rPr>
          <w:rFonts w:hint="eastAsia" w:ascii="仿宋" w:hAnsi="仿宋" w:eastAsia="仿宋" w:cs="仿宋"/>
          <w:b/>
          <w:bCs/>
          <w:snapToGrid w:val="0"/>
          <w:color w:val="000000"/>
          <w:spacing w:val="-7"/>
          <w:kern w:val="0"/>
          <w:sz w:val="52"/>
          <w:szCs w:val="52"/>
          <w:lang w:val="en-US" w:eastAsia="zh-CN"/>
        </w:rPr>
        <w:t>重庆立标标识标牌制造项目</w:t>
      </w:r>
    </w:p>
    <w:p w14:paraId="683DE8C7">
      <w:pPr>
        <w:jc w:val="center"/>
        <w:rPr>
          <w:rFonts w:hint="eastAsia" w:ascii="仿宋" w:hAnsi="仿宋" w:eastAsia="仿宋" w:cs="仿宋"/>
          <w:b/>
          <w:bCs/>
          <w:snapToGrid w:val="0"/>
          <w:color w:val="000000"/>
          <w:spacing w:val="-7"/>
          <w:kern w:val="0"/>
          <w:sz w:val="52"/>
          <w:szCs w:val="52"/>
          <w:lang w:val="en-US" w:eastAsia="en-US"/>
        </w:rPr>
      </w:pPr>
      <w:r>
        <w:rPr>
          <w:rFonts w:hint="eastAsia" w:ascii="仿宋" w:hAnsi="仿宋" w:eastAsia="仿宋" w:cs="仿宋"/>
          <w:b/>
          <w:bCs/>
          <w:snapToGrid w:val="0"/>
          <w:color w:val="000000"/>
          <w:spacing w:val="-7"/>
          <w:kern w:val="0"/>
          <w:sz w:val="52"/>
          <w:szCs w:val="52"/>
          <w:lang w:val="en-US" w:eastAsia="en-US"/>
        </w:rPr>
        <w:t>竣工环境保护验收监测报告表</w:t>
      </w:r>
    </w:p>
    <w:p w14:paraId="728466B5">
      <w:pPr>
        <w:widowControl/>
        <w:kinsoku w:val="0"/>
        <w:autoSpaceDE w:val="0"/>
        <w:autoSpaceDN w:val="0"/>
        <w:adjustRightInd w:val="0"/>
        <w:snapToGrid w:val="0"/>
        <w:spacing w:before="169" w:line="218" w:lineRule="auto"/>
        <w:jc w:val="center"/>
        <w:textAlignment w:val="baseline"/>
        <w:outlineLvl w:val="0"/>
        <w:rPr>
          <w:rFonts w:hint="eastAsia" w:ascii="宋体" w:hAnsi="宋体" w:eastAsia="宋体" w:cs="宋体"/>
          <w:b/>
          <w:bCs/>
          <w:color w:val="000000"/>
          <w:kern w:val="0"/>
          <w:sz w:val="31"/>
          <w:szCs w:val="31"/>
          <w:lang w:val="en-US" w:eastAsia="zh-CN" w:bidi="ar"/>
        </w:rPr>
      </w:pPr>
    </w:p>
    <w:p w14:paraId="2CD0181D">
      <w:pPr>
        <w:widowControl/>
        <w:kinsoku w:val="0"/>
        <w:autoSpaceDE w:val="0"/>
        <w:autoSpaceDN w:val="0"/>
        <w:adjustRightInd w:val="0"/>
        <w:snapToGrid w:val="0"/>
        <w:spacing w:before="169" w:line="218" w:lineRule="auto"/>
        <w:jc w:val="center"/>
        <w:textAlignment w:val="baseline"/>
        <w:outlineLvl w:val="0"/>
        <w:rPr>
          <w:rFonts w:hint="eastAsia" w:ascii="宋体" w:hAnsi="宋体" w:eastAsia="宋体" w:cs="宋体"/>
          <w:b/>
          <w:bCs/>
          <w:color w:val="000000"/>
          <w:kern w:val="0"/>
          <w:sz w:val="31"/>
          <w:szCs w:val="31"/>
          <w:lang w:val="en-US" w:eastAsia="zh-CN" w:bidi="ar"/>
        </w:rPr>
      </w:pPr>
    </w:p>
    <w:p w14:paraId="1EF9E102">
      <w:pPr>
        <w:widowControl/>
        <w:kinsoku w:val="0"/>
        <w:autoSpaceDE w:val="0"/>
        <w:autoSpaceDN w:val="0"/>
        <w:adjustRightInd w:val="0"/>
        <w:snapToGrid w:val="0"/>
        <w:spacing w:before="169" w:line="218" w:lineRule="auto"/>
        <w:jc w:val="center"/>
        <w:textAlignment w:val="baseline"/>
        <w:outlineLvl w:val="0"/>
        <w:rPr>
          <w:rFonts w:hint="eastAsia" w:ascii="宋体" w:hAnsi="宋体" w:eastAsia="宋体" w:cs="宋体"/>
          <w:b/>
          <w:bCs/>
          <w:color w:val="000000"/>
          <w:kern w:val="0"/>
          <w:sz w:val="31"/>
          <w:szCs w:val="31"/>
          <w:lang w:val="en-US" w:eastAsia="zh-CN" w:bidi="ar"/>
        </w:rPr>
      </w:pPr>
    </w:p>
    <w:p w14:paraId="23F2BBAC">
      <w:pPr>
        <w:widowControl/>
        <w:kinsoku w:val="0"/>
        <w:autoSpaceDE w:val="0"/>
        <w:autoSpaceDN w:val="0"/>
        <w:adjustRightInd w:val="0"/>
        <w:snapToGrid w:val="0"/>
        <w:spacing w:before="169" w:line="218" w:lineRule="auto"/>
        <w:jc w:val="center"/>
        <w:textAlignment w:val="baseline"/>
        <w:outlineLvl w:val="0"/>
        <w:rPr>
          <w:rFonts w:hint="eastAsia" w:ascii="宋体" w:hAnsi="宋体" w:eastAsia="宋体" w:cs="宋体"/>
          <w:b/>
          <w:bCs/>
          <w:color w:val="000000"/>
          <w:kern w:val="0"/>
          <w:sz w:val="31"/>
          <w:szCs w:val="31"/>
          <w:lang w:val="en-US" w:eastAsia="zh-CN" w:bidi="ar"/>
        </w:rPr>
      </w:pPr>
    </w:p>
    <w:p w14:paraId="1C0A1C29">
      <w:pPr>
        <w:widowControl/>
        <w:kinsoku w:val="0"/>
        <w:autoSpaceDE w:val="0"/>
        <w:autoSpaceDN w:val="0"/>
        <w:adjustRightInd w:val="0"/>
        <w:snapToGrid w:val="0"/>
        <w:spacing w:before="169" w:line="218" w:lineRule="auto"/>
        <w:jc w:val="center"/>
        <w:textAlignment w:val="baseline"/>
        <w:outlineLvl w:val="0"/>
        <w:rPr>
          <w:rFonts w:hint="eastAsia" w:ascii="宋体" w:hAnsi="宋体" w:eastAsia="宋体" w:cs="宋体"/>
          <w:b/>
          <w:bCs/>
          <w:color w:val="000000"/>
          <w:kern w:val="0"/>
          <w:sz w:val="31"/>
          <w:szCs w:val="31"/>
          <w:lang w:val="en-US" w:eastAsia="zh-CN" w:bidi="ar"/>
        </w:rPr>
      </w:pPr>
    </w:p>
    <w:p w14:paraId="29132A7F">
      <w:pPr>
        <w:widowControl/>
        <w:kinsoku w:val="0"/>
        <w:autoSpaceDE w:val="0"/>
        <w:autoSpaceDN w:val="0"/>
        <w:adjustRightInd w:val="0"/>
        <w:snapToGrid w:val="0"/>
        <w:spacing w:before="169" w:line="218" w:lineRule="auto"/>
        <w:jc w:val="center"/>
        <w:textAlignment w:val="baseline"/>
        <w:outlineLvl w:val="0"/>
        <w:rPr>
          <w:rFonts w:hint="eastAsia" w:ascii="宋体" w:hAnsi="宋体" w:eastAsia="宋体" w:cs="宋体"/>
          <w:b/>
          <w:bCs/>
          <w:color w:val="000000"/>
          <w:kern w:val="0"/>
          <w:sz w:val="31"/>
          <w:szCs w:val="31"/>
          <w:lang w:val="en-US" w:eastAsia="zh-CN" w:bidi="ar"/>
        </w:rPr>
      </w:pPr>
    </w:p>
    <w:p w14:paraId="2F9D5248">
      <w:pPr>
        <w:widowControl/>
        <w:kinsoku w:val="0"/>
        <w:autoSpaceDE w:val="0"/>
        <w:autoSpaceDN w:val="0"/>
        <w:adjustRightInd w:val="0"/>
        <w:snapToGrid w:val="0"/>
        <w:spacing w:before="169" w:line="218" w:lineRule="auto"/>
        <w:jc w:val="center"/>
        <w:textAlignment w:val="baseline"/>
        <w:outlineLvl w:val="0"/>
        <w:rPr>
          <w:rFonts w:hint="eastAsia" w:ascii="宋体" w:hAnsi="宋体" w:eastAsia="宋体" w:cs="宋体"/>
          <w:b/>
          <w:bCs/>
          <w:color w:val="000000"/>
          <w:kern w:val="0"/>
          <w:sz w:val="31"/>
          <w:szCs w:val="31"/>
          <w:lang w:val="en-US" w:eastAsia="zh-CN" w:bidi="ar"/>
        </w:rPr>
      </w:pPr>
    </w:p>
    <w:p w14:paraId="182DC697">
      <w:pPr>
        <w:widowControl/>
        <w:kinsoku w:val="0"/>
        <w:autoSpaceDE w:val="0"/>
        <w:autoSpaceDN w:val="0"/>
        <w:adjustRightInd w:val="0"/>
        <w:snapToGrid w:val="0"/>
        <w:spacing w:before="169" w:line="218" w:lineRule="auto"/>
        <w:jc w:val="center"/>
        <w:textAlignment w:val="baseline"/>
        <w:outlineLvl w:val="0"/>
        <w:rPr>
          <w:rFonts w:hint="eastAsia" w:ascii="宋体" w:hAnsi="宋体" w:eastAsia="宋体" w:cs="宋体"/>
          <w:b/>
          <w:bCs/>
          <w:color w:val="000000"/>
          <w:kern w:val="0"/>
          <w:sz w:val="31"/>
          <w:szCs w:val="31"/>
          <w:lang w:val="en-US" w:eastAsia="zh-CN" w:bidi="ar"/>
        </w:rPr>
      </w:pPr>
    </w:p>
    <w:p w14:paraId="4CE9DA19">
      <w:pPr>
        <w:widowControl/>
        <w:kinsoku w:val="0"/>
        <w:autoSpaceDE w:val="0"/>
        <w:autoSpaceDN w:val="0"/>
        <w:adjustRightInd w:val="0"/>
        <w:snapToGrid w:val="0"/>
        <w:spacing w:before="169" w:line="218" w:lineRule="auto"/>
        <w:jc w:val="center"/>
        <w:textAlignment w:val="baseline"/>
        <w:outlineLvl w:val="0"/>
        <w:rPr>
          <w:rFonts w:hint="eastAsia" w:ascii="宋体" w:hAnsi="宋体" w:eastAsia="宋体" w:cs="宋体"/>
          <w:b/>
          <w:bCs/>
          <w:color w:val="000000"/>
          <w:kern w:val="0"/>
          <w:sz w:val="31"/>
          <w:szCs w:val="31"/>
          <w:lang w:val="en-US" w:eastAsia="zh-CN" w:bidi="ar"/>
        </w:rPr>
      </w:pPr>
    </w:p>
    <w:p w14:paraId="7F7F1416">
      <w:pPr>
        <w:widowControl/>
        <w:kinsoku w:val="0"/>
        <w:autoSpaceDE w:val="0"/>
        <w:autoSpaceDN w:val="0"/>
        <w:adjustRightInd w:val="0"/>
        <w:snapToGrid w:val="0"/>
        <w:spacing w:before="169" w:line="218" w:lineRule="auto"/>
        <w:jc w:val="center"/>
        <w:textAlignment w:val="baseline"/>
        <w:outlineLvl w:val="0"/>
        <w:rPr>
          <w:rFonts w:hint="eastAsia" w:ascii="宋体" w:hAnsi="宋体" w:eastAsia="宋体" w:cs="宋体"/>
          <w:b/>
          <w:bCs/>
          <w:color w:val="000000"/>
          <w:kern w:val="0"/>
          <w:sz w:val="31"/>
          <w:szCs w:val="31"/>
          <w:lang w:val="en-US" w:eastAsia="zh-CN" w:bidi="ar"/>
        </w:rPr>
      </w:pPr>
    </w:p>
    <w:p w14:paraId="2D5571EA">
      <w:pPr>
        <w:widowControl/>
        <w:kinsoku w:val="0"/>
        <w:autoSpaceDE w:val="0"/>
        <w:autoSpaceDN w:val="0"/>
        <w:adjustRightInd w:val="0"/>
        <w:snapToGrid w:val="0"/>
        <w:spacing w:before="169" w:line="218" w:lineRule="auto"/>
        <w:jc w:val="center"/>
        <w:textAlignment w:val="baseline"/>
        <w:outlineLvl w:val="0"/>
        <w:rPr>
          <w:rFonts w:hint="eastAsia" w:ascii="宋体" w:hAnsi="宋体" w:eastAsia="宋体" w:cs="宋体"/>
          <w:b/>
          <w:bCs/>
          <w:color w:val="000000"/>
          <w:kern w:val="0"/>
          <w:sz w:val="31"/>
          <w:szCs w:val="31"/>
          <w:lang w:val="en-US" w:eastAsia="zh-CN" w:bidi="ar"/>
        </w:rPr>
      </w:pPr>
    </w:p>
    <w:p w14:paraId="3CB19596">
      <w:pPr>
        <w:widowControl/>
        <w:kinsoku w:val="0"/>
        <w:autoSpaceDE w:val="0"/>
        <w:autoSpaceDN w:val="0"/>
        <w:adjustRightInd w:val="0"/>
        <w:snapToGrid w:val="0"/>
        <w:spacing w:before="169" w:line="218" w:lineRule="auto"/>
        <w:jc w:val="center"/>
        <w:textAlignment w:val="baseline"/>
        <w:outlineLvl w:val="0"/>
        <w:rPr>
          <w:rFonts w:hint="eastAsia" w:ascii="宋体" w:hAnsi="宋体" w:eastAsia="宋体" w:cs="宋体"/>
          <w:b/>
          <w:bCs/>
          <w:color w:val="000000"/>
          <w:kern w:val="0"/>
          <w:sz w:val="31"/>
          <w:szCs w:val="31"/>
          <w:lang w:val="en-US" w:eastAsia="zh-CN" w:bidi="ar"/>
        </w:rPr>
      </w:pPr>
    </w:p>
    <w:p w14:paraId="2DE31A81">
      <w:pPr>
        <w:widowControl/>
        <w:kinsoku w:val="0"/>
        <w:autoSpaceDE w:val="0"/>
        <w:autoSpaceDN w:val="0"/>
        <w:adjustRightInd w:val="0"/>
        <w:snapToGrid w:val="0"/>
        <w:spacing w:before="169" w:line="218" w:lineRule="auto"/>
        <w:jc w:val="center"/>
        <w:textAlignment w:val="baseline"/>
        <w:outlineLvl w:val="0"/>
        <w:rPr>
          <w:rFonts w:hint="eastAsia" w:ascii="宋体" w:hAnsi="宋体" w:eastAsia="宋体" w:cs="宋体"/>
          <w:b/>
          <w:bCs/>
          <w:color w:val="000000"/>
          <w:kern w:val="0"/>
          <w:sz w:val="31"/>
          <w:szCs w:val="31"/>
          <w:lang w:val="en-US" w:eastAsia="zh-CN" w:bidi="ar"/>
        </w:rPr>
      </w:pPr>
    </w:p>
    <w:p w14:paraId="7C304A17">
      <w:pPr>
        <w:widowControl/>
        <w:kinsoku w:val="0"/>
        <w:autoSpaceDE w:val="0"/>
        <w:autoSpaceDN w:val="0"/>
        <w:adjustRightInd w:val="0"/>
        <w:snapToGrid w:val="0"/>
        <w:spacing w:before="169" w:line="218" w:lineRule="auto"/>
        <w:jc w:val="center"/>
        <w:textAlignment w:val="baseline"/>
        <w:outlineLvl w:val="0"/>
        <w:rPr>
          <w:rFonts w:hint="eastAsia" w:ascii="宋体" w:hAnsi="宋体" w:eastAsia="宋体" w:cs="宋体"/>
          <w:b/>
          <w:bCs/>
          <w:color w:val="000000"/>
          <w:kern w:val="0"/>
          <w:sz w:val="31"/>
          <w:szCs w:val="31"/>
          <w:lang w:val="en-US" w:eastAsia="zh-CN" w:bidi="ar"/>
        </w:rPr>
      </w:pPr>
    </w:p>
    <w:p w14:paraId="07DAF2E1">
      <w:pPr>
        <w:widowControl/>
        <w:kinsoku w:val="0"/>
        <w:autoSpaceDE w:val="0"/>
        <w:autoSpaceDN w:val="0"/>
        <w:adjustRightInd w:val="0"/>
        <w:snapToGrid w:val="0"/>
        <w:spacing w:before="169" w:line="218" w:lineRule="auto"/>
        <w:jc w:val="center"/>
        <w:textAlignment w:val="baseline"/>
        <w:outlineLvl w:val="0"/>
        <w:rPr>
          <w:rFonts w:hint="eastAsia" w:ascii="宋体" w:hAnsi="宋体" w:eastAsia="宋体" w:cs="宋体"/>
          <w:b/>
          <w:bCs/>
          <w:color w:val="000000"/>
          <w:kern w:val="0"/>
          <w:sz w:val="31"/>
          <w:szCs w:val="31"/>
          <w:lang w:val="en-US" w:eastAsia="zh-CN" w:bidi="ar"/>
        </w:rPr>
      </w:pPr>
    </w:p>
    <w:p w14:paraId="423F88B3">
      <w:pPr>
        <w:widowControl/>
        <w:kinsoku w:val="0"/>
        <w:autoSpaceDE w:val="0"/>
        <w:autoSpaceDN w:val="0"/>
        <w:adjustRightInd w:val="0"/>
        <w:snapToGrid w:val="0"/>
        <w:spacing w:before="169" w:line="218" w:lineRule="auto"/>
        <w:jc w:val="center"/>
        <w:textAlignment w:val="baseline"/>
        <w:outlineLvl w:val="0"/>
        <w:rPr>
          <w:rFonts w:hint="eastAsia" w:ascii="宋体" w:hAnsi="宋体" w:eastAsia="宋体" w:cs="宋体"/>
          <w:b/>
          <w:bCs/>
          <w:color w:val="000000"/>
          <w:kern w:val="0"/>
          <w:sz w:val="31"/>
          <w:szCs w:val="31"/>
          <w:lang w:val="en-US" w:eastAsia="zh-CN" w:bidi="ar"/>
        </w:rPr>
      </w:pPr>
    </w:p>
    <w:p w14:paraId="41A78978">
      <w:pPr>
        <w:widowControl/>
        <w:kinsoku w:val="0"/>
        <w:autoSpaceDE w:val="0"/>
        <w:autoSpaceDN w:val="0"/>
        <w:adjustRightInd w:val="0"/>
        <w:snapToGrid w:val="0"/>
        <w:spacing w:before="169" w:line="218" w:lineRule="auto"/>
        <w:jc w:val="center"/>
        <w:textAlignment w:val="baseline"/>
        <w:outlineLvl w:val="0"/>
        <w:rPr>
          <w:rFonts w:hint="eastAsia" w:ascii="宋体" w:hAnsi="宋体" w:eastAsia="宋体" w:cs="宋体"/>
          <w:b/>
          <w:bCs/>
          <w:color w:val="000000"/>
          <w:kern w:val="0"/>
          <w:sz w:val="31"/>
          <w:szCs w:val="31"/>
          <w:lang w:val="en-US" w:eastAsia="zh-CN" w:bidi="ar"/>
        </w:rPr>
      </w:pPr>
    </w:p>
    <w:p w14:paraId="5362856D">
      <w:pPr>
        <w:widowControl/>
        <w:kinsoku w:val="0"/>
        <w:autoSpaceDE w:val="0"/>
        <w:autoSpaceDN w:val="0"/>
        <w:adjustRightInd w:val="0"/>
        <w:snapToGrid w:val="0"/>
        <w:spacing w:before="169" w:line="218" w:lineRule="auto"/>
        <w:jc w:val="center"/>
        <w:textAlignment w:val="baseline"/>
        <w:outlineLvl w:val="0"/>
        <w:rPr>
          <w:rFonts w:hint="eastAsia" w:ascii="宋体" w:hAnsi="宋体" w:eastAsia="宋体" w:cs="宋体"/>
          <w:b/>
          <w:bCs/>
          <w:color w:val="000000"/>
          <w:kern w:val="0"/>
          <w:sz w:val="31"/>
          <w:szCs w:val="31"/>
          <w:lang w:val="en-US" w:eastAsia="zh-CN" w:bidi="ar"/>
        </w:rPr>
      </w:pPr>
      <w:r>
        <w:rPr>
          <w:rFonts w:hint="eastAsia" w:ascii="宋体" w:hAnsi="宋体" w:eastAsia="宋体" w:cs="宋体"/>
          <w:b/>
          <w:bCs/>
          <w:color w:val="000000"/>
          <w:kern w:val="0"/>
          <w:sz w:val="31"/>
          <w:szCs w:val="31"/>
          <w:lang w:val="en-US" w:eastAsia="zh-CN" w:bidi="ar"/>
        </w:rPr>
        <w:t>建设单位：重庆立标标识制作有限公司</w:t>
      </w:r>
    </w:p>
    <w:p w14:paraId="253C9E3B">
      <w:pPr>
        <w:widowControl/>
        <w:kinsoku w:val="0"/>
        <w:autoSpaceDE w:val="0"/>
        <w:autoSpaceDN w:val="0"/>
        <w:adjustRightInd w:val="0"/>
        <w:snapToGrid w:val="0"/>
        <w:spacing w:before="169" w:line="218" w:lineRule="auto"/>
        <w:ind w:firstLine="3112" w:firstLineChars="1000"/>
        <w:jc w:val="both"/>
        <w:textAlignment w:val="baseline"/>
        <w:outlineLvl w:val="0"/>
        <w:rPr>
          <w:rFonts w:hint="eastAsia" w:ascii="宋体" w:hAnsi="宋体" w:eastAsia="宋体" w:cs="宋体"/>
          <w:b/>
          <w:bCs/>
          <w:color w:val="000000"/>
          <w:kern w:val="0"/>
          <w:sz w:val="31"/>
          <w:szCs w:val="31"/>
          <w:lang w:val="en-US" w:eastAsia="en-US" w:bidi="ar"/>
        </w:rPr>
      </w:pPr>
      <w:r>
        <w:rPr>
          <w:rFonts w:hint="eastAsia" w:ascii="宋体" w:hAnsi="宋体" w:eastAsia="宋体" w:cs="宋体"/>
          <w:b/>
          <w:bCs/>
          <w:color w:val="000000"/>
          <w:kern w:val="0"/>
          <w:sz w:val="31"/>
          <w:szCs w:val="31"/>
          <w:lang w:val="en-US" w:eastAsia="en-US" w:bidi="ar"/>
        </w:rPr>
        <w:t>二〇二</w:t>
      </w:r>
      <w:r>
        <w:rPr>
          <w:rFonts w:hint="eastAsia" w:ascii="宋体" w:hAnsi="宋体" w:eastAsia="宋体" w:cs="宋体"/>
          <w:b/>
          <w:bCs/>
          <w:color w:val="000000"/>
          <w:kern w:val="0"/>
          <w:sz w:val="31"/>
          <w:szCs w:val="31"/>
          <w:lang w:val="en-US" w:eastAsia="zh-CN" w:bidi="ar"/>
        </w:rPr>
        <w:t>六</w:t>
      </w:r>
      <w:r>
        <w:rPr>
          <w:rFonts w:hint="eastAsia" w:ascii="宋体" w:hAnsi="宋体" w:eastAsia="宋体" w:cs="宋体"/>
          <w:b/>
          <w:bCs/>
          <w:color w:val="000000"/>
          <w:kern w:val="0"/>
          <w:sz w:val="31"/>
          <w:szCs w:val="31"/>
          <w:lang w:val="en-US" w:eastAsia="en-US" w:bidi="ar"/>
        </w:rPr>
        <w:t>年</w:t>
      </w:r>
      <w:r>
        <w:rPr>
          <w:rFonts w:hint="eastAsia" w:ascii="宋体" w:hAnsi="宋体" w:eastAsia="宋体" w:cs="宋体"/>
          <w:b/>
          <w:bCs/>
          <w:color w:val="000000"/>
          <w:kern w:val="0"/>
          <w:sz w:val="31"/>
          <w:szCs w:val="31"/>
          <w:lang w:val="en-US" w:eastAsia="zh-CN" w:bidi="ar"/>
        </w:rPr>
        <w:t>六</w:t>
      </w:r>
      <w:r>
        <w:rPr>
          <w:rFonts w:hint="eastAsia" w:ascii="宋体" w:hAnsi="宋体" w:eastAsia="宋体" w:cs="宋体"/>
          <w:b/>
          <w:bCs/>
          <w:color w:val="000000"/>
          <w:kern w:val="0"/>
          <w:sz w:val="31"/>
          <w:szCs w:val="31"/>
          <w:lang w:val="en-US" w:eastAsia="en-US" w:bidi="ar"/>
        </w:rPr>
        <w:t>月</w:t>
      </w:r>
    </w:p>
    <w:p w14:paraId="011A00E5"/>
    <w:p w14:paraId="415FBAD9"/>
    <w:p w14:paraId="0D62F24D">
      <w:pPr>
        <w:widowControl/>
        <w:kinsoku w:val="0"/>
        <w:autoSpaceDE w:val="0"/>
        <w:autoSpaceDN w:val="0"/>
        <w:adjustRightInd w:val="0"/>
        <w:snapToGrid w:val="0"/>
        <w:spacing w:before="169" w:line="218" w:lineRule="auto"/>
        <w:jc w:val="both"/>
        <w:textAlignment w:val="baseline"/>
        <w:outlineLvl w:val="0"/>
        <w:rPr>
          <w:rFonts w:hint="eastAsia" w:ascii="宋体" w:hAnsi="宋体" w:eastAsia="宋体" w:cs="宋体"/>
          <w:b/>
          <w:bCs/>
          <w:color w:val="000000"/>
          <w:kern w:val="0"/>
          <w:sz w:val="31"/>
          <w:szCs w:val="31"/>
          <w:lang w:val="en-US" w:eastAsia="zh-CN" w:bidi="ar"/>
        </w:rPr>
      </w:pPr>
      <w:r>
        <w:rPr>
          <w:rFonts w:hint="eastAsia" w:eastAsia="宋体" w:cs="Times New Roman"/>
          <w:b/>
          <w:bCs/>
          <w:color w:val="000000"/>
          <w:kern w:val="2"/>
          <w:sz w:val="28"/>
          <w:szCs w:val="28"/>
          <w:lang w:val="en-US" w:eastAsia="en-US"/>
        </w:rPr>
        <w:t>建 设 单 位：</w:t>
      </w:r>
      <w:r>
        <w:rPr>
          <w:rFonts w:hint="eastAsia" w:ascii="宋体" w:hAnsi="宋体" w:eastAsia="宋体" w:cs="宋体"/>
          <w:b/>
          <w:bCs/>
          <w:color w:val="000000"/>
          <w:kern w:val="0"/>
          <w:sz w:val="31"/>
          <w:szCs w:val="31"/>
          <w:lang w:val="en-US" w:eastAsia="zh-CN" w:bidi="ar"/>
        </w:rPr>
        <w:t>重庆立标标识制作有限公司</w:t>
      </w:r>
    </w:p>
    <w:p w14:paraId="5E8F2539">
      <w:pPr>
        <w:widowControl/>
        <w:kinsoku w:val="0"/>
        <w:autoSpaceDE w:val="0"/>
        <w:autoSpaceDN w:val="0"/>
        <w:adjustRightInd w:val="0"/>
        <w:snapToGrid w:val="0"/>
        <w:spacing w:before="169" w:line="218" w:lineRule="auto"/>
        <w:jc w:val="both"/>
        <w:textAlignment w:val="baseline"/>
        <w:outlineLvl w:val="0"/>
        <w:rPr>
          <w:rFonts w:hint="eastAsia" w:ascii="宋体" w:hAnsi="宋体" w:eastAsia="宋体" w:cs="宋体"/>
          <w:b/>
          <w:bCs/>
          <w:color w:val="000000"/>
          <w:kern w:val="0"/>
          <w:sz w:val="31"/>
          <w:szCs w:val="31"/>
          <w:lang w:val="en-US" w:eastAsia="en-US" w:bidi="ar"/>
        </w:rPr>
      </w:pPr>
      <w:r>
        <w:rPr>
          <w:rFonts w:hint="eastAsia" w:eastAsia="宋体" w:cs="Times New Roman"/>
          <w:b/>
          <w:bCs/>
          <w:color w:val="000000"/>
          <w:kern w:val="2"/>
          <w:sz w:val="28"/>
          <w:szCs w:val="28"/>
          <w:lang w:val="en-US" w:eastAsia="en-US"/>
        </w:rPr>
        <w:t>法 人</w:t>
      </w:r>
      <w:r>
        <w:rPr>
          <w:rFonts w:hint="eastAsia" w:ascii="宋体" w:hAnsi="宋体" w:eastAsia="宋体" w:cs="宋体"/>
          <w:b/>
          <w:bCs/>
          <w:color w:val="000000"/>
          <w:kern w:val="0"/>
          <w:sz w:val="31"/>
          <w:szCs w:val="31"/>
          <w:lang w:val="en-US" w:eastAsia="en-US" w:bidi="ar"/>
        </w:rPr>
        <w:t xml:space="preserve"> 代 表：</w:t>
      </w:r>
      <w:r>
        <w:rPr>
          <w:rFonts w:hint="eastAsia" w:ascii="宋体" w:hAnsi="宋体" w:eastAsia="宋体" w:cs="宋体"/>
          <w:b/>
          <w:bCs/>
          <w:color w:val="000000"/>
          <w:kern w:val="0"/>
          <w:sz w:val="31"/>
          <w:szCs w:val="31"/>
          <w:lang w:val="en-US" w:eastAsia="zh-CN" w:bidi="ar"/>
        </w:rPr>
        <w:t>康林</w:t>
      </w:r>
    </w:p>
    <w:p w14:paraId="29D1A467">
      <w:pPr>
        <w:widowControl/>
        <w:kinsoku w:val="0"/>
        <w:autoSpaceDE w:val="0"/>
        <w:autoSpaceDN w:val="0"/>
        <w:adjustRightInd w:val="0"/>
        <w:snapToGrid w:val="0"/>
        <w:spacing w:before="169" w:line="218" w:lineRule="auto"/>
        <w:jc w:val="both"/>
        <w:textAlignment w:val="baseline"/>
        <w:outlineLvl w:val="0"/>
        <w:rPr>
          <w:rFonts w:hint="eastAsia" w:ascii="宋体" w:hAnsi="宋体" w:eastAsia="宋体" w:cs="宋体"/>
          <w:b/>
          <w:bCs/>
          <w:color w:val="000000"/>
          <w:kern w:val="0"/>
          <w:sz w:val="31"/>
          <w:szCs w:val="31"/>
          <w:lang w:val="en-US" w:eastAsia="en-US" w:bidi="ar"/>
        </w:rPr>
      </w:pPr>
      <w:r>
        <w:rPr>
          <w:rFonts w:hint="eastAsia" w:ascii="宋体" w:hAnsi="宋体" w:eastAsia="宋体" w:cs="宋体"/>
          <w:b/>
          <w:bCs/>
          <w:color w:val="000000"/>
          <w:kern w:val="0"/>
          <w:sz w:val="31"/>
          <w:szCs w:val="31"/>
          <w:lang w:val="en-US" w:eastAsia="en-US" w:bidi="ar"/>
        </w:rPr>
        <w:t>项目负责人：</w:t>
      </w:r>
      <w:r>
        <w:rPr>
          <w:rFonts w:hint="eastAsia" w:ascii="宋体" w:hAnsi="宋体" w:eastAsia="宋体" w:cs="宋体"/>
          <w:b/>
          <w:bCs/>
          <w:color w:val="000000"/>
          <w:kern w:val="0"/>
          <w:sz w:val="31"/>
          <w:szCs w:val="31"/>
          <w:lang w:val="en-US" w:eastAsia="zh-CN" w:bidi="ar"/>
        </w:rPr>
        <w:t>康林</w:t>
      </w:r>
    </w:p>
    <w:p w14:paraId="156B8C14">
      <w:pPr>
        <w:jc w:val="left"/>
        <w:rPr>
          <w:rFonts w:hint="eastAsia" w:eastAsia="宋体" w:cs="Times New Roman"/>
          <w:b/>
          <w:bCs/>
          <w:color w:val="000000"/>
          <w:kern w:val="2"/>
          <w:sz w:val="28"/>
          <w:szCs w:val="28"/>
          <w:lang w:val="en-US" w:eastAsia="en-US"/>
        </w:rPr>
      </w:pPr>
    </w:p>
    <w:p w14:paraId="7FEB66F9">
      <w:pPr>
        <w:jc w:val="left"/>
        <w:rPr>
          <w:rFonts w:hint="eastAsia" w:eastAsia="宋体" w:cs="Times New Roman"/>
          <w:b/>
          <w:bCs/>
          <w:color w:val="000000"/>
          <w:kern w:val="2"/>
          <w:sz w:val="28"/>
          <w:szCs w:val="28"/>
          <w:lang w:val="en-US" w:eastAsia="en-US"/>
        </w:rPr>
      </w:pPr>
    </w:p>
    <w:p w14:paraId="5510F263">
      <w:pPr>
        <w:jc w:val="left"/>
        <w:rPr>
          <w:rFonts w:hint="eastAsia" w:eastAsia="宋体" w:cs="Times New Roman"/>
          <w:b/>
          <w:bCs/>
          <w:color w:val="000000"/>
          <w:kern w:val="2"/>
          <w:sz w:val="28"/>
          <w:szCs w:val="28"/>
          <w:lang w:val="en-US" w:eastAsia="en-US"/>
        </w:rPr>
      </w:pPr>
    </w:p>
    <w:p w14:paraId="6BA3DBD6">
      <w:pPr>
        <w:jc w:val="left"/>
        <w:rPr>
          <w:rFonts w:hint="eastAsia" w:eastAsia="宋体" w:cs="Times New Roman"/>
          <w:b/>
          <w:bCs/>
          <w:color w:val="000000"/>
          <w:kern w:val="2"/>
          <w:sz w:val="28"/>
          <w:szCs w:val="28"/>
          <w:lang w:val="en-US" w:eastAsia="en-US"/>
        </w:rPr>
      </w:pPr>
    </w:p>
    <w:p w14:paraId="28FFC560">
      <w:pPr>
        <w:jc w:val="left"/>
        <w:rPr>
          <w:rFonts w:hint="eastAsia" w:eastAsia="宋体" w:cs="Times New Roman"/>
          <w:b/>
          <w:bCs/>
          <w:color w:val="000000"/>
          <w:kern w:val="2"/>
          <w:sz w:val="28"/>
          <w:szCs w:val="28"/>
          <w:lang w:val="en-US" w:eastAsia="en-US"/>
        </w:rPr>
      </w:pPr>
    </w:p>
    <w:p w14:paraId="553A0208">
      <w:pPr>
        <w:jc w:val="left"/>
        <w:rPr>
          <w:rFonts w:hint="eastAsia" w:eastAsia="宋体" w:cs="Times New Roman"/>
          <w:b/>
          <w:bCs/>
          <w:color w:val="000000"/>
          <w:kern w:val="2"/>
          <w:sz w:val="28"/>
          <w:szCs w:val="28"/>
          <w:lang w:val="en-US" w:eastAsia="en-US"/>
        </w:rPr>
      </w:pPr>
    </w:p>
    <w:p w14:paraId="3AA7476D">
      <w:pPr>
        <w:jc w:val="left"/>
        <w:rPr>
          <w:rFonts w:hint="eastAsia" w:eastAsia="宋体" w:cs="Times New Roman"/>
          <w:b/>
          <w:bCs/>
          <w:color w:val="000000"/>
          <w:kern w:val="2"/>
          <w:sz w:val="28"/>
          <w:szCs w:val="28"/>
          <w:lang w:val="en-US" w:eastAsia="en-US"/>
        </w:rPr>
      </w:pPr>
    </w:p>
    <w:p w14:paraId="1BCB6E73">
      <w:pPr>
        <w:jc w:val="left"/>
        <w:rPr>
          <w:rFonts w:hint="eastAsia" w:eastAsia="宋体" w:cs="Times New Roman"/>
          <w:b/>
          <w:bCs/>
          <w:color w:val="000000"/>
          <w:kern w:val="2"/>
          <w:sz w:val="28"/>
          <w:szCs w:val="28"/>
          <w:lang w:val="en-US" w:eastAsia="en-US"/>
        </w:rPr>
      </w:pPr>
    </w:p>
    <w:p w14:paraId="1198E347">
      <w:pPr>
        <w:jc w:val="left"/>
        <w:rPr>
          <w:rFonts w:hint="eastAsia" w:eastAsia="宋体" w:cs="Times New Roman"/>
          <w:b/>
          <w:bCs/>
          <w:color w:val="000000"/>
          <w:kern w:val="2"/>
          <w:sz w:val="28"/>
          <w:szCs w:val="28"/>
          <w:lang w:val="en-US" w:eastAsia="en-US"/>
        </w:rPr>
      </w:pPr>
    </w:p>
    <w:p w14:paraId="01F7C513">
      <w:pPr>
        <w:jc w:val="left"/>
        <w:rPr>
          <w:rFonts w:hint="eastAsia" w:eastAsia="宋体" w:cs="Times New Roman"/>
          <w:b/>
          <w:bCs/>
          <w:color w:val="000000"/>
          <w:kern w:val="2"/>
          <w:sz w:val="28"/>
          <w:szCs w:val="28"/>
          <w:lang w:val="en-US" w:eastAsia="en-US"/>
        </w:rPr>
      </w:pPr>
    </w:p>
    <w:p w14:paraId="29A645FE">
      <w:pPr>
        <w:jc w:val="left"/>
        <w:rPr>
          <w:rFonts w:hint="eastAsia" w:eastAsia="宋体" w:cs="Times New Roman"/>
          <w:b/>
          <w:bCs/>
          <w:color w:val="000000"/>
          <w:kern w:val="2"/>
          <w:sz w:val="28"/>
          <w:szCs w:val="28"/>
          <w:lang w:val="en-US" w:eastAsia="en-US"/>
        </w:rPr>
      </w:pPr>
    </w:p>
    <w:p w14:paraId="5BF696E9">
      <w:pPr>
        <w:jc w:val="left"/>
        <w:rPr>
          <w:rFonts w:hint="eastAsia" w:eastAsia="宋体" w:cs="Times New Roman"/>
          <w:b/>
          <w:bCs/>
          <w:color w:val="000000"/>
          <w:kern w:val="2"/>
          <w:sz w:val="28"/>
          <w:szCs w:val="28"/>
          <w:lang w:val="en-US" w:eastAsia="en-US"/>
        </w:rPr>
      </w:pPr>
    </w:p>
    <w:p w14:paraId="3A2C3190">
      <w:pPr>
        <w:jc w:val="left"/>
        <w:rPr>
          <w:rFonts w:hint="eastAsia" w:eastAsia="宋体" w:cs="Times New Roman"/>
          <w:b/>
          <w:bCs/>
          <w:color w:val="000000"/>
          <w:kern w:val="2"/>
          <w:sz w:val="28"/>
          <w:szCs w:val="28"/>
          <w:lang w:val="en-US" w:eastAsia="en-US"/>
        </w:rPr>
      </w:pPr>
    </w:p>
    <w:p w14:paraId="078B72DD">
      <w:pPr>
        <w:jc w:val="left"/>
        <w:rPr>
          <w:rFonts w:hint="eastAsia" w:eastAsia="宋体" w:cs="Times New Roman"/>
          <w:b/>
          <w:bCs/>
          <w:color w:val="000000"/>
          <w:kern w:val="2"/>
          <w:sz w:val="28"/>
          <w:szCs w:val="28"/>
          <w:lang w:val="en-US" w:eastAsia="en-US"/>
        </w:rPr>
      </w:pPr>
    </w:p>
    <w:p w14:paraId="7048BAC4">
      <w:pPr>
        <w:pStyle w:val="9"/>
        <w:rPr>
          <w:rFonts w:hint="eastAsia" w:eastAsia="宋体" w:cs="Times New Roman"/>
          <w:b/>
          <w:bCs/>
          <w:color w:val="000000"/>
          <w:kern w:val="2"/>
          <w:sz w:val="28"/>
          <w:szCs w:val="28"/>
          <w:lang w:val="en-US" w:eastAsia="en-US"/>
        </w:rPr>
      </w:pPr>
    </w:p>
    <w:p w14:paraId="3C3CD10F">
      <w:pPr>
        <w:jc w:val="left"/>
        <w:rPr>
          <w:rFonts w:hint="eastAsia" w:eastAsia="宋体" w:cs="Times New Roman"/>
          <w:b/>
          <w:bCs/>
          <w:color w:val="000000"/>
          <w:kern w:val="2"/>
          <w:sz w:val="28"/>
          <w:szCs w:val="28"/>
          <w:lang w:val="en-US" w:eastAsia="en-US"/>
        </w:rPr>
      </w:pPr>
      <w:r>
        <w:rPr>
          <w:rFonts w:hint="eastAsia" w:eastAsia="宋体" w:cs="Times New Roman"/>
          <w:b/>
          <w:bCs/>
          <w:color w:val="000000"/>
          <w:kern w:val="2"/>
          <w:sz w:val="28"/>
          <w:szCs w:val="28"/>
          <w:lang w:val="en-US" w:eastAsia="en-US"/>
        </w:rPr>
        <w:t xml:space="preserve">建设单位: </w:t>
      </w:r>
      <w:r>
        <w:rPr>
          <w:rFonts w:hint="eastAsia" w:ascii="宋体" w:hAnsi="宋体" w:eastAsia="宋体" w:cs="宋体"/>
          <w:b/>
          <w:bCs/>
          <w:color w:val="000000"/>
          <w:kern w:val="0"/>
          <w:sz w:val="31"/>
          <w:szCs w:val="31"/>
          <w:lang w:val="en-US" w:eastAsia="zh-CN" w:bidi="ar"/>
        </w:rPr>
        <w:t>重庆立标标识制作有限公司</w:t>
      </w:r>
      <w:r>
        <w:rPr>
          <w:rFonts w:hint="eastAsia" w:eastAsia="宋体" w:cs="Times New Roman"/>
          <w:b/>
          <w:bCs/>
          <w:color w:val="000000"/>
          <w:kern w:val="2"/>
          <w:sz w:val="28"/>
          <w:szCs w:val="28"/>
          <w:lang w:val="en-US" w:eastAsia="en-US"/>
        </w:rPr>
        <w:t>（盖章）</w:t>
      </w:r>
    </w:p>
    <w:p w14:paraId="3BF29C96">
      <w:pPr>
        <w:jc w:val="left"/>
        <w:rPr>
          <w:rFonts w:hint="eastAsia" w:ascii="宋体" w:hAnsi="宋体" w:eastAsia="宋体" w:cs="宋体"/>
          <w:b/>
          <w:bCs/>
          <w:color w:val="000000"/>
          <w:kern w:val="0"/>
          <w:sz w:val="31"/>
          <w:szCs w:val="31"/>
          <w:lang w:val="en-US" w:eastAsia="zh-CN" w:bidi="ar"/>
        </w:rPr>
      </w:pPr>
      <w:r>
        <w:rPr>
          <w:rFonts w:hint="eastAsia" w:eastAsia="宋体" w:cs="Times New Roman"/>
          <w:b/>
          <w:bCs/>
          <w:color w:val="000000"/>
          <w:kern w:val="2"/>
          <w:sz w:val="28"/>
          <w:szCs w:val="28"/>
          <w:lang w:val="en-US" w:eastAsia="zh-CN"/>
        </w:rPr>
        <w:t>电话</w:t>
      </w:r>
      <w:r>
        <w:rPr>
          <w:rFonts w:hint="eastAsia" w:ascii="宋体" w:hAnsi="宋体" w:eastAsia="宋体" w:cs="宋体"/>
          <w:b/>
          <w:bCs/>
          <w:color w:val="000000"/>
          <w:kern w:val="0"/>
          <w:sz w:val="31"/>
          <w:szCs w:val="31"/>
          <w:lang w:val="en-US" w:eastAsia="zh-CN" w:bidi="ar"/>
        </w:rPr>
        <w:t>：17378313193</w:t>
      </w:r>
    </w:p>
    <w:p w14:paraId="3E916ED1">
      <w:pPr>
        <w:jc w:val="left"/>
        <w:rPr>
          <w:rFonts w:hint="eastAsia" w:eastAsia="宋体" w:cs="Times New Roman"/>
          <w:b/>
          <w:bCs/>
          <w:color w:val="000000"/>
          <w:kern w:val="2"/>
          <w:sz w:val="28"/>
          <w:szCs w:val="28"/>
          <w:lang w:val="en-US" w:eastAsia="zh-CN"/>
        </w:rPr>
      </w:pPr>
      <w:r>
        <w:rPr>
          <w:rFonts w:hint="eastAsia" w:eastAsia="宋体" w:cs="Times New Roman"/>
          <w:b/>
          <w:bCs/>
          <w:color w:val="000000"/>
          <w:kern w:val="2"/>
          <w:sz w:val="28"/>
          <w:szCs w:val="28"/>
          <w:lang w:val="en-US" w:eastAsia="zh-CN"/>
        </w:rPr>
        <w:t>邮编：404000</w:t>
      </w:r>
    </w:p>
    <w:p w14:paraId="3318BC26">
      <w:pPr>
        <w:jc w:val="left"/>
        <w:rPr>
          <w:rFonts w:hint="eastAsia" w:ascii="宋体" w:hAnsi="宋体" w:eastAsia="宋体" w:cs="宋体"/>
          <w:b/>
          <w:bCs/>
          <w:color w:val="000000"/>
          <w:kern w:val="0"/>
          <w:sz w:val="31"/>
          <w:szCs w:val="31"/>
          <w:lang w:val="en-US" w:eastAsia="zh-CN" w:bidi="ar"/>
        </w:rPr>
      </w:pPr>
      <w:r>
        <w:rPr>
          <w:rFonts w:hint="eastAsia" w:eastAsia="宋体" w:cs="Times New Roman"/>
          <w:b/>
          <w:bCs/>
          <w:color w:val="000000"/>
          <w:kern w:val="2"/>
          <w:sz w:val="28"/>
          <w:szCs w:val="28"/>
          <w:lang w:val="en-US" w:eastAsia="zh-CN"/>
        </w:rPr>
        <w:t>地</w:t>
      </w:r>
      <w:r>
        <w:rPr>
          <w:rFonts w:hint="eastAsia" w:ascii="宋体" w:hAnsi="宋体" w:eastAsia="宋体" w:cs="宋体"/>
          <w:b/>
          <w:bCs/>
          <w:color w:val="000000"/>
          <w:kern w:val="0"/>
          <w:sz w:val="31"/>
          <w:szCs w:val="31"/>
          <w:lang w:val="en-US" w:eastAsia="zh-CN" w:bidi="ar"/>
        </w:rPr>
        <w:t>址：万州经开区九龙园（重庆市万州区龙都街道）</w:t>
      </w:r>
    </w:p>
    <w:p w14:paraId="732F649E">
      <w:pPr>
        <w:pStyle w:val="7"/>
        <w:rPr>
          <w:rFonts w:hint="eastAsia" w:ascii="宋体" w:hAnsi="宋体" w:eastAsia="宋体" w:cs="宋体"/>
          <w:b/>
          <w:bCs/>
          <w:color w:val="000000"/>
          <w:kern w:val="0"/>
          <w:sz w:val="31"/>
          <w:szCs w:val="31"/>
          <w:lang w:val="en-US" w:eastAsia="zh-CN" w:bidi="ar"/>
        </w:rPr>
      </w:pPr>
    </w:p>
    <w:tbl>
      <w:tblPr>
        <w:tblStyle w:val="15"/>
        <w:tblW w:w="5745"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32"/>
        <w:gridCol w:w="1530"/>
        <w:gridCol w:w="2145"/>
        <w:gridCol w:w="1141"/>
        <w:gridCol w:w="931"/>
        <w:gridCol w:w="2314"/>
      </w:tblGrid>
      <w:tr w14:paraId="7272CA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3" w:hRule="atLeast"/>
          <w:jc w:val="center"/>
        </w:trPr>
        <w:tc>
          <w:tcPr>
            <w:tcW w:w="884" w:type="pct"/>
            <w:noWrap w:val="0"/>
            <w:vAlign w:val="center"/>
          </w:tcPr>
          <w:p w14:paraId="736DBB6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建设项目名称</w:t>
            </w:r>
          </w:p>
        </w:tc>
        <w:tc>
          <w:tcPr>
            <w:tcW w:w="4115" w:type="pct"/>
            <w:gridSpan w:val="5"/>
            <w:noWrap w:val="0"/>
            <w:vAlign w:val="center"/>
          </w:tcPr>
          <w:p w14:paraId="52C5B750">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textAlignment w:val="auto"/>
              <w:rPr>
                <w:rFonts w:hint="default" w:ascii="Times New Roman" w:hAnsi="Times New Roman" w:eastAsia="宋体" w:cs="Times New Roman"/>
                <w:bCs/>
                <w:color w:val="auto"/>
                <w:kern w:val="2"/>
                <w:sz w:val="24"/>
                <w:szCs w:val="24"/>
                <w:highlight w:val="none"/>
                <w:lang w:eastAsia="zh-CN"/>
              </w:rPr>
            </w:pPr>
            <w:r>
              <w:rPr>
                <w:rFonts w:hint="eastAsia"/>
                <w:color w:val="auto"/>
                <w:lang w:eastAsia="zh-CN"/>
              </w:rPr>
              <w:t>重庆立标标识标牌制造项目</w:t>
            </w:r>
          </w:p>
        </w:tc>
      </w:tr>
      <w:tr w14:paraId="23B2AD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9" w:hRule="atLeast"/>
          <w:jc w:val="center"/>
        </w:trPr>
        <w:tc>
          <w:tcPr>
            <w:tcW w:w="884" w:type="pct"/>
            <w:noWrap w:val="0"/>
            <w:vAlign w:val="center"/>
          </w:tcPr>
          <w:p w14:paraId="36622CC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建设单位名称</w:t>
            </w:r>
          </w:p>
        </w:tc>
        <w:tc>
          <w:tcPr>
            <w:tcW w:w="4115" w:type="pct"/>
            <w:gridSpan w:val="5"/>
            <w:noWrap w:val="0"/>
            <w:vAlign w:val="center"/>
          </w:tcPr>
          <w:p w14:paraId="2D73FBC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Cs/>
                <w:color w:val="auto"/>
                <w:sz w:val="24"/>
                <w:szCs w:val="24"/>
                <w:highlight w:val="none"/>
                <w:lang w:eastAsia="zh-CN"/>
              </w:rPr>
            </w:pPr>
            <w:r>
              <w:rPr>
                <w:rFonts w:hint="eastAsia" w:ascii="Times New Roman" w:hAnsi="Times New Roman" w:eastAsia="宋体" w:cs="Times New Roman"/>
                <w:color w:val="auto"/>
                <w:kern w:val="0"/>
                <w:sz w:val="24"/>
                <w:szCs w:val="20"/>
                <w:lang w:val="en-US" w:eastAsia="zh-CN" w:bidi="ar-SA"/>
              </w:rPr>
              <w:t>重庆立标标识制作有限公司</w:t>
            </w:r>
          </w:p>
        </w:tc>
      </w:tr>
      <w:tr w14:paraId="55F992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3" w:hRule="atLeast"/>
          <w:jc w:val="center"/>
        </w:trPr>
        <w:tc>
          <w:tcPr>
            <w:tcW w:w="884" w:type="pct"/>
            <w:noWrap w:val="0"/>
            <w:vAlign w:val="center"/>
          </w:tcPr>
          <w:p w14:paraId="7862412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建设项目性质</w:t>
            </w:r>
          </w:p>
        </w:tc>
        <w:tc>
          <w:tcPr>
            <w:tcW w:w="4115" w:type="pct"/>
            <w:gridSpan w:val="5"/>
            <w:noWrap w:val="0"/>
            <w:vAlign w:val="center"/>
          </w:tcPr>
          <w:p w14:paraId="0E06F87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 xml:space="preserve">新建  </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 xml:space="preserve">改扩建  </w:t>
            </w:r>
            <w:r>
              <w:rPr>
                <w:rFonts w:hint="default" w:ascii="Times New Roman" w:hAnsi="Times New Roman" w:eastAsia="宋体" w:cs="Times New Roman"/>
                <w:color w:val="auto"/>
                <w:sz w:val="24"/>
                <w:szCs w:val="24"/>
                <w:highlight w:val="none"/>
              </w:rPr>
              <w:sym w:font="Wingdings 2" w:char="00A3"/>
            </w:r>
            <w:r>
              <w:rPr>
                <w:rFonts w:hint="default" w:ascii="Times New Roman" w:hAnsi="Times New Roman" w:eastAsia="宋体" w:cs="Times New Roman"/>
                <w:color w:val="auto"/>
                <w:sz w:val="24"/>
                <w:szCs w:val="24"/>
                <w:highlight w:val="none"/>
              </w:rPr>
              <w:t>技改  □迁建</w:t>
            </w:r>
          </w:p>
        </w:tc>
      </w:tr>
      <w:tr w14:paraId="1014A4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9" w:hRule="atLeast"/>
          <w:jc w:val="center"/>
        </w:trPr>
        <w:tc>
          <w:tcPr>
            <w:tcW w:w="884" w:type="pct"/>
            <w:noWrap w:val="0"/>
            <w:vAlign w:val="center"/>
          </w:tcPr>
          <w:p w14:paraId="2D918DF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建设地点</w:t>
            </w:r>
          </w:p>
        </w:tc>
        <w:tc>
          <w:tcPr>
            <w:tcW w:w="4115" w:type="pct"/>
            <w:gridSpan w:val="5"/>
            <w:noWrap w:val="0"/>
            <w:vAlign w:val="center"/>
          </w:tcPr>
          <w:p w14:paraId="4812067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heme="minorBidi"/>
                <w:color w:val="auto"/>
                <w:kern w:val="2"/>
                <w:sz w:val="24"/>
                <w:szCs w:val="24"/>
                <w:highlight w:val="none"/>
                <w:lang w:val="en-US" w:eastAsia="zh-CN" w:bidi="ar-SA"/>
              </w:rPr>
            </w:pPr>
            <w:r>
              <w:rPr>
                <w:rFonts w:hint="eastAsia" w:ascii="Times New Roman" w:hAnsi="Times New Roman" w:eastAsia="宋体" w:cstheme="minorBidi"/>
                <w:color w:val="auto"/>
                <w:kern w:val="2"/>
                <w:sz w:val="24"/>
                <w:szCs w:val="24"/>
                <w:highlight w:val="none"/>
                <w:lang w:val="en-US" w:eastAsia="zh-CN" w:bidi="ar-SA"/>
              </w:rPr>
              <w:t>万州经开区九龙园（重庆市万州区龙都街道）</w:t>
            </w:r>
          </w:p>
        </w:tc>
      </w:tr>
      <w:tr w14:paraId="73C89B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6" w:hRule="atLeast"/>
          <w:jc w:val="center"/>
        </w:trPr>
        <w:tc>
          <w:tcPr>
            <w:tcW w:w="884" w:type="pct"/>
            <w:noWrap w:val="0"/>
            <w:vAlign w:val="center"/>
          </w:tcPr>
          <w:p w14:paraId="2179775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主要产品名称</w:t>
            </w:r>
          </w:p>
        </w:tc>
        <w:tc>
          <w:tcPr>
            <w:tcW w:w="4115" w:type="pct"/>
            <w:gridSpan w:val="5"/>
            <w:noWrap w:val="0"/>
            <w:vAlign w:val="center"/>
          </w:tcPr>
          <w:p w14:paraId="7D7EEFE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Theme="minorEastAsia" w:cstheme="minorBidi"/>
                <w:color w:val="auto"/>
                <w:kern w:val="2"/>
                <w:sz w:val="24"/>
                <w:szCs w:val="24"/>
                <w:highlight w:val="none"/>
                <w:lang w:val="en-US" w:eastAsia="zh-CN" w:bidi="ar-SA"/>
              </w:rPr>
            </w:pPr>
            <w:r>
              <w:rPr>
                <w:rFonts w:hint="eastAsia"/>
                <w:color w:val="auto"/>
                <w:lang w:eastAsia="zh-CN"/>
              </w:rPr>
              <w:t>标识标牌制造</w:t>
            </w:r>
          </w:p>
        </w:tc>
      </w:tr>
      <w:tr w14:paraId="4D72F3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9" w:hRule="atLeast"/>
          <w:jc w:val="center"/>
        </w:trPr>
        <w:tc>
          <w:tcPr>
            <w:tcW w:w="884" w:type="pct"/>
            <w:noWrap w:val="0"/>
            <w:vAlign w:val="center"/>
          </w:tcPr>
          <w:p w14:paraId="20BAF76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设计生产能力</w:t>
            </w:r>
          </w:p>
        </w:tc>
        <w:tc>
          <w:tcPr>
            <w:tcW w:w="4115" w:type="pct"/>
            <w:gridSpan w:val="5"/>
            <w:noWrap w:val="0"/>
            <w:vAlign w:val="center"/>
          </w:tcPr>
          <w:p w14:paraId="40729F9C">
            <w:pPr>
              <w:pStyle w:val="21"/>
              <w:bidi w:val="0"/>
              <w:ind w:firstLine="480" w:firstLineChars="200"/>
              <w:jc w:val="center"/>
              <w:rPr>
                <w:rFonts w:hint="eastAsia" w:ascii="Times New Roman" w:hAnsi="Times New Roman" w:eastAsia="宋体" w:cs="Times New Roman"/>
                <w:color w:val="auto"/>
                <w:sz w:val="24"/>
                <w:szCs w:val="24"/>
                <w:highlight w:val="none"/>
                <w:lang w:val="en-US" w:eastAsia="zh-CN"/>
              </w:rPr>
            </w:pPr>
            <w:r>
              <w:rPr>
                <w:rFonts w:hint="eastAsia"/>
                <w:color w:val="auto"/>
                <w:lang w:eastAsia="zh-CN"/>
              </w:rPr>
              <w:t>年产标识标牌200套</w:t>
            </w:r>
          </w:p>
        </w:tc>
      </w:tr>
      <w:tr w14:paraId="15C4DD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9" w:hRule="atLeast"/>
          <w:jc w:val="center"/>
        </w:trPr>
        <w:tc>
          <w:tcPr>
            <w:tcW w:w="884" w:type="pct"/>
            <w:noWrap w:val="0"/>
            <w:vAlign w:val="center"/>
          </w:tcPr>
          <w:p w14:paraId="55703E7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t>实际生产能力</w:t>
            </w:r>
          </w:p>
        </w:tc>
        <w:tc>
          <w:tcPr>
            <w:tcW w:w="4115" w:type="pct"/>
            <w:gridSpan w:val="5"/>
            <w:noWrap w:val="0"/>
            <w:vAlign w:val="center"/>
          </w:tcPr>
          <w:p w14:paraId="6B24254A">
            <w:pPr>
              <w:pStyle w:val="21"/>
              <w:bidi w:val="0"/>
              <w:ind w:firstLine="480" w:firstLineChars="200"/>
              <w:jc w:val="center"/>
              <w:rPr>
                <w:rFonts w:hint="eastAsia" w:ascii="Times New Roman" w:hAnsi="Times New Roman" w:eastAsia="宋体" w:cs="Times New Roman"/>
                <w:color w:val="auto"/>
                <w:sz w:val="24"/>
                <w:szCs w:val="24"/>
                <w:highlight w:val="none"/>
                <w:lang w:eastAsia="zh-CN"/>
              </w:rPr>
            </w:pPr>
            <w:r>
              <w:rPr>
                <w:rFonts w:hint="eastAsia"/>
                <w:color w:val="auto"/>
                <w:lang w:eastAsia="zh-CN"/>
              </w:rPr>
              <w:t>年产标识标牌200套</w:t>
            </w:r>
          </w:p>
        </w:tc>
      </w:tr>
      <w:tr w14:paraId="54659E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3" w:hRule="atLeast"/>
          <w:jc w:val="center"/>
        </w:trPr>
        <w:tc>
          <w:tcPr>
            <w:tcW w:w="884" w:type="pct"/>
            <w:noWrap w:val="0"/>
            <w:vAlign w:val="center"/>
          </w:tcPr>
          <w:p w14:paraId="1E831126">
            <w:pPr>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建设项目</w:t>
            </w:r>
          </w:p>
          <w:p w14:paraId="66E731A9">
            <w:pPr>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环评时间</w:t>
            </w:r>
          </w:p>
        </w:tc>
        <w:tc>
          <w:tcPr>
            <w:tcW w:w="781" w:type="pct"/>
            <w:noWrap w:val="0"/>
            <w:vAlign w:val="center"/>
          </w:tcPr>
          <w:p w14:paraId="79D8B511">
            <w:pPr>
              <w:jc w:val="center"/>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20</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2</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 w:val="24"/>
                <w:szCs w:val="24"/>
                <w:highlight w:val="none"/>
                <w14:textFill>
                  <w14:solidFill>
                    <w14:schemeClr w14:val="tx1"/>
                  </w14:solidFill>
                </w14:textFill>
              </w:rPr>
              <w:t>年</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7</w:t>
            </w:r>
            <w:r>
              <w:rPr>
                <w:rFonts w:hint="default" w:ascii="Times New Roman" w:hAnsi="Times New Roman" w:eastAsia="宋体" w:cs="Times New Roman"/>
                <w:color w:val="000000" w:themeColor="text1"/>
                <w:sz w:val="24"/>
                <w:szCs w:val="24"/>
                <w:highlight w:val="none"/>
                <w14:textFill>
                  <w14:solidFill>
                    <w14:schemeClr w14:val="tx1"/>
                  </w14:solidFill>
                </w14:textFill>
              </w:rPr>
              <w:t>月</w:t>
            </w:r>
          </w:p>
        </w:tc>
        <w:tc>
          <w:tcPr>
            <w:tcW w:w="1095" w:type="pct"/>
            <w:noWrap w:val="0"/>
            <w:vAlign w:val="center"/>
          </w:tcPr>
          <w:p w14:paraId="55E5D872">
            <w:pPr>
              <w:jc w:val="center"/>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开工建设时间</w:t>
            </w:r>
          </w:p>
        </w:tc>
        <w:tc>
          <w:tcPr>
            <w:tcW w:w="2239" w:type="pct"/>
            <w:gridSpan w:val="3"/>
            <w:noWrap w:val="0"/>
            <w:vAlign w:val="center"/>
          </w:tcPr>
          <w:p w14:paraId="5046B936">
            <w:pPr>
              <w:jc w:val="center"/>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2025年8月</w:t>
            </w:r>
          </w:p>
        </w:tc>
      </w:tr>
      <w:tr w14:paraId="7BEBC1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9" w:hRule="atLeast"/>
          <w:jc w:val="center"/>
        </w:trPr>
        <w:tc>
          <w:tcPr>
            <w:tcW w:w="884" w:type="pct"/>
            <w:noWrap w:val="0"/>
            <w:vAlign w:val="center"/>
          </w:tcPr>
          <w:p w14:paraId="0DF2408E">
            <w:pPr>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调试时间</w:t>
            </w:r>
          </w:p>
        </w:tc>
        <w:tc>
          <w:tcPr>
            <w:tcW w:w="781" w:type="pct"/>
            <w:noWrap w:val="0"/>
            <w:vAlign w:val="center"/>
          </w:tcPr>
          <w:p w14:paraId="761F9794">
            <w:pPr>
              <w:jc w:val="center"/>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202</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6</w:t>
            </w:r>
            <w:r>
              <w:rPr>
                <w:rFonts w:hint="default" w:ascii="Times New Roman" w:hAnsi="Times New Roman" w:eastAsia="宋体" w:cs="Times New Roman"/>
                <w:color w:val="000000" w:themeColor="text1"/>
                <w:sz w:val="24"/>
                <w:szCs w:val="24"/>
                <w:highlight w:val="none"/>
                <w14:textFill>
                  <w14:solidFill>
                    <w14:schemeClr w14:val="tx1"/>
                  </w14:solidFill>
                </w14:textFill>
              </w:rPr>
              <w:t>年</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4</w:t>
            </w:r>
            <w:r>
              <w:rPr>
                <w:rFonts w:hint="default" w:ascii="Times New Roman" w:hAnsi="Times New Roman" w:eastAsia="宋体" w:cs="Times New Roman"/>
                <w:color w:val="000000" w:themeColor="text1"/>
                <w:sz w:val="24"/>
                <w:szCs w:val="24"/>
                <w:highlight w:val="none"/>
                <w14:textFill>
                  <w14:solidFill>
                    <w14:schemeClr w14:val="tx1"/>
                  </w14:solidFill>
                </w14:textFill>
              </w:rPr>
              <w:t>月</w:t>
            </w:r>
          </w:p>
        </w:tc>
        <w:tc>
          <w:tcPr>
            <w:tcW w:w="1095" w:type="pct"/>
            <w:noWrap w:val="0"/>
            <w:vAlign w:val="center"/>
          </w:tcPr>
          <w:p w14:paraId="0F5D0F05">
            <w:pPr>
              <w:jc w:val="center"/>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验收现场监测时间</w:t>
            </w:r>
          </w:p>
        </w:tc>
        <w:tc>
          <w:tcPr>
            <w:tcW w:w="2239" w:type="pct"/>
            <w:gridSpan w:val="3"/>
            <w:noWrap w:val="0"/>
            <w:vAlign w:val="center"/>
          </w:tcPr>
          <w:p w14:paraId="02800282">
            <w:pPr>
              <w:jc w:val="cente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2026年3月30日~31日</w:t>
            </w:r>
          </w:p>
        </w:tc>
      </w:tr>
      <w:tr w14:paraId="12A50E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39" w:hRule="atLeast"/>
          <w:jc w:val="center"/>
        </w:trPr>
        <w:tc>
          <w:tcPr>
            <w:tcW w:w="884" w:type="pct"/>
            <w:noWrap w:val="0"/>
            <w:vAlign w:val="center"/>
          </w:tcPr>
          <w:p w14:paraId="12434ECF">
            <w:pPr>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环评报告表审批部门</w:t>
            </w:r>
          </w:p>
        </w:tc>
        <w:tc>
          <w:tcPr>
            <w:tcW w:w="781" w:type="pct"/>
            <w:noWrap w:val="0"/>
            <w:vAlign w:val="center"/>
          </w:tcPr>
          <w:p w14:paraId="596C45C6">
            <w:pPr>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重庆</w:t>
            </w:r>
            <w:r>
              <w:rPr>
                <w:rFonts w:hint="eastAsia" w:ascii="Times New Roman" w:hAnsi="Times New Roman" w:eastAsia="宋体" w:cs="Times New Roman"/>
                <w:color w:val="auto"/>
                <w:sz w:val="24"/>
                <w:szCs w:val="24"/>
                <w:highlight w:val="none"/>
                <w:lang w:val="en-US" w:eastAsia="zh-CN"/>
              </w:rPr>
              <w:t>市万州区生态环境局</w:t>
            </w:r>
          </w:p>
        </w:tc>
        <w:tc>
          <w:tcPr>
            <w:tcW w:w="1095" w:type="pct"/>
            <w:noWrap w:val="0"/>
            <w:vAlign w:val="center"/>
          </w:tcPr>
          <w:p w14:paraId="0E1CCFB4">
            <w:pPr>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环评报告表编制单位</w:t>
            </w:r>
          </w:p>
        </w:tc>
        <w:tc>
          <w:tcPr>
            <w:tcW w:w="2239" w:type="pct"/>
            <w:gridSpan w:val="3"/>
            <w:noWrap w:val="0"/>
            <w:vAlign w:val="center"/>
          </w:tcPr>
          <w:p w14:paraId="4802F30A">
            <w:pPr>
              <w:jc w:val="center"/>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bCs/>
                <w:color w:val="auto"/>
                <w:kern w:val="0"/>
                <w:sz w:val="24"/>
                <w:szCs w:val="24"/>
                <w:highlight w:val="none"/>
                <w:lang w:eastAsia="zh-CN"/>
              </w:rPr>
              <w:t>重庆东驰环保工程有限公司</w:t>
            </w:r>
          </w:p>
        </w:tc>
      </w:tr>
      <w:tr w14:paraId="4192BF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9" w:hRule="atLeast"/>
          <w:jc w:val="center"/>
        </w:trPr>
        <w:tc>
          <w:tcPr>
            <w:tcW w:w="884" w:type="pct"/>
            <w:noWrap w:val="0"/>
            <w:vAlign w:val="center"/>
          </w:tcPr>
          <w:p w14:paraId="573768BC">
            <w:pPr>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环保设施设计单位</w:t>
            </w:r>
          </w:p>
        </w:tc>
        <w:tc>
          <w:tcPr>
            <w:tcW w:w="781" w:type="pct"/>
            <w:noWrap w:val="0"/>
            <w:vAlign w:val="center"/>
          </w:tcPr>
          <w:p w14:paraId="0ACCB3F9">
            <w:pPr>
              <w:jc w:val="center"/>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val="en-US" w:eastAsia="zh-CN"/>
              </w:rPr>
              <w:t>/</w:t>
            </w:r>
          </w:p>
        </w:tc>
        <w:tc>
          <w:tcPr>
            <w:tcW w:w="1095" w:type="pct"/>
            <w:noWrap w:val="0"/>
            <w:vAlign w:val="center"/>
          </w:tcPr>
          <w:p w14:paraId="23C6E2CE">
            <w:pPr>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环保设施施工单位</w:t>
            </w:r>
          </w:p>
        </w:tc>
        <w:tc>
          <w:tcPr>
            <w:tcW w:w="2239" w:type="pct"/>
            <w:gridSpan w:val="3"/>
            <w:noWrap w:val="0"/>
            <w:vAlign w:val="center"/>
          </w:tcPr>
          <w:p w14:paraId="131AD36D">
            <w:pPr>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w:t>
            </w:r>
          </w:p>
        </w:tc>
      </w:tr>
      <w:tr w14:paraId="19FDA0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9" w:hRule="atLeast"/>
          <w:jc w:val="center"/>
        </w:trPr>
        <w:tc>
          <w:tcPr>
            <w:tcW w:w="884" w:type="pct"/>
            <w:noWrap w:val="0"/>
            <w:vAlign w:val="center"/>
          </w:tcPr>
          <w:p w14:paraId="5E66B045">
            <w:pPr>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投资总概算</w:t>
            </w:r>
          </w:p>
        </w:tc>
        <w:tc>
          <w:tcPr>
            <w:tcW w:w="781" w:type="pct"/>
            <w:noWrap w:val="0"/>
            <w:vAlign w:val="center"/>
          </w:tcPr>
          <w:p w14:paraId="3C4744AB">
            <w:pPr>
              <w:jc w:val="center"/>
              <w:rPr>
                <w:rFonts w:hint="default"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val="en-US" w:eastAsia="zh-CN"/>
              </w:rPr>
              <w:t>500万元</w:t>
            </w:r>
          </w:p>
        </w:tc>
        <w:tc>
          <w:tcPr>
            <w:tcW w:w="1095" w:type="pct"/>
            <w:noWrap w:val="0"/>
            <w:vAlign w:val="center"/>
          </w:tcPr>
          <w:p w14:paraId="1E071CC3">
            <w:pPr>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环保投资总</w:t>
            </w:r>
          </w:p>
          <w:p w14:paraId="67275B2C">
            <w:pPr>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概算</w:t>
            </w:r>
          </w:p>
        </w:tc>
        <w:tc>
          <w:tcPr>
            <w:tcW w:w="582" w:type="pct"/>
            <w:noWrap w:val="0"/>
            <w:vAlign w:val="center"/>
          </w:tcPr>
          <w:p w14:paraId="1A9B85CC">
            <w:pPr>
              <w:jc w:val="center"/>
              <w:rPr>
                <w:rFonts w:hint="default"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val="en-US" w:eastAsia="zh-CN"/>
              </w:rPr>
              <w:t>50万元</w:t>
            </w:r>
          </w:p>
        </w:tc>
        <w:tc>
          <w:tcPr>
            <w:tcW w:w="475" w:type="pct"/>
            <w:noWrap w:val="0"/>
            <w:vAlign w:val="center"/>
          </w:tcPr>
          <w:p w14:paraId="0B7A6941">
            <w:pPr>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比例</w:t>
            </w:r>
          </w:p>
        </w:tc>
        <w:tc>
          <w:tcPr>
            <w:tcW w:w="1181" w:type="pct"/>
            <w:noWrap w:val="0"/>
            <w:vAlign w:val="center"/>
          </w:tcPr>
          <w:p w14:paraId="0CFE0ABF">
            <w:pPr>
              <w:jc w:val="center"/>
              <w:rPr>
                <w:rFonts w:hint="default"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val="en-US" w:eastAsia="zh-CN"/>
              </w:rPr>
              <w:t>10%</w:t>
            </w:r>
          </w:p>
        </w:tc>
      </w:tr>
      <w:tr w14:paraId="7D920F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3" w:hRule="atLeast"/>
          <w:jc w:val="center"/>
        </w:trPr>
        <w:tc>
          <w:tcPr>
            <w:tcW w:w="884" w:type="pct"/>
            <w:noWrap w:val="0"/>
            <w:vAlign w:val="center"/>
          </w:tcPr>
          <w:p w14:paraId="761859F6">
            <w:pPr>
              <w:jc w:val="center"/>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t>实际总</w:t>
            </w:r>
            <w:r>
              <w:rPr>
                <w:rFonts w:hint="default" w:ascii="Times New Roman" w:hAnsi="Times New Roman" w:eastAsia="宋体" w:cs="Times New Roman"/>
                <w:color w:val="auto"/>
                <w:sz w:val="24"/>
                <w:szCs w:val="24"/>
                <w:highlight w:val="none"/>
                <w:lang w:val="en-US" w:eastAsia="zh-CN"/>
              </w:rPr>
              <w:t>投资</w:t>
            </w:r>
          </w:p>
        </w:tc>
        <w:tc>
          <w:tcPr>
            <w:tcW w:w="781" w:type="pct"/>
            <w:noWrap w:val="0"/>
            <w:vAlign w:val="center"/>
          </w:tcPr>
          <w:p w14:paraId="5BC8C3C8">
            <w:pPr>
              <w:jc w:val="center"/>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val="en-US" w:eastAsia="zh-CN"/>
              </w:rPr>
              <w:t>500万元</w:t>
            </w:r>
          </w:p>
        </w:tc>
        <w:tc>
          <w:tcPr>
            <w:tcW w:w="1095" w:type="pct"/>
            <w:noWrap w:val="0"/>
            <w:vAlign w:val="center"/>
          </w:tcPr>
          <w:p w14:paraId="3CB175F2">
            <w:pPr>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环保投资</w:t>
            </w:r>
          </w:p>
        </w:tc>
        <w:tc>
          <w:tcPr>
            <w:tcW w:w="582" w:type="pct"/>
            <w:noWrap w:val="0"/>
            <w:vAlign w:val="center"/>
          </w:tcPr>
          <w:p w14:paraId="47CFDE38">
            <w:pPr>
              <w:jc w:val="center"/>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val="en-US" w:eastAsia="zh-CN"/>
              </w:rPr>
              <w:t>50万元</w:t>
            </w:r>
          </w:p>
        </w:tc>
        <w:tc>
          <w:tcPr>
            <w:tcW w:w="475" w:type="pct"/>
            <w:noWrap w:val="0"/>
            <w:vAlign w:val="center"/>
          </w:tcPr>
          <w:p w14:paraId="4A7AC7F9">
            <w:pPr>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比例</w:t>
            </w:r>
          </w:p>
        </w:tc>
        <w:tc>
          <w:tcPr>
            <w:tcW w:w="1181" w:type="pct"/>
            <w:noWrap w:val="0"/>
            <w:vAlign w:val="center"/>
          </w:tcPr>
          <w:p w14:paraId="30289269">
            <w:pPr>
              <w:jc w:val="center"/>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val="en-US" w:eastAsia="zh-CN"/>
              </w:rPr>
              <w:t>10%</w:t>
            </w:r>
          </w:p>
        </w:tc>
      </w:tr>
      <w:tr w14:paraId="40BD44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84" w:type="pct"/>
            <w:noWrap w:val="0"/>
            <w:vAlign w:val="center"/>
          </w:tcPr>
          <w:p w14:paraId="0D4E5BAA">
            <w:pPr>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验收监测依据</w:t>
            </w:r>
          </w:p>
        </w:tc>
        <w:tc>
          <w:tcPr>
            <w:tcW w:w="4115" w:type="pct"/>
            <w:gridSpan w:val="5"/>
            <w:noWrap w:val="0"/>
            <w:vAlign w:val="center"/>
          </w:tcPr>
          <w:p w14:paraId="037D6FF1">
            <w:pPr>
              <w:pStyle w:val="2"/>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1.1环境保护法律、法规</w:t>
            </w:r>
          </w:p>
          <w:p w14:paraId="7E7DA8A7">
            <w:pPr>
              <w:pStyle w:val="22"/>
              <w:ind w:firstLine="0" w:firstLineChars="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（1）《中华人民共和国环境保护法》（2015年1月1日施行）；</w:t>
            </w:r>
          </w:p>
          <w:p w14:paraId="2483DBBA">
            <w:pPr>
              <w:pStyle w:val="22"/>
              <w:ind w:firstLine="0" w:firstLineChars="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2</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《中华人民共和国环境影响评价法》（2018年12月29日修订）；</w:t>
            </w:r>
          </w:p>
          <w:p w14:paraId="0C784A54">
            <w:pPr>
              <w:pStyle w:val="22"/>
              <w:ind w:firstLine="0" w:firstLineChars="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3</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《中华人民共和国大气污染防治法》（2018年10月26日修订）；</w:t>
            </w:r>
          </w:p>
          <w:p w14:paraId="5226AD26">
            <w:pPr>
              <w:pStyle w:val="22"/>
              <w:ind w:firstLine="0" w:firstLineChars="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4</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《中华人民共和国水污染防治法》（2017年6月27日修订）；</w:t>
            </w:r>
          </w:p>
          <w:p w14:paraId="0A3497C2">
            <w:pPr>
              <w:pStyle w:val="22"/>
              <w:ind w:firstLine="0" w:firstLineChars="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5</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《中华人民共和国环境噪声污染防治法》（2018年12月29日施行）；</w:t>
            </w:r>
          </w:p>
          <w:p w14:paraId="012C0D33">
            <w:pPr>
              <w:pStyle w:val="22"/>
              <w:ind w:firstLine="0" w:firstLineChars="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6</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《中华人民共和国固体废物污染环境防治法》（2020年4月29日修订）；</w:t>
            </w:r>
          </w:p>
          <w:p w14:paraId="180344CA">
            <w:pPr>
              <w:pStyle w:val="22"/>
              <w:ind w:firstLine="0" w:firstLineChars="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7</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《中华人民共和国水法》（2016年7月2日修订）；</w:t>
            </w:r>
          </w:p>
          <w:p w14:paraId="57DA9CCE">
            <w:pPr>
              <w:pStyle w:val="22"/>
              <w:ind w:firstLine="0" w:firstLineChars="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8</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《中华人民共和国环境保护法》（2015年1月1日）</w:t>
            </w:r>
          </w:p>
          <w:p w14:paraId="209EB06C">
            <w:pPr>
              <w:pStyle w:val="22"/>
              <w:ind w:firstLine="0" w:firstLineChars="0"/>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9</w:t>
            </w:r>
            <w:r>
              <w:rPr>
                <w:rFonts w:hint="default" w:ascii="Times New Roman" w:hAnsi="Times New Roman" w:eastAsia="宋体" w:cs="Times New Roman"/>
                <w:color w:val="auto"/>
                <w:sz w:val="24"/>
                <w:szCs w:val="24"/>
                <w:lang w:eastAsia="zh-CN"/>
              </w:rPr>
              <w:t>）《中华人民共和国长江保护法》（中华人民共和国主席令 第六十五号）</w:t>
            </w:r>
          </w:p>
          <w:p w14:paraId="722B14F7">
            <w:pPr>
              <w:pStyle w:val="2"/>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1.2环境保护行政法规和法规性文件</w:t>
            </w:r>
          </w:p>
          <w:p w14:paraId="6778F895">
            <w:pPr>
              <w:pStyle w:val="22"/>
              <w:ind w:firstLine="0" w:firstLineChars="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1</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《建设项目环境保护管理条例》（国务院令第682号）；</w:t>
            </w:r>
          </w:p>
          <w:p w14:paraId="09C220A4">
            <w:pPr>
              <w:pStyle w:val="22"/>
              <w:ind w:firstLine="0" w:firstLineChars="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2</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《关于开展排污口规范化整治工作的通知》（环发[2011]38号）；</w:t>
            </w:r>
          </w:p>
          <w:p w14:paraId="6111F58F">
            <w:pPr>
              <w:pStyle w:val="22"/>
              <w:ind w:firstLine="0" w:firstLineChars="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3</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《关于切实加强环境风险防范严格环境影响评价管理的通知》（环发[2012]77号）；</w:t>
            </w:r>
          </w:p>
          <w:p w14:paraId="05B8600A">
            <w:pPr>
              <w:pStyle w:val="22"/>
              <w:ind w:firstLine="0" w:firstLineChars="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4</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《国家危险废物名录（2021 年版）》。</w:t>
            </w:r>
          </w:p>
          <w:p w14:paraId="2AFF2671">
            <w:pPr>
              <w:pStyle w:val="2"/>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1.3地方性法规和文件</w:t>
            </w:r>
          </w:p>
          <w:p w14:paraId="1F466594">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（1）《重庆市环境保护条例》</w:t>
            </w:r>
            <w:bookmarkStart w:id="0" w:name="OLE_LINK12"/>
            <w:bookmarkStart w:id="1" w:name="OLE_LINK13"/>
            <w:r>
              <w:rPr>
                <w:rFonts w:hint="default" w:ascii="Times New Roman" w:hAnsi="Times New Roman" w:eastAsia="宋体" w:cs="Times New Roman"/>
                <w:sz w:val="24"/>
                <w:szCs w:val="24"/>
                <w:lang w:val="en-US" w:eastAsia="zh-CN"/>
              </w:rPr>
              <w:t>（2017年3月29日修订，2018年7月26日第二次修订）</w:t>
            </w:r>
            <w:bookmarkEnd w:id="0"/>
            <w:bookmarkEnd w:id="1"/>
            <w:r>
              <w:rPr>
                <w:rFonts w:hint="default" w:ascii="Times New Roman" w:hAnsi="Times New Roman" w:eastAsia="宋体" w:cs="Times New Roman"/>
                <w:sz w:val="24"/>
                <w:szCs w:val="24"/>
                <w:lang w:val="en-US" w:eastAsia="zh-CN"/>
              </w:rPr>
              <w:t>；</w:t>
            </w:r>
          </w:p>
          <w:p w14:paraId="18DE6E1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（2）《重庆市大气污染防治条例》（2017年6月1日施行）；</w:t>
            </w:r>
          </w:p>
          <w:p w14:paraId="1C7D69B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（3）《重庆市环境噪声污染防治管理办法》（重庆市人民政府令270号）；</w:t>
            </w:r>
          </w:p>
          <w:p w14:paraId="2823C2DD">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w:t>
            </w:r>
            <w:r>
              <w:rPr>
                <w:rFonts w:hint="eastAsia" w:ascii="Times New Roman" w:hAnsi="Times New Roman" w:eastAsia="宋体" w:cs="Times New Roman"/>
                <w:sz w:val="24"/>
                <w:szCs w:val="24"/>
                <w:lang w:val="en-US" w:eastAsia="zh-CN"/>
              </w:rPr>
              <w:t>4</w:t>
            </w:r>
            <w:r>
              <w:rPr>
                <w:rFonts w:hint="default" w:ascii="Times New Roman" w:hAnsi="Times New Roman" w:eastAsia="宋体" w:cs="Times New Roman"/>
                <w:sz w:val="24"/>
                <w:szCs w:val="24"/>
                <w:lang w:val="en-US" w:eastAsia="zh-CN"/>
              </w:rPr>
              <w:t>）《重庆市人民政府关于印发重庆市环境空气质量功能区划分规定的通知》（渝府发〔2016〕19号）；</w:t>
            </w:r>
          </w:p>
          <w:p w14:paraId="3DB4762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w:t>
            </w:r>
            <w:r>
              <w:rPr>
                <w:rFonts w:hint="eastAsia" w:ascii="Times New Roman" w:hAnsi="Times New Roman" w:eastAsia="宋体" w:cs="Times New Roman"/>
                <w:sz w:val="24"/>
                <w:szCs w:val="24"/>
                <w:lang w:val="en-US" w:eastAsia="zh-CN"/>
              </w:rPr>
              <w:t>5</w:t>
            </w:r>
            <w:r>
              <w:rPr>
                <w:rFonts w:hint="default" w:ascii="Times New Roman" w:hAnsi="Times New Roman" w:eastAsia="宋体" w:cs="Times New Roman"/>
                <w:sz w:val="24"/>
                <w:szCs w:val="24"/>
                <w:lang w:val="en-US" w:eastAsia="zh-CN"/>
              </w:rPr>
              <w:t>）《重庆市环境保护局关于印发重庆市工业企业排污权有偿使用和交易工作实施细则的通知》（渝环〔2017〕249号）；</w:t>
            </w:r>
          </w:p>
          <w:p w14:paraId="6A5E841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w:t>
            </w:r>
            <w:r>
              <w:rPr>
                <w:rFonts w:hint="eastAsia" w:ascii="Times New Roman" w:hAnsi="Times New Roman" w:eastAsia="宋体" w:cs="Times New Roman"/>
                <w:sz w:val="24"/>
                <w:szCs w:val="24"/>
                <w:lang w:val="en-US" w:eastAsia="zh-CN"/>
              </w:rPr>
              <w:t>6</w:t>
            </w:r>
            <w:r>
              <w:rPr>
                <w:rFonts w:hint="default" w:ascii="Times New Roman" w:hAnsi="Times New Roman" w:eastAsia="宋体" w:cs="Times New Roman"/>
                <w:sz w:val="24"/>
                <w:szCs w:val="24"/>
                <w:lang w:val="en-US" w:eastAsia="zh-CN"/>
              </w:rPr>
              <w:t>）《重庆市水污染防治条例》（2020.10.1施行）。</w:t>
            </w:r>
          </w:p>
          <w:p w14:paraId="35533A2C">
            <w:pPr>
              <w:pStyle w:val="2"/>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1.</w:t>
            </w:r>
            <w:r>
              <w:rPr>
                <w:rFonts w:hint="default" w:ascii="Times New Roman" w:hAnsi="Times New Roman" w:eastAsia="宋体" w:cs="Times New Roman"/>
                <w:sz w:val="24"/>
                <w:szCs w:val="24"/>
                <w:highlight w:val="none"/>
                <w:lang w:val="en-US" w:eastAsia="zh-CN"/>
              </w:rPr>
              <w:t>4</w:t>
            </w:r>
            <w:r>
              <w:rPr>
                <w:rFonts w:hint="default" w:ascii="Times New Roman" w:hAnsi="Times New Roman" w:eastAsia="宋体" w:cs="Times New Roman"/>
                <w:sz w:val="24"/>
                <w:szCs w:val="24"/>
                <w:highlight w:val="none"/>
              </w:rPr>
              <w:t>建设项目竣工环境保护验收技术规范</w:t>
            </w:r>
          </w:p>
          <w:p w14:paraId="095CB2EA">
            <w:pPr>
              <w:pStyle w:val="22"/>
              <w:ind w:firstLine="0" w:firstLineChars="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1</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生态环境部公告2018年第9号《建设项目竣工环境保护验收技术指南 污染影响类》（2018年5月15日）；</w:t>
            </w:r>
          </w:p>
          <w:p w14:paraId="302F7677">
            <w:pPr>
              <w:pStyle w:val="22"/>
              <w:ind w:firstLine="0" w:firstLineChars="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2</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《建设项目竣工环境保护验收暂行办法》国环规环评[2017]4号；</w:t>
            </w:r>
          </w:p>
          <w:p w14:paraId="56C45D7D">
            <w:pPr>
              <w:pStyle w:val="22"/>
              <w:ind w:firstLine="0" w:firstLineChars="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3</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渝环[2010]257号《重庆市环境保护局关于印发重庆市建设项目竣工环境保护验收技术规范的通知》（2010年9月15日）。</w:t>
            </w:r>
          </w:p>
          <w:p w14:paraId="0E56CE61">
            <w:pPr>
              <w:pStyle w:val="2"/>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1.</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 w:val="24"/>
                <w:szCs w:val="24"/>
                <w:highlight w:val="none"/>
                <w14:textFill>
                  <w14:solidFill>
                    <w14:schemeClr w14:val="tx1"/>
                  </w14:solidFill>
                </w14:textFill>
              </w:rPr>
              <w:t>建设项目过程及环保手续履行情况</w:t>
            </w:r>
          </w:p>
          <w:p w14:paraId="7A150DF9">
            <w:pPr>
              <w:pStyle w:val="22"/>
              <w:ind w:firstLine="0" w:firstLineChars="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（1</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20</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2</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4</w:t>
            </w:r>
            <w:r>
              <w:rPr>
                <w:rFonts w:hint="default" w:ascii="Times New Roman" w:hAnsi="Times New Roman" w:eastAsia="宋体" w:cs="Times New Roman"/>
                <w:color w:val="000000" w:themeColor="text1"/>
                <w:sz w:val="24"/>
                <w:szCs w:val="24"/>
                <w:highlight w:val="none"/>
                <w14:textFill>
                  <w14:solidFill>
                    <w14:schemeClr w14:val="tx1"/>
                  </w14:solidFill>
                </w14:textFill>
              </w:rPr>
              <w:t>年</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10</w:t>
            </w:r>
            <w:r>
              <w:rPr>
                <w:rFonts w:hint="default" w:ascii="Times New Roman" w:hAnsi="Times New Roman" w:eastAsia="宋体" w:cs="Times New Roman"/>
                <w:color w:val="000000" w:themeColor="text1"/>
                <w:sz w:val="24"/>
                <w:szCs w:val="24"/>
                <w:highlight w:val="none"/>
                <w14:textFill>
                  <w14:solidFill>
                    <w14:schemeClr w14:val="tx1"/>
                  </w14:solidFill>
                </w14:textFill>
              </w:rPr>
              <w:t>月，</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重庆东驰环保工程有限公司</w:t>
            </w:r>
            <w:r>
              <w:rPr>
                <w:rFonts w:hint="default" w:ascii="Times New Roman" w:hAnsi="Times New Roman" w:eastAsia="宋体" w:cs="Times New Roman"/>
                <w:color w:val="000000" w:themeColor="text1"/>
                <w:sz w:val="24"/>
                <w:szCs w:val="24"/>
                <w:highlight w:val="none"/>
                <w14:textFill>
                  <w14:solidFill>
                    <w14:schemeClr w14:val="tx1"/>
                  </w14:solidFill>
                </w14:textFill>
              </w:rPr>
              <w:t>编制完成了《</w:t>
            </w:r>
            <w: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t>重庆立标标识制作有限公司</w:t>
            </w:r>
            <w:r>
              <w:rPr>
                <w:rFonts w:hint="eastAsia" w:eastAsia="宋体"/>
                <w:color w:val="000000" w:themeColor="text1"/>
                <w:lang w:eastAsia="zh-CN"/>
                <w14:textFill>
                  <w14:solidFill>
                    <w14:schemeClr w14:val="tx1"/>
                  </w14:solidFill>
                </w14:textFill>
              </w:rPr>
              <w:t>重庆立标标识标牌制造项目</w:t>
            </w:r>
            <w:r>
              <w:rPr>
                <w:rFonts w:hint="default" w:ascii="Times New Roman" w:hAnsi="Times New Roman" w:eastAsia="宋体" w:cs="Times New Roman"/>
                <w:color w:val="000000" w:themeColor="text1"/>
                <w:sz w:val="24"/>
                <w:szCs w:val="24"/>
                <w:highlight w:val="none"/>
                <w14:textFill>
                  <w14:solidFill>
                    <w14:schemeClr w14:val="tx1"/>
                  </w14:solidFill>
                </w14:textFill>
              </w:rPr>
              <w:t>环境影响报告</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表</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p>
          <w:p w14:paraId="5DA9A93A">
            <w:pPr>
              <w:pStyle w:val="22"/>
              <w:ind w:firstLine="0" w:firstLineChars="0"/>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（2）</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20</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24</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年</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10</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月</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18</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日，重庆市</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万州区生态环境局</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下达了《重庆市建设项目环境影响评价文件批准书》（</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渝(万州)环准〔202</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4</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48号）</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，同意本项目建设；</w:t>
            </w:r>
          </w:p>
          <w:p w14:paraId="20DD888D">
            <w:pPr>
              <w:pStyle w:val="22"/>
              <w:ind w:firstLine="0" w:firstLineChars="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（3）20</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2</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6</w:t>
            </w:r>
            <w:r>
              <w:rPr>
                <w:rFonts w:hint="default" w:ascii="Times New Roman" w:hAnsi="Times New Roman" w:eastAsia="宋体" w:cs="Times New Roman"/>
                <w:color w:val="000000" w:themeColor="text1"/>
                <w:sz w:val="24"/>
                <w:szCs w:val="24"/>
                <w:highlight w:val="none"/>
                <w14:textFill>
                  <w14:solidFill>
                    <w14:schemeClr w14:val="tx1"/>
                  </w14:solidFill>
                </w14:textFill>
              </w:rPr>
              <w:t>年</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1</w:t>
            </w:r>
            <w:r>
              <w:rPr>
                <w:rFonts w:hint="default" w:ascii="Times New Roman" w:hAnsi="Times New Roman" w:eastAsia="宋体" w:cs="Times New Roman"/>
                <w:color w:val="000000" w:themeColor="text1"/>
                <w:sz w:val="24"/>
                <w:szCs w:val="24"/>
                <w:highlight w:val="none"/>
                <w14:textFill>
                  <w14:solidFill>
                    <w14:schemeClr w14:val="tx1"/>
                  </w14:solidFill>
                </w14:textFill>
              </w:rPr>
              <w:t>月本项目开工建设，</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4月</w:t>
            </w:r>
            <w:r>
              <w:rPr>
                <w:rFonts w:hint="default" w:ascii="Times New Roman" w:hAnsi="Times New Roman" w:eastAsia="宋体" w:cs="Times New Roman"/>
                <w:color w:val="000000" w:themeColor="text1"/>
                <w:sz w:val="24"/>
                <w:szCs w:val="24"/>
                <w:highlight w:val="none"/>
                <w14:textFill>
                  <w14:solidFill>
                    <w14:schemeClr w14:val="tx1"/>
                  </w14:solidFill>
                </w14:textFill>
              </w:rPr>
              <w:t>建设完成进行调试；</w:t>
            </w:r>
          </w:p>
          <w:p w14:paraId="474B2D38">
            <w:pPr>
              <w:keepNext w:val="0"/>
              <w:keepLines w:val="0"/>
              <w:widowControl/>
              <w:suppressLineNumbers w:val="0"/>
              <w:jc w:val="left"/>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（4）</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202</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年</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12月23日</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取得了固定污染源排污</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许可证</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证书</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编</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号</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r>
              <w:rPr>
                <w:rFonts w:hint="eastAsia" w:ascii="Times New Roman" w:hAnsi="Times New Roman" w:eastAsia="微软雅黑" w:cs="Times New Roman"/>
                <w:color w:val="000000" w:themeColor="text1"/>
                <w:kern w:val="0"/>
                <w:sz w:val="24"/>
                <w:szCs w:val="24"/>
                <w:lang w:val="en-US" w:eastAsia="zh-CN" w:bidi="ar"/>
                <w14:textFill>
                  <w14:solidFill>
                    <w14:schemeClr w14:val="tx1"/>
                  </w14:solidFill>
                </w14:textFill>
              </w:rPr>
              <w:t>91500101MA5U6PRU12001W</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p>
          <w:p w14:paraId="7CAAD16A">
            <w:pPr>
              <w:keepNext w:val="0"/>
              <w:keepLines w:val="0"/>
              <w:pageBreakBefore w:val="0"/>
              <w:widowControl w:val="0"/>
              <w:numPr>
                <w:ilvl w:val="0"/>
                <w:numId w:val="0"/>
              </w:numPr>
              <w:kinsoku/>
              <w:wordWrap/>
              <w:overflowPunct/>
              <w:topLinePunct w:val="0"/>
              <w:bidi w:val="0"/>
              <w:adjustRightInd w:val="0"/>
              <w:spacing w:line="360" w:lineRule="auto"/>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（5）</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2026年</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5</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月</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10</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日~</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11</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日，重庆国环环境监测有限公司</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对该单位排放的废气、废水、噪声进行采样监测。</w:t>
            </w:r>
          </w:p>
          <w:p w14:paraId="44644691">
            <w:pPr>
              <w:pStyle w:val="22"/>
              <w:ind w:firstLine="0" w:firstLineChars="0"/>
              <w:rPr>
                <w:rFonts w:hint="default" w:ascii="Times New Roman" w:hAnsi="Times New Roman" w:eastAsia="宋体" w:cs="Times New Roman"/>
                <w:color w:val="auto"/>
                <w:sz w:val="24"/>
                <w:szCs w:val="24"/>
              </w:rPr>
            </w:pPr>
          </w:p>
        </w:tc>
      </w:tr>
      <w:tr w14:paraId="118994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84" w:type="pct"/>
            <w:noWrap w:val="0"/>
            <w:vAlign w:val="center"/>
          </w:tcPr>
          <w:p w14:paraId="790C13A6">
            <w:pPr>
              <w:spacing w:line="360"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验收监测评价标准、标号、级别、限值</w:t>
            </w:r>
          </w:p>
        </w:tc>
        <w:tc>
          <w:tcPr>
            <w:tcW w:w="4115" w:type="pct"/>
            <w:gridSpan w:val="5"/>
            <w:noWrap w:val="0"/>
            <w:vAlign w:val="center"/>
          </w:tcPr>
          <w:p w14:paraId="6999003E">
            <w:pPr>
              <w:pStyle w:val="2"/>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w:t>
            </w:r>
            <w:r>
              <w:rPr>
                <w:rFonts w:hint="default" w:ascii="Times New Roman" w:hAnsi="Times New Roman" w:eastAsia="宋体" w:cs="Times New Roman"/>
                <w:sz w:val="24"/>
                <w:szCs w:val="24"/>
                <w:lang w:val="en-US" w:eastAsia="zh-CN"/>
              </w:rPr>
              <w:t>6</w:t>
            </w:r>
            <w:r>
              <w:rPr>
                <w:rFonts w:hint="default" w:ascii="Times New Roman" w:hAnsi="Times New Roman" w:eastAsia="宋体" w:cs="Times New Roman"/>
                <w:sz w:val="24"/>
                <w:szCs w:val="24"/>
              </w:rPr>
              <w:t>质量标准</w:t>
            </w:r>
          </w:p>
          <w:p w14:paraId="34BC5F8C">
            <w:pPr>
              <w:pStyle w:val="21"/>
              <w:ind w:firstLine="480"/>
              <w:rPr>
                <w:color w:val="000000"/>
              </w:rPr>
            </w:pPr>
            <w:r>
              <w:rPr>
                <w:color w:val="000000"/>
              </w:rPr>
              <w:t>根据《重庆市环境空气质量功能区划分规定》（渝府发〔2016〕19号）、《重庆市人民政府关于印发重庆市环境空气质量功能区划分规定的通知》等相关规定，项目所在地环境空气功能区划为二类区，环境空气质量执行《环境空气质量标准》（GB3095-2012）及其修改单中的二级标准。</w:t>
            </w:r>
          </w:p>
          <w:p w14:paraId="18F4CF68">
            <w:pPr>
              <w:pStyle w:val="21"/>
              <w:ind w:firstLine="480"/>
              <w:rPr>
                <w:color w:val="000000"/>
              </w:rPr>
            </w:pPr>
            <w:r>
              <w:rPr>
                <w:color w:val="000000"/>
              </w:rPr>
              <w:t>（1）环境空气质量达标区判定</w:t>
            </w:r>
          </w:p>
          <w:p w14:paraId="0C268AC9">
            <w:pPr>
              <w:pStyle w:val="21"/>
              <w:ind w:firstLine="480"/>
              <w:rPr>
                <w:rFonts w:eastAsia="仿宋"/>
                <w:bCs/>
                <w:color w:val="000000"/>
              </w:rPr>
            </w:pPr>
            <w:r>
              <w:rPr>
                <w:color w:val="000000"/>
              </w:rPr>
              <w:t>根据重庆市生态环境局发布的《20</w:t>
            </w:r>
            <w:r>
              <w:rPr>
                <w:rFonts w:hint="eastAsia"/>
                <w:color w:val="000000"/>
                <w:lang w:val="en-US" w:eastAsia="zh-CN"/>
              </w:rPr>
              <w:t>23</w:t>
            </w:r>
            <w:r>
              <w:rPr>
                <w:color w:val="000000"/>
              </w:rPr>
              <w:t>年重庆市生态环境状况公报》，</w:t>
            </w:r>
            <w:r>
              <w:rPr>
                <w:rFonts w:hint="eastAsia"/>
                <w:color w:val="000000"/>
                <w:lang w:val="en-US" w:eastAsia="zh-CN"/>
              </w:rPr>
              <w:t>万州</w:t>
            </w:r>
            <w:r>
              <w:rPr>
                <w:color w:val="000000"/>
              </w:rPr>
              <w:t>区环境空气质量现状评价结果见下表。</w:t>
            </w:r>
          </w:p>
          <w:p w14:paraId="0F65443A">
            <w:pPr>
              <w:pStyle w:val="23"/>
              <w:rPr>
                <w:color w:val="000000"/>
              </w:rPr>
            </w:pPr>
            <w:r>
              <w:rPr>
                <w:color w:val="000000"/>
              </w:rPr>
              <w:t>表3</w:t>
            </w:r>
            <w:r>
              <w:rPr>
                <w:rFonts w:hint="eastAsia"/>
                <w:color w:val="000000"/>
                <w:lang w:val="en-US" w:eastAsia="zh-CN"/>
              </w:rPr>
              <w:t>.1</w:t>
            </w:r>
            <w:r>
              <w:rPr>
                <w:color w:val="000000"/>
              </w:rPr>
              <w:t>-1    区域空气质量现状</w:t>
            </w:r>
          </w:p>
          <w:tbl>
            <w:tblPr>
              <w:tblStyle w:val="1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3"/>
              <w:gridCol w:w="2439"/>
              <w:gridCol w:w="1237"/>
              <w:gridCol w:w="1119"/>
              <w:gridCol w:w="1122"/>
              <w:gridCol w:w="1022"/>
            </w:tblGrid>
            <w:tr w14:paraId="24C85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570" w:type="pct"/>
                  <w:noWrap w:val="0"/>
                  <w:vAlign w:val="center"/>
                </w:tcPr>
                <w:p w14:paraId="118E628A">
                  <w:pPr>
                    <w:pStyle w:val="34"/>
                    <w:rPr>
                      <w:color w:val="000000"/>
                    </w:rPr>
                  </w:pPr>
                  <w:r>
                    <w:rPr>
                      <w:color w:val="000000"/>
                    </w:rPr>
                    <w:t>污染物</w:t>
                  </w:r>
                </w:p>
              </w:tc>
              <w:tc>
                <w:tcPr>
                  <w:tcW w:w="1556" w:type="pct"/>
                  <w:noWrap w:val="0"/>
                  <w:vAlign w:val="center"/>
                </w:tcPr>
                <w:p w14:paraId="22D67F2B">
                  <w:pPr>
                    <w:pStyle w:val="34"/>
                    <w:rPr>
                      <w:color w:val="000000"/>
                    </w:rPr>
                  </w:pPr>
                  <w:r>
                    <w:rPr>
                      <w:color w:val="000000"/>
                    </w:rPr>
                    <w:t>年评价指标</w:t>
                  </w:r>
                </w:p>
              </w:tc>
              <w:tc>
                <w:tcPr>
                  <w:tcW w:w="789" w:type="pct"/>
                  <w:noWrap w:val="0"/>
                  <w:vAlign w:val="center"/>
                </w:tcPr>
                <w:p w14:paraId="234F1530">
                  <w:pPr>
                    <w:pStyle w:val="34"/>
                    <w:rPr>
                      <w:color w:val="000000"/>
                    </w:rPr>
                  </w:pPr>
                  <w:r>
                    <w:rPr>
                      <w:color w:val="000000"/>
                    </w:rPr>
                    <w:t>现状浓度（μg/m</w:t>
                  </w:r>
                  <w:r>
                    <w:rPr>
                      <w:color w:val="000000"/>
                      <w:vertAlign w:val="superscript"/>
                    </w:rPr>
                    <w:t>3</w:t>
                  </w:r>
                  <w:r>
                    <w:rPr>
                      <w:color w:val="000000"/>
                    </w:rPr>
                    <w:t>）</w:t>
                  </w:r>
                </w:p>
              </w:tc>
              <w:tc>
                <w:tcPr>
                  <w:tcW w:w="714" w:type="pct"/>
                  <w:noWrap w:val="0"/>
                  <w:vAlign w:val="center"/>
                </w:tcPr>
                <w:p w14:paraId="66887BFC">
                  <w:pPr>
                    <w:pStyle w:val="34"/>
                    <w:rPr>
                      <w:color w:val="000000"/>
                    </w:rPr>
                  </w:pPr>
                  <w:r>
                    <w:rPr>
                      <w:color w:val="000000"/>
                    </w:rPr>
                    <w:t>标准值（μg/m</w:t>
                  </w:r>
                  <w:r>
                    <w:rPr>
                      <w:color w:val="000000"/>
                      <w:vertAlign w:val="superscript"/>
                    </w:rPr>
                    <w:t>3</w:t>
                  </w:r>
                  <w:r>
                    <w:rPr>
                      <w:color w:val="000000"/>
                    </w:rPr>
                    <w:t>）</w:t>
                  </w:r>
                </w:p>
              </w:tc>
              <w:tc>
                <w:tcPr>
                  <w:tcW w:w="716" w:type="pct"/>
                  <w:noWrap w:val="0"/>
                  <w:vAlign w:val="center"/>
                </w:tcPr>
                <w:p w14:paraId="264F9005">
                  <w:pPr>
                    <w:pStyle w:val="34"/>
                    <w:rPr>
                      <w:color w:val="000000"/>
                    </w:rPr>
                  </w:pPr>
                  <w:r>
                    <w:rPr>
                      <w:color w:val="000000"/>
                    </w:rPr>
                    <w:t>占标率（%）</w:t>
                  </w:r>
                </w:p>
              </w:tc>
              <w:tc>
                <w:tcPr>
                  <w:tcW w:w="652" w:type="pct"/>
                  <w:noWrap w:val="0"/>
                  <w:vAlign w:val="center"/>
                </w:tcPr>
                <w:p w14:paraId="691BDAA1">
                  <w:pPr>
                    <w:pStyle w:val="34"/>
                    <w:rPr>
                      <w:color w:val="000000"/>
                    </w:rPr>
                  </w:pPr>
                  <w:r>
                    <w:rPr>
                      <w:color w:val="000000"/>
                    </w:rPr>
                    <w:t>达标情况</w:t>
                  </w:r>
                </w:p>
              </w:tc>
            </w:tr>
            <w:tr w14:paraId="38A54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570" w:type="pct"/>
                  <w:noWrap w:val="0"/>
                  <w:vAlign w:val="center"/>
                </w:tcPr>
                <w:p w14:paraId="4079D4D4">
                  <w:pPr>
                    <w:pStyle w:val="34"/>
                    <w:rPr>
                      <w:color w:val="000000"/>
                    </w:rPr>
                  </w:pPr>
                  <w:r>
                    <w:rPr>
                      <w:color w:val="000000"/>
                    </w:rPr>
                    <w:t>SO</w:t>
                  </w:r>
                  <w:r>
                    <w:rPr>
                      <w:color w:val="000000"/>
                      <w:vertAlign w:val="subscript"/>
                    </w:rPr>
                    <w:t>2</w:t>
                  </w:r>
                </w:p>
              </w:tc>
              <w:tc>
                <w:tcPr>
                  <w:tcW w:w="1556" w:type="pct"/>
                  <w:noWrap w:val="0"/>
                  <w:vAlign w:val="center"/>
                </w:tcPr>
                <w:p w14:paraId="65A63B1E">
                  <w:pPr>
                    <w:pStyle w:val="34"/>
                    <w:rPr>
                      <w:color w:val="000000"/>
                    </w:rPr>
                  </w:pPr>
                  <w:r>
                    <w:rPr>
                      <w:color w:val="000000"/>
                    </w:rPr>
                    <w:t>年平均质量浓度</w:t>
                  </w:r>
                </w:p>
              </w:tc>
              <w:tc>
                <w:tcPr>
                  <w:tcW w:w="789" w:type="pct"/>
                  <w:noWrap w:val="0"/>
                  <w:vAlign w:val="center"/>
                </w:tcPr>
                <w:p w14:paraId="0070C634">
                  <w:pPr>
                    <w:pStyle w:val="34"/>
                    <w:rPr>
                      <w:rFonts w:hint="default" w:eastAsia="宋体"/>
                      <w:color w:val="000000"/>
                      <w:lang w:val="en-US" w:eastAsia="zh-CN"/>
                    </w:rPr>
                  </w:pPr>
                  <w:r>
                    <w:rPr>
                      <w:rFonts w:hint="eastAsia"/>
                      <w:color w:val="000000"/>
                      <w:lang w:val="en-US" w:eastAsia="zh-CN"/>
                    </w:rPr>
                    <w:t>10</w:t>
                  </w:r>
                </w:p>
              </w:tc>
              <w:tc>
                <w:tcPr>
                  <w:tcW w:w="714" w:type="pct"/>
                  <w:noWrap w:val="0"/>
                  <w:vAlign w:val="center"/>
                </w:tcPr>
                <w:p w14:paraId="3187D797">
                  <w:pPr>
                    <w:pStyle w:val="34"/>
                    <w:rPr>
                      <w:color w:val="000000"/>
                    </w:rPr>
                  </w:pPr>
                  <w:r>
                    <w:rPr>
                      <w:color w:val="000000"/>
                    </w:rPr>
                    <w:t>60</w:t>
                  </w:r>
                </w:p>
              </w:tc>
              <w:tc>
                <w:tcPr>
                  <w:tcW w:w="716" w:type="pct"/>
                  <w:noWrap w:val="0"/>
                  <w:vAlign w:val="center"/>
                </w:tcPr>
                <w:p w14:paraId="6B618D28">
                  <w:pPr>
                    <w:pStyle w:val="34"/>
                    <w:rPr>
                      <w:rFonts w:hint="default" w:eastAsia="宋体"/>
                      <w:color w:val="000000"/>
                      <w:lang w:val="en-US" w:eastAsia="zh-CN"/>
                    </w:rPr>
                  </w:pPr>
                  <w:r>
                    <w:rPr>
                      <w:rFonts w:hint="eastAsia"/>
                      <w:color w:val="000000"/>
                      <w:lang w:val="en-US" w:eastAsia="zh-CN"/>
                    </w:rPr>
                    <w:t>16.7</w:t>
                  </w:r>
                </w:p>
              </w:tc>
              <w:tc>
                <w:tcPr>
                  <w:tcW w:w="652" w:type="pct"/>
                  <w:noWrap w:val="0"/>
                  <w:vAlign w:val="center"/>
                </w:tcPr>
                <w:p w14:paraId="02745841">
                  <w:pPr>
                    <w:pStyle w:val="34"/>
                    <w:rPr>
                      <w:color w:val="000000"/>
                    </w:rPr>
                  </w:pPr>
                  <w:r>
                    <w:rPr>
                      <w:color w:val="000000"/>
                    </w:rPr>
                    <w:t>达标</w:t>
                  </w:r>
                </w:p>
              </w:tc>
            </w:tr>
            <w:tr w14:paraId="04558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570" w:type="pct"/>
                  <w:noWrap w:val="0"/>
                  <w:vAlign w:val="center"/>
                </w:tcPr>
                <w:p w14:paraId="02C4CA0A">
                  <w:pPr>
                    <w:pStyle w:val="34"/>
                    <w:rPr>
                      <w:color w:val="000000"/>
                    </w:rPr>
                  </w:pPr>
                  <w:r>
                    <w:rPr>
                      <w:color w:val="000000"/>
                    </w:rPr>
                    <w:t>NO</w:t>
                  </w:r>
                  <w:r>
                    <w:rPr>
                      <w:color w:val="000000"/>
                      <w:vertAlign w:val="subscript"/>
                    </w:rPr>
                    <w:t>2</w:t>
                  </w:r>
                </w:p>
              </w:tc>
              <w:tc>
                <w:tcPr>
                  <w:tcW w:w="1556" w:type="pct"/>
                  <w:noWrap w:val="0"/>
                  <w:vAlign w:val="center"/>
                </w:tcPr>
                <w:p w14:paraId="5E8E6530">
                  <w:pPr>
                    <w:pStyle w:val="34"/>
                    <w:rPr>
                      <w:color w:val="000000"/>
                    </w:rPr>
                  </w:pPr>
                  <w:r>
                    <w:rPr>
                      <w:color w:val="000000"/>
                    </w:rPr>
                    <w:t>年平均质量浓度</w:t>
                  </w:r>
                </w:p>
              </w:tc>
              <w:tc>
                <w:tcPr>
                  <w:tcW w:w="789" w:type="pct"/>
                  <w:noWrap w:val="0"/>
                  <w:vAlign w:val="center"/>
                </w:tcPr>
                <w:p w14:paraId="5DDCD9A1">
                  <w:pPr>
                    <w:pStyle w:val="34"/>
                    <w:rPr>
                      <w:rFonts w:hint="default" w:eastAsia="宋体"/>
                      <w:color w:val="000000"/>
                      <w:lang w:val="en-US" w:eastAsia="zh-CN"/>
                    </w:rPr>
                  </w:pPr>
                  <w:r>
                    <w:rPr>
                      <w:rFonts w:hint="eastAsia"/>
                      <w:color w:val="000000"/>
                      <w:lang w:val="en-US" w:eastAsia="zh-CN"/>
                    </w:rPr>
                    <w:t>29</w:t>
                  </w:r>
                </w:p>
              </w:tc>
              <w:tc>
                <w:tcPr>
                  <w:tcW w:w="714" w:type="pct"/>
                  <w:noWrap w:val="0"/>
                  <w:vAlign w:val="center"/>
                </w:tcPr>
                <w:p w14:paraId="04A00559">
                  <w:pPr>
                    <w:pStyle w:val="34"/>
                    <w:rPr>
                      <w:color w:val="000000"/>
                    </w:rPr>
                  </w:pPr>
                  <w:r>
                    <w:rPr>
                      <w:color w:val="000000"/>
                    </w:rPr>
                    <w:t>40</w:t>
                  </w:r>
                </w:p>
              </w:tc>
              <w:tc>
                <w:tcPr>
                  <w:tcW w:w="716" w:type="pct"/>
                  <w:noWrap w:val="0"/>
                  <w:vAlign w:val="center"/>
                </w:tcPr>
                <w:p w14:paraId="1A786CEA">
                  <w:pPr>
                    <w:pStyle w:val="34"/>
                    <w:rPr>
                      <w:rFonts w:hint="default" w:eastAsia="宋体"/>
                      <w:color w:val="000000"/>
                      <w:lang w:val="en-US" w:eastAsia="zh-CN"/>
                    </w:rPr>
                  </w:pPr>
                  <w:r>
                    <w:rPr>
                      <w:rFonts w:hint="eastAsia"/>
                      <w:color w:val="000000"/>
                      <w:lang w:val="en-US" w:eastAsia="zh-CN"/>
                    </w:rPr>
                    <w:t>72.5</w:t>
                  </w:r>
                </w:p>
              </w:tc>
              <w:tc>
                <w:tcPr>
                  <w:tcW w:w="652" w:type="pct"/>
                  <w:noWrap w:val="0"/>
                  <w:vAlign w:val="center"/>
                </w:tcPr>
                <w:p w14:paraId="22D771B7">
                  <w:pPr>
                    <w:pStyle w:val="34"/>
                    <w:rPr>
                      <w:color w:val="000000"/>
                    </w:rPr>
                  </w:pPr>
                  <w:r>
                    <w:rPr>
                      <w:color w:val="000000"/>
                    </w:rPr>
                    <w:t>达标</w:t>
                  </w:r>
                </w:p>
              </w:tc>
            </w:tr>
            <w:tr w14:paraId="0EDA5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570" w:type="pct"/>
                  <w:noWrap w:val="0"/>
                  <w:vAlign w:val="center"/>
                </w:tcPr>
                <w:p w14:paraId="41066877">
                  <w:pPr>
                    <w:pStyle w:val="34"/>
                    <w:rPr>
                      <w:color w:val="000000"/>
                    </w:rPr>
                  </w:pPr>
                  <w:r>
                    <w:rPr>
                      <w:color w:val="000000"/>
                    </w:rPr>
                    <w:t>PM</w:t>
                  </w:r>
                  <w:r>
                    <w:rPr>
                      <w:color w:val="000000"/>
                      <w:vertAlign w:val="subscript"/>
                    </w:rPr>
                    <w:t>10</w:t>
                  </w:r>
                </w:p>
              </w:tc>
              <w:tc>
                <w:tcPr>
                  <w:tcW w:w="1556" w:type="pct"/>
                  <w:noWrap w:val="0"/>
                  <w:vAlign w:val="center"/>
                </w:tcPr>
                <w:p w14:paraId="49557EFD">
                  <w:pPr>
                    <w:pStyle w:val="34"/>
                    <w:rPr>
                      <w:color w:val="000000"/>
                    </w:rPr>
                  </w:pPr>
                  <w:r>
                    <w:rPr>
                      <w:color w:val="000000"/>
                    </w:rPr>
                    <w:t>年平均质量浓度</w:t>
                  </w:r>
                </w:p>
              </w:tc>
              <w:tc>
                <w:tcPr>
                  <w:tcW w:w="789" w:type="pct"/>
                  <w:noWrap w:val="0"/>
                  <w:vAlign w:val="center"/>
                </w:tcPr>
                <w:p w14:paraId="2D5D5CE9">
                  <w:pPr>
                    <w:pStyle w:val="34"/>
                    <w:rPr>
                      <w:rFonts w:hint="default" w:eastAsia="宋体"/>
                      <w:color w:val="000000"/>
                      <w:lang w:val="en-US" w:eastAsia="zh-CN"/>
                    </w:rPr>
                  </w:pPr>
                  <w:r>
                    <w:rPr>
                      <w:rFonts w:hint="eastAsia"/>
                      <w:color w:val="000000"/>
                      <w:lang w:val="en-US" w:eastAsia="zh-CN"/>
                    </w:rPr>
                    <w:t>47</w:t>
                  </w:r>
                </w:p>
              </w:tc>
              <w:tc>
                <w:tcPr>
                  <w:tcW w:w="714" w:type="pct"/>
                  <w:noWrap w:val="0"/>
                  <w:vAlign w:val="center"/>
                </w:tcPr>
                <w:p w14:paraId="650503EB">
                  <w:pPr>
                    <w:pStyle w:val="34"/>
                    <w:rPr>
                      <w:color w:val="000000"/>
                    </w:rPr>
                  </w:pPr>
                  <w:r>
                    <w:rPr>
                      <w:color w:val="000000"/>
                    </w:rPr>
                    <w:t>70</w:t>
                  </w:r>
                </w:p>
              </w:tc>
              <w:tc>
                <w:tcPr>
                  <w:tcW w:w="716" w:type="pct"/>
                  <w:noWrap w:val="0"/>
                  <w:vAlign w:val="center"/>
                </w:tcPr>
                <w:p w14:paraId="6A48B362">
                  <w:pPr>
                    <w:pStyle w:val="34"/>
                    <w:rPr>
                      <w:rFonts w:hint="default" w:eastAsia="宋体"/>
                      <w:color w:val="000000"/>
                      <w:lang w:val="en-US" w:eastAsia="zh-CN"/>
                    </w:rPr>
                  </w:pPr>
                  <w:r>
                    <w:rPr>
                      <w:rFonts w:hint="eastAsia"/>
                      <w:color w:val="000000"/>
                      <w:lang w:val="en-US" w:eastAsia="zh-CN"/>
                    </w:rPr>
                    <w:t>67.1</w:t>
                  </w:r>
                </w:p>
              </w:tc>
              <w:tc>
                <w:tcPr>
                  <w:tcW w:w="652" w:type="pct"/>
                  <w:noWrap w:val="0"/>
                  <w:vAlign w:val="center"/>
                </w:tcPr>
                <w:p w14:paraId="4F60BE2A">
                  <w:pPr>
                    <w:pStyle w:val="34"/>
                    <w:rPr>
                      <w:color w:val="000000"/>
                    </w:rPr>
                  </w:pPr>
                  <w:r>
                    <w:rPr>
                      <w:color w:val="000000"/>
                    </w:rPr>
                    <w:t>达标</w:t>
                  </w:r>
                </w:p>
              </w:tc>
            </w:tr>
            <w:tr w14:paraId="1D2F9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570" w:type="pct"/>
                  <w:noWrap w:val="0"/>
                  <w:vAlign w:val="center"/>
                </w:tcPr>
                <w:p w14:paraId="511D9C0F">
                  <w:pPr>
                    <w:pStyle w:val="34"/>
                    <w:rPr>
                      <w:color w:val="000000"/>
                    </w:rPr>
                  </w:pPr>
                  <w:r>
                    <w:rPr>
                      <w:color w:val="000000"/>
                    </w:rPr>
                    <w:t>PM</w:t>
                  </w:r>
                  <w:r>
                    <w:rPr>
                      <w:color w:val="000000"/>
                      <w:vertAlign w:val="subscript"/>
                    </w:rPr>
                    <w:t>2.5</w:t>
                  </w:r>
                </w:p>
              </w:tc>
              <w:tc>
                <w:tcPr>
                  <w:tcW w:w="1556" w:type="pct"/>
                  <w:noWrap w:val="0"/>
                  <w:vAlign w:val="center"/>
                </w:tcPr>
                <w:p w14:paraId="54883C11">
                  <w:pPr>
                    <w:pStyle w:val="34"/>
                    <w:rPr>
                      <w:color w:val="000000"/>
                    </w:rPr>
                  </w:pPr>
                  <w:r>
                    <w:rPr>
                      <w:color w:val="000000"/>
                    </w:rPr>
                    <w:t>年平均质量浓度</w:t>
                  </w:r>
                </w:p>
              </w:tc>
              <w:tc>
                <w:tcPr>
                  <w:tcW w:w="789" w:type="pct"/>
                  <w:noWrap w:val="0"/>
                  <w:vAlign w:val="center"/>
                </w:tcPr>
                <w:p w14:paraId="0EE7E816">
                  <w:pPr>
                    <w:pStyle w:val="34"/>
                    <w:rPr>
                      <w:rFonts w:hint="default" w:eastAsia="宋体"/>
                      <w:color w:val="000000"/>
                      <w:lang w:val="en-US" w:eastAsia="zh-CN"/>
                    </w:rPr>
                  </w:pPr>
                  <w:r>
                    <w:rPr>
                      <w:rFonts w:hint="eastAsia"/>
                      <w:color w:val="000000"/>
                      <w:lang w:val="en-US" w:eastAsia="zh-CN"/>
                    </w:rPr>
                    <w:t>36</w:t>
                  </w:r>
                </w:p>
              </w:tc>
              <w:tc>
                <w:tcPr>
                  <w:tcW w:w="714" w:type="pct"/>
                  <w:noWrap w:val="0"/>
                  <w:vAlign w:val="center"/>
                </w:tcPr>
                <w:p w14:paraId="5195456C">
                  <w:pPr>
                    <w:pStyle w:val="34"/>
                    <w:rPr>
                      <w:color w:val="000000"/>
                    </w:rPr>
                  </w:pPr>
                  <w:r>
                    <w:rPr>
                      <w:color w:val="000000"/>
                    </w:rPr>
                    <w:t>35</w:t>
                  </w:r>
                </w:p>
              </w:tc>
              <w:tc>
                <w:tcPr>
                  <w:tcW w:w="716" w:type="pct"/>
                  <w:noWrap w:val="0"/>
                  <w:vAlign w:val="center"/>
                </w:tcPr>
                <w:p w14:paraId="3B8209B0">
                  <w:pPr>
                    <w:pStyle w:val="34"/>
                    <w:rPr>
                      <w:rFonts w:hint="default" w:eastAsia="宋体"/>
                      <w:color w:val="000000"/>
                      <w:lang w:val="en-US" w:eastAsia="zh-CN"/>
                    </w:rPr>
                  </w:pPr>
                  <w:r>
                    <w:rPr>
                      <w:rFonts w:hint="eastAsia"/>
                      <w:color w:val="000000"/>
                      <w:lang w:val="en-US" w:eastAsia="zh-CN"/>
                    </w:rPr>
                    <w:t>102.9</w:t>
                  </w:r>
                </w:p>
              </w:tc>
              <w:tc>
                <w:tcPr>
                  <w:tcW w:w="652" w:type="pct"/>
                  <w:noWrap w:val="0"/>
                  <w:vAlign w:val="center"/>
                </w:tcPr>
                <w:p w14:paraId="749A006B">
                  <w:pPr>
                    <w:pStyle w:val="34"/>
                    <w:rPr>
                      <w:rFonts w:hint="default" w:eastAsia="宋体"/>
                      <w:color w:val="000000"/>
                      <w:lang w:val="en-US" w:eastAsia="zh-CN"/>
                    </w:rPr>
                  </w:pPr>
                  <w:r>
                    <w:rPr>
                      <w:rFonts w:hint="eastAsia"/>
                      <w:color w:val="000000"/>
                      <w:lang w:val="en-US" w:eastAsia="zh-CN"/>
                    </w:rPr>
                    <w:t>超标</w:t>
                  </w:r>
                </w:p>
              </w:tc>
            </w:tr>
            <w:tr w14:paraId="0DF7C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570" w:type="pct"/>
                  <w:noWrap w:val="0"/>
                  <w:vAlign w:val="center"/>
                </w:tcPr>
                <w:p w14:paraId="14F1F5E3">
                  <w:pPr>
                    <w:pStyle w:val="34"/>
                    <w:rPr>
                      <w:color w:val="000000"/>
                    </w:rPr>
                  </w:pPr>
                  <w:r>
                    <w:rPr>
                      <w:color w:val="000000"/>
                    </w:rPr>
                    <w:t>CO</w:t>
                  </w:r>
                </w:p>
              </w:tc>
              <w:tc>
                <w:tcPr>
                  <w:tcW w:w="1556" w:type="pct"/>
                  <w:noWrap w:val="0"/>
                  <w:vAlign w:val="center"/>
                </w:tcPr>
                <w:p w14:paraId="2D1B1BD2">
                  <w:pPr>
                    <w:pStyle w:val="34"/>
                    <w:rPr>
                      <w:color w:val="000000"/>
                    </w:rPr>
                  </w:pPr>
                  <w:r>
                    <w:rPr>
                      <w:color w:val="000000"/>
                    </w:rPr>
                    <w:t>日均浓度的第95百分位数</w:t>
                  </w:r>
                </w:p>
              </w:tc>
              <w:tc>
                <w:tcPr>
                  <w:tcW w:w="789" w:type="pct"/>
                  <w:noWrap w:val="0"/>
                  <w:vAlign w:val="center"/>
                </w:tcPr>
                <w:p w14:paraId="6C357444">
                  <w:pPr>
                    <w:pStyle w:val="34"/>
                    <w:rPr>
                      <w:color w:val="000000"/>
                    </w:rPr>
                  </w:pPr>
                  <w:r>
                    <w:rPr>
                      <w:rFonts w:hint="eastAsia"/>
                      <w:color w:val="000000"/>
                      <w:lang w:val="en-US" w:eastAsia="zh-CN"/>
                    </w:rPr>
                    <w:t>0.8</w:t>
                  </w:r>
                  <w:r>
                    <w:rPr>
                      <w:color w:val="000000"/>
                    </w:rPr>
                    <w:t>（mg/m</w:t>
                  </w:r>
                  <w:r>
                    <w:rPr>
                      <w:color w:val="000000"/>
                      <w:vertAlign w:val="superscript"/>
                    </w:rPr>
                    <w:t>3</w:t>
                  </w:r>
                  <w:r>
                    <w:rPr>
                      <w:color w:val="000000"/>
                    </w:rPr>
                    <w:t>）</w:t>
                  </w:r>
                </w:p>
              </w:tc>
              <w:tc>
                <w:tcPr>
                  <w:tcW w:w="714" w:type="pct"/>
                  <w:noWrap w:val="0"/>
                  <w:vAlign w:val="center"/>
                </w:tcPr>
                <w:p w14:paraId="163FAC5E">
                  <w:pPr>
                    <w:pStyle w:val="34"/>
                    <w:rPr>
                      <w:color w:val="000000"/>
                    </w:rPr>
                  </w:pPr>
                  <w:r>
                    <w:rPr>
                      <w:color w:val="000000"/>
                    </w:rPr>
                    <w:t>4（mg/m</w:t>
                  </w:r>
                  <w:r>
                    <w:rPr>
                      <w:color w:val="000000"/>
                      <w:vertAlign w:val="superscript"/>
                    </w:rPr>
                    <w:t>3</w:t>
                  </w:r>
                  <w:r>
                    <w:rPr>
                      <w:color w:val="000000"/>
                    </w:rPr>
                    <w:t>）</w:t>
                  </w:r>
                </w:p>
              </w:tc>
              <w:tc>
                <w:tcPr>
                  <w:tcW w:w="716" w:type="pct"/>
                  <w:noWrap w:val="0"/>
                  <w:vAlign w:val="center"/>
                </w:tcPr>
                <w:p w14:paraId="4C16EA01">
                  <w:pPr>
                    <w:pStyle w:val="34"/>
                    <w:rPr>
                      <w:rFonts w:hint="default" w:eastAsia="宋体"/>
                      <w:color w:val="000000"/>
                      <w:lang w:val="en-US" w:eastAsia="zh-CN"/>
                    </w:rPr>
                  </w:pPr>
                  <w:r>
                    <w:rPr>
                      <w:rFonts w:hint="eastAsia"/>
                      <w:color w:val="000000"/>
                      <w:lang w:val="en-US" w:eastAsia="zh-CN"/>
                    </w:rPr>
                    <w:t>20</w:t>
                  </w:r>
                </w:p>
              </w:tc>
              <w:tc>
                <w:tcPr>
                  <w:tcW w:w="652" w:type="pct"/>
                  <w:noWrap w:val="0"/>
                  <w:vAlign w:val="center"/>
                </w:tcPr>
                <w:p w14:paraId="656892A2">
                  <w:pPr>
                    <w:pStyle w:val="34"/>
                    <w:rPr>
                      <w:color w:val="000000"/>
                    </w:rPr>
                  </w:pPr>
                  <w:r>
                    <w:rPr>
                      <w:color w:val="000000"/>
                    </w:rPr>
                    <w:t>达标</w:t>
                  </w:r>
                </w:p>
              </w:tc>
            </w:tr>
            <w:tr w14:paraId="32BBC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570" w:type="pct"/>
                  <w:noWrap w:val="0"/>
                  <w:vAlign w:val="center"/>
                </w:tcPr>
                <w:p w14:paraId="483B5C77">
                  <w:pPr>
                    <w:pStyle w:val="34"/>
                    <w:rPr>
                      <w:color w:val="000000"/>
                    </w:rPr>
                  </w:pPr>
                  <w:r>
                    <w:rPr>
                      <w:color w:val="000000"/>
                    </w:rPr>
                    <w:t>O</w:t>
                  </w:r>
                  <w:r>
                    <w:rPr>
                      <w:color w:val="000000"/>
                      <w:vertAlign w:val="subscript"/>
                    </w:rPr>
                    <w:t>3</w:t>
                  </w:r>
                </w:p>
              </w:tc>
              <w:tc>
                <w:tcPr>
                  <w:tcW w:w="1556" w:type="pct"/>
                  <w:noWrap w:val="0"/>
                  <w:vAlign w:val="center"/>
                </w:tcPr>
                <w:p w14:paraId="2CE02917">
                  <w:pPr>
                    <w:pStyle w:val="34"/>
                    <w:rPr>
                      <w:color w:val="000000"/>
                    </w:rPr>
                  </w:pPr>
                  <w:r>
                    <w:rPr>
                      <w:color w:val="000000"/>
                    </w:rPr>
                    <w:t>日最大8小时平均浓度的第90百分位数</w:t>
                  </w:r>
                </w:p>
              </w:tc>
              <w:tc>
                <w:tcPr>
                  <w:tcW w:w="789" w:type="pct"/>
                  <w:noWrap w:val="0"/>
                  <w:vAlign w:val="center"/>
                </w:tcPr>
                <w:p w14:paraId="65727F8C">
                  <w:pPr>
                    <w:pStyle w:val="34"/>
                    <w:rPr>
                      <w:rFonts w:hint="default" w:eastAsia="宋体"/>
                      <w:color w:val="000000"/>
                      <w:lang w:val="en-US" w:eastAsia="zh-CN"/>
                    </w:rPr>
                  </w:pPr>
                  <w:r>
                    <w:rPr>
                      <w:rFonts w:hint="eastAsia"/>
                      <w:color w:val="000000"/>
                      <w:lang w:val="en-US" w:eastAsia="zh-CN"/>
                    </w:rPr>
                    <w:t>126</w:t>
                  </w:r>
                </w:p>
              </w:tc>
              <w:tc>
                <w:tcPr>
                  <w:tcW w:w="714" w:type="pct"/>
                  <w:noWrap w:val="0"/>
                  <w:vAlign w:val="center"/>
                </w:tcPr>
                <w:p w14:paraId="3F26E3E4">
                  <w:pPr>
                    <w:pStyle w:val="34"/>
                    <w:rPr>
                      <w:color w:val="000000"/>
                    </w:rPr>
                  </w:pPr>
                  <w:r>
                    <w:rPr>
                      <w:color w:val="000000"/>
                    </w:rPr>
                    <w:t>160</w:t>
                  </w:r>
                </w:p>
              </w:tc>
              <w:tc>
                <w:tcPr>
                  <w:tcW w:w="716" w:type="pct"/>
                  <w:noWrap w:val="0"/>
                  <w:vAlign w:val="center"/>
                </w:tcPr>
                <w:p w14:paraId="14F18918">
                  <w:pPr>
                    <w:pStyle w:val="34"/>
                    <w:rPr>
                      <w:rFonts w:hint="default" w:eastAsia="宋体"/>
                      <w:color w:val="000000"/>
                      <w:lang w:val="en-US" w:eastAsia="zh-CN"/>
                    </w:rPr>
                  </w:pPr>
                  <w:r>
                    <w:rPr>
                      <w:rFonts w:hint="eastAsia"/>
                      <w:color w:val="000000"/>
                      <w:lang w:val="en-US" w:eastAsia="zh-CN"/>
                    </w:rPr>
                    <w:t>78.8</w:t>
                  </w:r>
                </w:p>
              </w:tc>
              <w:tc>
                <w:tcPr>
                  <w:tcW w:w="652" w:type="pct"/>
                  <w:noWrap w:val="0"/>
                  <w:vAlign w:val="center"/>
                </w:tcPr>
                <w:p w14:paraId="59DC9F0B">
                  <w:pPr>
                    <w:pStyle w:val="34"/>
                    <w:rPr>
                      <w:color w:val="000000"/>
                    </w:rPr>
                  </w:pPr>
                  <w:r>
                    <w:rPr>
                      <w:color w:val="000000"/>
                    </w:rPr>
                    <w:t>达标</w:t>
                  </w:r>
                </w:p>
              </w:tc>
            </w:tr>
          </w:tbl>
          <w:p w14:paraId="2F62EA24">
            <w:pPr>
              <w:pStyle w:val="21"/>
              <w:bidi w:val="0"/>
              <w:rPr>
                <w:rFonts w:hint="eastAsia"/>
                <w:color w:val="000000"/>
                <w:lang w:val="en-US" w:eastAsia="zh-CN"/>
              </w:rPr>
            </w:pPr>
            <w:r>
              <w:rPr>
                <w:rFonts w:hint="eastAsia"/>
                <w:color w:val="000000"/>
                <w:lang w:val="en-US" w:eastAsia="zh-CN"/>
              </w:rPr>
              <w:t>由上表可知，项目所在区域大气环境</w:t>
            </w:r>
            <w:r>
              <w:rPr>
                <w:rFonts w:hint="default"/>
                <w:color w:val="000000"/>
                <w:lang w:val="en-US" w:eastAsia="zh-CN"/>
              </w:rPr>
              <w:t>PM</w:t>
            </w:r>
            <w:r>
              <w:rPr>
                <w:rFonts w:hint="default"/>
                <w:color w:val="000000"/>
                <w:vertAlign w:val="subscript"/>
                <w:lang w:val="en-US" w:eastAsia="zh-CN"/>
              </w:rPr>
              <w:t>2.5</w:t>
            </w:r>
            <w:r>
              <w:rPr>
                <w:rFonts w:hint="eastAsia"/>
                <w:color w:val="000000"/>
                <w:lang w:val="en-US" w:eastAsia="zh-CN"/>
              </w:rPr>
              <w:t>不满足《环境空气质量标准》（</w:t>
            </w:r>
            <w:r>
              <w:rPr>
                <w:rFonts w:hint="default"/>
                <w:color w:val="000000"/>
                <w:lang w:val="en-US" w:eastAsia="zh-CN"/>
              </w:rPr>
              <w:t>GB3095-2012</w:t>
            </w:r>
            <w:r>
              <w:rPr>
                <w:rFonts w:hint="eastAsia"/>
                <w:color w:val="000000"/>
                <w:lang w:val="en-US" w:eastAsia="zh-CN"/>
              </w:rPr>
              <w:t>）二级标准。因此，判定项目所在区域（万州区）环境空气质量为非达标区。</w:t>
            </w:r>
          </w:p>
          <w:p w14:paraId="7BA55B32">
            <w:pPr>
              <w:pStyle w:val="21"/>
              <w:bidi w:val="0"/>
              <w:rPr>
                <w:color w:val="000000"/>
              </w:rPr>
            </w:pPr>
            <w:r>
              <w:rPr>
                <w:rFonts w:ascii="宋体" w:hAnsi="宋体" w:eastAsia="宋体" w:cs="宋体"/>
                <w:color w:val="000000"/>
                <w:sz w:val="24"/>
                <w:szCs w:val="24"/>
              </w:rPr>
              <w:t>根据《万州区大气环境质量限期达标规划》，为改善环境空气质量，通过提高能源效率，优化能源结构；优化产业布局，推进绿色发展；加大防治力量，控制工业污染；强化监督管理，控制交通污染，提高管理水平，控制扬尘污染；加大治理力度，控制生活污染；加大环保执法，深化区域协作等措施实现</w:t>
            </w:r>
            <w:r>
              <w:rPr>
                <w:rStyle w:val="33"/>
                <w:color w:val="000000"/>
              </w:rPr>
              <w:t xml:space="preserve"> 2025 </w:t>
            </w:r>
            <w:r>
              <w:rPr>
                <w:rFonts w:ascii="宋体" w:hAnsi="宋体" w:eastAsia="宋体" w:cs="宋体"/>
                <w:color w:val="000000"/>
                <w:sz w:val="24"/>
                <w:szCs w:val="24"/>
              </w:rPr>
              <w:t xml:space="preserve">年以前环境空气质量达标。 </w:t>
            </w:r>
            <w:r>
              <w:rPr>
                <w:rFonts w:hint="eastAsia"/>
                <w:color w:val="000000"/>
                <w:lang w:val="en-US" w:eastAsia="zh-CN"/>
              </w:rPr>
              <w:t xml:space="preserve"> </w:t>
            </w:r>
          </w:p>
          <w:p w14:paraId="7B5E7C2B">
            <w:pPr>
              <w:pStyle w:val="21"/>
              <w:ind w:firstLine="480"/>
              <w:rPr>
                <w:color w:val="000000"/>
              </w:rPr>
            </w:pPr>
            <w:r>
              <w:rPr>
                <w:rFonts w:hint="eastAsia"/>
                <w:color w:val="000000"/>
              </w:rPr>
              <w:t>（2）项目所在地质量现状评价</w:t>
            </w:r>
          </w:p>
          <w:p w14:paraId="307B4020">
            <w:pPr>
              <w:pStyle w:val="21"/>
              <w:bidi w:val="0"/>
              <w:rPr>
                <w:rFonts w:hint="default"/>
                <w:b/>
                <w:bCs/>
                <w:color w:val="000000"/>
                <w:lang w:val="en-US" w:eastAsia="zh-CN"/>
              </w:rPr>
            </w:pPr>
            <w:r>
              <w:rPr>
                <w:rFonts w:hint="eastAsia"/>
                <w:color w:val="000000"/>
                <w:lang w:val="en-US" w:eastAsia="zh-CN"/>
              </w:rPr>
              <w:t>项目排放的主要特征污染物主要为非甲烷总烃和二甲苯。</w:t>
            </w:r>
          </w:p>
          <w:p w14:paraId="5AB2726A">
            <w:pPr>
              <w:pStyle w:val="21"/>
              <w:bidi w:val="0"/>
              <w:rPr>
                <w:rFonts w:hint="default"/>
                <w:color w:val="000000"/>
                <w:lang w:val="en-US" w:eastAsia="zh-CN"/>
              </w:rPr>
            </w:pPr>
            <w:r>
              <w:rPr>
                <w:rFonts w:hint="eastAsia"/>
                <w:color w:val="000000"/>
                <w:lang w:val="en-US" w:eastAsia="zh-CN"/>
              </w:rPr>
              <w:t>根据《</w:t>
            </w:r>
            <w:r>
              <w:rPr>
                <w:color w:val="000000"/>
                <w:lang w:val="en-US" w:eastAsia="zh-CN"/>
              </w:rPr>
              <w:t xml:space="preserve">建设项目环境影响报告表编制技术指南 </w:t>
            </w:r>
            <w:r>
              <w:rPr>
                <w:rFonts w:hint="default"/>
                <w:color w:val="000000"/>
                <w:lang w:val="en-US" w:eastAsia="zh-CN"/>
              </w:rPr>
              <w:t>（污染影响类）</w:t>
            </w:r>
            <w:r>
              <w:rPr>
                <w:rFonts w:hint="eastAsia"/>
                <w:color w:val="000000"/>
                <w:lang w:val="en-US" w:eastAsia="zh-CN"/>
              </w:rPr>
              <w:t>》：</w:t>
            </w:r>
            <w:r>
              <w:rPr>
                <w:color w:val="000000"/>
                <w:lang w:val="en-US" w:eastAsia="zh-CN"/>
              </w:rPr>
              <w:t>排放</w:t>
            </w:r>
            <w:r>
              <w:rPr>
                <w:rFonts w:hint="eastAsia"/>
                <w:color w:val="000000"/>
                <w:lang w:val="en-US" w:eastAsia="zh-CN"/>
              </w:rPr>
              <w:t>国家、地方环境空气质量标准中有标准限值要求的特征污染物时，引用建设项目周边5千米范围内近3年的现有监测数据，无相关数据的选择当季主导风向下风向1个点位补充不少于3天的监测数据。由于二甲苯无国家、地方环境空气质量标准，因此评价未对其进行环境质量现状进行评价。</w:t>
            </w:r>
          </w:p>
          <w:p w14:paraId="07B751A8">
            <w:pPr>
              <w:pStyle w:val="21"/>
              <w:bidi w:val="0"/>
              <w:rPr>
                <w:rFonts w:hint="default" w:eastAsia="宋体"/>
                <w:color w:val="000000"/>
                <w:lang w:val="en-US" w:eastAsia="zh-CN"/>
              </w:rPr>
            </w:pPr>
            <w:r>
              <w:rPr>
                <w:rFonts w:hint="eastAsia"/>
                <w:color w:val="000000"/>
                <w:lang w:val="en-US" w:eastAsia="zh-CN"/>
              </w:rPr>
              <w:t>评价引用重庆高峰环境监测有限公司于</w:t>
            </w:r>
            <w:r>
              <w:rPr>
                <w:rFonts w:hint="default"/>
                <w:color w:val="000000"/>
                <w:lang w:val="en-US" w:eastAsia="zh-CN"/>
              </w:rPr>
              <w:t>202</w:t>
            </w:r>
            <w:r>
              <w:rPr>
                <w:rFonts w:hint="eastAsia"/>
                <w:color w:val="000000"/>
                <w:lang w:val="en-US" w:eastAsia="zh-CN"/>
              </w:rPr>
              <w:t>3年8月23日~29对九龙园环境质量现状监测报告中的非甲烷总烃环境质量现状监测数据（高峰监测H</w:t>
            </w:r>
            <w:r>
              <w:rPr>
                <w:rFonts w:hint="default"/>
                <w:color w:val="000000"/>
                <w:lang w:val="en-US" w:eastAsia="zh-CN"/>
              </w:rPr>
              <w:t>[202</w:t>
            </w:r>
            <w:r>
              <w:rPr>
                <w:rFonts w:hint="eastAsia"/>
                <w:color w:val="000000"/>
                <w:lang w:val="en-US" w:eastAsia="zh-CN"/>
              </w:rPr>
              <w:t>3</w:t>
            </w:r>
            <w:r>
              <w:rPr>
                <w:rFonts w:hint="default"/>
                <w:color w:val="000000"/>
                <w:lang w:val="en-US" w:eastAsia="zh-CN"/>
              </w:rPr>
              <w:t>]</w:t>
            </w:r>
            <w:r>
              <w:rPr>
                <w:rFonts w:hint="eastAsia"/>
                <w:color w:val="000000"/>
                <w:lang w:val="en-US" w:eastAsia="zh-CN"/>
              </w:rPr>
              <w:t xml:space="preserve"> 1353号）</w:t>
            </w:r>
            <w:r>
              <w:rPr>
                <w:rFonts w:hint="eastAsia"/>
                <w:color w:val="000000"/>
              </w:rPr>
              <w:t>。</w:t>
            </w:r>
            <w:r>
              <w:rPr>
                <w:rFonts w:hint="eastAsia"/>
                <w:color w:val="000000"/>
                <w:lang w:val="en-US" w:eastAsia="zh-CN"/>
              </w:rPr>
              <w:t>监测点Q2距离本项目北侧约1000m，监测至今周边环境空气质量未发生明显改变且监测时间在3年内，引用有效。</w:t>
            </w:r>
          </w:p>
          <w:p w14:paraId="3D8314F3">
            <w:pPr>
              <w:pStyle w:val="21"/>
              <w:ind w:firstLine="480"/>
              <w:rPr>
                <w:rFonts w:hint="eastAsia"/>
                <w:color w:val="000000"/>
              </w:rPr>
            </w:pPr>
            <w:r>
              <w:rPr>
                <w:rFonts w:hint="eastAsia"/>
                <w:color w:val="000000"/>
              </w:rPr>
              <w:t>监测详情详见下表。</w:t>
            </w:r>
          </w:p>
          <w:p w14:paraId="62B5A219">
            <w:pPr>
              <w:pStyle w:val="23"/>
              <w:rPr>
                <w:rFonts w:hint="eastAsia"/>
                <w:color w:val="000000"/>
              </w:rPr>
            </w:pPr>
            <w:r>
              <w:rPr>
                <w:rFonts w:hint="eastAsia"/>
                <w:color w:val="000000"/>
              </w:rPr>
              <w:t>表3</w:t>
            </w:r>
            <w:r>
              <w:rPr>
                <w:rFonts w:hint="eastAsia"/>
                <w:color w:val="000000"/>
                <w:lang w:val="en-US" w:eastAsia="zh-CN"/>
              </w:rPr>
              <w:t>.1</w:t>
            </w:r>
            <w:r>
              <w:rPr>
                <w:rFonts w:hint="eastAsia"/>
                <w:color w:val="000000"/>
              </w:rPr>
              <w:t>-2 环境质量现状监测一览表</w:t>
            </w:r>
          </w:p>
          <w:tbl>
            <w:tblPr>
              <w:tblStyle w:val="1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6"/>
              <w:gridCol w:w="840"/>
              <w:gridCol w:w="1352"/>
              <w:gridCol w:w="1656"/>
              <w:gridCol w:w="1009"/>
              <w:gridCol w:w="925"/>
              <w:gridCol w:w="914"/>
            </w:tblGrid>
            <w:tr w14:paraId="44325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trPr>
              <w:tc>
                <w:tcPr>
                  <w:tcW w:w="725" w:type="pct"/>
                  <w:vMerge w:val="restart"/>
                  <w:noWrap w:val="0"/>
                  <w:vAlign w:val="center"/>
                </w:tcPr>
                <w:p w14:paraId="451A5C5F">
                  <w:pPr>
                    <w:pStyle w:val="34"/>
                    <w:bidi w:val="0"/>
                    <w:rPr>
                      <w:color w:val="000000"/>
                    </w:rPr>
                  </w:pPr>
                  <w:r>
                    <w:rPr>
                      <w:rFonts w:hint="eastAsia"/>
                      <w:color w:val="000000"/>
                    </w:rPr>
                    <w:t>点位</w:t>
                  </w:r>
                </w:p>
              </w:tc>
              <w:tc>
                <w:tcPr>
                  <w:tcW w:w="536" w:type="pct"/>
                  <w:vMerge w:val="restart"/>
                  <w:noWrap w:val="0"/>
                  <w:vAlign w:val="center"/>
                </w:tcPr>
                <w:p w14:paraId="3385ED7E">
                  <w:pPr>
                    <w:pStyle w:val="34"/>
                    <w:bidi w:val="0"/>
                    <w:rPr>
                      <w:rFonts w:hint="eastAsia"/>
                      <w:color w:val="000000"/>
                    </w:rPr>
                  </w:pPr>
                  <w:r>
                    <w:rPr>
                      <w:rFonts w:hint="eastAsia"/>
                      <w:color w:val="000000"/>
                    </w:rPr>
                    <w:t>监测</w:t>
                  </w:r>
                </w:p>
                <w:p w14:paraId="3B1374CA">
                  <w:pPr>
                    <w:pStyle w:val="34"/>
                    <w:bidi w:val="0"/>
                    <w:rPr>
                      <w:color w:val="000000"/>
                    </w:rPr>
                  </w:pPr>
                  <w:r>
                    <w:rPr>
                      <w:rFonts w:hint="eastAsia"/>
                      <w:color w:val="000000"/>
                    </w:rPr>
                    <w:t>项目</w:t>
                  </w:r>
                </w:p>
              </w:tc>
              <w:tc>
                <w:tcPr>
                  <w:tcW w:w="3737" w:type="pct"/>
                  <w:gridSpan w:val="5"/>
                  <w:noWrap w:val="0"/>
                  <w:vAlign w:val="center"/>
                </w:tcPr>
                <w:p w14:paraId="3B283477">
                  <w:pPr>
                    <w:pStyle w:val="34"/>
                    <w:bidi w:val="0"/>
                    <w:rPr>
                      <w:rFonts w:hint="default"/>
                      <w:color w:val="000000"/>
                      <w:lang w:val="en-US" w:eastAsia="zh-CN"/>
                    </w:rPr>
                  </w:pPr>
                  <w:r>
                    <w:rPr>
                      <w:rFonts w:hint="eastAsia"/>
                      <w:color w:val="000000"/>
                    </w:rPr>
                    <w:t>日均值</w:t>
                  </w:r>
                </w:p>
              </w:tc>
            </w:tr>
            <w:tr w14:paraId="54F7C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blHeader/>
              </w:trPr>
              <w:tc>
                <w:tcPr>
                  <w:tcW w:w="725" w:type="pct"/>
                  <w:vMerge w:val="continue"/>
                  <w:noWrap w:val="0"/>
                  <w:vAlign w:val="center"/>
                </w:tcPr>
                <w:p w14:paraId="39C6422E">
                  <w:pPr>
                    <w:pStyle w:val="34"/>
                    <w:bidi w:val="0"/>
                    <w:rPr>
                      <w:color w:val="000000"/>
                    </w:rPr>
                  </w:pPr>
                </w:p>
              </w:tc>
              <w:tc>
                <w:tcPr>
                  <w:tcW w:w="536" w:type="pct"/>
                  <w:vMerge w:val="continue"/>
                  <w:noWrap w:val="0"/>
                  <w:vAlign w:val="center"/>
                </w:tcPr>
                <w:p w14:paraId="3C45341D">
                  <w:pPr>
                    <w:pStyle w:val="34"/>
                    <w:bidi w:val="0"/>
                    <w:rPr>
                      <w:color w:val="000000"/>
                    </w:rPr>
                  </w:pPr>
                </w:p>
              </w:tc>
              <w:tc>
                <w:tcPr>
                  <w:tcW w:w="863" w:type="pct"/>
                  <w:noWrap w:val="0"/>
                  <w:vAlign w:val="center"/>
                </w:tcPr>
                <w:p w14:paraId="36637F90">
                  <w:pPr>
                    <w:pStyle w:val="34"/>
                    <w:bidi w:val="0"/>
                    <w:rPr>
                      <w:rFonts w:hint="eastAsia"/>
                      <w:color w:val="000000"/>
                    </w:rPr>
                  </w:pPr>
                  <w:r>
                    <w:rPr>
                      <w:rFonts w:hint="eastAsia"/>
                      <w:color w:val="000000"/>
                    </w:rPr>
                    <w:t>浓度范围</w:t>
                  </w:r>
                </w:p>
                <w:p w14:paraId="5948E1C5">
                  <w:pPr>
                    <w:pStyle w:val="34"/>
                    <w:bidi w:val="0"/>
                    <w:rPr>
                      <w:rFonts w:hint="eastAsia" w:eastAsia="宋体"/>
                      <w:color w:val="000000"/>
                      <w:lang w:val="en-US" w:eastAsia="zh-CN"/>
                    </w:rPr>
                  </w:pPr>
                  <w:r>
                    <w:rPr>
                      <w:rFonts w:hint="eastAsia" w:cs="Times New Roman"/>
                      <w:color w:val="000000"/>
                      <w:lang w:val="en-US" w:eastAsia="zh-CN"/>
                    </w:rPr>
                    <w:t>m</w:t>
                  </w:r>
                  <w:r>
                    <w:rPr>
                      <w:rFonts w:hint="eastAsia" w:ascii="Times New Roman" w:hAnsi="Times New Roman" w:cs="Times New Roman"/>
                      <w:color w:val="000000"/>
                      <w:lang w:val="en-US" w:eastAsia="zh-CN"/>
                    </w:rPr>
                    <w:t>g</w:t>
                  </w:r>
                  <w:r>
                    <w:rPr>
                      <w:rFonts w:hint="default" w:ascii="Times New Roman" w:hAnsi="Times New Roman" w:cs="Times New Roman"/>
                      <w:color w:val="000000"/>
                    </w:rPr>
                    <w:t>/</w:t>
                  </w:r>
                  <w:r>
                    <w:rPr>
                      <w:rFonts w:hint="eastAsia" w:ascii="Times New Roman" w:hAnsi="Times New Roman" w:cs="Times New Roman"/>
                      <w:color w:val="000000"/>
                      <w:lang w:val="en-US" w:eastAsia="zh-CN"/>
                    </w:rPr>
                    <w:t>m</w:t>
                  </w:r>
                  <w:r>
                    <w:rPr>
                      <w:rFonts w:hint="eastAsia" w:ascii="Times New Roman" w:hAnsi="Times New Roman" w:cs="Times New Roman"/>
                      <w:color w:val="000000"/>
                      <w:vertAlign w:val="superscript"/>
                      <w:lang w:val="en-US" w:eastAsia="zh-CN"/>
                    </w:rPr>
                    <w:t>3</w:t>
                  </w:r>
                </w:p>
              </w:tc>
              <w:tc>
                <w:tcPr>
                  <w:tcW w:w="1057" w:type="pct"/>
                  <w:noWrap w:val="0"/>
                  <w:vAlign w:val="center"/>
                </w:tcPr>
                <w:p w14:paraId="019B39D8">
                  <w:pPr>
                    <w:pStyle w:val="34"/>
                    <w:bidi w:val="0"/>
                    <w:rPr>
                      <w:rFonts w:hint="eastAsia"/>
                      <w:color w:val="000000"/>
                    </w:rPr>
                  </w:pPr>
                  <w:r>
                    <w:rPr>
                      <w:rFonts w:hint="eastAsia"/>
                      <w:color w:val="000000"/>
                    </w:rPr>
                    <w:t>标准限值</w:t>
                  </w:r>
                </w:p>
                <w:p w14:paraId="026802D5">
                  <w:pPr>
                    <w:pStyle w:val="34"/>
                    <w:bidi w:val="0"/>
                    <w:rPr>
                      <w:color w:val="000000"/>
                    </w:rPr>
                  </w:pPr>
                  <w:r>
                    <w:rPr>
                      <w:rFonts w:hint="eastAsia" w:cs="Times New Roman"/>
                      <w:color w:val="000000"/>
                      <w:lang w:val="en-US" w:eastAsia="zh-CN"/>
                    </w:rPr>
                    <w:t>m</w:t>
                  </w:r>
                  <w:r>
                    <w:rPr>
                      <w:rFonts w:hint="default" w:ascii="Times New Roman" w:hAnsi="Times New Roman" w:cs="Times New Roman"/>
                      <w:color w:val="000000"/>
                    </w:rPr>
                    <w:t>g/</w:t>
                  </w:r>
                  <w:r>
                    <w:rPr>
                      <w:rFonts w:hint="eastAsia" w:ascii="Times New Roman" w:hAnsi="Times New Roman" w:cs="Times New Roman"/>
                      <w:color w:val="000000"/>
                      <w:lang w:val="en-US" w:eastAsia="zh-CN"/>
                    </w:rPr>
                    <w:t>m</w:t>
                  </w:r>
                  <w:r>
                    <w:rPr>
                      <w:rFonts w:hint="eastAsia" w:ascii="Times New Roman" w:hAnsi="Times New Roman" w:cs="Times New Roman"/>
                      <w:color w:val="000000"/>
                      <w:vertAlign w:val="superscript"/>
                      <w:lang w:val="en-US" w:eastAsia="zh-CN"/>
                    </w:rPr>
                    <w:t>3</w:t>
                  </w:r>
                </w:p>
              </w:tc>
              <w:tc>
                <w:tcPr>
                  <w:tcW w:w="644" w:type="pct"/>
                  <w:noWrap w:val="0"/>
                  <w:vAlign w:val="center"/>
                </w:tcPr>
                <w:p w14:paraId="7363E17B">
                  <w:pPr>
                    <w:pStyle w:val="34"/>
                    <w:bidi w:val="0"/>
                    <w:rPr>
                      <w:color w:val="000000"/>
                    </w:rPr>
                  </w:pPr>
                  <w:r>
                    <w:rPr>
                      <w:rFonts w:hint="eastAsia"/>
                      <w:color w:val="000000"/>
                    </w:rPr>
                    <w:t>超标率</w:t>
                  </w:r>
                  <w:r>
                    <w:rPr>
                      <w:color w:val="000000"/>
                    </w:rPr>
                    <w:t>%</w:t>
                  </w:r>
                </w:p>
              </w:tc>
              <w:tc>
                <w:tcPr>
                  <w:tcW w:w="590" w:type="pct"/>
                  <w:noWrap w:val="0"/>
                  <w:vAlign w:val="center"/>
                </w:tcPr>
                <w:p w14:paraId="0267F180">
                  <w:pPr>
                    <w:pStyle w:val="34"/>
                    <w:bidi w:val="0"/>
                    <w:rPr>
                      <w:color w:val="000000"/>
                    </w:rPr>
                  </w:pPr>
                  <w:r>
                    <w:rPr>
                      <w:rFonts w:hint="eastAsia"/>
                      <w:color w:val="000000"/>
                    </w:rPr>
                    <w:t>最大超标倍数</w:t>
                  </w:r>
                </w:p>
              </w:tc>
              <w:tc>
                <w:tcPr>
                  <w:tcW w:w="583" w:type="pct"/>
                  <w:noWrap w:val="0"/>
                  <w:vAlign w:val="center"/>
                </w:tcPr>
                <w:p w14:paraId="6C3C5B11">
                  <w:pPr>
                    <w:pStyle w:val="34"/>
                    <w:bidi w:val="0"/>
                    <w:rPr>
                      <w:color w:val="000000"/>
                    </w:rPr>
                  </w:pPr>
                  <w:r>
                    <w:rPr>
                      <w:rFonts w:hint="eastAsia"/>
                      <w:color w:val="000000"/>
                    </w:rPr>
                    <w:t>最大占标率</w:t>
                  </w:r>
                  <w:r>
                    <w:rPr>
                      <w:color w:val="000000"/>
                    </w:rPr>
                    <w:t>%</w:t>
                  </w:r>
                </w:p>
              </w:tc>
            </w:tr>
            <w:tr w14:paraId="097F8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725" w:type="pct"/>
                  <w:noWrap w:val="0"/>
                  <w:vAlign w:val="center"/>
                </w:tcPr>
                <w:p w14:paraId="72586DD5">
                  <w:pPr>
                    <w:pStyle w:val="34"/>
                    <w:bidi w:val="0"/>
                    <w:rPr>
                      <w:rFonts w:hint="default"/>
                      <w:color w:val="000000"/>
                      <w:lang w:val="en-US"/>
                    </w:rPr>
                  </w:pPr>
                  <w:r>
                    <w:rPr>
                      <w:rFonts w:hint="eastAsia"/>
                      <w:color w:val="000000"/>
                      <w:lang w:val="en-US" w:eastAsia="zh-CN"/>
                    </w:rPr>
                    <w:t>Q2</w:t>
                  </w:r>
                </w:p>
              </w:tc>
              <w:tc>
                <w:tcPr>
                  <w:tcW w:w="536" w:type="pct"/>
                  <w:noWrap w:val="0"/>
                  <w:vAlign w:val="center"/>
                </w:tcPr>
                <w:p w14:paraId="373F23CC">
                  <w:pPr>
                    <w:pStyle w:val="34"/>
                    <w:bidi w:val="0"/>
                    <w:rPr>
                      <w:rFonts w:hint="default"/>
                      <w:color w:val="000000"/>
                      <w:lang w:val="en-US" w:eastAsia="zh-CN"/>
                    </w:rPr>
                  </w:pPr>
                  <w:r>
                    <w:rPr>
                      <w:rFonts w:hint="eastAsia"/>
                      <w:color w:val="000000"/>
                      <w:lang w:val="en-US" w:eastAsia="zh-CN"/>
                    </w:rPr>
                    <w:t>非甲烷总烃</w:t>
                  </w:r>
                </w:p>
              </w:tc>
              <w:tc>
                <w:tcPr>
                  <w:tcW w:w="863" w:type="pct"/>
                  <w:noWrap w:val="0"/>
                  <w:vAlign w:val="center"/>
                </w:tcPr>
                <w:p w14:paraId="39FD3140">
                  <w:pPr>
                    <w:pStyle w:val="34"/>
                    <w:bidi w:val="0"/>
                    <w:rPr>
                      <w:rFonts w:hint="default"/>
                      <w:color w:val="000000"/>
                      <w:lang w:val="en-US" w:eastAsia="zh-CN"/>
                    </w:rPr>
                  </w:pPr>
                  <w:r>
                    <w:rPr>
                      <w:rFonts w:hint="eastAsia"/>
                      <w:color w:val="000000"/>
                      <w:lang w:val="en-US" w:eastAsia="zh-CN"/>
                    </w:rPr>
                    <w:t>0.66~0.99</w:t>
                  </w:r>
                </w:p>
              </w:tc>
              <w:tc>
                <w:tcPr>
                  <w:tcW w:w="1057" w:type="pct"/>
                  <w:noWrap/>
                  <w:vAlign w:val="center"/>
                </w:tcPr>
                <w:p w14:paraId="3141FF89">
                  <w:pPr>
                    <w:pStyle w:val="34"/>
                    <w:bidi w:val="0"/>
                    <w:rPr>
                      <w:rFonts w:hint="default"/>
                      <w:color w:val="000000"/>
                      <w:lang w:val="en-US" w:eastAsia="zh-CN"/>
                    </w:rPr>
                  </w:pPr>
                  <w:r>
                    <w:rPr>
                      <w:rFonts w:hint="eastAsia"/>
                      <w:color w:val="000000"/>
                      <w:lang w:val="en-US" w:eastAsia="zh-CN"/>
                    </w:rPr>
                    <w:t>2.0</w:t>
                  </w:r>
                </w:p>
              </w:tc>
              <w:tc>
                <w:tcPr>
                  <w:tcW w:w="644" w:type="pct"/>
                  <w:noWrap w:val="0"/>
                  <w:vAlign w:val="center"/>
                </w:tcPr>
                <w:p w14:paraId="6B2F2FC6">
                  <w:pPr>
                    <w:pStyle w:val="34"/>
                    <w:bidi w:val="0"/>
                    <w:rPr>
                      <w:rFonts w:hint="eastAsia"/>
                      <w:color w:val="000000"/>
                      <w:lang w:val="en-US" w:eastAsia="zh-CN"/>
                    </w:rPr>
                  </w:pPr>
                  <w:r>
                    <w:rPr>
                      <w:rFonts w:hint="eastAsia"/>
                      <w:color w:val="000000"/>
                      <w:lang w:val="en-US" w:eastAsia="zh-CN"/>
                    </w:rPr>
                    <w:t>/</w:t>
                  </w:r>
                </w:p>
              </w:tc>
              <w:tc>
                <w:tcPr>
                  <w:tcW w:w="590" w:type="pct"/>
                  <w:noWrap w:val="0"/>
                  <w:vAlign w:val="center"/>
                </w:tcPr>
                <w:p w14:paraId="23F40DB4">
                  <w:pPr>
                    <w:pStyle w:val="34"/>
                    <w:bidi w:val="0"/>
                    <w:rPr>
                      <w:rFonts w:hint="eastAsia"/>
                      <w:color w:val="000000"/>
                      <w:lang w:val="en-US" w:eastAsia="zh-CN"/>
                    </w:rPr>
                  </w:pPr>
                  <w:r>
                    <w:rPr>
                      <w:rFonts w:hint="eastAsia"/>
                      <w:color w:val="000000"/>
                      <w:lang w:val="en-US" w:eastAsia="zh-CN"/>
                    </w:rPr>
                    <w:t>/</w:t>
                  </w:r>
                </w:p>
              </w:tc>
              <w:tc>
                <w:tcPr>
                  <w:tcW w:w="583" w:type="pct"/>
                  <w:noWrap w:val="0"/>
                  <w:vAlign w:val="center"/>
                </w:tcPr>
                <w:p w14:paraId="7682DD99">
                  <w:pPr>
                    <w:pStyle w:val="34"/>
                    <w:bidi w:val="0"/>
                    <w:rPr>
                      <w:rFonts w:hint="default"/>
                      <w:color w:val="000000"/>
                      <w:lang w:val="en-US" w:eastAsia="zh-CN"/>
                    </w:rPr>
                  </w:pPr>
                  <w:r>
                    <w:rPr>
                      <w:rFonts w:hint="eastAsia"/>
                      <w:color w:val="000000"/>
                      <w:lang w:val="en-US" w:eastAsia="zh-CN"/>
                    </w:rPr>
                    <w:t>49.5</w:t>
                  </w:r>
                </w:p>
              </w:tc>
            </w:tr>
          </w:tbl>
          <w:p w14:paraId="650622E0">
            <w:pPr>
              <w:pStyle w:val="21"/>
              <w:ind w:firstLine="480"/>
              <w:rPr>
                <w:color w:val="000000"/>
              </w:rPr>
            </w:pPr>
            <w:r>
              <w:rPr>
                <w:rStyle w:val="33"/>
                <w:rFonts w:hint="eastAsia"/>
                <w:color w:val="000000"/>
                <w:lang w:val="en-US" w:eastAsia="zh-CN"/>
              </w:rPr>
              <w:t>根据上述结果可知，</w:t>
            </w:r>
            <w:r>
              <w:rPr>
                <w:rStyle w:val="33"/>
                <w:rFonts w:hint="default"/>
                <w:color w:val="000000"/>
                <w:lang w:val="en-US" w:eastAsia="zh-CN"/>
              </w:rPr>
              <w:t>项目所在地</w:t>
            </w:r>
            <w:r>
              <w:rPr>
                <w:rStyle w:val="33"/>
                <w:rFonts w:hint="default"/>
                <w:color w:val="000000"/>
                <w:lang w:eastAsia="zh-CN"/>
              </w:rPr>
              <w:t>非甲烷总烃</w:t>
            </w:r>
            <w:r>
              <w:rPr>
                <w:rStyle w:val="33"/>
                <w:rFonts w:hint="default"/>
                <w:color w:val="000000"/>
                <w:lang w:val="en-US" w:eastAsia="zh-CN"/>
              </w:rPr>
              <w:t>小时浓度值</w:t>
            </w:r>
            <w:r>
              <w:rPr>
                <w:rStyle w:val="33"/>
                <w:rFonts w:hint="eastAsia"/>
                <w:color w:val="000000"/>
                <w:lang w:val="en-US" w:eastAsia="zh-CN"/>
              </w:rPr>
              <w:t>满足</w:t>
            </w:r>
            <w:r>
              <w:rPr>
                <w:rStyle w:val="33"/>
                <w:rFonts w:hint="default"/>
                <w:color w:val="000000"/>
                <w:lang w:val="en-US" w:eastAsia="zh-CN"/>
              </w:rPr>
              <w:t>河北省《环境空气质量非甲烷总烃限值》（DB13/1577-2012）</w:t>
            </w:r>
            <w:r>
              <w:rPr>
                <w:rStyle w:val="33"/>
                <w:rFonts w:hint="eastAsia"/>
                <w:color w:val="000000"/>
              </w:rPr>
              <w:t>，项目所在地环境空气具有一定容量</w:t>
            </w:r>
            <w:r>
              <w:rPr>
                <w:rFonts w:hint="eastAsia"/>
                <w:color w:val="000000"/>
              </w:rPr>
              <w:t>。</w:t>
            </w:r>
          </w:p>
          <w:p w14:paraId="507E903A">
            <w:pPr>
              <w:pStyle w:val="24"/>
              <w:rPr>
                <w:color w:val="000000"/>
              </w:rPr>
            </w:pPr>
            <w:bookmarkStart w:id="2" w:name="_Toc479508086"/>
            <w:bookmarkStart w:id="3" w:name="_Toc479750825"/>
            <w:bookmarkStart w:id="4" w:name="_Toc479837303"/>
            <w:r>
              <w:rPr>
                <w:rFonts w:hint="eastAsia"/>
                <w:color w:val="000000"/>
              </w:rPr>
              <w:t>2、</w:t>
            </w:r>
            <w:r>
              <w:rPr>
                <w:color w:val="000000"/>
              </w:rPr>
              <w:t>地表水环境质量现状监测与评价</w:t>
            </w:r>
            <w:bookmarkEnd w:id="2"/>
            <w:bookmarkEnd w:id="3"/>
            <w:bookmarkEnd w:id="4"/>
          </w:p>
          <w:p w14:paraId="340B7B58">
            <w:pPr>
              <w:pStyle w:val="21"/>
              <w:bidi w:val="0"/>
              <w:rPr>
                <w:rFonts w:hint="default"/>
                <w:color w:val="000000"/>
                <w:lang w:val="en-US" w:eastAsia="zh-CN"/>
              </w:rPr>
            </w:pPr>
            <w:r>
              <w:rPr>
                <w:rFonts w:hint="default"/>
                <w:color w:val="000000"/>
                <w:lang w:val="en-US" w:eastAsia="zh-CN"/>
              </w:rPr>
              <w:t>本项目最终纳污水体为长江，根据《重庆市人民政府批转重庆市地表水环境功能类别调整方案的通知》（渝府发〔2012〕4号</w:t>
            </w:r>
            <w:r>
              <w:rPr>
                <w:rFonts w:hint="eastAsia"/>
                <w:color w:val="000000"/>
                <w:lang w:val="en-US" w:eastAsia="zh-CN"/>
              </w:rPr>
              <w:t>）</w:t>
            </w:r>
            <w:r>
              <w:rPr>
                <w:rFonts w:hint="default"/>
                <w:color w:val="000000"/>
                <w:lang w:val="en-US" w:eastAsia="zh-CN"/>
              </w:rPr>
              <w:t>，长江万州区新田镇</w:t>
            </w:r>
            <w:r>
              <w:rPr>
                <w:rFonts w:hint="eastAsia"/>
                <w:color w:val="000000"/>
                <w:lang w:val="en-US" w:eastAsia="zh-CN"/>
              </w:rPr>
              <w:t>——</w:t>
            </w:r>
            <w:r>
              <w:rPr>
                <w:rFonts w:hint="default"/>
                <w:color w:val="000000"/>
                <w:lang w:val="en-US" w:eastAsia="zh-CN"/>
              </w:rPr>
              <w:t>大周镇段为</w:t>
            </w:r>
            <w:r>
              <w:rPr>
                <w:rFonts w:hint="eastAsia"/>
                <w:color w:val="000000"/>
                <w:lang w:val="en-US" w:eastAsia="zh-CN"/>
              </w:rPr>
              <w:t>III</w:t>
            </w:r>
            <w:r>
              <w:rPr>
                <w:rFonts w:hint="default"/>
                <w:color w:val="000000"/>
                <w:lang w:val="en-US" w:eastAsia="zh-CN"/>
              </w:rPr>
              <w:t>类水域，执行《地表水环境质量标准》</w:t>
            </w:r>
            <w:r>
              <w:rPr>
                <w:rFonts w:hint="eastAsia"/>
                <w:color w:val="000000"/>
                <w:lang w:val="en-US" w:eastAsia="zh-CN"/>
              </w:rPr>
              <w:t>（</w:t>
            </w:r>
            <w:r>
              <w:rPr>
                <w:rFonts w:hint="default"/>
                <w:color w:val="000000"/>
                <w:lang w:val="en-US" w:eastAsia="zh-CN"/>
              </w:rPr>
              <w:t>GB 3838-2002</w:t>
            </w:r>
            <w:r>
              <w:rPr>
                <w:rFonts w:hint="eastAsia"/>
                <w:color w:val="000000"/>
                <w:lang w:val="en-US" w:eastAsia="zh-CN"/>
              </w:rPr>
              <w:t>）</w:t>
            </w:r>
            <w:r>
              <w:rPr>
                <w:rFonts w:hint="default"/>
                <w:color w:val="000000"/>
                <w:lang w:val="en-US" w:eastAsia="zh-CN"/>
              </w:rPr>
              <w:t>中</w:t>
            </w:r>
            <w:r>
              <w:rPr>
                <w:rFonts w:hint="eastAsia"/>
                <w:color w:val="000000"/>
                <w:lang w:val="en-US" w:eastAsia="zh-CN"/>
              </w:rPr>
              <w:t>III</w:t>
            </w:r>
            <w:r>
              <w:rPr>
                <w:rFonts w:hint="default"/>
                <w:color w:val="000000"/>
                <w:lang w:val="en-US" w:eastAsia="zh-CN"/>
              </w:rPr>
              <w:t>类水域标准。</w:t>
            </w:r>
          </w:p>
          <w:p w14:paraId="7E2F3D1E">
            <w:pPr>
              <w:pStyle w:val="21"/>
              <w:bidi w:val="0"/>
              <w:rPr>
                <w:rFonts w:hint="eastAsia"/>
                <w:color w:val="000000"/>
              </w:rPr>
            </w:pPr>
            <w:r>
              <w:rPr>
                <w:rFonts w:hint="eastAsia"/>
                <w:color w:val="000000"/>
              </w:rPr>
              <w:t>根据重庆市生态环境局发布的</w:t>
            </w:r>
            <w:r>
              <w:rPr>
                <w:rFonts w:hint="eastAsia"/>
                <w:color w:val="000000"/>
                <w:lang w:eastAsia="zh-CN"/>
              </w:rPr>
              <w:t>《</w:t>
            </w:r>
            <w:r>
              <w:rPr>
                <w:rFonts w:hint="eastAsia"/>
                <w:color w:val="000000"/>
              </w:rPr>
              <w:t>202</w:t>
            </w:r>
            <w:r>
              <w:rPr>
                <w:rFonts w:hint="eastAsia"/>
                <w:color w:val="000000"/>
                <w:lang w:val="en-US" w:eastAsia="zh-CN"/>
              </w:rPr>
              <w:t>4</w:t>
            </w:r>
            <w:r>
              <w:rPr>
                <w:rFonts w:hint="eastAsia"/>
                <w:color w:val="000000"/>
              </w:rPr>
              <w:t>年</w:t>
            </w:r>
            <w:r>
              <w:rPr>
                <w:rFonts w:hint="eastAsia"/>
                <w:color w:val="000000"/>
                <w:lang w:val="en-US" w:eastAsia="zh-CN"/>
              </w:rPr>
              <w:t>2</w:t>
            </w:r>
            <w:r>
              <w:rPr>
                <w:rFonts w:hint="eastAsia"/>
                <w:color w:val="000000"/>
              </w:rPr>
              <w:t>月</w:t>
            </w:r>
            <w:r>
              <w:rPr>
                <w:rFonts w:hint="eastAsia"/>
                <w:color w:val="000000"/>
                <w:lang w:val="en-US" w:eastAsia="zh-CN"/>
              </w:rPr>
              <w:t>份</w:t>
            </w:r>
            <w:r>
              <w:rPr>
                <w:rFonts w:hint="eastAsia"/>
                <w:color w:val="000000"/>
              </w:rPr>
              <w:t>重庆市水环境质量状况</w:t>
            </w:r>
            <w:r>
              <w:rPr>
                <w:rFonts w:hint="eastAsia"/>
                <w:color w:val="000000"/>
                <w:lang w:eastAsia="zh-CN"/>
              </w:rPr>
              <w:t>》</w:t>
            </w:r>
            <w:r>
              <w:rPr>
                <w:rFonts w:hint="eastAsia"/>
                <w:color w:val="000000"/>
              </w:rPr>
              <w:t>，长江万州区监测断面</w:t>
            </w:r>
            <w:r>
              <w:rPr>
                <w:rFonts w:hint="eastAsia"/>
                <w:color w:val="000000"/>
                <w:lang w:eastAsia="zh-CN"/>
              </w:rPr>
              <w:t>（</w:t>
            </w:r>
            <w:r>
              <w:rPr>
                <w:rFonts w:hint="eastAsia"/>
                <w:color w:val="000000"/>
              </w:rPr>
              <w:t>晒网坝</w:t>
            </w:r>
            <w:r>
              <w:rPr>
                <w:rFonts w:hint="eastAsia"/>
                <w:color w:val="000000"/>
                <w:lang w:eastAsia="zh-CN"/>
              </w:rPr>
              <w:t>）</w:t>
            </w:r>
            <w:r>
              <w:rPr>
                <w:rFonts w:hint="eastAsia"/>
                <w:color w:val="000000"/>
              </w:rPr>
              <w:t>水质类别可达</w:t>
            </w:r>
            <w:r>
              <w:rPr>
                <w:rFonts w:hint="eastAsia"/>
                <w:color w:val="000000"/>
                <w:lang w:eastAsia="zh-CN"/>
              </w:rPr>
              <w:t>II类</w:t>
            </w:r>
            <w:r>
              <w:rPr>
                <w:rFonts w:hint="eastAsia"/>
                <w:color w:val="000000"/>
              </w:rPr>
              <w:t>，满足《地表水环境质量标准》</w:t>
            </w:r>
            <w:r>
              <w:rPr>
                <w:rFonts w:hint="eastAsia"/>
                <w:color w:val="000000"/>
                <w:spacing w:val="0"/>
                <w:w w:val="100"/>
                <w:position w:val="0"/>
                <w:sz w:val="24"/>
                <w:szCs w:val="24"/>
                <w:lang w:val="en-US" w:eastAsia="zh-CN" w:bidi="en-US"/>
              </w:rPr>
              <w:t>（</w:t>
            </w:r>
            <w:r>
              <w:rPr>
                <w:rFonts w:hint="eastAsia"/>
                <w:color w:val="000000"/>
              </w:rPr>
              <w:t>GB3838-2002</w:t>
            </w:r>
            <w:r>
              <w:rPr>
                <w:rFonts w:hint="eastAsia"/>
                <w:color w:val="000000"/>
                <w:lang w:eastAsia="zh-CN"/>
              </w:rPr>
              <w:t>）</w:t>
            </w:r>
            <w:r>
              <w:rPr>
                <w:rFonts w:hint="eastAsia"/>
                <w:color w:val="000000"/>
              </w:rPr>
              <w:t>中Ⅲ类水域标准，长江水环境质量良好。</w:t>
            </w:r>
          </w:p>
          <w:p w14:paraId="48604D81">
            <w:pPr>
              <w:keepLines w:val="0"/>
              <w:pageBreakBefore w:val="0"/>
              <w:kinsoku/>
              <w:wordWrap/>
              <w:topLinePunct w:val="0"/>
              <w:bidi w:val="0"/>
              <w:spacing w:line="360" w:lineRule="auto"/>
              <w:ind w:left="0" w:leftChars="0"/>
              <w:contextualSpacing/>
              <w:rPr>
                <w:rFonts w:ascii="Times New Roman" w:hAnsi="Times New Roman"/>
                <w:b/>
                <w:color w:val="000000"/>
                <w:sz w:val="24"/>
                <w:szCs w:val="24"/>
              </w:rPr>
            </w:pPr>
            <w:r>
              <w:rPr>
                <w:rFonts w:hint="eastAsia" w:ascii="Times New Roman" w:hAnsi="Times New Roman"/>
                <w:b/>
                <w:color w:val="000000"/>
                <w:sz w:val="24"/>
                <w:szCs w:val="24"/>
                <w:lang w:val="en-US" w:eastAsia="zh-CN"/>
              </w:rPr>
              <w:t>3、</w:t>
            </w:r>
            <w:r>
              <w:rPr>
                <w:rFonts w:ascii="Times New Roman" w:hAnsi="宋体"/>
                <w:b/>
                <w:color w:val="000000"/>
                <w:sz w:val="24"/>
                <w:szCs w:val="24"/>
              </w:rPr>
              <w:t>声环境质量现状及评价</w:t>
            </w:r>
          </w:p>
          <w:p w14:paraId="39431969">
            <w:pPr>
              <w:pStyle w:val="21"/>
              <w:bidi w:val="0"/>
              <w:rPr>
                <w:rFonts w:hint="eastAsia"/>
                <w:color w:val="000000"/>
                <w:lang w:val="en-US" w:eastAsia="zh-CN"/>
              </w:rPr>
            </w:pPr>
            <w:r>
              <w:rPr>
                <w:color w:val="000000"/>
                <w:lang w:val="en-US" w:eastAsia="zh-CN"/>
              </w:rPr>
              <w:t>根据《重庆市城市区域环境噪声标准适用区划分规定调整方案》（渝环发</w:t>
            </w:r>
            <w:r>
              <w:rPr>
                <w:rFonts w:hint="eastAsia"/>
                <w:color w:val="000000"/>
                <w:lang w:val="en-US" w:eastAsia="zh-CN"/>
              </w:rPr>
              <w:t>﹝</w:t>
            </w:r>
            <w:r>
              <w:rPr>
                <w:rFonts w:hint="default"/>
                <w:color w:val="000000"/>
                <w:lang w:val="en-US" w:eastAsia="zh-CN"/>
              </w:rPr>
              <w:t>2007</w:t>
            </w:r>
            <w:r>
              <w:rPr>
                <w:rFonts w:hint="eastAsia"/>
                <w:color w:val="000000"/>
                <w:lang w:val="en-US" w:eastAsia="zh-CN"/>
              </w:rPr>
              <w:t>﹞</w:t>
            </w:r>
            <w:r>
              <w:rPr>
                <w:rFonts w:hint="default"/>
                <w:color w:val="000000"/>
                <w:lang w:val="en-US" w:eastAsia="zh-CN"/>
              </w:rPr>
              <w:t xml:space="preserve">39 </w:t>
            </w:r>
            <w:r>
              <w:rPr>
                <w:rFonts w:hint="eastAsia"/>
                <w:color w:val="000000"/>
                <w:lang w:val="en-US" w:eastAsia="zh-CN"/>
              </w:rPr>
              <w:t>号）、</w:t>
            </w:r>
            <w:r>
              <w:rPr>
                <w:color w:val="000000"/>
                <w:highlight w:val="none"/>
              </w:rPr>
              <w:t>《</w:t>
            </w:r>
            <w:bookmarkStart w:id="5" w:name="_Toc23293"/>
            <w:r>
              <w:rPr>
                <w:rFonts w:hint="eastAsia"/>
                <w:color w:val="000000"/>
                <w:highlight w:val="none"/>
              </w:rPr>
              <w:t>重庆市万州区声环境功能区划分调整方案</w:t>
            </w:r>
            <w:bookmarkEnd w:id="5"/>
            <w:r>
              <w:rPr>
                <w:color w:val="000000"/>
                <w:highlight w:val="none"/>
              </w:rPr>
              <w:t>》</w:t>
            </w:r>
            <w:r>
              <w:rPr>
                <w:rFonts w:hint="eastAsia"/>
                <w:color w:val="000000"/>
                <w:highlight w:val="none"/>
              </w:rPr>
              <w:t>（</w:t>
            </w:r>
            <w:r>
              <w:rPr>
                <w:color w:val="000000"/>
                <w:highlight w:val="none"/>
              </w:rPr>
              <w:t>2023</w:t>
            </w:r>
            <w:r>
              <w:rPr>
                <w:rFonts w:hint="eastAsia"/>
                <w:color w:val="000000"/>
                <w:highlight w:val="none"/>
              </w:rPr>
              <w:t>年</w:t>
            </w:r>
            <w:r>
              <w:rPr>
                <w:color w:val="000000"/>
                <w:highlight w:val="none"/>
              </w:rPr>
              <w:t>1</w:t>
            </w:r>
            <w:r>
              <w:rPr>
                <w:rFonts w:hint="eastAsia"/>
                <w:color w:val="000000"/>
                <w:highlight w:val="none"/>
              </w:rPr>
              <w:t>月）</w:t>
            </w:r>
            <w:r>
              <w:rPr>
                <w:rFonts w:hint="eastAsia"/>
                <w:color w:val="000000"/>
                <w:lang w:val="en-US" w:eastAsia="zh-CN"/>
              </w:rPr>
              <w:t>及《重庆市万州区人民政府关于印发重庆市万州区声环境功能区划分方案的通知》万州府〔</w:t>
            </w:r>
            <w:r>
              <w:rPr>
                <w:rFonts w:hint="default"/>
                <w:color w:val="000000"/>
                <w:lang w:val="en-US" w:eastAsia="zh-CN"/>
              </w:rPr>
              <w:t>2018</w:t>
            </w:r>
            <w:r>
              <w:rPr>
                <w:rFonts w:hint="eastAsia"/>
                <w:color w:val="000000"/>
                <w:lang w:val="en-US" w:eastAsia="zh-CN"/>
              </w:rPr>
              <w:t>〕</w:t>
            </w:r>
            <w:r>
              <w:rPr>
                <w:rFonts w:hint="default"/>
                <w:color w:val="000000"/>
                <w:lang w:val="en-US" w:eastAsia="zh-CN"/>
              </w:rPr>
              <w:t xml:space="preserve">109 </w:t>
            </w:r>
            <w:r>
              <w:rPr>
                <w:rFonts w:hint="eastAsia"/>
                <w:color w:val="000000"/>
                <w:lang w:val="en-US" w:eastAsia="zh-CN"/>
              </w:rPr>
              <w:t>号，本项目所在地划分为3类功能区域，执行《声环境质量标准》（</w:t>
            </w:r>
            <w:r>
              <w:rPr>
                <w:rFonts w:hint="default"/>
                <w:color w:val="000000"/>
                <w:lang w:val="en-US" w:eastAsia="zh-CN"/>
              </w:rPr>
              <w:t>GB3096-2008</w:t>
            </w:r>
            <w:r>
              <w:rPr>
                <w:rFonts w:hint="eastAsia"/>
                <w:color w:val="000000"/>
                <w:lang w:val="en-US" w:eastAsia="zh-CN"/>
              </w:rPr>
              <w:t>）3</w:t>
            </w:r>
            <w:r>
              <w:rPr>
                <w:rFonts w:hint="default"/>
                <w:color w:val="000000"/>
                <w:lang w:val="en-US" w:eastAsia="zh-CN"/>
              </w:rPr>
              <w:t xml:space="preserve"> </w:t>
            </w:r>
            <w:r>
              <w:rPr>
                <w:rFonts w:hint="eastAsia"/>
                <w:color w:val="000000"/>
                <w:lang w:val="en-US" w:eastAsia="zh-CN"/>
              </w:rPr>
              <w:t>类标准。</w:t>
            </w:r>
          </w:p>
          <w:p w14:paraId="456D36FA">
            <w:pPr>
              <w:pStyle w:val="21"/>
              <w:bidi w:val="0"/>
              <w:rPr>
                <w:rFonts w:hint="eastAsia" w:eastAsia="宋体"/>
                <w:color w:val="000000"/>
                <w:lang w:eastAsia="zh-CN"/>
              </w:rPr>
            </w:pPr>
            <w:r>
              <w:rPr>
                <w:rFonts w:hint="eastAsia"/>
                <w:color w:val="000000"/>
                <w:lang w:val="en-US" w:eastAsia="zh-CN"/>
              </w:rPr>
              <w:t>项目</w:t>
            </w:r>
            <w:r>
              <w:rPr>
                <w:color w:val="000000"/>
              </w:rPr>
              <w:t xml:space="preserve">厂界外周边50m范围内不存在声环境保护目标，按照《建设项目环境影响报告表编制技术指南 </w:t>
            </w:r>
            <w:r>
              <w:rPr>
                <w:rFonts w:hint="eastAsia"/>
                <w:color w:val="000000"/>
                <w:lang w:eastAsia="zh-CN"/>
              </w:rPr>
              <w:t>（</w:t>
            </w:r>
            <w:r>
              <w:rPr>
                <w:color w:val="000000"/>
              </w:rPr>
              <w:t>污染影响类</w:t>
            </w:r>
            <w:r>
              <w:rPr>
                <w:rFonts w:hint="eastAsia"/>
                <w:color w:val="000000"/>
                <w:lang w:eastAsia="zh-CN"/>
              </w:rPr>
              <w:t>）（</w:t>
            </w:r>
            <w:r>
              <w:rPr>
                <w:color w:val="000000"/>
              </w:rPr>
              <w:t>试行</w:t>
            </w:r>
            <w:r>
              <w:rPr>
                <w:rFonts w:hint="eastAsia"/>
                <w:color w:val="000000"/>
                <w:lang w:eastAsia="zh-CN"/>
              </w:rPr>
              <w:t>）</w:t>
            </w:r>
            <w:r>
              <w:rPr>
                <w:color w:val="000000"/>
              </w:rPr>
              <w:t>》，本次评价可不进行声环境质量现状监测</w:t>
            </w:r>
            <w:r>
              <w:rPr>
                <w:rFonts w:hint="eastAsia"/>
                <w:color w:val="000000"/>
                <w:lang w:eastAsia="zh-CN"/>
              </w:rPr>
              <w:t>。</w:t>
            </w:r>
          </w:p>
          <w:p w14:paraId="0C71B15F">
            <w:pPr>
              <w:keepLines w:val="0"/>
              <w:pageBreakBefore w:val="0"/>
              <w:kinsoku/>
              <w:wordWrap/>
              <w:topLinePunct w:val="0"/>
              <w:bidi w:val="0"/>
              <w:adjustRightInd w:val="0"/>
              <w:snapToGrid w:val="0"/>
              <w:spacing w:line="360" w:lineRule="auto"/>
              <w:jc w:val="left"/>
              <w:rPr>
                <w:rFonts w:hint="eastAsia" w:ascii="Times New Roman" w:hAnsi="宋体"/>
                <w:b/>
                <w:bCs/>
                <w:snapToGrid w:val="0"/>
                <w:color w:val="000000"/>
                <w:kern w:val="0"/>
                <w:sz w:val="24"/>
                <w:szCs w:val="24"/>
              </w:rPr>
            </w:pPr>
            <w:r>
              <w:rPr>
                <w:rFonts w:hint="eastAsia" w:ascii="Times New Roman" w:hAnsi="宋体"/>
                <w:b/>
                <w:bCs/>
                <w:snapToGrid w:val="0"/>
                <w:color w:val="000000"/>
                <w:kern w:val="0"/>
                <w:sz w:val="24"/>
                <w:szCs w:val="24"/>
                <w:lang w:val="en-US" w:eastAsia="zh-CN"/>
              </w:rPr>
              <w:t>4、</w:t>
            </w:r>
            <w:r>
              <w:rPr>
                <w:rFonts w:hint="eastAsia" w:ascii="Times New Roman" w:hAnsi="宋体"/>
                <w:b/>
                <w:bCs/>
                <w:snapToGrid w:val="0"/>
                <w:color w:val="000000"/>
                <w:kern w:val="0"/>
                <w:sz w:val="24"/>
                <w:szCs w:val="24"/>
              </w:rPr>
              <w:t>生态环境质量现状</w:t>
            </w:r>
          </w:p>
          <w:p w14:paraId="02AFC6D3">
            <w:pPr>
              <w:pStyle w:val="21"/>
              <w:ind w:firstLine="480"/>
              <w:rPr>
                <w:color w:val="000000"/>
              </w:rPr>
            </w:pPr>
            <w:r>
              <w:rPr>
                <w:rFonts w:hint="eastAsia"/>
                <w:color w:val="000000"/>
              </w:rPr>
              <w:t>项目</w:t>
            </w:r>
            <w:r>
              <w:rPr>
                <w:rFonts w:hint="eastAsia"/>
                <w:color w:val="000000"/>
                <w:lang w:val="en-US" w:eastAsia="zh-CN"/>
              </w:rPr>
              <w:t>位于工业园区内，租用已建成厂房，不涉及生态环境敏感目标</w:t>
            </w:r>
            <w:r>
              <w:rPr>
                <w:rFonts w:hint="eastAsia"/>
                <w:color w:val="000000"/>
              </w:rPr>
              <w:t>。</w:t>
            </w:r>
          </w:p>
          <w:p w14:paraId="0F2BF8C5">
            <w:pPr>
              <w:keepLines w:val="0"/>
              <w:pageBreakBefore w:val="0"/>
              <w:kinsoku/>
              <w:wordWrap/>
              <w:topLinePunct w:val="0"/>
              <w:bidi w:val="0"/>
              <w:adjustRightInd w:val="0"/>
              <w:snapToGrid w:val="0"/>
              <w:spacing w:line="360" w:lineRule="auto"/>
              <w:jc w:val="left"/>
              <w:rPr>
                <w:rFonts w:hint="eastAsia" w:ascii="Times New Roman" w:hAnsi="宋体"/>
                <w:b/>
                <w:bCs/>
                <w:snapToGrid w:val="0"/>
                <w:color w:val="000000"/>
                <w:kern w:val="0"/>
                <w:sz w:val="24"/>
                <w:szCs w:val="24"/>
              </w:rPr>
            </w:pPr>
            <w:r>
              <w:rPr>
                <w:rFonts w:hint="eastAsia" w:ascii="Times New Roman" w:hAnsi="宋体"/>
                <w:b/>
                <w:bCs/>
                <w:snapToGrid w:val="0"/>
                <w:color w:val="000000"/>
                <w:kern w:val="0"/>
                <w:sz w:val="24"/>
                <w:szCs w:val="24"/>
                <w:lang w:val="en-US" w:eastAsia="zh-CN"/>
              </w:rPr>
              <w:t>5、</w:t>
            </w:r>
            <w:r>
              <w:rPr>
                <w:rFonts w:hint="eastAsia" w:ascii="Times New Roman" w:hAnsi="宋体"/>
                <w:b/>
                <w:bCs/>
                <w:snapToGrid w:val="0"/>
                <w:color w:val="000000"/>
                <w:kern w:val="0"/>
                <w:sz w:val="24"/>
                <w:szCs w:val="24"/>
              </w:rPr>
              <w:t>地下水、土壤环境质量现状</w:t>
            </w:r>
          </w:p>
          <w:p w14:paraId="54883C00">
            <w:pPr>
              <w:pStyle w:val="2"/>
              <w:ind w:firstLine="480" w:firstLineChars="200"/>
              <w:rPr>
                <w:rFonts w:hint="eastAsia" w:ascii="Times New Roman" w:hAnsi="Times New Roman" w:eastAsia="宋体" w:cstheme="minorBidi"/>
                <w:b w:val="0"/>
                <w:bCs w:val="0"/>
                <w:color w:val="auto"/>
                <w:kern w:val="2"/>
                <w:sz w:val="24"/>
                <w:szCs w:val="24"/>
                <w:lang w:val="en-US" w:eastAsia="zh-CN" w:bidi="ar-SA"/>
              </w:rPr>
            </w:pPr>
            <w:r>
              <w:rPr>
                <w:rFonts w:hint="eastAsia" w:ascii="Times New Roman" w:hAnsi="Times New Roman" w:eastAsia="宋体" w:cstheme="minorBidi"/>
                <w:b w:val="0"/>
                <w:bCs w:val="0"/>
                <w:color w:val="auto"/>
                <w:kern w:val="2"/>
                <w:sz w:val="24"/>
                <w:szCs w:val="24"/>
                <w:lang w:val="en-US" w:eastAsia="zh-CN" w:bidi="ar-SA"/>
              </w:rPr>
              <w:t>项目采取分区防渗措施后，正常情况下无地下水及土壤污染途径，可不开展地下水及土壤环境质量现状监测。</w:t>
            </w:r>
          </w:p>
          <w:p w14:paraId="31BC5F6C">
            <w:pPr>
              <w:pStyle w:val="2"/>
              <w:rPr>
                <w:rFonts w:hint="default" w:ascii="Times New Roman" w:hAnsi="Times New Roman" w:eastAsia="宋体" w:cs="Times New Roman"/>
                <w:sz w:val="24"/>
                <w:szCs w:val="24"/>
              </w:rPr>
            </w:pPr>
            <w:r>
              <w:rPr>
                <w:rFonts w:hint="eastAsia" w:eastAsia="宋体" w:cs="Times New Roman"/>
                <w:sz w:val="24"/>
                <w:szCs w:val="24"/>
                <w:lang w:val="en-US" w:eastAsia="zh-CN"/>
              </w:rPr>
              <w:t>5.1、</w:t>
            </w:r>
            <w:r>
              <w:rPr>
                <w:rFonts w:hint="default" w:ascii="Times New Roman" w:hAnsi="Times New Roman" w:eastAsia="宋体" w:cs="Times New Roman"/>
                <w:sz w:val="24"/>
                <w:szCs w:val="24"/>
              </w:rPr>
              <w:t>排放标准</w:t>
            </w:r>
          </w:p>
          <w:p w14:paraId="2E725B2E">
            <w:pPr>
              <w:pStyle w:val="24"/>
              <w:rPr>
                <w:color w:val="auto"/>
              </w:rPr>
            </w:pPr>
            <w:r>
              <w:rPr>
                <w:rFonts w:hint="default"/>
                <w:color w:val="auto"/>
                <w:lang w:val="en-US" w:eastAsia="zh-CN"/>
              </w:rPr>
              <w:t xml:space="preserve"> </w:t>
            </w:r>
            <w:r>
              <w:rPr>
                <w:color w:val="auto"/>
              </w:rPr>
              <w:t>大气污染物排放标准</w:t>
            </w:r>
          </w:p>
          <w:p w14:paraId="66E5ED13">
            <w:pPr>
              <w:pStyle w:val="21"/>
              <w:bidi w:val="0"/>
              <w:rPr>
                <w:rFonts w:hint="eastAsia" w:eastAsia="宋体"/>
                <w:color w:val="000000"/>
                <w:lang w:val="en-US" w:eastAsia="zh-CN"/>
              </w:rPr>
            </w:pPr>
            <w:r>
              <w:rPr>
                <w:rStyle w:val="33"/>
                <w:rFonts w:hint="eastAsia"/>
                <w:color w:val="000000"/>
                <w:lang w:val="en-US" w:eastAsia="zh-CN"/>
              </w:rPr>
              <w:t>项目</w:t>
            </w:r>
            <w:r>
              <w:rPr>
                <w:rStyle w:val="33"/>
                <w:rFonts w:hint="default"/>
                <w:color w:val="000000"/>
              </w:rPr>
              <w:t>营运期</w:t>
            </w:r>
            <w:r>
              <w:rPr>
                <w:rStyle w:val="33"/>
                <w:rFonts w:hint="eastAsia"/>
                <w:color w:val="000000"/>
                <w:lang w:eastAsia="zh-CN"/>
              </w:rPr>
              <w:t>生产废气执行重庆市</w:t>
            </w:r>
            <w:r>
              <w:rPr>
                <w:rStyle w:val="33"/>
                <w:rFonts w:hint="eastAsia"/>
                <w:color w:val="000000"/>
              </w:rPr>
              <w:t>《大气污染物综合排放标准》（DB50/418-2016）</w:t>
            </w:r>
            <w:r>
              <w:rPr>
                <w:rStyle w:val="33"/>
                <w:rFonts w:hint="eastAsia"/>
                <w:color w:val="000000"/>
                <w:lang w:val="en-US" w:eastAsia="zh-CN"/>
              </w:rPr>
              <w:t>标准，</w:t>
            </w:r>
            <w:r>
              <w:rPr>
                <w:rStyle w:val="33"/>
                <w:rFonts w:hint="eastAsia"/>
                <w:color w:val="000000"/>
              </w:rPr>
              <w:t>厂区内非甲烷总烃执行《挥发性有机物无组织排放控制标准》（GB37822-2019）中排放限值</w:t>
            </w:r>
            <w:r>
              <w:rPr>
                <w:rFonts w:hint="default" w:ascii="Times New Roman" w:hAnsi="Times New Roman" w:eastAsia="宋体" w:cs="Times New Roman"/>
                <w:b w:val="0"/>
                <w:bCs w:val="0"/>
                <w:color w:val="000000"/>
                <w:sz w:val="24"/>
                <w:szCs w:val="24"/>
                <w:vertAlign w:val="baseline"/>
                <w:lang w:val="en-US" w:eastAsia="zh-CN"/>
              </w:rPr>
              <w:t>。</w:t>
            </w:r>
            <w:r>
              <w:rPr>
                <w:rFonts w:hint="eastAsia" w:ascii="Times New Roman" w:hAnsi="Times New Roman" w:eastAsia="宋体" w:cs="Times New Roman"/>
                <w:color w:val="000000"/>
                <w:sz w:val="24"/>
                <w:szCs w:val="24"/>
                <w:lang w:val="en-US" w:eastAsia="zh-CN"/>
              </w:rPr>
              <w:t>由于</w:t>
            </w:r>
            <w:r>
              <w:rPr>
                <w:rFonts w:hint="default" w:ascii="Times New Roman" w:hAnsi="Times New Roman" w:eastAsia="宋体" w:cs="Times New Roman"/>
                <w:color w:val="000000"/>
                <w:sz w:val="24"/>
                <w:szCs w:val="24"/>
                <w:lang w:val="en-US" w:eastAsia="zh-CN"/>
              </w:rPr>
              <w:t>本项目车间边界即为厂界，同时</w:t>
            </w:r>
            <w:r>
              <w:rPr>
                <w:rFonts w:hint="eastAsia" w:ascii="Times New Roman" w:hAnsi="Times New Roman" w:eastAsia="宋体" w:cs="Times New Roman"/>
                <w:color w:val="000000"/>
                <w:sz w:val="24"/>
                <w:szCs w:val="24"/>
                <w:lang w:val="en-US" w:eastAsia="zh-CN"/>
              </w:rPr>
              <w:t>重</w:t>
            </w:r>
            <w:r>
              <w:rPr>
                <w:rFonts w:hint="eastAsia" w:ascii="Times New Roman" w:hAnsi="Times New Roman" w:eastAsia="宋体" w:cs="Times New Roman"/>
                <w:b w:val="0"/>
                <w:bCs w:val="0"/>
                <w:color w:val="000000"/>
                <w:sz w:val="24"/>
                <w:szCs w:val="24"/>
                <w:vertAlign w:val="baseline"/>
                <w:lang w:val="en-US" w:eastAsia="zh-CN"/>
              </w:rPr>
              <w:t>庆市《大气污染物综合排放标准》（</w:t>
            </w:r>
            <w:r>
              <w:rPr>
                <w:rFonts w:hint="eastAsia" w:ascii="Times New Roman" w:hAnsi="Times New Roman" w:eastAsia="宋体" w:cs="Times New Roman"/>
                <w:b w:val="0"/>
                <w:bCs w:val="0"/>
                <w:color w:val="000000"/>
                <w:sz w:val="24"/>
                <w:szCs w:val="24"/>
                <w:vertAlign w:val="baseline"/>
                <w:lang w:val="en-US" w:eastAsia="en-US"/>
              </w:rPr>
              <w:t>DB50/418-2016</w:t>
            </w:r>
            <w:r>
              <w:rPr>
                <w:rFonts w:hint="eastAsia" w:ascii="Times New Roman" w:hAnsi="Times New Roman" w:eastAsia="宋体" w:cs="Times New Roman"/>
                <w:b w:val="0"/>
                <w:bCs w:val="0"/>
                <w:color w:val="000000"/>
                <w:sz w:val="24"/>
                <w:szCs w:val="24"/>
                <w:vertAlign w:val="baseline"/>
                <w:lang w:val="en-US" w:eastAsia="zh-CN"/>
              </w:rPr>
              <w:t>）</w:t>
            </w:r>
            <w:r>
              <w:rPr>
                <w:rFonts w:hint="default" w:ascii="Times New Roman" w:hAnsi="Times New Roman" w:eastAsia="宋体" w:cs="Times New Roman"/>
                <w:b w:val="0"/>
                <w:bCs w:val="0"/>
                <w:color w:val="000000"/>
                <w:sz w:val="24"/>
                <w:szCs w:val="24"/>
                <w:vertAlign w:val="baseline"/>
                <w:lang w:val="en-US" w:eastAsia="zh-CN"/>
              </w:rPr>
              <w:t>中规定的</w:t>
            </w:r>
            <w:r>
              <w:rPr>
                <w:rFonts w:hint="eastAsia" w:ascii="Times New Roman" w:hAnsi="Times New Roman" w:eastAsia="宋体" w:cs="Times New Roman"/>
                <w:b w:val="0"/>
                <w:bCs w:val="0"/>
                <w:color w:val="000000"/>
                <w:sz w:val="24"/>
                <w:szCs w:val="24"/>
                <w:vertAlign w:val="baseline"/>
                <w:lang w:val="en-US" w:eastAsia="zh-CN"/>
              </w:rPr>
              <w:t>厂界</w:t>
            </w:r>
            <w:r>
              <w:rPr>
                <w:rFonts w:hint="default" w:ascii="Times New Roman" w:hAnsi="Times New Roman" w:eastAsia="宋体" w:cs="Times New Roman"/>
                <w:b w:val="0"/>
                <w:bCs w:val="0"/>
                <w:color w:val="000000"/>
                <w:sz w:val="24"/>
                <w:szCs w:val="24"/>
                <w:vertAlign w:val="baseline"/>
                <w:lang w:val="en-US" w:eastAsia="zh-CN"/>
              </w:rPr>
              <w:t>无组织排放监控点浓度严于《挥发性有机物无组织排放控制标准》（GB37822-2019）中规定的</w:t>
            </w:r>
            <w:r>
              <w:rPr>
                <w:rFonts w:hint="eastAsia" w:ascii="Times New Roman" w:hAnsi="Times New Roman" w:eastAsia="宋体" w:cs="Times New Roman"/>
                <w:b w:val="0"/>
                <w:bCs w:val="0"/>
                <w:color w:val="000000"/>
                <w:sz w:val="24"/>
                <w:szCs w:val="24"/>
                <w:vertAlign w:val="baseline"/>
                <w:lang w:val="en-US" w:eastAsia="zh-CN"/>
              </w:rPr>
              <w:t>厂区内</w:t>
            </w:r>
            <w:r>
              <w:rPr>
                <w:rFonts w:hint="default" w:ascii="Times New Roman" w:hAnsi="Times New Roman" w:eastAsia="宋体" w:cs="Times New Roman"/>
                <w:b w:val="0"/>
                <w:bCs w:val="0"/>
                <w:color w:val="000000"/>
                <w:sz w:val="24"/>
                <w:szCs w:val="24"/>
                <w:vertAlign w:val="baseline"/>
                <w:lang w:val="en-US" w:eastAsia="zh-CN"/>
              </w:rPr>
              <w:t>无组织排放监控点浓度，因此本项目</w:t>
            </w:r>
            <w:r>
              <w:rPr>
                <w:rFonts w:hint="default" w:ascii="Times New Roman" w:hAnsi="Times New Roman" w:eastAsia="宋体" w:cs="Times New Roman"/>
                <w:color w:val="000000"/>
                <w:sz w:val="24"/>
                <w:szCs w:val="24"/>
                <w:lang w:val="en-US" w:eastAsia="zh-CN"/>
              </w:rPr>
              <w:t>无</w:t>
            </w:r>
            <w:r>
              <w:rPr>
                <w:rFonts w:hint="default" w:ascii="Times New Roman" w:hAnsi="Times New Roman" w:eastAsia="宋体" w:cs="Times New Roman"/>
                <w:b w:val="0"/>
                <w:bCs w:val="0"/>
                <w:color w:val="000000"/>
                <w:sz w:val="24"/>
                <w:szCs w:val="24"/>
                <w:vertAlign w:val="baseline"/>
                <w:lang w:val="en-US" w:eastAsia="zh-CN"/>
              </w:rPr>
              <w:t>组织</w:t>
            </w:r>
            <w:r>
              <w:rPr>
                <w:rFonts w:hint="eastAsia" w:ascii="Times New Roman" w:hAnsi="Times New Roman" w:eastAsia="宋体" w:cs="Times New Roman"/>
                <w:b w:val="0"/>
                <w:bCs w:val="0"/>
                <w:color w:val="000000"/>
                <w:sz w:val="24"/>
                <w:szCs w:val="24"/>
                <w:vertAlign w:val="baseline"/>
                <w:lang w:val="en-US" w:eastAsia="zh-CN"/>
              </w:rPr>
              <w:t>废气执行重庆市《大气污染物综合排放标准》（DB50/418-2016）标准。具体标准值详见下表。</w:t>
            </w:r>
          </w:p>
          <w:p w14:paraId="78D0A748">
            <w:pPr>
              <w:pStyle w:val="23"/>
              <w:bidi w:val="0"/>
              <w:rPr>
                <w:color w:val="000000"/>
                <w:highlight w:val="none"/>
              </w:rPr>
            </w:pPr>
            <w:r>
              <w:rPr>
                <w:color w:val="000000"/>
                <w:highlight w:val="none"/>
              </w:rPr>
              <w:t>表</w:t>
            </w:r>
            <w:r>
              <w:rPr>
                <w:rFonts w:hint="eastAsia"/>
                <w:color w:val="000000"/>
                <w:highlight w:val="none"/>
                <w:lang w:val="en-US" w:eastAsia="zh-CN"/>
              </w:rPr>
              <w:t>3.11-1</w:t>
            </w:r>
            <w:r>
              <w:rPr>
                <w:color w:val="000000"/>
                <w:highlight w:val="none"/>
              </w:rPr>
              <w:t xml:space="preserve"> </w:t>
            </w:r>
            <w:r>
              <w:rPr>
                <w:rFonts w:hint="eastAsia"/>
                <w:color w:val="000000"/>
                <w:highlight w:val="none"/>
                <w:lang w:val="en-US" w:eastAsia="zh-CN"/>
              </w:rPr>
              <w:t>重庆市《大气污染物综合排放标准》（DB50/418-2016）</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7"/>
              <w:gridCol w:w="649"/>
              <w:gridCol w:w="1195"/>
              <w:gridCol w:w="1525"/>
              <w:gridCol w:w="1012"/>
              <w:gridCol w:w="1124"/>
              <w:gridCol w:w="1635"/>
            </w:tblGrid>
            <w:tr w14:paraId="5E079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77" w:type="dxa"/>
                  <w:vMerge w:val="restart"/>
                  <w:noWrap w:val="0"/>
                  <w:vAlign w:val="center"/>
                </w:tcPr>
                <w:p w14:paraId="6A1B5E8A">
                  <w:pPr>
                    <w:pStyle w:val="34"/>
                    <w:bidi w:val="0"/>
                    <w:rPr>
                      <w:rFonts w:hint="default"/>
                      <w:color w:val="000000"/>
                      <w:lang w:val="en-US"/>
                    </w:rPr>
                  </w:pPr>
                  <w:r>
                    <w:rPr>
                      <w:rFonts w:hint="default"/>
                      <w:color w:val="000000"/>
                      <w:lang w:val="en-US"/>
                    </w:rPr>
                    <w:t>污染物</w:t>
                  </w:r>
                </w:p>
              </w:tc>
              <w:tc>
                <w:tcPr>
                  <w:tcW w:w="649" w:type="dxa"/>
                  <w:vMerge w:val="restart"/>
                  <w:noWrap w:val="0"/>
                  <w:vAlign w:val="center"/>
                </w:tcPr>
                <w:p w14:paraId="33A7AAAC">
                  <w:pPr>
                    <w:pStyle w:val="34"/>
                    <w:bidi w:val="0"/>
                    <w:rPr>
                      <w:rFonts w:hint="default"/>
                      <w:color w:val="000000"/>
                      <w:lang w:val="en-US"/>
                    </w:rPr>
                  </w:pPr>
                  <w:r>
                    <w:rPr>
                      <w:rFonts w:hint="default"/>
                      <w:color w:val="000000"/>
                    </w:rPr>
                    <w:t>适用区域</w:t>
                  </w:r>
                </w:p>
              </w:tc>
              <w:tc>
                <w:tcPr>
                  <w:tcW w:w="1195" w:type="dxa"/>
                  <w:vMerge w:val="restart"/>
                  <w:noWrap w:val="0"/>
                  <w:vAlign w:val="center"/>
                </w:tcPr>
                <w:p w14:paraId="7224D94E">
                  <w:pPr>
                    <w:pStyle w:val="34"/>
                    <w:bidi w:val="0"/>
                    <w:rPr>
                      <w:rFonts w:hint="default"/>
                      <w:color w:val="000000"/>
                      <w:lang w:val="en-US"/>
                    </w:rPr>
                  </w:pPr>
                  <w:r>
                    <w:rPr>
                      <w:rFonts w:hint="default"/>
                      <w:color w:val="000000"/>
                      <w:lang w:val="en-US"/>
                    </w:rPr>
                    <w:t>最高允许</w:t>
                  </w:r>
                </w:p>
                <w:p w14:paraId="28BAC760">
                  <w:pPr>
                    <w:pStyle w:val="34"/>
                    <w:bidi w:val="0"/>
                    <w:rPr>
                      <w:rFonts w:hint="default"/>
                      <w:color w:val="000000"/>
                      <w:lang w:val="en-US"/>
                    </w:rPr>
                  </w:pPr>
                  <w:r>
                    <w:rPr>
                      <w:rFonts w:hint="default"/>
                      <w:color w:val="000000"/>
                      <w:lang w:val="en-US"/>
                    </w:rPr>
                    <w:t>排放浓度</w:t>
                  </w:r>
                </w:p>
                <w:p w14:paraId="127D520F">
                  <w:pPr>
                    <w:pStyle w:val="34"/>
                    <w:bidi w:val="0"/>
                    <w:rPr>
                      <w:rFonts w:hint="default"/>
                      <w:color w:val="000000"/>
                      <w:lang w:val="en-US"/>
                    </w:rPr>
                  </w:pPr>
                  <w:r>
                    <w:rPr>
                      <w:rFonts w:hint="default"/>
                      <w:color w:val="000000"/>
                      <w:lang w:val="en-US"/>
                    </w:rPr>
                    <w:t>（mg/m</w:t>
                  </w:r>
                  <w:r>
                    <w:rPr>
                      <w:rFonts w:hint="default"/>
                      <w:color w:val="000000"/>
                      <w:vertAlign w:val="superscript"/>
                      <w:lang w:val="en-US"/>
                    </w:rPr>
                    <w:t>3</w:t>
                  </w:r>
                  <w:r>
                    <w:rPr>
                      <w:rFonts w:hint="default"/>
                      <w:color w:val="000000"/>
                      <w:lang w:val="en-US"/>
                    </w:rPr>
                    <w:t>）</w:t>
                  </w:r>
                </w:p>
              </w:tc>
              <w:tc>
                <w:tcPr>
                  <w:tcW w:w="2537" w:type="dxa"/>
                  <w:gridSpan w:val="2"/>
                  <w:noWrap w:val="0"/>
                  <w:vAlign w:val="center"/>
                </w:tcPr>
                <w:p w14:paraId="5762A2B6">
                  <w:pPr>
                    <w:pStyle w:val="34"/>
                    <w:bidi w:val="0"/>
                    <w:rPr>
                      <w:rFonts w:hint="default"/>
                      <w:color w:val="000000"/>
                      <w:lang w:val="en-US"/>
                    </w:rPr>
                  </w:pPr>
                  <w:r>
                    <w:rPr>
                      <w:rFonts w:hint="default"/>
                      <w:color w:val="000000"/>
                      <w:lang w:val="en-US"/>
                    </w:rPr>
                    <w:t>最高允许排放速率（</w:t>
                  </w:r>
                  <w:r>
                    <w:rPr>
                      <w:rFonts w:hint="default"/>
                      <w:color w:val="000000"/>
                      <w:lang w:val="en-US" w:eastAsia="zh-CN"/>
                    </w:rPr>
                    <w:t>kg</w:t>
                  </w:r>
                  <w:r>
                    <w:rPr>
                      <w:rFonts w:hint="default"/>
                      <w:color w:val="000000"/>
                      <w:lang w:val="en-US"/>
                    </w:rPr>
                    <w:t>/h）</w:t>
                  </w:r>
                </w:p>
              </w:tc>
              <w:tc>
                <w:tcPr>
                  <w:tcW w:w="2759" w:type="dxa"/>
                  <w:gridSpan w:val="2"/>
                  <w:noWrap w:val="0"/>
                  <w:vAlign w:val="center"/>
                </w:tcPr>
                <w:p w14:paraId="0CD4B093">
                  <w:pPr>
                    <w:pStyle w:val="34"/>
                    <w:bidi w:val="0"/>
                    <w:rPr>
                      <w:rFonts w:hint="default"/>
                      <w:color w:val="000000"/>
                      <w:lang w:val="en-US"/>
                    </w:rPr>
                  </w:pPr>
                  <w:r>
                    <w:rPr>
                      <w:rFonts w:hint="default"/>
                      <w:color w:val="000000"/>
                      <w:lang w:val="en-US"/>
                    </w:rPr>
                    <w:t>无组织排放监控浓度限值</w:t>
                  </w:r>
                </w:p>
              </w:tc>
            </w:tr>
            <w:tr w14:paraId="1F464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77" w:type="dxa"/>
                  <w:vMerge w:val="continue"/>
                  <w:noWrap w:val="0"/>
                  <w:vAlign w:val="center"/>
                </w:tcPr>
                <w:p w14:paraId="4E12C3C8">
                  <w:pPr>
                    <w:pStyle w:val="34"/>
                    <w:bidi w:val="0"/>
                    <w:rPr>
                      <w:rFonts w:hint="default"/>
                      <w:color w:val="000000"/>
                      <w:lang w:val="en-US"/>
                    </w:rPr>
                  </w:pPr>
                </w:p>
              </w:tc>
              <w:tc>
                <w:tcPr>
                  <w:tcW w:w="649" w:type="dxa"/>
                  <w:vMerge w:val="continue"/>
                  <w:noWrap w:val="0"/>
                  <w:vAlign w:val="center"/>
                </w:tcPr>
                <w:p w14:paraId="0906338F">
                  <w:pPr>
                    <w:pStyle w:val="34"/>
                    <w:bidi w:val="0"/>
                    <w:rPr>
                      <w:rFonts w:hint="default"/>
                      <w:color w:val="000000"/>
                      <w:lang w:val="en-US"/>
                    </w:rPr>
                  </w:pPr>
                </w:p>
              </w:tc>
              <w:tc>
                <w:tcPr>
                  <w:tcW w:w="1195" w:type="dxa"/>
                  <w:vMerge w:val="continue"/>
                  <w:noWrap w:val="0"/>
                  <w:vAlign w:val="center"/>
                </w:tcPr>
                <w:p w14:paraId="5F171446">
                  <w:pPr>
                    <w:pStyle w:val="34"/>
                    <w:bidi w:val="0"/>
                    <w:rPr>
                      <w:rFonts w:hint="default"/>
                      <w:color w:val="000000"/>
                      <w:lang w:val="en-US"/>
                    </w:rPr>
                  </w:pPr>
                </w:p>
              </w:tc>
              <w:tc>
                <w:tcPr>
                  <w:tcW w:w="1525" w:type="dxa"/>
                  <w:noWrap w:val="0"/>
                  <w:vAlign w:val="center"/>
                </w:tcPr>
                <w:p w14:paraId="660FC792">
                  <w:pPr>
                    <w:pStyle w:val="34"/>
                    <w:bidi w:val="0"/>
                    <w:rPr>
                      <w:rFonts w:hint="default"/>
                      <w:color w:val="000000"/>
                      <w:lang w:val="en-US"/>
                    </w:rPr>
                  </w:pPr>
                  <w:r>
                    <w:rPr>
                      <w:rFonts w:hint="default"/>
                      <w:color w:val="000000"/>
                      <w:lang w:val="en-US"/>
                    </w:rPr>
                    <w:t>排气筒</w:t>
                  </w:r>
                  <w:r>
                    <w:rPr>
                      <w:rFonts w:hint="eastAsia"/>
                      <w:color w:val="000000"/>
                      <w:lang w:val="en-US" w:eastAsia="zh-CN"/>
                    </w:rPr>
                    <w:t>高度</w:t>
                  </w:r>
                  <w:r>
                    <w:rPr>
                      <w:rFonts w:hint="default"/>
                      <w:color w:val="000000"/>
                      <w:lang w:val="en-US"/>
                    </w:rPr>
                    <w:t>（m）</w:t>
                  </w:r>
                </w:p>
              </w:tc>
              <w:tc>
                <w:tcPr>
                  <w:tcW w:w="1012" w:type="dxa"/>
                  <w:noWrap w:val="0"/>
                  <w:vAlign w:val="center"/>
                </w:tcPr>
                <w:p w14:paraId="2E6D6E75">
                  <w:pPr>
                    <w:pStyle w:val="34"/>
                    <w:bidi w:val="0"/>
                    <w:rPr>
                      <w:rFonts w:hint="default"/>
                      <w:color w:val="000000"/>
                      <w:lang w:val="en-US"/>
                    </w:rPr>
                  </w:pPr>
                  <w:r>
                    <w:rPr>
                      <w:rFonts w:hint="default"/>
                      <w:color w:val="000000"/>
                      <w:lang w:val="en-US"/>
                    </w:rPr>
                    <w:t>二级</w:t>
                  </w:r>
                </w:p>
              </w:tc>
              <w:tc>
                <w:tcPr>
                  <w:tcW w:w="1124" w:type="dxa"/>
                  <w:noWrap w:val="0"/>
                  <w:vAlign w:val="center"/>
                </w:tcPr>
                <w:p w14:paraId="0CF7759C">
                  <w:pPr>
                    <w:pStyle w:val="34"/>
                    <w:bidi w:val="0"/>
                    <w:rPr>
                      <w:rFonts w:hint="default"/>
                      <w:color w:val="000000"/>
                      <w:lang w:val="en-US"/>
                    </w:rPr>
                  </w:pPr>
                  <w:r>
                    <w:rPr>
                      <w:rFonts w:hint="default"/>
                      <w:color w:val="000000"/>
                      <w:lang w:val="en-US"/>
                    </w:rPr>
                    <w:t>监控点</w:t>
                  </w:r>
                </w:p>
              </w:tc>
              <w:tc>
                <w:tcPr>
                  <w:tcW w:w="1635" w:type="dxa"/>
                  <w:noWrap w:val="0"/>
                  <w:vAlign w:val="center"/>
                </w:tcPr>
                <w:p w14:paraId="0904FF58">
                  <w:pPr>
                    <w:pStyle w:val="34"/>
                    <w:bidi w:val="0"/>
                    <w:rPr>
                      <w:rFonts w:hint="default"/>
                      <w:color w:val="000000"/>
                      <w:lang w:val="en-US"/>
                    </w:rPr>
                  </w:pPr>
                  <w:r>
                    <w:rPr>
                      <w:rFonts w:hint="default"/>
                      <w:color w:val="000000"/>
                      <w:lang w:val="en-US"/>
                    </w:rPr>
                    <w:t>浓度（mg/m</w:t>
                  </w:r>
                  <w:r>
                    <w:rPr>
                      <w:rFonts w:hint="default"/>
                      <w:color w:val="000000"/>
                      <w:vertAlign w:val="superscript"/>
                      <w:lang w:val="en-US"/>
                    </w:rPr>
                    <w:t>3</w:t>
                  </w:r>
                  <w:r>
                    <w:rPr>
                      <w:rFonts w:hint="default"/>
                      <w:color w:val="000000"/>
                      <w:lang w:val="en-US"/>
                    </w:rPr>
                    <w:t>）</w:t>
                  </w:r>
                </w:p>
              </w:tc>
            </w:tr>
            <w:tr w14:paraId="6C9E1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77" w:type="dxa"/>
                  <w:noWrap w:val="0"/>
                  <w:vAlign w:val="center"/>
                </w:tcPr>
                <w:p w14:paraId="5DB1E15A">
                  <w:pPr>
                    <w:pStyle w:val="34"/>
                    <w:bidi w:val="0"/>
                    <w:rPr>
                      <w:rFonts w:hint="default"/>
                      <w:color w:val="000000"/>
                      <w:lang w:val="en-US"/>
                    </w:rPr>
                  </w:pPr>
                  <w:r>
                    <w:rPr>
                      <w:rFonts w:hint="default"/>
                      <w:color w:val="000000"/>
                    </w:rPr>
                    <w:t>其他</w:t>
                  </w:r>
                  <w:r>
                    <w:rPr>
                      <w:rFonts w:hint="default"/>
                      <w:color w:val="000000"/>
                      <w:lang w:val="en-US"/>
                    </w:rPr>
                    <w:t>颗粒物</w:t>
                  </w:r>
                </w:p>
              </w:tc>
              <w:tc>
                <w:tcPr>
                  <w:tcW w:w="649" w:type="dxa"/>
                  <w:vMerge w:val="restart"/>
                  <w:noWrap w:val="0"/>
                  <w:vAlign w:val="center"/>
                </w:tcPr>
                <w:p w14:paraId="21E26F07">
                  <w:pPr>
                    <w:pStyle w:val="34"/>
                    <w:bidi w:val="0"/>
                    <w:rPr>
                      <w:rFonts w:hint="default"/>
                      <w:color w:val="000000"/>
                    </w:rPr>
                  </w:pPr>
                  <w:r>
                    <w:rPr>
                      <w:rFonts w:hint="default"/>
                      <w:color w:val="000000"/>
                      <w:lang w:eastAsia="zh-CN"/>
                    </w:rPr>
                    <w:t>其他区域</w:t>
                  </w:r>
                </w:p>
              </w:tc>
              <w:tc>
                <w:tcPr>
                  <w:tcW w:w="1195" w:type="dxa"/>
                  <w:noWrap w:val="0"/>
                  <w:vAlign w:val="center"/>
                </w:tcPr>
                <w:p w14:paraId="14E2CC58">
                  <w:pPr>
                    <w:pStyle w:val="34"/>
                    <w:bidi w:val="0"/>
                    <w:rPr>
                      <w:rFonts w:hint="default"/>
                      <w:color w:val="000000"/>
                      <w:lang w:val="en-US" w:eastAsia="zh-CN"/>
                    </w:rPr>
                  </w:pPr>
                  <w:r>
                    <w:rPr>
                      <w:rFonts w:hint="default"/>
                      <w:color w:val="000000"/>
                      <w:lang w:val="en-US" w:eastAsia="zh-CN"/>
                    </w:rPr>
                    <w:t>120</w:t>
                  </w:r>
                </w:p>
              </w:tc>
              <w:tc>
                <w:tcPr>
                  <w:tcW w:w="1525" w:type="dxa"/>
                  <w:vMerge w:val="restart"/>
                  <w:noWrap w:val="0"/>
                  <w:vAlign w:val="center"/>
                </w:tcPr>
                <w:p w14:paraId="6ED8330F">
                  <w:pPr>
                    <w:pStyle w:val="34"/>
                    <w:bidi w:val="0"/>
                    <w:rPr>
                      <w:rFonts w:hint="default" w:ascii="Times New Roman" w:hAnsi="Times New Roman" w:eastAsia="宋体" w:cs="Times New Roman"/>
                      <w:bCs/>
                      <w:color w:val="000000"/>
                      <w:kern w:val="2"/>
                      <w:sz w:val="21"/>
                      <w:szCs w:val="21"/>
                      <w:lang w:val="en-US" w:eastAsia="zh-CN" w:bidi="ar-SA"/>
                    </w:rPr>
                  </w:pPr>
                  <w:r>
                    <w:rPr>
                      <w:rFonts w:hint="default"/>
                      <w:color w:val="000000"/>
                      <w:lang w:val="en-US" w:eastAsia="zh-CN"/>
                    </w:rPr>
                    <w:t>15</w:t>
                  </w:r>
                </w:p>
              </w:tc>
              <w:tc>
                <w:tcPr>
                  <w:tcW w:w="1012" w:type="dxa"/>
                  <w:noWrap w:val="0"/>
                  <w:vAlign w:val="center"/>
                </w:tcPr>
                <w:p w14:paraId="59C18417">
                  <w:pPr>
                    <w:pStyle w:val="34"/>
                    <w:bidi w:val="0"/>
                    <w:rPr>
                      <w:rFonts w:hint="default"/>
                      <w:color w:val="000000"/>
                      <w:lang w:val="en-US" w:eastAsia="zh-CN"/>
                    </w:rPr>
                  </w:pPr>
                  <w:r>
                    <w:rPr>
                      <w:rFonts w:hint="default"/>
                      <w:color w:val="000000"/>
                      <w:lang w:val="en-US" w:eastAsia="zh-CN"/>
                    </w:rPr>
                    <w:t>3.5</w:t>
                  </w:r>
                </w:p>
              </w:tc>
              <w:tc>
                <w:tcPr>
                  <w:tcW w:w="1124" w:type="dxa"/>
                  <w:vMerge w:val="restart"/>
                  <w:noWrap w:val="0"/>
                  <w:vAlign w:val="center"/>
                </w:tcPr>
                <w:p w14:paraId="49BEE3F2">
                  <w:pPr>
                    <w:pStyle w:val="34"/>
                    <w:bidi w:val="0"/>
                    <w:rPr>
                      <w:rFonts w:hint="default"/>
                      <w:color w:val="000000"/>
                      <w:lang w:val="en-US"/>
                    </w:rPr>
                  </w:pPr>
                  <w:r>
                    <w:rPr>
                      <w:rFonts w:hint="default"/>
                      <w:color w:val="000000"/>
                    </w:rPr>
                    <w:t>周界外浓度最高点</w:t>
                  </w:r>
                </w:p>
              </w:tc>
              <w:tc>
                <w:tcPr>
                  <w:tcW w:w="1635" w:type="dxa"/>
                  <w:noWrap w:val="0"/>
                  <w:vAlign w:val="center"/>
                </w:tcPr>
                <w:p w14:paraId="4125069D">
                  <w:pPr>
                    <w:pStyle w:val="34"/>
                    <w:bidi w:val="0"/>
                    <w:rPr>
                      <w:rFonts w:hint="default"/>
                      <w:color w:val="000000"/>
                      <w:lang w:val="en-US"/>
                    </w:rPr>
                  </w:pPr>
                  <w:r>
                    <w:rPr>
                      <w:rFonts w:hint="default"/>
                      <w:color w:val="000000"/>
                      <w:lang w:val="en-US"/>
                    </w:rPr>
                    <w:t>1.0</w:t>
                  </w:r>
                </w:p>
              </w:tc>
            </w:tr>
            <w:tr w14:paraId="69D1E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77" w:type="dxa"/>
                  <w:noWrap w:val="0"/>
                  <w:vAlign w:val="center"/>
                </w:tcPr>
                <w:p w14:paraId="5FE2869B">
                  <w:pPr>
                    <w:pStyle w:val="34"/>
                    <w:bidi w:val="0"/>
                    <w:rPr>
                      <w:rFonts w:hint="eastAsia" w:eastAsia="宋体"/>
                      <w:color w:val="000000"/>
                      <w:lang w:val="en-US" w:eastAsia="zh-CN"/>
                    </w:rPr>
                  </w:pPr>
                  <w:r>
                    <w:rPr>
                      <w:rFonts w:hint="eastAsia"/>
                      <w:color w:val="000000"/>
                      <w:lang w:val="en-US" w:eastAsia="zh-CN"/>
                    </w:rPr>
                    <w:t>非甲烷总烃</w:t>
                  </w:r>
                </w:p>
              </w:tc>
              <w:tc>
                <w:tcPr>
                  <w:tcW w:w="649" w:type="dxa"/>
                  <w:vMerge w:val="continue"/>
                  <w:noWrap w:val="0"/>
                  <w:vAlign w:val="center"/>
                </w:tcPr>
                <w:p w14:paraId="7400917F">
                  <w:pPr>
                    <w:pStyle w:val="34"/>
                    <w:bidi w:val="0"/>
                    <w:rPr>
                      <w:rFonts w:hint="default"/>
                      <w:color w:val="000000"/>
                      <w:lang w:eastAsia="zh-CN"/>
                    </w:rPr>
                  </w:pPr>
                </w:p>
              </w:tc>
              <w:tc>
                <w:tcPr>
                  <w:tcW w:w="1195" w:type="dxa"/>
                  <w:noWrap w:val="0"/>
                  <w:vAlign w:val="center"/>
                </w:tcPr>
                <w:p w14:paraId="1520F5BF">
                  <w:pPr>
                    <w:pStyle w:val="34"/>
                    <w:bidi w:val="0"/>
                    <w:rPr>
                      <w:rFonts w:hint="default"/>
                      <w:color w:val="000000"/>
                      <w:lang w:val="en-US" w:eastAsia="zh-CN"/>
                    </w:rPr>
                  </w:pPr>
                  <w:r>
                    <w:rPr>
                      <w:rFonts w:hint="eastAsia"/>
                      <w:color w:val="000000"/>
                      <w:lang w:val="en-US" w:eastAsia="zh-CN"/>
                    </w:rPr>
                    <w:t>120</w:t>
                  </w:r>
                </w:p>
              </w:tc>
              <w:tc>
                <w:tcPr>
                  <w:tcW w:w="1525" w:type="dxa"/>
                  <w:vMerge w:val="continue"/>
                  <w:noWrap w:val="0"/>
                  <w:vAlign w:val="center"/>
                </w:tcPr>
                <w:p w14:paraId="69D0FF12">
                  <w:pPr>
                    <w:pStyle w:val="34"/>
                    <w:bidi w:val="0"/>
                    <w:rPr>
                      <w:rFonts w:hint="eastAsia" w:ascii="Times New Roman" w:hAnsi="Times New Roman" w:eastAsia="宋体" w:cs="Times New Roman"/>
                      <w:bCs/>
                      <w:color w:val="000000"/>
                      <w:kern w:val="2"/>
                      <w:sz w:val="21"/>
                      <w:szCs w:val="21"/>
                      <w:lang w:val="en-US" w:eastAsia="zh-CN" w:bidi="ar-SA"/>
                    </w:rPr>
                  </w:pPr>
                </w:p>
              </w:tc>
              <w:tc>
                <w:tcPr>
                  <w:tcW w:w="1012" w:type="dxa"/>
                  <w:noWrap w:val="0"/>
                  <w:vAlign w:val="center"/>
                </w:tcPr>
                <w:p w14:paraId="4405038E">
                  <w:pPr>
                    <w:pStyle w:val="34"/>
                    <w:bidi w:val="0"/>
                    <w:rPr>
                      <w:rFonts w:hint="default"/>
                      <w:color w:val="000000"/>
                      <w:lang w:val="en-US" w:eastAsia="zh-CN"/>
                    </w:rPr>
                  </w:pPr>
                  <w:r>
                    <w:rPr>
                      <w:rFonts w:hint="eastAsia"/>
                      <w:color w:val="000000"/>
                      <w:lang w:val="en-US" w:eastAsia="zh-CN"/>
                    </w:rPr>
                    <w:t>10</w:t>
                  </w:r>
                </w:p>
              </w:tc>
              <w:tc>
                <w:tcPr>
                  <w:tcW w:w="1124" w:type="dxa"/>
                  <w:vMerge w:val="continue"/>
                  <w:noWrap w:val="0"/>
                  <w:vAlign w:val="center"/>
                </w:tcPr>
                <w:p w14:paraId="3A0936C0">
                  <w:pPr>
                    <w:pStyle w:val="34"/>
                    <w:bidi w:val="0"/>
                    <w:rPr>
                      <w:rFonts w:hint="default"/>
                      <w:color w:val="000000"/>
                    </w:rPr>
                  </w:pPr>
                </w:p>
              </w:tc>
              <w:tc>
                <w:tcPr>
                  <w:tcW w:w="1635" w:type="dxa"/>
                  <w:noWrap w:val="0"/>
                  <w:vAlign w:val="center"/>
                </w:tcPr>
                <w:p w14:paraId="5BCB7F33">
                  <w:pPr>
                    <w:pStyle w:val="34"/>
                    <w:bidi w:val="0"/>
                    <w:rPr>
                      <w:rFonts w:hint="default" w:eastAsia="宋体"/>
                      <w:color w:val="000000"/>
                      <w:lang w:val="en-US" w:eastAsia="zh-CN"/>
                    </w:rPr>
                  </w:pPr>
                  <w:r>
                    <w:rPr>
                      <w:rFonts w:hint="eastAsia"/>
                      <w:color w:val="000000"/>
                      <w:lang w:val="en-US" w:eastAsia="zh-CN"/>
                    </w:rPr>
                    <w:t>4.0</w:t>
                  </w:r>
                </w:p>
              </w:tc>
            </w:tr>
            <w:tr w14:paraId="22331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77" w:type="dxa"/>
                  <w:noWrap w:val="0"/>
                  <w:vAlign w:val="center"/>
                </w:tcPr>
                <w:p w14:paraId="43575C28">
                  <w:pPr>
                    <w:pStyle w:val="34"/>
                    <w:bidi w:val="0"/>
                    <w:rPr>
                      <w:rFonts w:hint="default" w:ascii="Times New Roman" w:hAnsi="Times New Roman" w:eastAsia="宋体" w:cs="Times New Roman"/>
                      <w:bCs/>
                      <w:color w:val="000000"/>
                      <w:kern w:val="2"/>
                      <w:sz w:val="21"/>
                      <w:szCs w:val="21"/>
                      <w:lang w:val="en-US" w:eastAsia="zh-CN" w:bidi="ar-SA"/>
                    </w:rPr>
                  </w:pPr>
                  <w:r>
                    <w:rPr>
                      <w:rFonts w:hint="eastAsia"/>
                      <w:color w:val="000000"/>
                      <w:lang w:val="en-US" w:eastAsia="zh-CN"/>
                    </w:rPr>
                    <w:t>二甲苯</w:t>
                  </w:r>
                </w:p>
              </w:tc>
              <w:tc>
                <w:tcPr>
                  <w:tcW w:w="649" w:type="dxa"/>
                  <w:vMerge w:val="continue"/>
                  <w:noWrap w:val="0"/>
                  <w:vAlign w:val="center"/>
                </w:tcPr>
                <w:p w14:paraId="5DCB4D93">
                  <w:pPr>
                    <w:pStyle w:val="34"/>
                    <w:bidi w:val="0"/>
                    <w:rPr>
                      <w:rFonts w:hint="default" w:ascii="Times New Roman" w:hAnsi="Times New Roman" w:eastAsia="宋体" w:cs="Times New Roman"/>
                      <w:bCs/>
                      <w:color w:val="000000"/>
                      <w:kern w:val="2"/>
                      <w:sz w:val="21"/>
                      <w:szCs w:val="21"/>
                      <w:lang w:val="en-US" w:eastAsia="zh-CN" w:bidi="ar-SA"/>
                    </w:rPr>
                  </w:pPr>
                </w:p>
              </w:tc>
              <w:tc>
                <w:tcPr>
                  <w:tcW w:w="1195" w:type="dxa"/>
                  <w:noWrap w:val="0"/>
                  <w:vAlign w:val="center"/>
                </w:tcPr>
                <w:p w14:paraId="29B3405E">
                  <w:pPr>
                    <w:pStyle w:val="34"/>
                    <w:bidi w:val="0"/>
                    <w:rPr>
                      <w:rFonts w:hint="default" w:ascii="Times New Roman" w:hAnsi="Times New Roman" w:eastAsia="宋体" w:cs="Times New Roman"/>
                      <w:bCs/>
                      <w:color w:val="000000"/>
                      <w:kern w:val="2"/>
                      <w:sz w:val="21"/>
                      <w:szCs w:val="21"/>
                      <w:lang w:val="en-US" w:eastAsia="zh-CN" w:bidi="ar-SA"/>
                    </w:rPr>
                  </w:pPr>
                  <w:r>
                    <w:rPr>
                      <w:rFonts w:hint="eastAsia"/>
                      <w:color w:val="000000"/>
                      <w:lang w:val="en-US" w:eastAsia="zh-CN"/>
                    </w:rPr>
                    <w:t>70</w:t>
                  </w:r>
                </w:p>
              </w:tc>
              <w:tc>
                <w:tcPr>
                  <w:tcW w:w="1525" w:type="dxa"/>
                  <w:vMerge w:val="continue"/>
                  <w:noWrap w:val="0"/>
                  <w:vAlign w:val="center"/>
                </w:tcPr>
                <w:p w14:paraId="4903A745">
                  <w:pPr>
                    <w:pStyle w:val="34"/>
                    <w:bidi w:val="0"/>
                    <w:rPr>
                      <w:rFonts w:hint="default" w:ascii="Times New Roman" w:hAnsi="Times New Roman" w:eastAsia="宋体" w:cs="Times New Roman"/>
                      <w:bCs/>
                      <w:color w:val="000000"/>
                      <w:kern w:val="2"/>
                      <w:sz w:val="21"/>
                      <w:szCs w:val="21"/>
                      <w:lang w:val="en-US" w:eastAsia="zh-CN" w:bidi="ar-SA"/>
                    </w:rPr>
                  </w:pPr>
                </w:p>
              </w:tc>
              <w:tc>
                <w:tcPr>
                  <w:tcW w:w="1012" w:type="dxa"/>
                  <w:noWrap w:val="0"/>
                  <w:vAlign w:val="center"/>
                </w:tcPr>
                <w:p w14:paraId="795F0951">
                  <w:pPr>
                    <w:pStyle w:val="34"/>
                    <w:bidi w:val="0"/>
                    <w:rPr>
                      <w:rFonts w:hint="default" w:ascii="Times New Roman" w:hAnsi="Times New Roman" w:eastAsia="宋体" w:cs="Times New Roman"/>
                      <w:bCs/>
                      <w:color w:val="000000"/>
                      <w:kern w:val="2"/>
                      <w:sz w:val="21"/>
                      <w:szCs w:val="21"/>
                      <w:lang w:val="en-US" w:eastAsia="zh-CN" w:bidi="ar-SA"/>
                    </w:rPr>
                  </w:pPr>
                  <w:r>
                    <w:rPr>
                      <w:rFonts w:hint="eastAsia"/>
                      <w:color w:val="000000"/>
                      <w:lang w:val="en-US" w:eastAsia="zh-CN"/>
                    </w:rPr>
                    <w:t>1.0</w:t>
                  </w:r>
                </w:p>
              </w:tc>
              <w:tc>
                <w:tcPr>
                  <w:tcW w:w="1124" w:type="dxa"/>
                  <w:vMerge w:val="continue"/>
                  <w:noWrap w:val="0"/>
                  <w:vAlign w:val="center"/>
                </w:tcPr>
                <w:p w14:paraId="78DCBD76">
                  <w:pPr>
                    <w:pStyle w:val="34"/>
                    <w:bidi w:val="0"/>
                    <w:rPr>
                      <w:rFonts w:hint="default"/>
                      <w:color w:val="000000"/>
                    </w:rPr>
                  </w:pPr>
                </w:p>
              </w:tc>
              <w:tc>
                <w:tcPr>
                  <w:tcW w:w="1635" w:type="dxa"/>
                  <w:noWrap w:val="0"/>
                  <w:vAlign w:val="center"/>
                </w:tcPr>
                <w:p w14:paraId="60A40CDB">
                  <w:pPr>
                    <w:pStyle w:val="34"/>
                    <w:bidi w:val="0"/>
                    <w:rPr>
                      <w:rFonts w:hint="default"/>
                      <w:color w:val="000000"/>
                      <w:lang w:val="en-US" w:eastAsia="zh-CN"/>
                    </w:rPr>
                  </w:pPr>
                  <w:r>
                    <w:rPr>
                      <w:rFonts w:hint="eastAsia"/>
                      <w:color w:val="000000"/>
                      <w:lang w:val="en-US" w:eastAsia="zh-CN"/>
                    </w:rPr>
                    <w:t>1.2</w:t>
                  </w:r>
                </w:p>
              </w:tc>
            </w:tr>
          </w:tbl>
          <w:p w14:paraId="74162073">
            <w:pPr>
              <w:pStyle w:val="23"/>
              <w:bidi w:val="0"/>
              <w:rPr>
                <w:rFonts w:ascii="Times New Roman" w:hAnsi="Times New Roman"/>
                <w:b/>
                <w:bCs/>
                <w:color w:val="000000"/>
                <w:szCs w:val="28"/>
              </w:rPr>
            </w:pPr>
            <w:r>
              <w:rPr>
                <w:rFonts w:hint="eastAsia"/>
                <w:color w:val="000000"/>
              </w:rPr>
              <w:t>表</w:t>
            </w:r>
            <w:r>
              <w:rPr>
                <w:rFonts w:hint="eastAsia"/>
                <w:color w:val="000000"/>
                <w:lang w:val="en-US" w:eastAsia="zh-CN"/>
              </w:rPr>
              <w:t>3.11-2</w:t>
            </w:r>
            <w:r>
              <w:rPr>
                <w:rFonts w:hint="eastAsia"/>
                <w:color w:val="000000"/>
              </w:rPr>
              <w:t xml:space="preserve">  《挥发性有机物无组织排放控制标准》（GB37822-2019）</w:t>
            </w:r>
          </w:p>
          <w:tbl>
            <w:tblPr>
              <w:tblStyle w:val="1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3"/>
              <w:gridCol w:w="1454"/>
              <w:gridCol w:w="2545"/>
              <w:gridCol w:w="2550"/>
            </w:tblGrid>
            <w:tr w14:paraId="1A499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9" w:type="pct"/>
                  <w:noWrap w:val="0"/>
                  <w:vAlign w:val="center"/>
                </w:tcPr>
                <w:p w14:paraId="45849323">
                  <w:pPr>
                    <w:pStyle w:val="34"/>
                    <w:bidi w:val="0"/>
                    <w:rPr>
                      <w:rFonts w:hint="eastAsia"/>
                      <w:color w:val="000000"/>
                    </w:rPr>
                  </w:pPr>
                  <w:r>
                    <w:rPr>
                      <w:rFonts w:hint="eastAsia"/>
                      <w:color w:val="000000"/>
                    </w:rPr>
                    <w:t>污染物项目</w:t>
                  </w:r>
                </w:p>
              </w:tc>
              <w:tc>
                <w:tcPr>
                  <w:tcW w:w="928" w:type="pct"/>
                  <w:noWrap w:val="0"/>
                  <w:vAlign w:val="center"/>
                </w:tcPr>
                <w:p w14:paraId="3386B31A">
                  <w:pPr>
                    <w:pStyle w:val="34"/>
                    <w:bidi w:val="0"/>
                    <w:rPr>
                      <w:rFonts w:hint="eastAsia"/>
                      <w:color w:val="000000"/>
                    </w:rPr>
                  </w:pPr>
                  <w:r>
                    <w:rPr>
                      <w:rFonts w:hint="eastAsia"/>
                      <w:color w:val="000000"/>
                    </w:rPr>
                    <w:t>排放限值</w:t>
                  </w:r>
                </w:p>
              </w:tc>
              <w:tc>
                <w:tcPr>
                  <w:tcW w:w="1624" w:type="pct"/>
                  <w:noWrap w:val="0"/>
                  <w:vAlign w:val="center"/>
                </w:tcPr>
                <w:p w14:paraId="7AAAFE9A">
                  <w:pPr>
                    <w:pStyle w:val="34"/>
                    <w:bidi w:val="0"/>
                    <w:rPr>
                      <w:rFonts w:hint="eastAsia"/>
                      <w:color w:val="000000"/>
                    </w:rPr>
                  </w:pPr>
                  <w:r>
                    <w:rPr>
                      <w:rFonts w:hint="eastAsia"/>
                      <w:color w:val="000000"/>
                    </w:rPr>
                    <w:t>限值含义</w:t>
                  </w:r>
                </w:p>
              </w:tc>
              <w:tc>
                <w:tcPr>
                  <w:tcW w:w="1627" w:type="pct"/>
                  <w:noWrap w:val="0"/>
                  <w:vAlign w:val="center"/>
                </w:tcPr>
                <w:p w14:paraId="7E10DE03">
                  <w:pPr>
                    <w:pStyle w:val="34"/>
                    <w:bidi w:val="0"/>
                    <w:rPr>
                      <w:rFonts w:hint="eastAsia"/>
                      <w:color w:val="000000"/>
                    </w:rPr>
                  </w:pPr>
                  <w:r>
                    <w:rPr>
                      <w:rFonts w:hint="eastAsia"/>
                      <w:color w:val="000000"/>
                    </w:rPr>
                    <w:t>无组织排放监控位置</w:t>
                  </w:r>
                </w:p>
              </w:tc>
            </w:tr>
            <w:tr w14:paraId="09FE9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9" w:type="pct"/>
                  <w:vMerge w:val="restart"/>
                  <w:noWrap w:val="0"/>
                  <w:vAlign w:val="center"/>
                </w:tcPr>
                <w:p w14:paraId="1D32CA5C">
                  <w:pPr>
                    <w:pStyle w:val="34"/>
                    <w:bidi w:val="0"/>
                    <w:rPr>
                      <w:color w:val="000000"/>
                    </w:rPr>
                  </w:pPr>
                  <w:r>
                    <w:rPr>
                      <w:rFonts w:hint="eastAsia"/>
                      <w:color w:val="000000"/>
                    </w:rPr>
                    <w:t>非甲烷总烃</w:t>
                  </w:r>
                </w:p>
              </w:tc>
              <w:tc>
                <w:tcPr>
                  <w:tcW w:w="928" w:type="pct"/>
                  <w:noWrap w:val="0"/>
                  <w:vAlign w:val="center"/>
                </w:tcPr>
                <w:p w14:paraId="4D8EEAC1">
                  <w:pPr>
                    <w:pStyle w:val="34"/>
                    <w:bidi w:val="0"/>
                    <w:rPr>
                      <w:rFonts w:hint="eastAsia"/>
                      <w:color w:val="000000"/>
                    </w:rPr>
                  </w:pPr>
                  <w:r>
                    <w:rPr>
                      <w:rFonts w:hint="eastAsia"/>
                      <w:color w:val="000000"/>
                      <w:lang w:val="en-US" w:eastAsia="zh-CN"/>
                    </w:rPr>
                    <w:t>10</w:t>
                  </w:r>
                  <w:r>
                    <w:rPr>
                      <w:color w:val="000000"/>
                    </w:rPr>
                    <w:t>mg/m</w:t>
                  </w:r>
                  <w:r>
                    <w:rPr>
                      <w:color w:val="000000"/>
                      <w:vertAlign w:val="superscript"/>
                    </w:rPr>
                    <w:t>3</w:t>
                  </w:r>
                </w:p>
              </w:tc>
              <w:tc>
                <w:tcPr>
                  <w:tcW w:w="1624" w:type="pct"/>
                  <w:noWrap w:val="0"/>
                  <w:vAlign w:val="center"/>
                </w:tcPr>
                <w:p w14:paraId="37573E00">
                  <w:pPr>
                    <w:pStyle w:val="34"/>
                    <w:bidi w:val="0"/>
                    <w:rPr>
                      <w:color w:val="000000"/>
                    </w:rPr>
                  </w:pPr>
                  <w:r>
                    <w:rPr>
                      <w:rFonts w:hint="eastAsia"/>
                      <w:color w:val="000000"/>
                    </w:rPr>
                    <w:t>监控点处1h平均浓度值</w:t>
                  </w:r>
                </w:p>
              </w:tc>
              <w:tc>
                <w:tcPr>
                  <w:tcW w:w="1627" w:type="pct"/>
                  <w:vMerge w:val="restart"/>
                  <w:noWrap w:val="0"/>
                  <w:vAlign w:val="center"/>
                </w:tcPr>
                <w:p w14:paraId="59E9185E">
                  <w:pPr>
                    <w:pStyle w:val="34"/>
                    <w:bidi w:val="0"/>
                    <w:rPr>
                      <w:color w:val="000000"/>
                    </w:rPr>
                  </w:pPr>
                  <w:r>
                    <w:rPr>
                      <w:rFonts w:hint="eastAsia"/>
                      <w:color w:val="000000"/>
                    </w:rPr>
                    <w:t>在厂房外设置监控点</w:t>
                  </w:r>
                </w:p>
              </w:tc>
            </w:tr>
            <w:tr w14:paraId="64EF4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9" w:type="pct"/>
                  <w:vMerge w:val="continue"/>
                  <w:noWrap w:val="0"/>
                  <w:vAlign w:val="center"/>
                </w:tcPr>
                <w:p w14:paraId="46B844F5">
                  <w:pPr>
                    <w:pStyle w:val="34"/>
                    <w:bidi w:val="0"/>
                    <w:rPr>
                      <w:rFonts w:hint="eastAsia"/>
                      <w:color w:val="000000"/>
                    </w:rPr>
                  </w:pPr>
                </w:p>
              </w:tc>
              <w:tc>
                <w:tcPr>
                  <w:tcW w:w="928" w:type="pct"/>
                  <w:noWrap w:val="0"/>
                  <w:vAlign w:val="center"/>
                </w:tcPr>
                <w:p w14:paraId="28772A59">
                  <w:pPr>
                    <w:pStyle w:val="34"/>
                    <w:bidi w:val="0"/>
                    <w:rPr>
                      <w:rFonts w:hint="eastAsia"/>
                      <w:color w:val="000000"/>
                    </w:rPr>
                  </w:pPr>
                  <w:r>
                    <w:rPr>
                      <w:rFonts w:hint="eastAsia"/>
                      <w:color w:val="000000"/>
                      <w:lang w:val="en-US" w:eastAsia="zh-CN"/>
                    </w:rPr>
                    <w:t>30</w:t>
                  </w:r>
                  <w:r>
                    <w:rPr>
                      <w:color w:val="000000"/>
                    </w:rPr>
                    <w:t>mg/m</w:t>
                  </w:r>
                  <w:r>
                    <w:rPr>
                      <w:color w:val="000000"/>
                      <w:vertAlign w:val="superscript"/>
                    </w:rPr>
                    <w:t>3</w:t>
                  </w:r>
                </w:p>
              </w:tc>
              <w:tc>
                <w:tcPr>
                  <w:tcW w:w="1624" w:type="pct"/>
                  <w:noWrap w:val="0"/>
                  <w:vAlign w:val="center"/>
                </w:tcPr>
                <w:p w14:paraId="43BF0E1A">
                  <w:pPr>
                    <w:pStyle w:val="34"/>
                    <w:bidi w:val="0"/>
                    <w:rPr>
                      <w:rFonts w:hint="eastAsia"/>
                      <w:color w:val="000000"/>
                    </w:rPr>
                  </w:pPr>
                  <w:r>
                    <w:rPr>
                      <w:rFonts w:hint="eastAsia"/>
                      <w:color w:val="000000"/>
                    </w:rPr>
                    <w:t>监控点处任意一次浓度值</w:t>
                  </w:r>
                </w:p>
              </w:tc>
              <w:tc>
                <w:tcPr>
                  <w:tcW w:w="1627" w:type="pct"/>
                  <w:vMerge w:val="continue"/>
                  <w:noWrap w:val="0"/>
                  <w:vAlign w:val="center"/>
                </w:tcPr>
                <w:p w14:paraId="3D7983CB">
                  <w:pPr>
                    <w:pStyle w:val="34"/>
                    <w:bidi w:val="0"/>
                    <w:rPr>
                      <w:rFonts w:hint="eastAsia"/>
                      <w:color w:val="000000"/>
                    </w:rPr>
                  </w:pPr>
                </w:p>
              </w:tc>
            </w:tr>
          </w:tbl>
          <w:p w14:paraId="51D3E009">
            <w:pPr>
              <w:keepLines w:val="0"/>
              <w:pageBreakBefore w:val="0"/>
              <w:kinsoku/>
              <w:wordWrap/>
              <w:topLinePunct w:val="0"/>
              <w:bidi w:val="0"/>
              <w:adjustRightInd w:val="0"/>
              <w:snapToGrid w:val="0"/>
              <w:spacing w:line="360" w:lineRule="auto"/>
              <w:ind w:left="0" w:leftChars="0" w:firstLine="420" w:firstLineChars="200"/>
              <w:jc w:val="left"/>
              <w:rPr>
                <w:rFonts w:hint="default" w:ascii="Times New Roman" w:hAnsi="宋体"/>
                <w:bCs/>
                <w:color w:val="000000"/>
                <w:sz w:val="24"/>
                <w:szCs w:val="24"/>
                <w:lang w:val="en-US" w:eastAsia="zh-CN"/>
              </w:rPr>
            </w:pPr>
            <w:r>
              <w:rPr>
                <w:rFonts w:hint="default"/>
                <w:color w:val="auto"/>
                <w:lang w:val="en-US" w:eastAsia="zh-CN"/>
              </w:rPr>
              <w:t xml:space="preserve"> </w:t>
            </w:r>
            <w:r>
              <w:rPr>
                <w:rFonts w:hint="default" w:ascii="Times New Roman" w:hAnsi="宋体"/>
                <w:bCs/>
                <w:color w:val="000000"/>
                <w:sz w:val="24"/>
                <w:szCs w:val="24"/>
                <w:lang w:val="en-US" w:eastAsia="zh-CN"/>
              </w:rPr>
              <w:t>（2）地表水</w:t>
            </w:r>
          </w:p>
          <w:p w14:paraId="6BBA6DC0">
            <w:pPr>
              <w:pStyle w:val="21"/>
              <w:bidi w:val="0"/>
              <w:rPr>
                <w:color w:val="000000"/>
              </w:rPr>
            </w:pPr>
            <w:r>
              <w:rPr>
                <w:rFonts w:hint="eastAsia"/>
                <w:color w:val="000000"/>
                <w:highlight w:val="none"/>
                <w:lang w:val="en-US" w:eastAsia="zh-CN"/>
              </w:rPr>
              <w:t>项目生活污水</w:t>
            </w:r>
            <w:r>
              <w:rPr>
                <w:rFonts w:hint="eastAsia"/>
                <w:color w:val="000000"/>
                <w:lang w:val="en-US" w:eastAsia="zh-CN"/>
              </w:rPr>
              <w:t>处理达《污水综合排放标准》（GB8978-1996）三级标准和九龙园污水处理厂纳管要求后排入九龙园污水处理厂处理达《化工园区主要水污染物排放标准》（DB50/457-2012）（pH、SS执行《污水综合排放标准》（</w:t>
            </w:r>
            <w:r>
              <w:rPr>
                <w:rFonts w:hint="default"/>
                <w:color w:val="000000"/>
                <w:lang w:val="en-US" w:eastAsia="zh-CN"/>
              </w:rPr>
              <w:t>GB8978-1996</w:t>
            </w:r>
            <w:r>
              <w:rPr>
                <w:rFonts w:hint="eastAsia"/>
                <w:color w:val="000000"/>
                <w:lang w:val="en-US" w:eastAsia="zh-CN"/>
              </w:rPr>
              <w:t>）一级标准）后</w:t>
            </w:r>
            <w:r>
              <w:rPr>
                <w:color w:val="000000"/>
                <w:lang w:val="en-US" w:eastAsia="zh-CN"/>
              </w:rPr>
              <w:t>排放至</w:t>
            </w:r>
            <w:r>
              <w:rPr>
                <w:rFonts w:hint="eastAsia"/>
                <w:color w:val="000000"/>
                <w:lang w:val="en-US" w:eastAsia="zh-CN"/>
              </w:rPr>
              <w:t>龙宝河</w:t>
            </w:r>
            <w:r>
              <w:rPr>
                <w:rFonts w:hint="eastAsia"/>
                <w:color w:val="000000"/>
              </w:rPr>
              <w:t>，</w:t>
            </w:r>
            <w:r>
              <w:rPr>
                <w:color w:val="000000"/>
              </w:rPr>
              <w:t>标准值见</w:t>
            </w:r>
            <w:r>
              <w:rPr>
                <w:rFonts w:hint="eastAsia"/>
                <w:color w:val="000000"/>
              </w:rPr>
              <w:t>下表</w:t>
            </w:r>
            <w:r>
              <w:rPr>
                <w:color w:val="000000"/>
              </w:rPr>
              <w:t>。</w:t>
            </w:r>
          </w:p>
          <w:p w14:paraId="56CFC614">
            <w:pPr>
              <w:pStyle w:val="23"/>
              <w:bidi w:val="0"/>
              <w:rPr>
                <w:rFonts w:hint="default"/>
                <w:color w:val="000000"/>
              </w:rPr>
            </w:pPr>
          </w:p>
          <w:p w14:paraId="19C4D1A4">
            <w:pPr>
              <w:pStyle w:val="23"/>
              <w:bidi w:val="0"/>
              <w:rPr>
                <w:rFonts w:hint="default"/>
                <w:color w:val="000000"/>
                <w:lang w:eastAsia="zh-CN"/>
              </w:rPr>
            </w:pPr>
            <w:r>
              <w:rPr>
                <w:rFonts w:hint="default"/>
                <w:color w:val="000000"/>
              </w:rPr>
              <w:t>表</w:t>
            </w:r>
            <w:r>
              <w:rPr>
                <w:rFonts w:hint="eastAsia"/>
                <w:color w:val="000000"/>
                <w:lang w:val="en-US" w:eastAsia="zh-CN"/>
              </w:rPr>
              <w:t>3.12-1</w:t>
            </w:r>
            <w:r>
              <w:rPr>
                <w:rFonts w:hint="default"/>
                <w:color w:val="000000"/>
              </w:rPr>
              <w:t xml:space="preserve"> </w:t>
            </w:r>
            <w:r>
              <w:rPr>
                <w:rFonts w:hint="eastAsia"/>
                <w:color w:val="000000"/>
                <w:lang w:val="en-US" w:eastAsia="zh-CN"/>
              </w:rPr>
              <w:t>项目废水排放标准</w:t>
            </w:r>
            <w:r>
              <w:rPr>
                <w:rFonts w:hint="default"/>
                <w:color w:val="000000"/>
              </w:rPr>
              <w:t xml:space="preserve">  （mg/L）</w:t>
            </w:r>
          </w:p>
          <w:tbl>
            <w:tblPr>
              <w:tblStyle w:val="15"/>
              <w:tblW w:w="4995"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840"/>
              <w:gridCol w:w="965"/>
              <w:gridCol w:w="824"/>
              <w:gridCol w:w="835"/>
              <w:gridCol w:w="796"/>
              <w:gridCol w:w="848"/>
              <w:gridCol w:w="853"/>
              <w:gridCol w:w="861"/>
            </w:tblGrid>
            <w:tr w14:paraId="0C4AA1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31" w:hRule="atLeast"/>
                <w:jc w:val="center"/>
              </w:trPr>
              <w:tc>
                <w:tcPr>
                  <w:tcW w:w="1176" w:type="pct"/>
                  <w:tcBorders>
                    <w:tl2br w:val="single" w:color="auto" w:sz="4" w:space="0"/>
                  </w:tcBorders>
                  <w:noWrap w:val="0"/>
                  <w:vAlign w:val="top"/>
                </w:tcPr>
                <w:p w14:paraId="76D9F65A">
                  <w:pPr>
                    <w:pStyle w:val="34"/>
                    <w:bidi w:val="0"/>
                    <w:rPr>
                      <w:rFonts w:hint="default"/>
                      <w:color w:val="000000"/>
                    </w:rPr>
                  </w:pPr>
                  <w:r>
                    <w:rPr>
                      <w:rFonts w:hint="default"/>
                      <w:color w:val="000000"/>
                    </w:rPr>
                    <w:t>污染物</w:t>
                  </w:r>
                </w:p>
                <w:p w14:paraId="079C6507">
                  <w:pPr>
                    <w:pStyle w:val="34"/>
                    <w:bidi w:val="0"/>
                    <w:rPr>
                      <w:rFonts w:hint="default"/>
                      <w:color w:val="000000"/>
                    </w:rPr>
                  </w:pPr>
                  <w:r>
                    <w:rPr>
                      <w:rFonts w:hint="default"/>
                      <w:color w:val="000000"/>
                    </w:rPr>
                    <w:t>标准</w:t>
                  </w:r>
                </w:p>
              </w:tc>
              <w:tc>
                <w:tcPr>
                  <w:tcW w:w="617" w:type="pct"/>
                  <w:noWrap w:val="0"/>
                  <w:vAlign w:val="center"/>
                </w:tcPr>
                <w:p w14:paraId="08A6ECFF">
                  <w:pPr>
                    <w:pStyle w:val="34"/>
                    <w:bidi w:val="0"/>
                    <w:rPr>
                      <w:rFonts w:hint="default"/>
                      <w:color w:val="000000"/>
                    </w:rPr>
                  </w:pPr>
                  <w:r>
                    <w:rPr>
                      <w:rFonts w:hint="default"/>
                      <w:color w:val="000000"/>
                    </w:rPr>
                    <w:t>pH（无量纲）</w:t>
                  </w:r>
                </w:p>
              </w:tc>
              <w:tc>
                <w:tcPr>
                  <w:tcW w:w="527" w:type="pct"/>
                  <w:noWrap w:val="0"/>
                  <w:vAlign w:val="center"/>
                </w:tcPr>
                <w:p w14:paraId="468366CC">
                  <w:pPr>
                    <w:pStyle w:val="34"/>
                    <w:bidi w:val="0"/>
                    <w:rPr>
                      <w:rFonts w:hint="default"/>
                      <w:color w:val="000000"/>
                    </w:rPr>
                  </w:pPr>
                  <w:r>
                    <w:rPr>
                      <w:rFonts w:hint="default"/>
                      <w:color w:val="000000"/>
                    </w:rPr>
                    <w:t>COD</w:t>
                  </w:r>
                </w:p>
              </w:tc>
              <w:tc>
                <w:tcPr>
                  <w:tcW w:w="534" w:type="pct"/>
                  <w:tcBorders>
                    <w:right w:val="single" w:color="auto" w:sz="4" w:space="0"/>
                  </w:tcBorders>
                  <w:noWrap w:val="0"/>
                  <w:vAlign w:val="center"/>
                </w:tcPr>
                <w:p w14:paraId="0C2BB022">
                  <w:pPr>
                    <w:pStyle w:val="34"/>
                    <w:bidi w:val="0"/>
                    <w:rPr>
                      <w:rFonts w:hint="default"/>
                      <w:color w:val="000000"/>
                    </w:rPr>
                  </w:pPr>
                  <w:r>
                    <w:rPr>
                      <w:rFonts w:hint="default"/>
                      <w:color w:val="000000"/>
                    </w:rPr>
                    <w:t>BOD</w:t>
                  </w:r>
                  <w:r>
                    <w:rPr>
                      <w:rFonts w:hint="default"/>
                      <w:color w:val="000000"/>
                      <w:vertAlign w:val="subscript"/>
                    </w:rPr>
                    <w:t>5</w:t>
                  </w:r>
                </w:p>
              </w:tc>
              <w:tc>
                <w:tcPr>
                  <w:tcW w:w="509" w:type="pct"/>
                  <w:tcBorders>
                    <w:right w:val="single" w:color="auto" w:sz="4" w:space="0"/>
                  </w:tcBorders>
                  <w:noWrap w:val="0"/>
                  <w:vAlign w:val="center"/>
                </w:tcPr>
                <w:p w14:paraId="7B9B31D6">
                  <w:pPr>
                    <w:pStyle w:val="34"/>
                    <w:bidi w:val="0"/>
                    <w:rPr>
                      <w:rFonts w:hint="default"/>
                      <w:color w:val="000000"/>
                    </w:rPr>
                  </w:pPr>
                  <w:r>
                    <w:rPr>
                      <w:rFonts w:hint="default"/>
                      <w:color w:val="000000"/>
                    </w:rPr>
                    <w:t>SS</w:t>
                  </w:r>
                </w:p>
              </w:tc>
              <w:tc>
                <w:tcPr>
                  <w:tcW w:w="542" w:type="pct"/>
                  <w:tcBorders>
                    <w:right w:val="single" w:color="auto" w:sz="4" w:space="0"/>
                  </w:tcBorders>
                  <w:noWrap w:val="0"/>
                  <w:vAlign w:val="center"/>
                </w:tcPr>
                <w:p w14:paraId="5472A9A0">
                  <w:pPr>
                    <w:pStyle w:val="34"/>
                    <w:bidi w:val="0"/>
                    <w:rPr>
                      <w:rFonts w:hint="default"/>
                      <w:color w:val="000000"/>
                    </w:rPr>
                  </w:pPr>
                  <w:r>
                    <w:rPr>
                      <w:rFonts w:hint="default"/>
                      <w:color w:val="000000"/>
                    </w:rPr>
                    <w:t>NH</w:t>
                  </w:r>
                  <w:r>
                    <w:rPr>
                      <w:rFonts w:hint="default"/>
                      <w:color w:val="000000"/>
                      <w:vertAlign w:val="subscript"/>
                    </w:rPr>
                    <w:t>3</w:t>
                  </w:r>
                  <w:r>
                    <w:rPr>
                      <w:rFonts w:hint="default"/>
                      <w:color w:val="000000"/>
                    </w:rPr>
                    <w:t>-N</w:t>
                  </w:r>
                </w:p>
              </w:tc>
              <w:tc>
                <w:tcPr>
                  <w:tcW w:w="545" w:type="pct"/>
                  <w:tcBorders>
                    <w:right w:val="single" w:color="auto" w:sz="4" w:space="0"/>
                  </w:tcBorders>
                  <w:noWrap w:val="0"/>
                  <w:vAlign w:val="center"/>
                </w:tcPr>
                <w:p w14:paraId="442F9B89">
                  <w:pPr>
                    <w:pStyle w:val="34"/>
                    <w:bidi w:val="0"/>
                    <w:rPr>
                      <w:rFonts w:hint="default" w:ascii="Times New Roman" w:hAnsi="Times New Roman" w:eastAsia="宋体" w:cs="Times New Roman"/>
                      <w:bCs/>
                      <w:color w:val="000000"/>
                      <w:kern w:val="2"/>
                      <w:sz w:val="21"/>
                      <w:szCs w:val="21"/>
                      <w:lang w:val="en-US" w:eastAsia="zh-CN" w:bidi="ar-SA"/>
                    </w:rPr>
                  </w:pPr>
                  <w:r>
                    <w:rPr>
                      <w:rFonts w:hint="eastAsia"/>
                      <w:color w:val="000000"/>
                      <w:lang w:val="en-US" w:eastAsia="zh-CN"/>
                    </w:rPr>
                    <w:t>石油类</w:t>
                  </w:r>
                </w:p>
              </w:tc>
              <w:tc>
                <w:tcPr>
                  <w:tcW w:w="545" w:type="pct"/>
                  <w:tcBorders>
                    <w:right w:val="single" w:color="auto" w:sz="4" w:space="0"/>
                  </w:tcBorders>
                  <w:noWrap w:val="0"/>
                  <w:vAlign w:val="center"/>
                </w:tcPr>
                <w:p w14:paraId="1E88E023">
                  <w:pPr>
                    <w:pStyle w:val="34"/>
                    <w:bidi w:val="0"/>
                    <w:rPr>
                      <w:rFonts w:hint="default"/>
                      <w:color w:val="000000"/>
                      <w:lang w:val="en-US" w:eastAsia="zh-CN"/>
                    </w:rPr>
                  </w:pPr>
                  <w:r>
                    <w:rPr>
                      <w:rFonts w:hint="eastAsia"/>
                      <w:color w:val="000000"/>
                      <w:lang w:val="en-US" w:eastAsia="zh-CN"/>
                    </w:rPr>
                    <w:t>TP</w:t>
                  </w:r>
                </w:p>
              </w:tc>
            </w:tr>
            <w:tr w14:paraId="18131C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1" w:hRule="atLeast"/>
                <w:jc w:val="center"/>
              </w:trPr>
              <w:tc>
                <w:tcPr>
                  <w:tcW w:w="1176" w:type="pct"/>
                  <w:noWrap w:val="0"/>
                  <w:vAlign w:val="center"/>
                </w:tcPr>
                <w:p w14:paraId="7E3C3EC4">
                  <w:pPr>
                    <w:pStyle w:val="34"/>
                    <w:bidi w:val="0"/>
                    <w:rPr>
                      <w:rFonts w:hint="default"/>
                      <w:color w:val="000000"/>
                      <w:lang w:val="en-US" w:eastAsia="zh-CN"/>
                    </w:rPr>
                  </w:pPr>
                  <w:r>
                    <w:rPr>
                      <w:rFonts w:hint="eastAsia"/>
                      <w:color w:val="000000"/>
                      <w:lang w:val="en-US" w:eastAsia="zh-CN"/>
                    </w:rPr>
                    <w:t>园区污水处理厂纳管要求及《污水综合排放标准》（GB8978-1996）三级标准</w:t>
                  </w:r>
                </w:p>
              </w:tc>
              <w:tc>
                <w:tcPr>
                  <w:tcW w:w="617" w:type="pct"/>
                  <w:noWrap w:val="0"/>
                  <w:vAlign w:val="center"/>
                </w:tcPr>
                <w:p w14:paraId="4DEDA62C">
                  <w:pPr>
                    <w:pStyle w:val="34"/>
                    <w:bidi w:val="0"/>
                    <w:rPr>
                      <w:rFonts w:hint="default"/>
                      <w:color w:val="000000"/>
                    </w:rPr>
                  </w:pPr>
                  <w:r>
                    <w:rPr>
                      <w:rFonts w:hint="default"/>
                      <w:color w:val="000000"/>
                    </w:rPr>
                    <w:t>6</w:t>
                  </w:r>
                  <w:r>
                    <w:rPr>
                      <w:rFonts w:hint="eastAsia"/>
                      <w:color w:val="000000"/>
                      <w:lang w:val="en-US" w:eastAsia="zh-CN"/>
                    </w:rPr>
                    <w:t>~</w:t>
                  </w:r>
                  <w:r>
                    <w:rPr>
                      <w:rFonts w:hint="default"/>
                      <w:color w:val="000000"/>
                    </w:rPr>
                    <w:t>9</w:t>
                  </w:r>
                </w:p>
              </w:tc>
              <w:tc>
                <w:tcPr>
                  <w:tcW w:w="527" w:type="pct"/>
                  <w:noWrap w:val="0"/>
                  <w:vAlign w:val="center"/>
                </w:tcPr>
                <w:p w14:paraId="38475816">
                  <w:pPr>
                    <w:pStyle w:val="34"/>
                    <w:bidi w:val="0"/>
                    <w:rPr>
                      <w:rFonts w:hint="default"/>
                      <w:color w:val="000000"/>
                      <w:lang w:val="en-US"/>
                    </w:rPr>
                  </w:pPr>
                  <w:r>
                    <w:rPr>
                      <w:rFonts w:hint="default"/>
                      <w:color w:val="000000"/>
                    </w:rPr>
                    <w:t>≤</w:t>
                  </w:r>
                  <w:r>
                    <w:rPr>
                      <w:rFonts w:hint="default"/>
                      <w:color w:val="000000"/>
                      <w:lang w:val="en-US" w:eastAsia="zh-CN"/>
                    </w:rPr>
                    <w:t xml:space="preserve"> </w:t>
                  </w:r>
                  <w:r>
                    <w:rPr>
                      <w:rFonts w:hint="eastAsia"/>
                      <w:color w:val="000000"/>
                      <w:lang w:val="en-US" w:eastAsia="zh-CN"/>
                    </w:rPr>
                    <w:t>480</w:t>
                  </w:r>
                </w:p>
              </w:tc>
              <w:tc>
                <w:tcPr>
                  <w:tcW w:w="534" w:type="pct"/>
                  <w:tcBorders>
                    <w:right w:val="single" w:color="auto" w:sz="4" w:space="0"/>
                  </w:tcBorders>
                  <w:noWrap w:val="0"/>
                  <w:vAlign w:val="center"/>
                </w:tcPr>
                <w:p w14:paraId="70C0EF81">
                  <w:pPr>
                    <w:pStyle w:val="34"/>
                    <w:bidi w:val="0"/>
                    <w:rPr>
                      <w:rFonts w:hint="default"/>
                      <w:color w:val="000000"/>
                      <w:lang w:val="en-US" w:eastAsia="zh-CN"/>
                    </w:rPr>
                  </w:pPr>
                  <w:r>
                    <w:rPr>
                      <w:rFonts w:hint="default"/>
                      <w:color w:val="000000"/>
                    </w:rPr>
                    <w:t>≤</w:t>
                  </w:r>
                  <w:r>
                    <w:rPr>
                      <w:rFonts w:hint="default"/>
                      <w:color w:val="000000"/>
                      <w:lang w:val="en-US" w:eastAsia="zh-CN"/>
                    </w:rPr>
                    <w:t>1</w:t>
                  </w:r>
                  <w:r>
                    <w:rPr>
                      <w:rFonts w:hint="eastAsia"/>
                      <w:color w:val="000000"/>
                      <w:lang w:val="en-US" w:eastAsia="zh-CN"/>
                    </w:rPr>
                    <w:t>50</w:t>
                  </w:r>
                </w:p>
              </w:tc>
              <w:tc>
                <w:tcPr>
                  <w:tcW w:w="509" w:type="pct"/>
                  <w:tcBorders>
                    <w:right w:val="single" w:color="auto" w:sz="4" w:space="0"/>
                  </w:tcBorders>
                  <w:noWrap w:val="0"/>
                  <w:vAlign w:val="center"/>
                </w:tcPr>
                <w:p w14:paraId="2CF78120">
                  <w:pPr>
                    <w:pStyle w:val="34"/>
                    <w:bidi w:val="0"/>
                    <w:rPr>
                      <w:rFonts w:hint="default"/>
                      <w:color w:val="000000"/>
                      <w:lang w:val="en-US"/>
                    </w:rPr>
                  </w:pPr>
                  <w:r>
                    <w:rPr>
                      <w:rFonts w:hint="default"/>
                      <w:color w:val="000000"/>
                    </w:rPr>
                    <w:t>≤</w:t>
                  </w:r>
                  <w:r>
                    <w:rPr>
                      <w:rFonts w:hint="default"/>
                      <w:color w:val="000000"/>
                      <w:lang w:val="en-US" w:eastAsia="zh-CN"/>
                    </w:rPr>
                    <w:t xml:space="preserve"> </w:t>
                  </w:r>
                  <w:r>
                    <w:rPr>
                      <w:rFonts w:hint="eastAsia"/>
                      <w:color w:val="000000"/>
                      <w:lang w:val="en-US" w:eastAsia="zh-CN"/>
                    </w:rPr>
                    <w:t>380</w:t>
                  </w:r>
                </w:p>
              </w:tc>
              <w:tc>
                <w:tcPr>
                  <w:tcW w:w="542" w:type="pct"/>
                  <w:tcBorders>
                    <w:right w:val="single" w:color="auto" w:sz="4" w:space="0"/>
                  </w:tcBorders>
                  <w:noWrap w:val="0"/>
                  <w:vAlign w:val="center"/>
                </w:tcPr>
                <w:p w14:paraId="0C1F9101">
                  <w:pPr>
                    <w:pStyle w:val="34"/>
                    <w:bidi w:val="0"/>
                    <w:rPr>
                      <w:rFonts w:hint="default"/>
                      <w:color w:val="000000"/>
                      <w:lang w:val="en-US"/>
                    </w:rPr>
                  </w:pPr>
                  <w:r>
                    <w:rPr>
                      <w:rFonts w:hint="default"/>
                      <w:color w:val="000000"/>
                    </w:rPr>
                    <w:t>≤</w:t>
                  </w:r>
                  <w:r>
                    <w:rPr>
                      <w:rFonts w:hint="default"/>
                      <w:color w:val="000000"/>
                      <w:lang w:val="en-US" w:eastAsia="zh-CN"/>
                    </w:rPr>
                    <w:t xml:space="preserve"> </w:t>
                  </w:r>
                  <w:r>
                    <w:rPr>
                      <w:rFonts w:hint="eastAsia"/>
                      <w:color w:val="000000"/>
                      <w:lang w:val="en-US" w:eastAsia="zh-CN"/>
                    </w:rPr>
                    <w:t>30</w:t>
                  </w:r>
                </w:p>
              </w:tc>
              <w:tc>
                <w:tcPr>
                  <w:tcW w:w="545" w:type="pct"/>
                  <w:tcBorders>
                    <w:right w:val="single" w:color="auto" w:sz="4" w:space="0"/>
                  </w:tcBorders>
                  <w:noWrap w:val="0"/>
                  <w:vAlign w:val="center"/>
                </w:tcPr>
                <w:p w14:paraId="177FDE4E">
                  <w:pPr>
                    <w:pStyle w:val="34"/>
                    <w:bidi w:val="0"/>
                    <w:rPr>
                      <w:rFonts w:hint="eastAsia"/>
                      <w:color w:val="000000"/>
                      <w:lang w:val="en-US" w:eastAsia="zh-CN"/>
                    </w:rPr>
                  </w:pPr>
                  <w:r>
                    <w:rPr>
                      <w:rFonts w:hint="default"/>
                      <w:color w:val="000000"/>
                    </w:rPr>
                    <w:t>≤</w:t>
                  </w:r>
                  <w:r>
                    <w:rPr>
                      <w:rFonts w:hint="eastAsia"/>
                      <w:color w:val="000000"/>
                      <w:lang w:val="en-US" w:eastAsia="zh-CN"/>
                    </w:rPr>
                    <w:t>5</w:t>
                  </w:r>
                </w:p>
              </w:tc>
              <w:tc>
                <w:tcPr>
                  <w:tcW w:w="545" w:type="pct"/>
                  <w:tcBorders>
                    <w:right w:val="single" w:color="auto" w:sz="4" w:space="0"/>
                  </w:tcBorders>
                  <w:noWrap w:val="0"/>
                  <w:vAlign w:val="center"/>
                </w:tcPr>
                <w:p w14:paraId="192B58BB">
                  <w:pPr>
                    <w:pStyle w:val="34"/>
                    <w:bidi w:val="0"/>
                    <w:rPr>
                      <w:rFonts w:hint="default" w:eastAsia="宋体"/>
                      <w:color w:val="000000"/>
                      <w:lang w:val="en-US" w:eastAsia="zh-CN"/>
                    </w:rPr>
                  </w:pPr>
                  <w:r>
                    <w:rPr>
                      <w:rFonts w:hint="eastAsia"/>
                      <w:color w:val="000000"/>
                      <w:lang w:val="en-US" w:eastAsia="zh-CN"/>
                    </w:rPr>
                    <w:t>8*</w:t>
                  </w:r>
                </w:p>
              </w:tc>
            </w:tr>
            <w:tr w14:paraId="18A383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1" w:hRule="atLeast"/>
                <w:jc w:val="center"/>
              </w:trPr>
              <w:tc>
                <w:tcPr>
                  <w:tcW w:w="1176" w:type="pct"/>
                  <w:noWrap w:val="0"/>
                  <w:vAlign w:val="center"/>
                </w:tcPr>
                <w:p w14:paraId="0DFE0D8E">
                  <w:pPr>
                    <w:pStyle w:val="34"/>
                    <w:bidi w:val="0"/>
                    <w:rPr>
                      <w:rFonts w:hint="default"/>
                      <w:color w:val="000000"/>
                    </w:rPr>
                  </w:pPr>
                  <w:r>
                    <w:rPr>
                      <w:rFonts w:hint="eastAsia"/>
                      <w:color w:val="000000"/>
                      <w:lang w:val="en-US" w:eastAsia="zh-CN"/>
                    </w:rPr>
                    <w:t>《化工园区主要水污染物排放标准》（DB50/457-2012）</w:t>
                  </w:r>
                </w:p>
              </w:tc>
              <w:tc>
                <w:tcPr>
                  <w:tcW w:w="617" w:type="pct"/>
                  <w:noWrap w:val="0"/>
                  <w:vAlign w:val="center"/>
                </w:tcPr>
                <w:p w14:paraId="74F79E7D">
                  <w:pPr>
                    <w:pStyle w:val="34"/>
                    <w:bidi w:val="0"/>
                    <w:rPr>
                      <w:rFonts w:hint="default"/>
                      <w:color w:val="000000"/>
                      <w:lang w:val="en-US" w:eastAsia="zh-CN"/>
                    </w:rPr>
                  </w:pPr>
                  <w:r>
                    <w:rPr>
                      <w:rFonts w:hint="eastAsia"/>
                      <w:color w:val="000000"/>
                      <w:lang w:val="en-US" w:eastAsia="zh-CN"/>
                    </w:rPr>
                    <w:t>6~9</w:t>
                  </w:r>
                </w:p>
              </w:tc>
              <w:tc>
                <w:tcPr>
                  <w:tcW w:w="527" w:type="pct"/>
                  <w:noWrap w:val="0"/>
                  <w:vAlign w:val="center"/>
                </w:tcPr>
                <w:p w14:paraId="69E27FE7">
                  <w:pPr>
                    <w:pStyle w:val="34"/>
                    <w:bidi w:val="0"/>
                    <w:rPr>
                      <w:rFonts w:hint="default"/>
                      <w:color w:val="000000"/>
                      <w:lang w:val="en-US"/>
                    </w:rPr>
                  </w:pPr>
                  <w:r>
                    <w:rPr>
                      <w:rFonts w:hint="default"/>
                      <w:color w:val="000000"/>
                    </w:rPr>
                    <w:t>≤</w:t>
                  </w:r>
                  <w:r>
                    <w:rPr>
                      <w:rFonts w:hint="default"/>
                      <w:color w:val="000000"/>
                      <w:lang w:val="en-US" w:eastAsia="zh-CN"/>
                    </w:rPr>
                    <w:t xml:space="preserve"> </w:t>
                  </w:r>
                  <w:r>
                    <w:rPr>
                      <w:rFonts w:hint="eastAsia"/>
                      <w:color w:val="000000"/>
                      <w:lang w:val="en-US" w:eastAsia="zh-CN"/>
                    </w:rPr>
                    <w:t>80</w:t>
                  </w:r>
                </w:p>
              </w:tc>
              <w:tc>
                <w:tcPr>
                  <w:tcW w:w="534" w:type="pct"/>
                  <w:tcBorders>
                    <w:right w:val="single" w:color="auto" w:sz="4" w:space="0"/>
                  </w:tcBorders>
                  <w:noWrap w:val="0"/>
                  <w:vAlign w:val="center"/>
                </w:tcPr>
                <w:p w14:paraId="7FAA249E">
                  <w:pPr>
                    <w:pStyle w:val="34"/>
                    <w:bidi w:val="0"/>
                    <w:rPr>
                      <w:rFonts w:hint="default"/>
                      <w:color w:val="000000"/>
                      <w:lang w:val="en-US"/>
                    </w:rPr>
                  </w:pPr>
                  <w:r>
                    <w:rPr>
                      <w:rFonts w:hint="default"/>
                      <w:color w:val="000000"/>
                    </w:rPr>
                    <w:t>≤</w:t>
                  </w:r>
                  <w:r>
                    <w:rPr>
                      <w:rFonts w:hint="default"/>
                      <w:color w:val="000000"/>
                      <w:lang w:val="en-US" w:eastAsia="zh-CN"/>
                    </w:rPr>
                    <w:t xml:space="preserve"> </w:t>
                  </w:r>
                  <w:r>
                    <w:rPr>
                      <w:rFonts w:hint="eastAsia"/>
                      <w:color w:val="000000"/>
                      <w:lang w:val="en-US" w:eastAsia="zh-CN"/>
                    </w:rPr>
                    <w:t>20</w:t>
                  </w:r>
                </w:p>
              </w:tc>
              <w:tc>
                <w:tcPr>
                  <w:tcW w:w="509" w:type="pct"/>
                  <w:tcBorders>
                    <w:right w:val="single" w:color="auto" w:sz="4" w:space="0"/>
                  </w:tcBorders>
                  <w:noWrap w:val="0"/>
                  <w:vAlign w:val="center"/>
                </w:tcPr>
                <w:p w14:paraId="142D7AD5">
                  <w:pPr>
                    <w:pStyle w:val="34"/>
                    <w:bidi w:val="0"/>
                    <w:rPr>
                      <w:rFonts w:hint="default"/>
                      <w:color w:val="000000"/>
                      <w:lang w:val="en-US" w:eastAsia="zh-CN"/>
                    </w:rPr>
                  </w:pPr>
                  <w:r>
                    <w:rPr>
                      <w:rFonts w:hint="default"/>
                      <w:color w:val="000000"/>
                    </w:rPr>
                    <w:t>≤</w:t>
                  </w:r>
                  <w:r>
                    <w:rPr>
                      <w:rFonts w:hint="default"/>
                      <w:color w:val="000000"/>
                      <w:lang w:val="en-US" w:eastAsia="zh-CN"/>
                    </w:rPr>
                    <w:t xml:space="preserve"> </w:t>
                  </w:r>
                  <w:r>
                    <w:rPr>
                      <w:rFonts w:hint="eastAsia"/>
                      <w:color w:val="000000"/>
                      <w:lang w:val="en-US" w:eastAsia="zh-CN"/>
                    </w:rPr>
                    <w:t>70</w:t>
                  </w:r>
                </w:p>
              </w:tc>
              <w:tc>
                <w:tcPr>
                  <w:tcW w:w="542" w:type="pct"/>
                  <w:tcBorders>
                    <w:right w:val="single" w:color="auto" w:sz="4" w:space="0"/>
                  </w:tcBorders>
                  <w:noWrap w:val="0"/>
                  <w:vAlign w:val="center"/>
                </w:tcPr>
                <w:p w14:paraId="51CDFDF8">
                  <w:pPr>
                    <w:pStyle w:val="34"/>
                    <w:bidi w:val="0"/>
                    <w:rPr>
                      <w:rFonts w:hint="default"/>
                      <w:color w:val="000000"/>
                    </w:rPr>
                  </w:pPr>
                  <w:r>
                    <w:rPr>
                      <w:rFonts w:hint="default"/>
                      <w:color w:val="000000"/>
                    </w:rPr>
                    <w:t>≤</w:t>
                  </w:r>
                  <w:r>
                    <w:rPr>
                      <w:rFonts w:hint="eastAsia"/>
                      <w:color w:val="000000"/>
                      <w:lang w:val="en-US" w:eastAsia="zh-CN"/>
                    </w:rPr>
                    <w:t>10</w:t>
                  </w:r>
                  <w:r>
                    <w:rPr>
                      <w:rFonts w:hint="default"/>
                      <w:color w:val="000000"/>
                      <w:lang w:val="en-US" w:eastAsia="zh-CN"/>
                    </w:rPr>
                    <w:t xml:space="preserve"> </w:t>
                  </w:r>
                </w:p>
              </w:tc>
              <w:tc>
                <w:tcPr>
                  <w:tcW w:w="545" w:type="pct"/>
                  <w:tcBorders>
                    <w:right w:val="single" w:color="auto" w:sz="4" w:space="0"/>
                  </w:tcBorders>
                  <w:noWrap w:val="0"/>
                  <w:vAlign w:val="center"/>
                </w:tcPr>
                <w:p w14:paraId="6BB01DA0">
                  <w:pPr>
                    <w:pStyle w:val="34"/>
                    <w:bidi w:val="0"/>
                    <w:rPr>
                      <w:rFonts w:hint="default"/>
                      <w:color w:val="000000"/>
                    </w:rPr>
                  </w:pPr>
                  <w:r>
                    <w:rPr>
                      <w:rFonts w:hint="default"/>
                      <w:color w:val="000000"/>
                    </w:rPr>
                    <w:t>≤</w:t>
                  </w:r>
                  <w:r>
                    <w:rPr>
                      <w:rFonts w:hint="eastAsia"/>
                      <w:color w:val="000000"/>
                      <w:lang w:val="en-US" w:eastAsia="zh-CN"/>
                    </w:rPr>
                    <w:t>3</w:t>
                  </w:r>
                  <w:r>
                    <w:rPr>
                      <w:rFonts w:hint="default"/>
                      <w:color w:val="000000"/>
                      <w:lang w:val="en-US" w:eastAsia="zh-CN"/>
                    </w:rPr>
                    <w:t xml:space="preserve"> </w:t>
                  </w:r>
                </w:p>
              </w:tc>
              <w:tc>
                <w:tcPr>
                  <w:tcW w:w="545" w:type="pct"/>
                  <w:tcBorders>
                    <w:right w:val="single" w:color="auto" w:sz="4" w:space="0"/>
                  </w:tcBorders>
                  <w:noWrap w:val="0"/>
                  <w:vAlign w:val="center"/>
                </w:tcPr>
                <w:p w14:paraId="52FF2C39">
                  <w:pPr>
                    <w:pStyle w:val="34"/>
                    <w:bidi w:val="0"/>
                    <w:rPr>
                      <w:rFonts w:hint="default" w:eastAsia="宋体"/>
                      <w:color w:val="000000"/>
                      <w:lang w:val="en-US" w:eastAsia="zh-CN"/>
                    </w:rPr>
                  </w:pPr>
                  <w:r>
                    <w:rPr>
                      <w:rFonts w:hint="eastAsia"/>
                      <w:color w:val="000000"/>
                      <w:lang w:val="en-US" w:eastAsia="zh-CN"/>
                    </w:rPr>
                    <w:t>0.5</w:t>
                  </w:r>
                </w:p>
              </w:tc>
            </w:tr>
            <w:tr w14:paraId="047AE1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1" w:hRule="atLeast"/>
                <w:jc w:val="center"/>
              </w:trPr>
              <w:tc>
                <w:tcPr>
                  <w:tcW w:w="5000" w:type="pct"/>
                  <w:gridSpan w:val="8"/>
                  <w:tcBorders>
                    <w:right w:val="single" w:color="auto" w:sz="4" w:space="0"/>
                  </w:tcBorders>
                  <w:noWrap w:val="0"/>
                  <w:vAlign w:val="center"/>
                </w:tcPr>
                <w:p w14:paraId="0288359D">
                  <w:pPr>
                    <w:pStyle w:val="34"/>
                    <w:bidi w:val="0"/>
                    <w:jc w:val="both"/>
                    <w:rPr>
                      <w:rFonts w:hint="default"/>
                      <w:color w:val="000000"/>
                      <w:lang w:val="en-US" w:eastAsia="zh-CN"/>
                    </w:rPr>
                  </w:pPr>
                  <w:r>
                    <w:rPr>
                      <w:rFonts w:hint="eastAsia"/>
                      <w:color w:val="000000"/>
                      <w:lang w:val="en-US" w:eastAsia="zh-CN"/>
                    </w:rPr>
                    <w:t>注：TP参照《污水排入城镇下水道水质标准》（GB/T31962-2015）B级标准执行。</w:t>
                  </w:r>
                </w:p>
              </w:tc>
            </w:tr>
          </w:tbl>
          <w:p w14:paraId="2E458C4A">
            <w:pPr>
              <w:keepLines w:val="0"/>
              <w:pageBreakBefore w:val="0"/>
              <w:kinsoku/>
              <w:wordWrap/>
              <w:topLinePunct w:val="0"/>
              <w:bidi w:val="0"/>
              <w:adjustRightInd w:val="0"/>
              <w:snapToGrid w:val="0"/>
              <w:spacing w:line="360" w:lineRule="auto"/>
              <w:ind w:left="0" w:leftChars="0" w:firstLine="480" w:firstLineChars="200"/>
              <w:jc w:val="left"/>
              <w:rPr>
                <w:rFonts w:hint="default" w:ascii="Times New Roman" w:hAnsi="宋体"/>
                <w:bCs/>
                <w:color w:val="000000"/>
                <w:sz w:val="24"/>
                <w:szCs w:val="24"/>
                <w:lang w:val="en-US" w:eastAsia="zh-CN"/>
              </w:rPr>
            </w:pPr>
            <w:r>
              <w:rPr>
                <w:rFonts w:hint="default" w:ascii="Times New Roman" w:hAnsi="宋体"/>
                <w:bCs/>
                <w:color w:val="000000"/>
                <w:sz w:val="24"/>
                <w:szCs w:val="24"/>
                <w:lang w:val="en-US" w:eastAsia="zh-CN"/>
              </w:rPr>
              <w:t>（</w:t>
            </w:r>
            <w:r>
              <w:rPr>
                <w:rFonts w:hint="eastAsia" w:ascii="Times New Roman" w:hAnsi="宋体"/>
                <w:bCs/>
                <w:color w:val="000000"/>
                <w:sz w:val="24"/>
                <w:szCs w:val="24"/>
                <w:lang w:val="en-US" w:eastAsia="zh-CN"/>
              </w:rPr>
              <w:t>3</w:t>
            </w:r>
            <w:r>
              <w:rPr>
                <w:rFonts w:hint="default" w:ascii="Times New Roman" w:hAnsi="宋体"/>
                <w:bCs/>
                <w:color w:val="000000"/>
                <w:sz w:val="24"/>
                <w:szCs w:val="24"/>
                <w:lang w:val="en-US" w:eastAsia="zh-CN"/>
              </w:rPr>
              <w:t>）声环境</w:t>
            </w:r>
          </w:p>
          <w:p w14:paraId="4933CC93">
            <w:pPr>
              <w:pStyle w:val="21"/>
              <w:ind w:firstLine="480"/>
              <w:rPr>
                <w:rFonts w:eastAsia="仿宋"/>
                <w:color w:val="000000"/>
              </w:rPr>
            </w:pPr>
            <w:r>
              <w:rPr>
                <w:rFonts w:hint="eastAsia"/>
                <w:color w:val="000000"/>
              </w:rPr>
              <w:t>项目</w:t>
            </w:r>
            <w:r>
              <w:rPr>
                <w:color w:val="000000"/>
              </w:rPr>
              <w:t>运营期厂界噪声执行《工业企业厂界环境噪声排放标准》（GB12348-2008）</w:t>
            </w:r>
            <w:r>
              <w:rPr>
                <w:rFonts w:hint="eastAsia"/>
                <w:color w:val="000000"/>
                <w:lang w:val="en-US" w:eastAsia="zh-CN"/>
              </w:rPr>
              <w:t>3</w:t>
            </w:r>
            <w:r>
              <w:rPr>
                <w:color w:val="000000"/>
              </w:rPr>
              <w:t>类标准。</w:t>
            </w:r>
            <w:r>
              <w:rPr>
                <w:rStyle w:val="33"/>
                <w:color w:val="000000"/>
              </w:rPr>
              <w:t>具体的噪声标准限值，见下表。</w:t>
            </w:r>
          </w:p>
          <w:p w14:paraId="52D88FD3">
            <w:pPr>
              <w:pStyle w:val="23"/>
              <w:rPr>
                <w:color w:val="000000"/>
              </w:rPr>
            </w:pPr>
            <w:r>
              <w:rPr>
                <w:color w:val="000000"/>
              </w:rPr>
              <w:t>表3</w:t>
            </w:r>
            <w:r>
              <w:rPr>
                <w:rFonts w:hint="eastAsia"/>
                <w:color w:val="000000"/>
                <w:lang w:val="en-US" w:eastAsia="zh-CN"/>
              </w:rPr>
              <w:t>.13</w:t>
            </w:r>
            <w:r>
              <w:rPr>
                <w:color w:val="000000"/>
              </w:rPr>
              <w:t>-</w:t>
            </w:r>
            <w:r>
              <w:rPr>
                <w:rFonts w:hint="eastAsia"/>
                <w:color w:val="000000"/>
                <w:lang w:val="en-US" w:eastAsia="zh-CN"/>
              </w:rPr>
              <w:t>1</w:t>
            </w:r>
            <w:r>
              <w:rPr>
                <w:color w:val="000000"/>
              </w:rPr>
              <w:t xml:space="preserve">   噪声控制标准限值    单位：dB（A）</w:t>
            </w:r>
          </w:p>
          <w:tbl>
            <w:tblPr>
              <w:tblStyle w:val="15"/>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4"/>
              <w:gridCol w:w="3203"/>
              <w:gridCol w:w="1688"/>
              <w:gridCol w:w="1688"/>
            </w:tblGrid>
            <w:tr w14:paraId="603AD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pct"/>
                  <w:vMerge w:val="restart"/>
                  <w:noWrap w:val="0"/>
                  <w:vAlign w:val="center"/>
                </w:tcPr>
                <w:p w14:paraId="4721E861">
                  <w:pPr>
                    <w:pStyle w:val="34"/>
                    <w:rPr>
                      <w:color w:val="000000"/>
                    </w:rPr>
                  </w:pPr>
                  <w:r>
                    <w:rPr>
                      <w:color w:val="000000"/>
                    </w:rPr>
                    <w:t>时段</w:t>
                  </w:r>
                </w:p>
              </w:tc>
              <w:tc>
                <w:tcPr>
                  <w:tcW w:w="2044" w:type="pct"/>
                  <w:vMerge w:val="restart"/>
                  <w:noWrap w:val="0"/>
                  <w:vAlign w:val="center"/>
                </w:tcPr>
                <w:p w14:paraId="54D02835">
                  <w:pPr>
                    <w:pStyle w:val="34"/>
                    <w:rPr>
                      <w:color w:val="000000"/>
                    </w:rPr>
                  </w:pPr>
                  <w:r>
                    <w:rPr>
                      <w:color w:val="000000"/>
                    </w:rPr>
                    <w:t>执行标准</w:t>
                  </w:r>
                </w:p>
              </w:tc>
              <w:tc>
                <w:tcPr>
                  <w:tcW w:w="2154" w:type="pct"/>
                  <w:gridSpan w:val="2"/>
                  <w:noWrap w:val="0"/>
                  <w:vAlign w:val="center"/>
                </w:tcPr>
                <w:p w14:paraId="1E3D5122">
                  <w:pPr>
                    <w:pStyle w:val="34"/>
                    <w:rPr>
                      <w:color w:val="000000"/>
                    </w:rPr>
                  </w:pPr>
                  <w:r>
                    <w:rPr>
                      <w:color w:val="000000"/>
                    </w:rPr>
                    <w:t>标准限值</w:t>
                  </w:r>
                </w:p>
              </w:tc>
            </w:tr>
            <w:tr w14:paraId="76147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pct"/>
                  <w:vMerge w:val="continue"/>
                  <w:noWrap w:val="0"/>
                  <w:vAlign w:val="center"/>
                </w:tcPr>
                <w:p w14:paraId="675965E9">
                  <w:pPr>
                    <w:pStyle w:val="34"/>
                    <w:rPr>
                      <w:color w:val="000000"/>
                    </w:rPr>
                  </w:pPr>
                </w:p>
              </w:tc>
              <w:tc>
                <w:tcPr>
                  <w:tcW w:w="2044" w:type="pct"/>
                  <w:vMerge w:val="continue"/>
                  <w:noWrap w:val="0"/>
                  <w:vAlign w:val="center"/>
                </w:tcPr>
                <w:p w14:paraId="2FFAB872">
                  <w:pPr>
                    <w:pStyle w:val="34"/>
                    <w:rPr>
                      <w:color w:val="000000"/>
                    </w:rPr>
                  </w:pPr>
                </w:p>
              </w:tc>
              <w:tc>
                <w:tcPr>
                  <w:tcW w:w="1077" w:type="pct"/>
                  <w:noWrap w:val="0"/>
                  <w:vAlign w:val="center"/>
                </w:tcPr>
                <w:p w14:paraId="428DAF7C">
                  <w:pPr>
                    <w:pStyle w:val="34"/>
                    <w:rPr>
                      <w:color w:val="000000"/>
                    </w:rPr>
                  </w:pPr>
                  <w:r>
                    <w:rPr>
                      <w:color w:val="000000"/>
                    </w:rPr>
                    <w:t>昼间</w:t>
                  </w:r>
                </w:p>
              </w:tc>
              <w:tc>
                <w:tcPr>
                  <w:tcW w:w="1076" w:type="pct"/>
                  <w:noWrap w:val="0"/>
                  <w:vAlign w:val="center"/>
                </w:tcPr>
                <w:p w14:paraId="64FD4016">
                  <w:pPr>
                    <w:pStyle w:val="34"/>
                    <w:rPr>
                      <w:color w:val="000000"/>
                    </w:rPr>
                  </w:pPr>
                  <w:r>
                    <w:rPr>
                      <w:color w:val="000000"/>
                    </w:rPr>
                    <w:t>夜间</w:t>
                  </w:r>
                </w:p>
              </w:tc>
            </w:tr>
            <w:tr w14:paraId="424DB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pct"/>
                  <w:noWrap w:val="0"/>
                  <w:vAlign w:val="center"/>
                </w:tcPr>
                <w:p w14:paraId="07BB9561">
                  <w:pPr>
                    <w:pStyle w:val="34"/>
                    <w:rPr>
                      <w:color w:val="000000"/>
                    </w:rPr>
                  </w:pPr>
                  <w:r>
                    <w:rPr>
                      <w:color w:val="000000"/>
                    </w:rPr>
                    <w:t>运营期</w:t>
                  </w:r>
                </w:p>
              </w:tc>
              <w:tc>
                <w:tcPr>
                  <w:tcW w:w="2044" w:type="pct"/>
                  <w:noWrap w:val="0"/>
                  <w:vAlign w:val="center"/>
                </w:tcPr>
                <w:p w14:paraId="01A20EFD">
                  <w:pPr>
                    <w:pStyle w:val="34"/>
                    <w:rPr>
                      <w:color w:val="000000"/>
                    </w:rPr>
                  </w:pPr>
                  <w:r>
                    <w:rPr>
                      <w:color w:val="000000"/>
                    </w:rPr>
                    <w:t>《工业企业厂界环境噪声排放标准》（GB12348-2008）</w:t>
                  </w:r>
                  <w:r>
                    <w:rPr>
                      <w:rFonts w:hint="eastAsia"/>
                      <w:color w:val="000000"/>
                      <w:lang w:val="en-US" w:eastAsia="zh-CN"/>
                    </w:rPr>
                    <w:t>3</w:t>
                  </w:r>
                  <w:r>
                    <w:rPr>
                      <w:color w:val="000000"/>
                    </w:rPr>
                    <w:t>类标准</w:t>
                  </w:r>
                </w:p>
              </w:tc>
              <w:tc>
                <w:tcPr>
                  <w:tcW w:w="1077" w:type="pct"/>
                  <w:noWrap w:val="0"/>
                  <w:vAlign w:val="center"/>
                </w:tcPr>
                <w:p w14:paraId="7443DA4E">
                  <w:pPr>
                    <w:pStyle w:val="34"/>
                    <w:rPr>
                      <w:rFonts w:hint="default" w:eastAsia="宋体"/>
                      <w:color w:val="000000"/>
                      <w:lang w:val="en-US" w:eastAsia="zh-CN"/>
                    </w:rPr>
                  </w:pPr>
                  <w:r>
                    <w:rPr>
                      <w:rFonts w:hint="eastAsia"/>
                      <w:color w:val="000000"/>
                      <w:lang w:val="en-US" w:eastAsia="zh-CN"/>
                    </w:rPr>
                    <w:t>65</w:t>
                  </w:r>
                </w:p>
              </w:tc>
              <w:tc>
                <w:tcPr>
                  <w:tcW w:w="1076" w:type="pct"/>
                  <w:noWrap w:val="0"/>
                  <w:vAlign w:val="center"/>
                </w:tcPr>
                <w:p w14:paraId="08605157">
                  <w:pPr>
                    <w:pStyle w:val="34"/>
                    <w:rPr>
                      <w:rFonts w:hint="default" w:eastAsia="宋体"/>
                      <w:color w:val="000000"/>
                      <w:lang w:val="en-US" w:eastAsia="zh-CN"/>
                    </w:rPr>
                  </w:pPr>
                  <w:r>
                    <w:rPr>
                      <w:rFonts w:hint="eastAsia"/>
                      <w:color w:val="000000"/>
                      <w:lang w:val="en-US" w:eastAsia="zh-CN"/>
                    </w:rPr>
                    <w:t>55</w:t>
                  </w:r>
                </w:p>
              </w:tc>
            </w:tr>
          </w:tbl>
          <w:p w14:paraId="4F25CB6E">
            <w:pPr>
              <w:pStyle w:val="24"/>
              <w:rPr>
                <w:color w:val="auto"/>
              </w:rPr>
            </w:pPr>
            <w:r>
              <w:rPr>
                <w:rFonts w:hint="default" w:ascii="Times New Roman" w:hAnsi="宋体"/>
                <w:bCs/>
                <w:color w:val="000000"/>
                <w:sz w:val="24"/>
                <w:szCs w:val="24"/>
                <w:lang w:val="en-US" w:eastAsia="zh-CN"/>
              </w:rPr>
              <w:t>（</w:t>
            </w:r>
            <w:r>
              <w:rPr>
                <w:rFonts w:hint="eastAsia" w:hAnsi="宋体"/>
                <w:bCs/>
                <w:color w:val="000000"/>
                <w:sz w:val="24"/>
                <w:szCs w:val="24"/>
                <w:lang w:val="en-US" w:eastAsia="zh-CN"/>
              </w:rPr>
              <w:t>4</w:t>
            </w:r>
            <w:r>
              <w:rPr>
                <w:rFonts w:hint="default" w:ascii="Times New Roman" w:hAnsi="宋体"/>
                <w:bCs/>
                <w:color w:val="000000"/>
                <w:sz w:val="24"/>
                <w:szCs w:val="24"/>
                <w:lang w:val="en-US" w:eastAsia="zh-CN"/>
              </w:rPr>
              <w:t>）</w:t>
            </w:r>
            <w:r>
              <w:rPr>
                <w:color w:val="auto"/>
              </w:rPr>
              <w:t>固体废物控制标准</w:t>
            </w:r>
          </w:p>
          <w:p w14:paraId="7CA41F5A">
            <w:pPr>
              <w:pStyle w:val="21"/>
              <w:bidi w:val="0"/>
              <w:rPr>
                <w:color w:val="000000"/>
              </w:rPr>
            </w:pPr>
            <w:r>
              <w:rPr>
                <w:rFonts w:hint="default"/>
                <w:color w:val="000000"/>
                <w:lang w:val="en-US" w:eastAsia="zh-CN"/>
              </w:rPr>
              <w:t>采用库房、包装工具（罐、桶、包装袋等）贮存一般工业固体废物的，贮存过程应满足相应防渗漏、防雨淋、防扬尘等环境保护要求</w:t>
            </w:r>
            <w:r>
              <w:rPr>
                <w:rFonts w:hint="eastAsia"/>
                <w:color w:val="000000"/>
                <w:lang w:val="en-US" w:eastAsia="zh-CN"/>
              </w:rPr>
              <w:t>，并</w:t>
            </w:r>
            <w:r>
              <w:rPr>
                <w:rFonts w:hint="default"/>
                <w:color w:val="000000"/>
                <w:lang w:val="en-US" w:eastAsia="zh-CN"/>
              </w:rPr>
              <w:t>设置清晰、完整的一般工业固体废物标志牌等</w:t>
            </w:r>
            <w:r>
              <w:rPr>
                <w:rFonts w:hint="eastAsia"/>
                <w:color w:val="000000"/>
                <w:lang w:val="en-US" w:eastAsia="zh-CN"/>
              </w:rPr>
              <w:t>。</w:t>
            </w:r>
          </w:p>
          <w:p w14:paraId="78E46B95">
            <w:pPr>
              <w:rPr>
                <w:rFonts w:hint="default" w:ascii="Times New Roman" w:hAnsi="Times New Roman" w:eastAsia="宋体" w:cs="Times New Roman"/>
                <w:sz w:val="24"/>
                <w:szCs w:val="24"/>
              </w:rPr>
            </w:pPr>
            <w:r>
              <w:rPr>
                <w:color w:val="000000"/>
              </w:rPr>
              <w:t>危险废物暂存执行《危险废物贮存污染控制标准》（</w:t>
            </w:r>
            <w:r>
              <w:rPr>
                <w:rFonts w:hint="eastAsia"/>
                <w:color w:val="000000"/>
                <w:lang w:eastAsia="zh-CN"/>
              </w:rPr>
              <w:t>GB18597-2023</w:t>
            </w:r>
            <w:r>
              <w:rPr>
                <w:color w:val="000000"/>
              </w:rPr>
              <w:t>）相关要求，危险废物转移执行《危险废物转移管理办法》中相关要求。</w:t>
            </w:r>
          </w:p>
        </w:tc>
      </w:tr>
    </w:tbl>
    <w:p w14:paraId="79BAAE74"/>
    <w:p w14:paraId="22A1B7A0">
      <w:pPr>
        <w:pStyle w:val="7"/>
      </w:pPr>
    </w:p>
    <w:p w14:paraId="0BE083CF">
      <w:pPr>
        <w:pStyle w:val="10"/>
        <w:widowControl w:val="0"/>
        <w:numPr>
          <w:ilvl w:val="0"/>
          <w:numId w:val="0"/>
        </w:numPr>
        <w:jc w:val="both"/>
      </w:pPr>
    </w:p>
    <w:p w14:paraId="7CC0409B">
      <w:pPr>
        <w:pStyle w:val="10"/>
        <w:widowControl w:val="0"/>
        <w:numPr>
          <w:ilvl w:val="0"/>
          <w:numId w:val="0"/>
        </w:numPr>
        <w:jc w:val="both"/>
      </w:pPr>
    </w:p>
    <w:p w14:paraId="48CBD029">
      <w:pPr>
        <w:pStyle w:val="10"/>
        <w:widowControl w:val="0"/>
        <w:numPr>
          <w:ilvl w:val="0"/>
          <w:numId w:val="0"/>
        </w:numPr>
        <w:jc w:val="both"/>
      </w:pPr>
    </w:p>
    <w:p w14:paraId="25390979">
      <w:pPr>
        <w:pStyle w:val="10"/>
        <w:widowControl w:val="0"/>
        <w:numPr>
          <w:ilvl w:val="0"/>
          <w:numId w:val="0"/>
        </w:numPr>
        <w:jc w:val="both"/>
      </w:pPr>
    </w:p>
    <w:p w14:paraId="4C23D274">
      <w:pPr>
        <w:pStyle w:val="10"/>
        <w:widowControl w:val="0"/>
        <w:numPr>
          <w:ilvl w:val="0"/>
          <w:numId w:val="0"/>
        </w:numPr>
        <w:jc w:val="both"/>
      </w:pPr>
    </w:p>
    <w:p w14:paraId="2CB3228D">
      <w:pPr>
        <w:pStyle w:val="10"/>
        <w:widowControl w:val="0"/>
        <w:numPr>
          <w:ilvl w:val="0"/>
          <w:numId w:val="0"/>
        </w:numPr>
        <w:jc w:val="both"/>
      </w:pPr>
    </w:p>
    <w:p w14:paraId="2F37C230">
      <w:pPr>
        <w:pStyle w:val="10"/>
        <w:widowControl w:val="0"/>
        <w:numPr>
          <w:ilvl w:val="0"/>
          <w:numId w:val="0"/>
        </w:numPr>
        <w:jc w:val="both"/>
      </w:pPr>
    </w:p>
    <w:p w14:paraId="3BEC3877">
      <w:pPr>
        <w:pStyle w:val="10"/>
        <w:widowControl w:val="0"/>
        <w:numPr>
          <w:ilvl w:val="0"/>
          <w:numId w:val="0"/>
        </w:numPr>
        <w:jc w:val="both"/>
      </w:pPr>
    </w:p>
    <w:tbl>
      <w:tblPr>
        <w:tblStyle w:val="15"/>
        <w:tblW w:w="5741"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785"/>
      </w:tblGrid>
      <w:tr w14:paraId="70A456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3571" w:hRule="atLeast"/>
          <w:jc w:val="center"/>
        </w:trPr>
        <w:tc>
          <w:tcPr>
            <w:tcW w:w="5000" w:type="pct"/>
            <w:noWrap w:val="0"/>
            <w:vAlign w:val="top"/>
          </w:tcPr>
          <w:p w14:paraId="7AD9A45E">
            <w:pPr>
              <w:pStyle w:val="21"/>
              <w:bidi w:val="0"/>
              <w:ind w:left="0" w:leftChars="0" w:firstLine="0" w:firstLineChars="0"/>
              <w:jc w:val="both"/>
              <w:rPr>
                <w:b/>
                <w:bCs/>
              </w:rPr>
            </w:pPr>
            <w:r>
              <w:rPr>
                <w:rFonts w:hint="eastAsia"/>
                <w:b/>
                <w:bCs/>
                <w:lang w:val="en-US" w:eastAsia="zh-CN"/>
              </w:rPr>
              <w:t>2</w:t>
            </w:r>
            <w:r>
              <w:rPr>
                <w:rFonts w:hint="default"/>
                <w:b/>
                <w:bCs/>
              </w:rPr>
              <w:t>.1</w:t>
            </w:r>
            <w:r>
              <w:rPr>
                <w:rFonts w:hint="eastAsia"/>
                <w:b/>
                <w:bCs/>
                <w:lang w:val="en-US" w:eastAsia="zh-CN"/>
              </w:rPr>
              <w:t>工程建设内容</w:t>
            </w:r>
          </w:p>
          <w:p w14:paraId="6D45B354">
            <w:pPr>
              <w:jc w:val="both"/>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2.1.1 地理位置及平面布置</w:t>
            </w:r>
          </w:p>
          <w:p w14:paraId="22A6FF9C">
            <w:pPr>
              <w:pStyle w:val="21"/>
              <w:numPr>
                <w:ilvl w:val="0"/>
                <w:numId w:val="0"/>
              </w:numPr>
              <w:bidi w:val="0"/>
              <w:ind w:firstLine="480" w:firstLineChars="200"/>
              <w:rPr>
                <w:rFonts w:hint="eastAsia" w:ascii="Times New Roman" w:hAnsi="Times New Roman" w:eastAsia="宋体"/>
                <w:b w:val="0"/>
                <w:bCs w:val="0"/>
                <w:color w:val="000000" w:themeColor="text1"/>
                <w:lang w:val="en-US" w:eastAsia="zh-CN"/>
                <w14:textFill>
                  <w14:solidFill>
                    <w14:schemeClr w14:val="tx1"/>
                  </w14:solidFill>
                </w14:textFill>
              </w:rPr>
            </w:pPr>
            <w:r>
              <w:rPr>
                <w:rFonts w:hint="eastAsia" w:ascii="Times New Roman" w:hAnsi="Times New Roman" w:eastAsia="宋体"/>
                <w:b w:val="0"/>
                <w:bCs w:val="0"/>
                <w:color w:val="000000" w:themeColor="text1"/>
                <w:lang w:val="en-US" w:eastAsia="zh-CN"/>
                <w14:textFill>
                  <w14:solidFill>
                    <w14:schemeClr w14:val="tx1"/>
                  </w14:solidFill>
                </w14:textFill>
              </w:rPr>
              <w:t>（1）地理位置及周边环境敏感目标调查</w:t>
            </w:r>
          </w:p>
          <w:p w14:paraId="1A9C2C0A">
            <w:pPr>
              <w:pStyle w:val="21"/>
              <w:ind w:firstLine="480"/>
              <w:rPr>
                <w:rFonts w:hint="default"/>
                <w:color w:val="000000"/>
                <w:lang w:val="en-US"/>
              </w:rPr>
            </w:pPr>
            <w:r>
              <w:rPr>
                <w:color w:val="000000"/>
              </w:rPr>
              <w:t>项目</w:t>
            </w:r>
            <w:r>
              <w:rPr>
                <w:rFonts w:hint="eastAsia"/>
                <w:color w:val="000000"/>
                <w:lang w:val="en-US" w:eastAsia="zh-CN"/>
              </w:rPr>
              <w:t>租赁重庆市州勤机械制造有限责任公司位于万州经开区九龙园的已建厂房进行生产，厂房高约9m，租赁面积约1600m</w:t>
            </w:r>
            <w:r>
              <w:rPr>
                <w:rFonts w:hint="eastAsia"/>
                <w:color w:val="000000"/>
                <w:vertAlign w:val="superscript"/>
                <w:lang w:val="en-US" w:eastAsia="zh-CN"/>
              </w:rPr>
              <w:t>2</w:t>
            </w:r>
            <w:r>
              <w:rPr>
                <w:rFonts w:hint="eastAsia"/>
                <w:color w:val="000000"/>
                <w:lang w:val="en-US" w:eastAsia="zh-CN"/>
              </w:rPr>
              <w:t>。项目在租赁厂房内建设1条标识标牌制作生产线，建成后年产各类标识标牌200套。</w:t>
            </w:r>
          </w:p>
          <w:p w14:paraId="6E5F8C12">
            <w:pPr>
              <w:pStyle w:val="21"/>
              <w:bidi w:val="0"/>
              <w:rPr>
                <w:rFonts w:hint="eastAsia"/>
                <w:color w:val="000000"/>
                <w:lang w:val="en-US" w:eastAsia="zh-CN"/>
              </w:rPr>
            </w:pPr>
            <w:r>
              <w:rPr>
                <w:color w:val="000000"/>
              </w:rPr>
              <w:t>本项目位于</w:t>
            </w:r>
            <w:r>
              <w:rPr>
                <w:rFonts w:hint="eastAsia"/>
                <w:color w:val="000000"/>
                <w:lang w:eastAsia="zh-CN"/>
              </w:rPr>
              <w:t>重庆市</w:t>
            </w:r>
            <w:r>
              <w:rPr>
                <w:rFonts w:hint="eastAsia"/>
                <w:color w:val="000000"/>
                <w:lang w:val="en-US" w:eastAsia="zh-CN"/>
              </w:rPr>
              <w:t>万州经开区九龙园，</w:t>
            </w:r>
            <w:r>
              <w:rPr>
                <w:color w:val="000000"/>
              </w:rPr>
              <w:t>用地性质为</w:t>
            </w:r>
            <w:r>
              <w:rPr>
                <w:rFonts w:hint="eastAsia"/>
                <w:color w:val="000000"/>
                <w:lang w:eastAsia="zh-CN"/>
              </w:rPr>
              <w:t>工业用地</w:t>
            </w:r>
            <w:r>
              <w:rPr>
                <w:color w:val="000000"/>
              </w:rPr>
              <w:t>，项目周围</w:t>
            </w:r>
            <w:r>
              <w:rPr>
                <w:rFonts w:hint="eastAsia"/>
                <w:color w:val="000000"/>
                <w:lang w:eastAsia="zh-CN"/>
              </w:rPr>
              <w:t>主要</w:t>
            </w:r>
            <w:r>
              <w:rPr>
                <w:color w:val="000000"/>
              </w:rPr>
              <w:t>为</w:t>
            </w:r>
            <w:r>
              <w:rPr>
                <w:rFonts w:hint="eastAsia"/>
                <w:color w:val="000000"/>
                <w:lang w:eastAsia="zh-CN"/>
              </w:rPr>
              <w:t>工业企业</w:t>
            </w:r>
            <w:r>
              <w:rPr>
                <w:color w:val="000000"/>
              </w:rPr>
              <w:t>。</w:t>
            </w:r>
            <w:r>
              <w:rPr>
                <w:rFonts w:hint="eastAsia"/>
                <w:color w:val="000000"/>
                <w:lang w:val="en-US" w:eastAsia="zh-CN"/>
              </w:rPr>
              <w:t>项目不涉及自然保护区、风景名胜区、世界文化和自然遗产地、饮用水水源保护区等环境敏感区，不属于生态敏感与脆弱区，周边无野生动物重要栖息地、重点保护野生植物生长繁殖地分布，无文物保护单位分布。</w:t>
            </w:r>
          </w:p>
          <w:p w14:paraId="1065E83A">
            <w:pPr>
              <w:pStyle w:val="21"/>
              <w:bidi w:val="0"/>
              <w:rPr>
                <w:rFonts w:hint="eastAsia" w:ascii="Times New Roman" w:hAnsi="Times New Roman" w:eastAsia="宋体"/>
                <w:b w:val="0"/>
                <w:bCs w:val="0"/>
                <w:color w:val="000000" w:themeColor="text1"/>
                <w:lang w:val="en-US" w:eastAsia="zh-CN"/>
                <w14:textFill>
                  <w14:solidFill>
                    <w14:schemeClr w14:val="tx1"/>
                  </w14:solidFill>
                </w14:textFill>
              </w:rPr>
            </w:pPr>
            <w:r>
              <w:rPr>
                <w:rFonts w:hint="eastAsia" w:ascii="Times New Roman" w:hAnsi="Times New Roman" w:eastAsia="宋体"/>
                <w:b w:val="0"/>
                <w:bCs w:val="0"/>
                <w:color w:val="000000" w:themeColor="text1"/>
                <w:lang w:val="en-US" w:eastAsia="zh-CN"/>
                <w14:textFill>
                  <w14:solidFill>
                    <w14:schemeClr w14:val="tx1"/>
                  </w14:solidFill>
                </w14:textFill>
              </w:rPr>
              <w:t>项目地理位置图详见附图1</w:t>
            </w:r>
          </w:p>
          <w:p w14:paraId="7644E98B">
            <w:pPr>
              <w:pStyle w:val="21"/>
              <w:numPr>
                <w:ilvl w:val="0"/>
                <w:numId w:val="3"/>
              </w:numPr>
              <w:bidi w:val="0"/>
              <w:ind w:left="-300" w:leftChars="0" w:firstLineChars="0"/>
              <w:rPr>
                <w:rFonts w:hint="eastAsia" w:ascii="Times New Roman" w:hAnsi="Times New Roman" w:eastAsia="宋体"/>
                <w:b w:val="0"/>
                <w:bCs w:val="0"/>
                <w:color w:val="000000" w:themeColor="text1"/>
                <w:lang w:val="en-US" w:eastAsia="zh-CN"/>
                <w14:textFill>
                  <w14:solidFill>
                    <w14:schemeClr w14:val="tx1"/>
                  </w14:solidFill>
                </w14:textFill>
              </w:rPr>
            </w:pPr>
            <w:r>
              <w:rPr>
                <w:rFonts w:hint="eastAsia" w:ascii="Times New Roman" w:hAnsi="Times New Roman" w:eastAsia="宋体"/>
                <w:b w:val="0"/>
                <w:bCs w:val="0"/>
                <w:color w:val="000000" w:themeColor="text1"/>
                <w:lang w:val="en-US" w:eastAsia="zh-CN"/>
                <w14:textFill>
                  <w14:solidFill>
                    <w14:schemeClr w14:val="tx1"/>
                  </w14:solidFill>
                </w14:textFill>
              </w:rPr>
              <w:t>平面布置</w:t>
            </w:r>
          </w:p>
          <w:p w14:paraId="1FB4B76E">
            <w:pPr>
              <w:pStyle w:val="21"/>
              <w:numPr>
                <w:ilvl w:val="0"/>
                <w:numId w:val="0"/>
              </w:numPr>
              <w:bidi w:val="0"/>
              <w:ind w:firstLine="480" w:firstLineChars="200"/>
              <w:rPr>
                <w:rFonts w:hint="eastAsia"/>
                <w:color w:val="000000"/>
                <w:highlight w:val="none"/>
                <w:lang w:val="en-US" w:eastAsia="zh-CN"/>
              </w:rPr>
            </w:pPr>
            <w:r>
              <w:rPr>
                <w:color w:val="000000"/>
                <w:highlight w:val="none"/>
              </w:rPr>
              <w:t>项目</w:t>
            </w:r>
            <w:r>
              <w:rPr>
                <w:rFonts w:hint="eastAsia"/>
                <w:color w:val="000000"/>
                <w:highlight w:val="none"/>
                <w:lang w:val="en-US" w:eastAsia="zh-CN"/>
              </w:rPr>
              <w:t>生产厂房为整体呈东西走向的矩形，生产线按照不同的工艺流程走向依次布置，极大的减少了物料在厂房内的流转。厂房南北侧均设有出入口，便于物料在场内的运输，平面布局合理。</w:t>
            </w:r>
          </w:p>
          <w:p w14:paraId="4D6A8D18">
            <w:pPr>
              <w:pStyle w:val="21"/>
              <w:numPr>
                <w:ilvl w:val="0"/>
                <w:numId w:val="0"/>
              </w:numPr>
              <w:bidi w:val="0"/>
              <w:ind w:firstLine="480" w:firstLineChars="200"/>
              <w:rPr>
                <w:rFonts w:hint="default" w:ascii="Times New Roman" w:hAnsi="Times New Roman" w:eastAsia="宋体"/>
                <w:b w:val="0"/>
                <w:bCs w:val="0"/>
                <w:color w:val="000000" w:themeColor="text1"/>
                <w:lang w:val="en-US" w:eastAsia="zh-CN"/>
                <w14:textFill>
                  <w14:solidFill>
                    <w14:schemeClr w14:val="tx1"/>
                  </w14:solidFill>
                </w14:textFill>
              </w:rPr>
            </w:pPr>
            <w:r>
              <w:rPr>
                <w:rFonts w:hint="default" w:ascii="Times New Roman" w:hAnsi="Times New Roman" w:eastAsia="宋体"/>
                <w:b w:val="0"/>
                <w:bCs w:val="0"/>
                <w:color w:val="000000" w:themeColor="text1"/>
                <w:lang w:val="en-US" w:eastAsia="zh-CN"/>
                <w14:textFill>
                  <w14:solidFill>
                    <w14:schemeClr w14:val="tx1"/>
                  </w14:solidFill>
                </w14:textFill>
              </w:rPr>
              <w:t>2.1.2 项目建设内容</w:t>
            </w:r>
          </w:p>
          <w:p w14:paraId="798DC908">
            <w:pPr>
              <w:pStyle w:val="21"/>
              <w:ind w:left="0" w:leftChars="0" w:firstLine="480" w:firstLineChars="200"/>
              <w:rPr>
                <w:b w:val="0"/>
                <w:bCs w:val="0"/>
                <w:color w:val="000000" w:themeColor="text1"/>
                <w14:textFill>
                  <w14:solidFill>
                    <w14:schemeClr w14:val="tx1"/>
                  </w14:solidFill>
                </w14:textFill>
              </w:rPr>
            </w:pPr>
            <w:r>
              <w:rPr>
                <w:b w:val="0"/>
                <w:bCs w:val="0"/>
                <w:color w:val="000000" w:themeColor="text1"/>
                <w14:textFill>
                  <w14:solidFill>
                    <w14:schemeClr w14:val="tx1"/>
                  </w14:solidFill>
                </w14:textFill>
              </w:rPr>
              <w:t>项目主要建设内容如下：</w:t>
            </w:r>
          </w:p>
          <w:p w14:paraId="7624ACCC">
            <w:pPr>
              <w:pStyle w:val="23"/>
              <w:rPr>
                <w:color w:val="000000" w:themeColor="text1"/>
                <w14:textFill>
                  <w14:solidFill>
                    <w14:schemeClr w14:val="tx1"/>
                  </w14:solidFill>
                </w14:textFill>
              </w:rPr>
            </w:pPr>
            <w:r>
              <w:rPr>
                <w:color w:val="000000" w:themeColor="text1"/>
                <w14:textFill>
                  <w14:solidFill>
                    <w14:schemeClr w14:val="tx1"/>
                  </w14:solidFill>
                </w14:textFill>
              </w:rPr>
              <w:t>项目内容一览表</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450"/>
              <w:gridCol w:w="1135"/>
              <w:gridCol w:w="4290"/>
              <w:gridCol w:w="3002"/>
            </w:tblGrid>
            <w:tr w14:paraId="6E21D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6" w:type="pct"/>
                  <w:tcBorders>
                    <w:top w:val="single" w:color="auto" w:sz="4" w:space="0"/>
                    <w:left w:val="single" w:color="auto" w:sz="4" w:space="0"/>
                    <w:bottom w:val="single" w:color="auto" w:sz="4" w:space="0"/>
                    <w:right w:val="single" w:color="auto" w:sz="4" w:space="0"/>
                  </w:tcBorders>
                  <w:noWrap w:val="0"/>
                  <w:vAlign w:val="center"/>
                </w:tcPr>
                <w:p w14:paraId="64FC7402">
                  <w:pPr>
                    <w:pStyle w:val="34"/>
                    <w:rPr>
                      <w:color w:val="000000" w:themeColor="text1"/>
                      <w14:textFill>
                        <w14:solidFill>
                          <w14:schemeClr w14:val="tx1"/>
                        </w14:solidFill>
                      </w14:textFill>
                    </w:rPr>
                  </w:pPr>
                  <w:r>
                    <w:rPr>
                      <w:color w:val="000000" w:themeColor="text1"/>
                      <w14:textFill>
                        <w14:solidFill>
                          <w14:schemeClr w14:val="tx1"/>
                        </w14:solidFill>
                      </w14:textFill>
                    </w:rPr>
                    <w:t>序号</w:t>
                  </w:r>
                </w:p>
              </w:tc>
              <w:tc>
                <w:tcPr>
                  <w:tcW w:w="829" w:type="pct"/>
                  <w:gridSpan w:val="2"/>
                  <w:tcBorders>
                    <w:top w:val="single" w:color="auto" w:sz="4" w:space="0"/>
                    <w:left w:val="single" w:color="auto" w:sz="4" w:space="0"/>
                    <w:bottom w:val="single" w:color="auto" w:sz="4" w:space="0"/>
                    <w:right w:val="single" w:color="auto" w:sz="4" w:space="0"/>
                  </w:tcBorders>
                  <w:noWrap w:val="0"/>
                  <w:vAlign w:val="center"/>
                </w:tcPr>
                <w:p w14:paraId="3120BAC8">
                  <w:pPr>
                    <w:pStyle w:val="34"/>
                    <w:rPr>
                      <w:color w:val="000000" w:themeColor="text1"/>
                      <w14:textFill>
                        <w14:solidFill>
                          <w14:schemeClr w14:val="tx1"/>
                        </w14:solidFill>
                      </w14:textFill>
                    </w:rPr>
                  </w:pPr>
                  <w:r>
                    <w:rPr>
                      <w:color w:val="000000" w:themeColor="text1"/>
                      <w14:textFill>
                        <w14:solidFill>
                          <w14:schemeClr w14:val="tx1"/>
                        </w14:solidFill>
                      </w14:textFill>
                    </w:rPr>
                    <w:t>名称</w:t>
                  </w:r>
                </w:p>
              </w:tc>
              <w:tc>
                <w:tcPr>
                  <w:tcW w:w="2243" w:type="pct"/>
                  <w:tcBorders>
                    <w:top w:val="single" w:color="auto" w:sz="4" w:space="0"/>
                    <w:left w:val="single" w:color="auto" w:sz="4" w:space="0"/>
                    <w:bottom w:val="single" w:color="auto" w:sz="4" w:space="0"/>
                    <w:right w:val="single" w:color="auto" w:sz="4" w:space="0"/>
                  </w:tcBorders>
                  <w:noWrap w:val="0"/>
                  <w:vAlign w:val="center"/>
                </w:tcPr>
                <w:p w14:paraId="07CE0648">
                  <w:pPr>
                    <w:pStyle w:val="34"/>
                    <w:rPr>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环评</w:t>
                  </w:r>
                  <w:r>
                    <w:rPr>
                      <w:color w:val="000000" w:themeColor="text1"/>
                      <w14:textFill>
                        <w14:solidFill>
                          <w14:schemeClr w14:val="tx1"/>
                        </w14:solidFill>
                      </w14:textFill>
                    </w:rPr>
                    <w:t>建设内容</w:t>
                  </w:r>
                </w:p>
              </w:tc>
              <w:tc>
                <w:tcPr>
                  <w:tcW w:w="1570" w:type="pct"/>
                  <w:tcBorders>
                    <w:top w:val="single" w:color="auto" w:sz="4" w:space="0"/>
                    <w:left w:val="single" w:color="auto" w:sz="4" w:space="0"/>
                    <w:bottom w:val="single" w:color="auto" w:sz="4" w:space="0"/>
                    <w:right w:val="single" w:color="auto" w:sz="4" w:space="0"/>
                  </w:tcBorders>
                  <w:noWrap w:val="0"/>
                  <w:vAlign w:val="center"/>
                </w:tcPr>
                <w:p w14:paraId="72953BF8">
                  <w:pPr>
                    <w:pStyle w:val="34"/>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实际建设内容</w:t>
                  </w:r>
                </w:p>
              </w:tc>
            </w:tr>
            <w:tr w14:paraId="046D1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5"/>
                  <w:tcBorders>
                    <w:top w:val="single" w:color="auto" w:sz="4" w:space="0"/>
                    <w:left w:val="single" w:color="auto" w:sz="4" w:space="0"/>
                    <w:bottom w:val="single" w:color="auto" w:sz="4" w:space="0"/>
                    <w:right w:val="single" w:color="auto" w:sz="4" w:space="0"/>
                  </w:tcBorders>
                  <w:noWrap w:val="0"/>
                  <w:vAlign w:val="center"/>
                </w:tcPr>
                <w:p w14:paraId="58EE7C67">
                  <w:pPr>
                    <w:pStyle w:val="34"/>
                    <w:rPr>
                      <w:color w:val="000000" w:themeColor="text1"/>
                      <w14:textFill>
                        <w14:solidFill>
                          <w14:schemeClr w14:val="tx1"/>
                        </w14:solidFill>
                      </w14:textFill>
                    </w:rPr>
                  </w:pPr>
                  <w:r>
                    <w:rPr>
                      <w:color w:val="000000" w:themeColor="text1"/>
                      <w14:textFill>
                        <w14:solidFill>
                          <w14:schemeClr w14:val="tx1"/>
                        </w14:solidFill>
                      </w14:textFill>
                    </w:rPr>
                    <w:t>主体工程</w:t>
                  </w:r>
                </w:p>
              </w:tc>
            </w:tr>
            <w:tr w14:paraId="0FC05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6" w:type="pct"/>
                  <w:vMerge w:val="restart"/>
                  <w:tcBorders>
                    <w:top w:val="single" w:color="auto" w:sz="4" w:space="0"/>
                    <w:left w:val="single" w:color="auto" w:sz="4" w:space="0"/>
                    <w:right w:val="single" w:color="auto" w:sz="4" w:space="0"/>
                  </w:tcBorders>
                  <w:noWrap w:val="0"/>
                  <w:vAlign w:val="center"/>
                </w:tcPr>
                <w:p w14:paraId="6005EA16">
                  <w:pPr>
                    <w:pStyle w:val="34"/>
                    <w:rPr>
                      <w:color w:val="000000" w:themeColor="text1"/>
                      <w14:textFill>
                        <w14:solidFill>
                          <w14:schemeClr w14:val="tx1"/>
                        </w14:solidFill>
                      </w14:textFill>
                    </w:rPr>
                  </w:pPr>
                  <w:r>
                    <w:rPr>
                      <w:color w:val="000000" w:themeColor="text1"/>
                      <w14:textFill>
                        <w14:solidFill>
                          <w14:schemeClr w14:val="tx1"/>
                        </w14:solidFill>
                      </w14:textFill>
                    </w:rPr>
                    <w:t>1</w:t>
                  </w:r>
                </w:p>
              </w:tc>
              <w:tc>
                <w:tcPr>
                  <w:tcW w:w="829" w:type="pct"/>
                  <w:gridSpan w:val="2"/>
                  <w:tcBorders>
                    <w:top w:val="single" w:color="auto" w:sz="4" w:space="0"/>
                    <w:left w:val="single" w:color="auto" w:sz="4" w:space="0"/>
                    <w:right w:val="single" w:color="auto" w:sz="4" w:space="0"/>
                  </w:tcBorders>
                  <w:noWrap w:val="0"/>
                  <w:vAlign w:val="center"/>
                </w:tcPr>
                <w:p w14:paraId="4339B9E0">
                  <w:pPr>
                    <w:pStyle w:val="34"/>
                    <w:bidi w:val="0"/>
                    <w:rPr>
                      <w:rFonts w:hint="default"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eastAsia" w:cs="Times New Roman"/>
                      <w:bCs/>
                      <w:color w:val="000000" w:themeColor="text1"/>
                      <w:kern w:val="2"/>
                      <w:sz w:val="21"/>
                      <w:szCs w:val="21"/>
                      <w:lang w:val="en-US" w:eastAsia="zh-CN" w:bidi="ar-SA"/>
                      <w14:textFill>
                        <w14:solidFill>
                          <w14:schemeClr w14:val="tx1"/>
                        </w14:solidFill>
                      </w14:textFill>
                    </w:rPr>
                    <w:t>生产厂房</w:t>
                  </w:r>
                </w:p>
              </w:tc>
              <w:tc>
                <w:tcPr>
                  <w:tcW w:w="2243" w:type="pct"/>
                  <w:tcBorders>
                    <w:top w:val="single" w:color="auto" w:sz="4" w:space="0"/>
                    <w:left w:val="single" w:color="auto" w:sz="4" w:space="0"/>
                    <w:bottom w:val="single" w:color="auto" w:sz="4" w:space="0"/>
                    <w:right w:val="single" w:color="auto" w:sz="4" w:space="0"/>
                  </w:tcBorders>
                  <w:noWrap w:val="0"/>
                  <w:vAlign w:val="center"/>
                </w:tcPr>
                <w:p w14:paraId="3EB9CA7D">
                  <w:pPr>
                    <w:pStyle w:val="34"/>
                    <w:rPr>
                      <w:rFonts w:hint="default"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eastAsia" w:cs="Times New Roman"/>
                      <w:bCs/>
                      <w:color w:val="000000" w:themeColor="text1"/>
                      <w:kern w:val="2"/>
                      <w:sz w:val="21"/>
                      <w:szCs w:val="21"/>
                      <w:lang w:val="en-US" w:eastAsia="zh-CN" w:bidi="ar-SA"/>
                      <w14:textFill>
                        <w14:solidFill>
                          <w14:schemeClr w14:val="tx1"/>
                        </w14:solidFill>
                      </w14:textFill>
                    </w:rPr>
                    <w:t>项目在租赁厂房内进行功能分区，主要分为下料区、折弯区、焊接区、打磨区、喷涂区、组装区</w:t>
                  </w:r>
                </w:p>
              </w:tc>
              <w:tc>
                <w:tcPr>
                  <w:tcW w:w="1570" w:type="pct"/>
                  <w:tcBorders>
                    <w:top w:val="single" w:color="auto" w:sz="4" w:space="0"/>
                    <w:left w:val="single" w:color="auto" w:sz="4" w:space="0"/>
                    <w:right w:val="single" w:color="auto" w:sz="4" w:space="0"/>
                  </w:tcBorders>
                  <w:noWrap w:val="0"/>
                  <w:vAlign w:val="center"/>
                </w:tcPr>
                <w:p w14:paraId="5F10B825">
                  <w:pPr>
                    <w:pStyle w:val="34"/>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与环评一致</w:t>
                  </w:r>
                </w:p>
              </w:tc>
            </w:tr>
            <w:tr w14:paraId="6D6FE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6" w:type="pct"/>
                  <w:vMerge w:val="continue"/>
                  <w:tcBorders>
                    <w:left w:val="single" w:color="auto" w:sz="4" w:space="0"/>
                    <w:right w:val="single" w:color="auto" w:sz="4" w:space="0"/>
                  </w:tcBorders>
                  <w:noWrap w:val="0"/>
                  <w:vAlign w:val="center"/>
                </w:tcPr>
                <w:p w14:paraId="15DA9E7D">
                  <w:pPr>
                    <w:pStyle w:val="34"/>
                    <w:rPr>
                      <w:color w:val="000000" w:themeColor="text1"/>
                      <w14:textFill>
                        <w14:solidFill>
                          <w14:schemeClr w14:val="tx1"/>
                        </w14:solidFill>
                      </w14:textFill>
                    </w:rPr>
                  </w:pPr>
                </w:p>
              </w:tc>
              <w:tc>
                <w:tcPr>
                  <w:tcW w:w="235" w:type="pct"/>
                  <w:vMerge w:val="restart"/>
                  <w:tcBorders>
                    <w:top w:val="single" w:color="auto" w:sz="4" w:space="0"/>
                    <w:left w:val="single" w:color="auto" w:sz="4" w:space="0"/>
                    <w:right w:val="single" w:color="auto" w:sz="4" w:space="0"/>
                  </w:tcBorders>
                  <w:noWrap w:val="0"/>
                  <w:vAlign w:val="center"/>
                </w:tcPr>
                <w:p w14:paraId="0C6DB7F6">
                  <w:pPr>
                    <w:pStyle w:val="34"/>
                    <w:bidi w:val="0"/>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其中</w:t>
                  </w:r>
                </w:p>
              </w:tc>
              <w:tc>
                <w:tcPr>
                  <w:tcW w:w="593" w:type="pct"/>
                  <w:tcBorders>
                    <w:top w:val="single" w:color="auto" w:sz="4" w:space="0"/>
                    <w:left w:val="single" w:color="auto" w:sz="4" w:space="0"/>
                    <w:right w:val="single" w:color="auto" w:sz="4" w:space="0"/>
                  </w:tcBorders>
                  <w:noWrap w:val="0"/>
                  <w:vAlign w:val="center"/>
                </w:tcPr>
                <w:p w14:paraId="3B31FDF4">
                  <w:pPr>
                    <w:pStyle w:val="34"/>
                    <w:bidi w:val="0"/>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下料区</w:t>
                  </w:r>
                </w:p>
              </w:tc>
              <w:tc>
                <w:tcPr>
                  <w:tcW w:w="2243" w:type="pct"/>
                  <w:tcBorders>
                    <w:top w:val="single" w:color="auto" w:sz="4" w:space="0"/>
                    <w:left w:val="single" w:color="auto" w:sz="4" w:space="0"/>
                    <w:bottom w:val="single" w:color="auto" w:sz="4" w:space="0"/>
                    <w:right w:val="single" w:color="auto" w:sz="4" w:space="0"/>
                  </w:tcBorders>
                  <w:noWrap w:val="0"/>
                  <w:vAlign w:val="center"/>
                </w:tcPr>
                <w:p w14:paraId="11C7C813">
                  <w:pPr>
                    <w:pStyle w:val="34"/>
                    <w:rPr>
                      <w:rFonts w:hint="default" w:cs="Times New Roman"/>
                      <w:bCs/>
                      <w:color w:val="000000" w:themeColor="text1"/>
                      <w:kern w:val="2"/>
                      <w:sz w:val="21"/>
                      <w:szCs w:val="21"/>
                      <w:lang w:val="en-US" w:eastAsia="zh-CN" w:bidi="ar-SA"/>
                      <w14:textFill>
                        <w14:solidFill>
                          <w14:schemeClr w14:val="tx1"/>
                        </w14:solidFill>
                      </w14:textFill>
                    </w:rPr>
                  </w:pPr>
                  <w:r>
                    <w:rPr>
                      <w:rFonts w:hint="eastAsia" w:cs="Times New Roman"/>
                      <w:bCs/>
                      <w:color w:val="000000" w:themeColor="text1"/>
                      <w:kern w:val="2"/>
                      <w:sz w:val="21"/>
                      <w:szCs w:val="21"/>
                      <w:lang w:val="en-US" w:eastAsia="zh-CN" w:bidi="ar-SA"/>
                      <w14:textFill>
                        <w14:solidFill>
                          <w14:schemeClr w14:val="tx1"/>
                        </w14:solidFill>
                      </w14:textFill>
                    </w:rPr>
                    <w:t>厂房西侧布置为下料区，面积约200m</w:t>
                  </w:r>
                  <w:r>
                    <w:rPr>
                      <w:rFonts w:hint="eastAsia" w:cs="Times New Roman"/>
                      <w:bCs/>
                      <w:color w:val="000000" w:themeColor="text1"/>
                      <w:kern w:val="2"/>
                      <w:sz w:val="21"/>
                      <w:szCs w:val="21"/>
                      <w:vertAlign w:val="superscript"/>
                      <w:lang w:val="en-US" w:eastAsia="zh-CN" w:bidi="ar-SA"/>
                      <w14:textFill>
                        <w14:solidFill>
                          <w14:schemeClr w14:val="tx1"/>
                        </w14:solidFill>
                      </w14:textFill>
                    </w:rPr>
                    <w:t>2</w:t>
                  </w:r>
                  <w:r>
                    <w:rPr>
                      <w:rFonts w:hint="eastAsia" w:cs="Times New Roman"/>
                      <w:bCs/>
                      <w:color w:val="000000" w:themeColor="text1"/>
                      <w:kern w:val="2"/>
                      <w:sz w:val="21"/>
                      <w:szCs w:val="21"/>
                      <w:lang w:val="en-US" w:eastAsia="zh-CN" w:bidi="ar-SA"/>
                      <w14:textFill>
                        <w14:solidFill>
                          <w14:schemeClr w14:val="tx1"/>
                        </w14:solidFill>
                      </w14:textFill>
                    </w:rPr>
                    <w:t>，主要安装1台激光切割机、1台剪板机，用于钢材的切割下料</w:t>
                  </w:r>
                </w:p>
              </w:tc>
              <w:tc>
                <w:tcPr>
                  <w:tcW w:w="1570" w:type="pct"/>
                  <w:tcBorders>
                    <w:left w:val="single" w:color="auto" w:sz="4" w:space="0"/>
                    <w:right w:val="single" w:color="auto" w:sz="4" w:space="0"/>
                  </w:tcBorders>
                  <w:noWrap w:val="0"/>
                  <w:vAlign w:val="center"/>
                </w:tcPr>
                <w:p w14:paraId="50D7ABAF">
                  <w:pPr>
                    <w:jc w:val="center"/>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与环评一致</w:t>
                  </w:r>
                </w:p>
              </w:tc>
            </w:tr>
            <w:tr w14:paraId="0EF5B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6" w:type="pct"/>
                  <w:vMerge w:val="continue"/>
                  <w:tcBorders>
                    <w:left w:val="single" w:color="auto" w:sz="4" w:space="0"/>
                    <w:right w:val="single" w:color="auto" w:sz="4" w:space="0"/>
                  </w:tcBorders>
                  <w:noWrap w:val="0"/>
                  <w:vAlign w:val="center"/>
                </w:tcPr>
                <w:p w14:paraId="3861C60C">
                  <w:pPr>
                    <w:pStyle w:val="34"/>
                    <w:rPr>
                      <w:color w:val="000000" w:themeColor="text1"/>
                      <w14:textFill>
                        <w14:solidFill>
                          <w14:schemeClr w14:val="tx1"/>
                        </w14:solidFill>
                      </w14:textFill>
                    </w:rPr>
                  </w:pPr>
                </w:p>
              </w:tc>
              <w:tc>
                <w:tcPr>
                  <w:tcW w:w="235" w:type="pct"/>
                  <w:vMerge w:val="continue"/>
                  <w:tcBorders>
                    <w:left w:val="single" w:color="auto" w:sz="4" w:space="0"/>
                    <w:right w:val="single" w:color="auto" w:sz="4" w:space="0"/>
                  </w:tcBorders>
                  <w:noWrap w:val="0"/>
                  <w:vAlign w:val="center"/>
                </w:tcPr>
                <w:p w14:paraId="6365DD7E">
                  <w:pPr>
                    <w:pStyle w:val="34"/>
                    <w:bidi w:val="0"/>
                    <w:rPr>
                      <w:rFonts w:hint="default"/>
                      <w:color w:val="000000" w:themeColor="text1"/>
                      <w:lang w:val="en-US" w:eastAsia="zh-CN"/>
                      <w14:textFill>
                        <w14:solidFill>
                          <w14:schemeClr w14:val="tx1"/>
                        </w14:solidFill>
                      </w14:textFill>
                    </w:rPr>
                  </w:pPr>
                </w:p>
              </w:tc>
              <w:tc>
                <w:tcPr>
                  <w:tcW w:w="593" w:type="pct"/>
                  <w:tcBorders>
                    <w:top w:val="single" w:color="auto" w:sz="4" w:space="0"/>
                    <w:left w:val="single" w:color="auto" w:sz="4" w:space="0"/>
                    <w:right w:val="single" w:color="auto" w:sz="4" w:space="0"/>
                  </w:tcBorders>
                  <w:noWrap w:val="0"/>
                  <w:vAlign w:val="center"/>
                </w:tcPr>
                <w:p w14:paraId="445A0970">
                  <w:pPr>
                    <w:pStyle w:val="34"/>
                    <w:bidi w:val="0"/>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折弯区</w:t>
                  </w:r>
                </w:p>
              </w:tc>
              <w:tc>
                <w:tcPr>
                  <w:tcW w:w="2243" w:type="pct"/>
                  <w:tcBorders>
                    <w:top w:val="single" w:color="auto" w:sz="4" w:space="0"/>
                    <w:left w:val="single" w:color="auto" w:sz="4" w:space="0"/>
                    <w:bottom w:val="single" w:color="auto" w:sz="4" w:space="0"/>
                    <w:right w:val="single" w:color="auto" w:sz="4" w:space="0"/>
                  </w:tcBorders>
                  <w:noWrap w:val="0"/>
                  <w:vAlign w:val="center"/>
                </w:tcPr>
                <w:p w14:paraId="2ED4555F">
                  <w:pPr>
                    <w:pStyle w:val="34"/>
                    <w:rPr>
                      <w:rFonts w:hint="default" w:cs="Times New Roman"/>
                      <w:bCs/>
                      <w:color w:val="000000" w:themeColor="text1"/>
                      <w:kern w:val="2"/>
                      <w:sz w:val="21"/>
                      <w:szCs w:val="21"/>
                      <w:lang w:val="en-US" w:eastAsia="zh-CN" w:bidi="ar-SA"/>
                      <w14:textFill>
                        <w14:solidFill>
                          <w14:schemeClr w14:val="tx1"/>
                        </w14:solidFill>
                      </w14:textFill>
                    </w:rPr>
                  </w:pPr>
                  <w:r>
                    <w:rPr>
                      <w:rFonts w:hint="eastAsia" w:cs="Times New Roman"/>
                      <w:bCs/>
                      <w:color w:val="000000" w:themeColor="text1"/>
                      <w:kern w:val="2"/>
                      <w:sz w:val="21"/>
                      <w:szCs w:val="21"/>
                      <w:lang w:val="en-US" w:eastAsia="zh-CN" w:bidi="ar-SA"/>
                      <w14:textFill>
                        <w14:solidFill>
                          <w14:schemeClr w14:val="tx1"/>
                        </w14:solidFill>
                      </w14:textFill>
                    </w:rPr>
                    <w:t>厂房西南侧布置为折弯区，面积约100m</w:t>
                  </w:r>
                  <w:r>
                    <w:rPr>
                      <w:rFonts w:hint="eastAsia" w:cs="Times New Roman"/>
                      <w:bCs/>
                      <w:color w:val="000000" w:themeColor="text1"/>
                      <w:kern w:val="2"/>
                      <w:sz w:val="21"/>
                      <w:szCs w:val="21"/>
                      <w:vertAlign w:val="superscript"/>
                      <w:lang w:val="en-US" w:eastAsia="zh-CN" w:bidi="ar-SA"/>
                      <w14:textFill>
                        <w14:solidFill>
                          <w14:schemeClr w14:val="tx1"/>
                        </w14:solidFill>
                      </w14:textFill>
                    </w:rPr>
                    <w:t>2</w:t>
                  </w:r>
                  <w:r>
                    <w:rPr>
                      <w:rFonts w:hint="eastAsia" w:cs="Times New Roman"/>
                      <w:bCs/>
                      <w:color w:val="000000" w:themeColor="text1"/>
                      <w:kern w:val="2"/>
                      <w:sz w:val="21"/>
                      <w:szCs w:val="21"/>
                      <w:lang w:val="en-US" w:eastAsia="zh-CN" w:bidi="ar-SA"/>
                      <w14:textFill>
                        <w14:solidFill>
                          <w14:schemeClr w14:val="tx1"/>
                        </w14:solidFill>
                      </w14:textFill>
                    </w:rPr>
                    <w:t>，主要安装1台刨槽机、1台开槽机、1台折弯机，用于钢材的折弯</w:t>
                  </w:r>
                </w:p>
              </w:tc>
              <w:tc>
                <w:tcPr>
                  <w:tcW w:w="1570" w:type="pct"/>
                  <w:tcBorders>
                    <w:left w:val="single" w:color="auto" w:sz="4" w:space="0"/>
                    <w:right w:val="single" w:color="auto" w:sz="4" w:space="0"/>
                  </w:tcBorders>
                  <w:noWrap w:val="0"/>
                  <w:vAlign w:val="center"/>
                </w:tcPr>
                <w:p w14:paraId="199F5B6F">
                  <w:pPr>
                    <w:jc w:val="center"/>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与环评一致</w:t>
                  </w:r>
                </w:p>
              </w:tc>
            </w:tr>
            <w:tr w14:paraId="12A5F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6" w:type="pct"/>
                  <w:vMerge w:val="continue"/>
                  <w:tcBorders>
                    <w:left w:val="single" w:color="auto" w:sz="4" w:space="0"/>
                    <w:right w:val="single" w:color="auto" w:sz="4" w:space="0"/>
                  </w:tcBorders>
                  <w:noWrap w:val="0"/>
                  <w:vAlign w:val="center"/>
                </w:tcPr>
                <w:p w14:paraId="41C52D24">
                  <w:pPr>
                    <w:pStyle w:val="34"/>
                    <w:rPr>
                      <w:color w:val="000000" w:themeColor="text1"/>
                      <w14:textFill>
                        <w14:solidFill>
                          <w14:schemeClr w14:val="tx1"/>
                        </w14:solidFill>
                      </w14:textFill>
                    </w:rPr>
                  </w:pPr>
                </w:p>
              </w:tc>
              <w:tc>
                <w:tcPr>
                  <w:tcW w:w="235" w:type="pct"/>
                  <w:vMerge w:val="continue"/>
                  <w:tcBorders>
                    <w:left w:val="single" w:color="auto" w:sz="4" w:space="0"/>
                    <w:right w:val="single" w:color="auto" w:sz="4" w:space="0"/>
                  </w:tcBorders>
                  <w:noWrap w:val="0"/>
                  <w:vAlign w:val="center"/>
                </w:tcPr>
                <w:p w14:paraId="2F0C1CCE">
                  <w:pPr>
                    <w:pStyle w:val="34"/>
                    <w:bidi w:val="0"/>
                    <w:rPr>
                      <w:rFonts w:hint="eastAsia"/>
                      <w:color w:val="000000" w:themeColor="text1"/>
                      <w:lang w:val="en-US" w:eastAsia="zh-CN"/>
                      <w14:textFill>
                        <w14:solidFill>
                          <w14:schemeClr w14:val="tx1"/>
                        </w14:solidFill>
                      </w14:textFill>
                    </w:rPr>
                  </w:pPr>
                </w:p>
              </w:tc>
              <w:tc>
                <w:tcPr>
                  <w:tcW w:w="593" w:type="pct"/>
                  <w:tcBorders>
                    <w:top w:val="single" w:color="auto" w:sz="4" w:space="0"/>
                    <w:left w:val="single" w:color="auto" w:sz="4" w:space="0"/>
                    <w:right w:val="single" w:color="auto" w:sz="4" w:space="0"/>
                  </w:tcBorders>
                  <w:noWrap w:val="0"/>
                  <w:vAlign w:val="center"/>
                </w:tcPr>
                <w:p w14:paraId="2D061F05">
                  <w:pPr>
                    <w:pStyle w:val="34"/>
                    <w:bidi w:val="0"/>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焊接区</w:t>
                  </w:r>
                </w:p>
              </w:tc>
              <w:tc>
                <w:tcPr>
                  <w:tcW w:w="2243" w:type="pct"/>
                  <w:tcBorders>
                    <w:top w:val="single" w:color="auto" w:sz="4" w:space="0"/>
                    <w:left w:val="single" w:color="auto" w:sz="4" w:space="0"/>
                    <w:bottom w:val="single" w:color="auto" w:sz="4" w:space="0"/>
                    <w:right w:val="single" w:color="auto" w:sz="4" w:space="0"/>
                  </w:tcBorders>
                  <w:noWrap w:val="0"/>
                  <w:vAlign w:val="center"/>
                </w:tcPr>
                <w:p w14:paraId="63D5F6ED">
                  <w:pPr>
                    <w:pStyle w:val="34"/>
                    <w:rPr>
                      <w:rFonts w:hint="default" w:cs="Times New Roman"/>
                      <w:bCs/>
                      <w:color w:val="000000" w:themeColor="text1"/>
                      <w:kern w:val="2"/>
                      <w:sz w:val="21"/>
                      <w:szCs w:val="21"/>
                      <w:lang w:val="en-US" w:eastAsia="zh-CN" w:bidi="ar-SA"/>
                      <w14:textFill>
                        <w14:solidFill>
                          <w14:schemeClr w14:val="tx1"/>
                        </w14:solidFill>
                      </w14:textFill>
                    </w:rPr>
                  </w:pPr>
                  <w:r>
                    <w:rPr>
                      <w:rFonts w:hint="eastAsia" w:cs="Times New Roman"/>
                      <w:bCs/>
                      <w:color w:val="000000" w:themeColor="text1"/>
                      <w:kern w:val="2"/>
                      <w:sz w:val="21"/>
                      <w:szCs w:val="21"/>
                      <w:lang w:val="en-US" w:eastAsia="zh-CN" w:bidi="ar-SA"/>
                      <w14:textFill>
                        <w14:solidFill>
                          <w14:schemeClr w14:val="tx1"/>
                        </w14:solidFill>
                      </w14:textFill>
                    </w:rPr>
                    <w:t>厂房南侧布置为焊接区，面积约200m</w:t>
                  </w:r>
                  <w:r>
                    <w:rPr>
                      <w:rFonts w:hint="eastAsia" w:cs="Times New Roman"/>
                      <w:bCs/>
                      <w:color w:val="000000" w:themeColor="text1"/>
                      <w:kern w:val="2"/>
                      <w:sz w:val="21"/>
                      <w:szCs w:val="21"/>
                      <w:vertAlign w:val="superscript"/>
                      <w:lang w:val="en-US" w:eastAsia="zh-CN" w:bidi="ar-SA"/>
                      <w14:textFill>
                        <w14:solidFill>
                          <w14:schemeClr w14:val="tx1"/>
                        </w14:solidFill>
                      </w14:textFill>
                    </w:rPr>
                    <w:t>2</w:t>
                  </w:r>
                  <w:r>
                    <w:rPr>
                      <w:rFonts w:hint="eastAsia" w:cs="Times New Roman"/>
                      <w:bCs/>
                      <w:color w:val="000000" w:themeColor="text1"/>
                      <w:kern w:val="2"/>
                      <w:sz w:val="21"/>
                      <w:szCs w:val="21"/>
                      <w:lang w:val="en-US" w:eastAsia="zh-CN" w:bidi="ar-SA"/>
                      <w14:textFill>
                        <w14:solidFill>
                          <w14:schemeClr w14:val="tx1"/>
                        </w14:solidFill>
                      </w14:textFill>
                    </w:rPr>
                    <w:t>，主要安装氩弧焊和二保焊机各3台、1台手工点焊机</w:t>
                  </w:r>
                </w:p>
              </w:tc>
              <w:tc>
                <w:tcPr>
                  <w:tcW w:w="1570" w:type="pct"/>
                  <w:tcBorders>
                    <w:left w:val="single" w:color="auto" w:sz="4" w:space="0"/>
                    <w:right w:val="single" w:color="auto" w:sz="4" w:space="0"/>
                  </w:tcBorders>
                  <w:noWrap w:val="0"/>
                  <w:vAlign w:val="center"/>
                </w:tcPr>
                <w:p w14:paraId="674F68A6">
                  <w:pPr>
                    <w:jc w:val="center"/>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与环评一致</w:t>
                  </w:r>
                </w:p>
              </w:tc>
            </w:tr>
            <w:tr w14:paraId="0435D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6" w:type="pct"/>
                  <w:vMerge w:val="continue"/>
                  <w:tcBorders>
                    <w:left w:val="single" w:color="auto" w:sz="4" w:space="0"/>
                    <w:right w:val="single" w:color="auto" w:sz="4" w:space="0"/>
                  </w:tcBorders>
                  <w:noWrap w:val="0"/>
                  <w:vAlign w:val="center"/>
                </w:tcPr>
                <w:p w14:paraId="204A4885">
                  <w:pPr>
                    <w:pStyle w:val="34"/>
                    <w:rPr>
                      <w:color w:val="000000" w:themeColor="text1"/>
                      <w14:textFill>
                        <w14:solidFill>
                          <w14:schemeClr w14:val="tx1"/>
                        </w14:solidFill>
                      </w14:textFill>
                    </w:rPr>
                  </w:pPr>
                </w:p>
              </w:tc>
              <w:tc>
                <w:tcPr>
                  <w:tcW w:w="235" w:type="pct"/>
                  <w:vMerge w:val="continue"/>
                  <w:tcBorders>
                    <w:left w:val="single" w:color="auto" w:sz="4" w:space="0"/>
                    <w:right w:val="single" w:color="auto" w:sz="4" w:space="0"/>
                  </w:tcBorders>
                  <w:noWrap w:val="0"/>
                  <w:vAlign w:val="center"/>
                </w:tcPr>
                <w:p w14:paraId="4D79C964">
                  <w:pPr>
                    <w:pStyle w:val="34"/>
                    <w:bidi w:val="0"/>
                    <w:rPr>
                      <w:rFonts w:hint="eastAsia"/>
                      <w:color w:val="000000" w:themeColor="text1"/>
                      <w:lang w:val="en-US" w:eastAsia="zh-CN"/>
                      <w14:textFill>
                        <w14:solidFill>
                          <w14:schemeClr w14:val="tx1"/>
                        </w14:solidFill>
                      </w14:textFill>
                    </w:rPr>
                  </w:pPr>
                </w:p>
              </w:tc>
              <w:tc>
                <w:tcPr>
                  <w:tcW w:w="593" w:type="pct"/>
                  <w:tcBorders>
                    <w:top w:val="single" w:color="auto" w:sz="4" w:space="0"/>
                    <w:left w:val="single" w:color="auto" w:sz="4" w:space="0"/>
                    <w:right w:val="single" w:color="auto" w:sz="4" w:space="0"/>
                  </w:tcBorders>
                  <w:noWrap w:val="0"/>
                  <w:vAlign w:val="center"/>
                </w:tcPr>
                <w:p w14:paraId="569F4634">
                  <w:pPr>
                    <w:pStyle w:val="34"/>
                    <w:bidi w:val="0"/>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打磨区</w:t>
                  </w:r>
                </w:p>
              </w:tc>
              <w:tc>
                <w:tcPr>
                  <w:tcW w:w="2243" w:type="pct"/>
                  <w:tcBorders>
                    <w:top w:val="single" w:color="auto" w:sz="4" w:space="0"/>
                    <w:left w:val="single" w:color="auto" w:sz="4" w:space="0"/>
                    <w:bottom w:val="single" w:color="auto" w:sz="4" w:space="0"/>
                    <w:right w:val="single" w:color="auto" w:sz="4" w:space="0"/>
                  </w:tcBorders>
                  <w:noWrap w:val="0"/>
                  <w:vAlign w:val="center"/>
                </w:tcPr>
                <w:p w14:paraId="05325802">
                  <w:pPr>
                    <w:pStyle w:val="34"/>
                    <w:rPr>
                      <w:rFonts w:hint="default" w:cs="Times New Roman"/>
                      <w:bCs/>
                      <w:color w:val="000000" w:themeColor="text1"/>
                      <w:kern w:val="2"/>
                      <w:sz w:val="21"/>
                      <w:szCs w:val="21"/>
                      <w:lang w:val="en-US" w:eastAsia="zh-CN" w:bidi="ar-SA"/>
                      <w14:textFill>
                        <w14:solidFill>
                          <w14:schemeClr w14:val="tx1"/>
                        </w14:solidFill>
                      </w14:textFill>
                    </w:rPr>
                  </w:pPr>
                  <w:r>
                    <w:rPr>
                      <w:rFonts w:hint="eastAsia" w:cs="Times New Roman"/>
                      <w:bCs/>
                      <w:color w:val="000000" w:themeColor="text1"/>
                      <w:kern w:val="2"/>
                      <w:sz w:val="21"/>
                      <w:szCs w:val="21"/>
                      <w:lang w:val="en-US" w:eastAsia="zh-CN" w:bidi="ar-SA"/>
                      <w14:textFill>
                        <w14:solidFill>
                          <w14:schemeClr w14:val="tx1"/>
                        </w14:solidFill>
                      </w14:textFill>
                    </w:rPr>
                    <w:t>厂房东侧布置为打磨区，面积约300m</w:t>
                  </w:r>
                  <w:r>
                    <w:rPr>
                      <w:rFonts w:hint="eastAsia" w:cs="Times New Roman"/>
                      <w:bCs/>
                      <w:color w:val="000000" w:themeColor="text1"/>
                      <w:kern w:val="2"/>
                      <w:sz w:val="21"/>
                      <w:szCs w:val="21"/>
                      <w:vertAlign w:val="superscript"/>
                      <w:lang w:val="en-US" w:eastAsia="zh-CN" w:bidi="ar-SA"/>
                      <w14:textFill>
                        <w14:solidFill>
                          <w14:schemeClr w14:val="tx1"/>
                        </w14:solidFill>
                      </w14:textFill>
                    </w:rPr>
                    <w:t>2</w:t>
                  </w:r>
                  <w:r>
                    <w:rPr>
                      <w:rFonts w:hint="eastAsia" w:cs="Times New Roman"/>
                      <w:bCs/>
                      <w:color w:val="000000" w:themeColor="text1"/>
                      <w:kern w:val="2"/>
                      <w:sz w:val="21"/>
                      <w:szCs w:val="21"/>
                      <w:lang w:val="en-US" w:eastAsia="zh-CN" w:bidi="ar-SA"/>
                      <w14:textFill>
                        <w14:solidFill>
                          <w14:schemeClr w14:val="tx1"/>
                        </w14:solidFill>
                      </w14:textFill>
                    </w:rPr>
                    <w:t>，用于人工手持砂轮机对焊点、毛刺进行打磨</w:t>
                  </w:r>
                </w:p>
              </w:tc>
              <w:tc>
                <w:tcPr>
                  <w:tcW w:w="1570" w:type="pct"/>
                  <w:tcBorders>
                    <w:left w:val="single" w:color="auto" w:sz="4" w:space="0"/>
                    <w:right w:val="single" w:color="auto" w:sz="4" w:space="0"/>
                  </w:tcBorders>
                  <w:noWrap w:val="0"/>
                  <w:vAlign w:val="center"/>
                </w:tcPr>
                <w:p w14:paraId="39CCE71D">
                  <w:pPr>
                    <w:jc w:val="center"/>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与环评一致</w:t>
                  </w:r>
                </w:p>
              </w:tc>
            </w:tr>
            <w:tr w14:paraId="432BF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6" w:type="pct"/>
                  <w:vMerge w:val="continue"/>
                  <w:tcBorders>
                    <w:left w:val="single" w:color="auto" w:sz="4" w:space="0"/>
                    <w:right w:val="single" w:color="auto" w:sz="4" w:space="0"/>
                  </w:tcBorders>
                  <w:noWrap w:val="0"/>
                  <w:vAlign w:val="center"/>
                </w:tcPr>
                <w:p w14:paraId="011F5B9A">
                  <w:pPr>
                    <w:pStyle w:val="34"/>
                    <w:rPr>
                      <w:color w:val="000000" w:themeColor="text1"/>
                      <w14:textFill>
                        <w14:solidFill>
                          <w14:schemeClr w14:val="tx1"/>
                        </w14:solidFill>
                      </w14:textFill>
                    </w:rPr>
                  </w:pPr>
                </w:p>
              </w:tc>
              <w:tc>
                <w:tcPr>
                  <w:tcW w:w="235" w:type="pct"/>
                  <w:vMerge w:val="continue"/>
                  <w:tcBorders>
                    <w:left w:val="single" w:color="auto" w:sz="4" w:space="0"/>
                    <w:right w:val="single" w:color="auto" w:sz="4" w:space="0"/>
                  </w:tcBorders>
                  <w:noWrap w:val="0"/>
                  <w:vAlign w:val="center"/>
                </w:tcPr>
                <w:p w14:paraId="23452251">
                  <w:pPr>
                    <w:pStyle w:val="34"/>
                    <w:bidi w:val="0"/>
                    <w:rPr>
                      <w:rFonts w:hint="eastAsia"/>
                      <w:color w:val="000000" w:themeColor="text1"/>
                      <w:lang w:val="en-US" w:eastAsia="zh-CN"/>
                      <w14:textFill>
                        <w14:solidFill>
                          <w14:schemeClr w14:val="tx1"/>
                        </w14:solidFill>
                      </w14:textFill>
                    </w:rPr>
                  </w:pPr>
                </w:p>
              </w:tc>
              <w:tc>
                <w:tcPr>
                  <w:tcW w:w="593" w:type="pct"/>
                  <w:tcBorders>
                    <w:top w:val="single" w:color="auto" w:sz="4" w:space="0"/>
                    <w:left w:val="single" w:color="auto" w:sz="4" w:space="0"/>
                    <w:right w:val="single" w:color="auto" w:sz="4" w:space="0"/>
                  </w:tcBorders>
                  <w:noWrap w:val="0"/>
                  <w:vAlign w:val="center"/>
                </w:tcPr>
                <w:p w14:paraId="547A7E13">
                  <w:pPr>
                    <w:pStyle w:val="34"/>
                    <w:bidi w:val="0"/>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喷漆房</w:t>
                  </w:r>
                </w:p>
              </w:tc>
              <w:tc>
                <w:tcPr>
                  <w:tcW w:w="2243" w:type="pct"/>
                  <w:tcBorders>
                    <w:top w:val="single" w:color="auto" w:sz="4" w:space="0"/>
                    <w:left w:val="single" w:color="auto" w:sz="4" w:space="0"/>
                    <w:bottom w:val="single" w:color="auto" w:sz="4" w:space="0"/>
                    <w:right w:val="single" w:color="auto" w:sz="4" w:space="0"/>
                  </w:tcBorders>
                  <w:noWrap w:val="0"/>
                  <w:vAlign w:val="center"/>
                </w:tcPr>
                <w:p w14:paraId="6A63452F">
                  <w:pPr>
                    <w:pStyle w:val="34"/>
                    <w:rPr>
                      <w:rFonts w:hint="default" w:cs="Times New Roman"/>
                      <w:bCs/>
                      <w:color w:val="000000" w:themeColor="text1"/>
                      <w:kern w:val="2"/>
                      <w:sz w:val="21"/>
                      <w:szCs w:val="21"/>
                      <w:lang w:val="en-US" w:eastAsia="zh-CN" w:bidi="ar-SA"/>
                      <w14:textFill>
                        <w14:solidFill>
                          <w14:schemeClr w14:val="tx1"/>
                        </w14:solidFill>
                      </w14:textFill>
                    </w:rPr>
                  </w:pPr>
                  <w:r>
                    <w:rPr>
                      <w:rFonts w:hint="eastAsia" w:cs="Times New Roman"/>
                      <w:bCs/>
                      <w:color w:val="000000" w:themeColor="text1"/>
                      <w:kern w:val="2"/>
                      <w:sz w:val="21"/>
                      <w:szCs w:val="21"/>
                      <w:lang w:val="en-US" w:eastAsia="zh-CN" w:bidi="ar-SA"/>
                      <w14:textFill>
                        <w14:solidFill>
                          <w14:schemeClr w14:val="tx1"/>
                        </w14:solidFill>
                      </w14:textFill>
                    </w:rPr>
                    <w:t>厂房东北侧设置1个12*9*3m的喷漆房，用于产品的喷涂。喷漆房内设2个喷漆工位，分别用于水性漆和油性漆的喷涂</w:t>
                  </w:r>
                </w:p>
              </w:tc>
              <w:tc>
                <w:tcPr>
                  <w:tcW w:w="1570" w:type="pct"/>
                  <w:tcBorders>
                    <w:left w:val="single" w:color="auto" w:sz="4" w:space="0"/>
                    <w:right w:val="single" w:color="auto" w:sz="4" w:space="0"/>
                  </w:tcBorders>
                  <w:noWrap w:val="0"/>
                  <w:vAlign w:val="center"/>
                </w:tcPr>
                <w:p w14:paraId="6D7D02DE">
                  <w:pPr>
                    <w:jc w:val="center"/>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与环评一致</w:t>
                  </w:r>
                </w:p>
              </w:tc>
            </w:tr>
            <w:tr w14:paraId="15484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6" w:type="pct"/>
                  <w:vMerge w:val="continue"/>
                  <w:tcBorders>
                    <w:left w:val="single" w:color="auto" w:sz="4" w:space="0"/>
                    <w:right w:val="single" w:color="auto" w:sz="4" w:space="0"/>
                  </w:tcBorders>
                  <w:noWrap w:val="0"/>
                  <w:vAlign w:val="center"/>
                </w:tcPr>
                <w:p w14:paraId="18A21085">
                  <w:pPr>
                    <w:pStyle w:val="34"/>
                    <w:rPr>
                      <w:color w:val="000000" w:themeColor="text1"/>
                      <w14:textFill>
                        <w14:solidFill>
                          <w14:schemeClr w14:val="tx1"/>
                        </w14:solidFill>
                      </w14:textFill>
                    </w:rPr>
                  </w:pPr>
                </w:p>
              </w:tc>
              <w:tc>
                <w:tcPr>
                  <w:tcW w:w="235" w:type="pct"/>
                  <w:vMerge w:val="continue"/>
                  <w:tcBorders>
                    <w:left w:val="single" w:color="auto" w:sz="4" w:space="0"/>
                    <w:right w:val="single" w:color="auto" w:sz="4" w:space="0"/>
                  </w:tcBorders>
                  <w:noWrap w:val="0"/>
                  <w:vAlign w:val="center"/>
                </w:tcPr>
                <w:p w14:paraId="50D74C16">
                  <w:pPr>
                    <w:pStyle w:val="34"/>
                    <w:bidi w:val="0"/>
                    <w:rPr>
                      <w:rFonts w:hint="eastAsia"/>
                      <w:color w:val="000000" w:themeColor="text1"/>
                      <w:lang w:val="en-US" w:eastAsia="zh-CN"/>
                      <w14:textFill>
                        <w14:solidFill>
                          <w14:schemeClr w14:val="tx1"/>
                        </w14:solidFill>
                      </w14:textFill>
                    </w:rPr>
                  </w:pPr>
                </w:p>
              </w:tc>
              <w:tc>
                <w:tcPr>
                  <w:tcW w:w="593" w:type="pct"/>
                  <w:tcBorders>
                    <w:top w:val="single" w:color="auto" w:sz="4" w:space="0"/>
                    <w:left w:val="single" w:color="auto" w:sz="4" w:space="0"/>
                    <w:right w:val="single" w:color="auto" w:sz="4" w:space="0"/>
                  </w:tcBorders>
                  <w:noWrap w:val="0"/>
                  <w:vAlign w:val="center"/>
                </w:tcPr>
                <w:p w14:paraId="72D00AF9">
                  <w:pPr>
                    <w:pStyle w:val="34"/>
                    <w:bidi w:val="0"/>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烘干房</w:t>
                  </w:r>
                </w:p>
              </w:tc>
              <w:tc>
                <w:tcPr>
                  <w:tcW w:w="2243" w:type="pct"/>
                  <w:tcBorders>
                    <w:top w:val="single" w:color="auto" w:sz="4" w:space="0"/>
                    <w:left w:val="single" w:color="auto" w:sz="4" w:space="0"/>
                    <w:bottom w:val="single" w:color="auto" w:sz="4" w:space="0"/>
                    <w:right w:val="single" w:color="auto" w:sz="4" w:space="0"/>
                  </w:tcBorders>
                  <w:noWrap w:val="0"/>
                  <w:vAlign w:val="center"/>
                </w:tcPr>
                <w:p w14:paraId="1F21F608">
                  <w:pPr>
                    <w:pStyle w:val="34"/>
                    <w:rPr>
                      <w:rFonts w:hint="eastAsia" w:cs="Times New Roman"/>
                      <w:bCs/>
                      <w:color w:val="000000" w:themeColor="text1"/>
                      <w:kern w:val="2"/>
                      <w:sz w:val="21"/>
                      <w:szCs w:val="21"/>
                      <w:lang w:val="en-US" w:eastAsia="zh-CN" w:bidi="ar-SA"/>
                      <w14:textFill>
                        <w14:solidFill>
                          <w14:schemeClr w14:val="tx1"/>
                        </w14:solidFill>
                      </w14:textFill>
                    </w:rPr>
                  </w:pPr>
                  <w:r>
                    <w:rPr>
                      <w:rFonts w:hint="eastAsia" w:cs="Times New Roman"/>
                      <w:bCs/>
                      <w:color w:val="000000" w:themeColor="text1"/>
                      <w:kern w:val="2"/>
                      <w:sz w:val="21"/>
                      <w:szCs w:val="21"/>
                      <w:lang w:val="en-US" w:eastAsia="zh-CN" w:bidi="ar-SA"/>
                      <w14:textFill>
                        <w14:solidFill>
                          <w14:schemeClr w14:val="tx1"/>
                        </w14:solidFill>
                      </w14:textFill>
                    </w:rPr>
                    <w:t>紧邻喷漆房设置1个7*4*3m的烘干房，烘干采用电加热</w:t>
                  </w:r>
                </w:p>
              </w:tc>
              <w:tc>
                <w:tcPr>
                  <w:tcW w:w="1570" w:type="pct"/>
                  <w:tcBorders>
                    <w:left w:val="single" w:color="auto" w:sz="4" w:space="0"/>
                    <w:right w:val="single" w:color="auto" w:sz="4" w:space="0"/>
                  </w:tcBorders>
                  <w:noWrap w:val="0"/>
                  <w:vAlign w:val="center"/>
                </w:tcPr>
                <w:p w14:paraId="7B1EBC4E">
                  <w:pPr>
                    <w:pStyle w:val="34"/>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与环评一致</w:t>
                  </w:r>
                </w:p>
              </w:tc>
            </w:tr>
            <w:tr w14:paraId="7A115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6" w:type="pct"/>
                  <w:vMerge w:val="continue"/>
                  <w:tcBorders>
                    <w:left w:val="single" w:color="auto" w:sz="4" w:space="0"/>
                    <w:right w:val="single" w:color="auto" w:sz="4" w:space="0"/>
                  </w:tcBorders>
                  <w:noWrap w:val="0"/>
                  <w:vAlign w:val="center"/>
                </w:tcPr>
                <w:p w14:paraId="465CFF43">
                  <w:pPr>
                    <w:pStyle w:val="34"/>
                    <w:rPr>
                      <w:color w:val="000000"/>
                    </w:rPr>
                  </w:pPr>
                </w:p>
              </w:tc>
              <w:tc>
                <w:tcPr>
                  <w:tcW w:w="235" w:type="pct"/>
                  <w:vMerge w:val="continue"/>
                  <w:tcBorders>
                    <w:left w:val="single" w:color="auto" w:sz="4" w:space="0"/>
                    <w:right w:val="single" w:color="auto" w:sz="4" w:space="0"/>
                  </w:tcBorders>
                  <w:noWrap w:val="0"/>
                  <w:vAlign w:val="center"/>
                </w:tcPr>
                <w:p w14:paraId="4FF26A35">
                  <w:pPr>
                    <w:pStyle w:val="34"/>
                    <w:bidi w:val="0"/>
                    <w:rPr>
                      <w:rFonts w:hint="eastAsia"/>
                      <w:color w:val="000000"/>
                      <w:lang w:val="en-US" w:eastAsia="zh-CN"/>
                    </w:rPr>
                  </w:pPr>
                </w:p>
              </w:tc>
              <w:tc>
                <w:tcPr>
                  <w:tcW w:w="593" w:type="pct"/>
                  <w:tcBorders>
                    <w:top w:val="single" w:color="auto" w:sz="4" w:space="0"/>
                    <w:left w:val="single" w:color="auto" w:sz="4" w:space="0"/>
                    <w:right w:val="single" w:color="auto" w:sz="4" w:space="0"/>
                  </w:tcBorders>
                  <w:noWrap w:val="0"/>
                  <w:vAlign w:val="center"/>
                </w:tcPr>
                <w:p w14:paraId="7169227D">
                  <w:pPr>
                    <w:pStyle w:val="34"/>
                    <w:bidi w:val="0"/>
                    <w:rPr>
                      <w:rFonts w:hint="default"/>
                      <w:color w:val="000000"/>
                      <w:lang w:val="en-US" w:eastAsia="zh-CN"/>
                    </w:rPr>
                  </w:pPr>
                  <w:r>
                    <w:rPr>
                      <w:rFonts w:hint="eastAsia"/>
                      <w:color w:val="000000"/>
                      <w:lang w:val="en-US" w:eastAsia="zh-CN"/>
                    </w:rPr>
                    <w:t>组装区</w:t>
                  </w:r>
                </w:p>
              </w:tc>
              <w:tc>
                <w:tcPr>
                  <w:tcW w:w="2243" w:type="pct"/>
                  <w:tcBorders>
                    <w:top w:val="single" w:color="auto" w:sz="4" w:space="0"/>
                    <w:left w:val="single" w:color="auto" w:sz="4" w:space="0"/>
                    <w:bottom w:val="single" w:color="auto" w:sz="4" w:space="0"/>
                    <w:right w:val="single" w:color="auto" w:sz="4" w:space="0"/>
                  </w:tcBorders>
                  <w:noWrap w:val="0"/>
                  <w:vAlign w:val="center"/>
                </w:tcPr>
                <w:p w14:paraId="7339A3A8">
                  <w:pPr>
                    <w:pStyle w:val="34"/>
                    <w:rPr>
                      <w:rFonts w:hint="default" w:cs="Times New Roman"/>
                      <w:bCs/>
                      <w:color w:val="000000"/>
                      <w:kern w:val="2"/>
                      <w:sz w:val="21"/>
                      <w:szCs w:val="21"/>
                      <w:lang w:val="en-US" w:eastAsia="zh-CN" w:bidi="ar-SA"/>
                    </w:rPr>
                  </w:pPr>
                  <w:r>
                    <w:rPr>
                      <w:rFonts w:hint="eastAsia" w:cs="Times New Roman"/>
                      <w:bCs/>
                      <w:color w:val="000000"/>
                      <w:kern w:val="2"/>
                      <w:sz w:val="21"/>
                      <w:szCs w:val="21"/>
                      <w:lang w:val="en-US" w:eastAsia="zh-CN" w:bidi="ar-SA"/>
                    </w:rPr>
                    <w:t>厂房中部布置为组装区，面积约50m</w:t>
                  </w:r>
                  <w:r>
                    <w:rPr>
                      <w:rFonts w:hint="eastAsia" w:cs="Times New Roman"/>
                      <w:bCs/>
                      <w:color w:val="000000"/>
                      <w:kern w:val="2"/>
                      <w:sz w:val="21"/>
                      <w:szCs w:val="21"/>
                      <w:vertAlign w:val="superscript"/>
                      <w:lang w:val="en-US" w:eastAsia="zh-CN" w:bidi="ar-SA"/>
                    </w:rPr>
                    <w:t>2</w:t>
                  </w:r>
                  <w:r>
                    <w:rPr>
                      <w:rFonts w:hint="eastAsia" w:cs="Times New Roman"/>
                      <w:bCs/>
                      <w:color w:val="000000"/>
                      <w:kern w:val="2"/>
                      <w:sz w:val="21"/>
                      <w:szCs w:val="21"/>
                      <w:lang w:val="en-US" w:eastAsia="zh-CN" w:bidi="ar-SA"/>
                    </w:rPr>
                    <w:t>，用于人工组装产品</w:t>
                  </w:r>
                </w:p>
              </w:tc>
              <w:tc>
                <w:tcPr>
                  <w:tcW w:w="1570" w:type="pct"/>
                  <w:tcBorders>
                    <w:left w:val="single" w:color="auto" w:sz="4" w:space="0"/>
                    <w:right w:val="single" w:color="auto" w:sz="4" w:space="0"/>
                  </w:tcBorders>
                  <w:noWrap w:val="0"/>
                  <w:vAlign w:val="center"/>
                </w:tcPr>
                <w:p w14:paraId="159F9111">
                  <w:pPr>
                    <w:pStyle w:val="34"/>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与环评一致</w:t>
                  </w:r>
                </w:p>
              </w:tc>
            </w:tr>
            <w:tr w14:paraId="0AAEE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5"/>
                  <w:tcBorders>
                    <w:top w:val="single" w:color="auto" w:sz="4" w:space="0"/>
                    <w:left w:val="single" w:color="auto" w:sz="4" w:space="0"/>
                    <w:bottom w:val="single" w:color="auto" w:sz="4" w:space="0"/>
                    <w:right w:val="single" w:color="auto" w:sz="4" w:space="0"/>
                  </w:tcBorders>
                  <w:noWrap w:val="0"/>
                  <w:vAlign w:val="center"/>
                </w:tcPr>
                <w:p w14:paraId="0F2F1644">
                  <w:pPr>
                    <w:pStyle w:val="34"/>
                    <w:rPr>
                      <w:rFonts w:hint="default"/>
                      <w:color w:val="000000" w:themeColor="text1"/>
                      <w:lang w:val="en-US" w:eastAsia="zh-CN"/>
                      <w14:textFill>
                        <w14:solidFill>
                          <w14:schemeClr w14:val="tx1"/>
                        </w14:solidFill>
                      </w14:textFill>
                    </w:rPr>
                  </w:pPr>
                </w:p>
              </w:tc>
            </w:tr>
            <w:tr w14:paraId="12630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6" w:type="pct"/>
                  <w:tcBorders>
                    <w:top w:val="single" w:color="auto" w:sz="4" w:space="0"/>
                    <w:left w:val="single" w:color="auto" w:sz="4" w:space="0"/>
                    <w:bottom w:val="single" w:color="auto" w:sz="4" w:space="0"/>
                    <w:right w:val="single" w:color="auto" w:sz="4" w:space="0"/>
                  </w:tcBorders>
                  <w:noWrap w:val="0"/>
                  <w:vAlign w:val="center"/>
                </w:tcPr>
                <w:p w14:paraId="769A9E02">
                  <w:pPr>
                    <w:pStyle w:val="34"/>
                    <w:rPr>
                      <w:rFonts w:hint="eastAsia"/>
                      <w:color w:val="000000"/>
                      <w:lang w:val="en-US" w:eastAsia="zh-CN"/>
                    </w:rPr>
                  </w:pPr>
                  <w:r>
                    <w:rPr>
                      <w:rFonts w:hint="eastAsia"/>
                      <w:color w:val="000000"/>
                      <w:lang w:val="en-US" w:eastAsia="zh-CN"/>
                    </w:rPr>
                    <w:t>1</w:t>
                  </w:r>
                </w:p>
              </w:tc>
              <w:tc>
                <w:tcPr>
                  <w:tcW w:w="829" w:type="pct"/>
                  <w:gridSpan w:val="2"/>
                  <w:tcBorders>
                    <w:top w:val="single" w:color="auto" w:sz="4" w:space="0"/>
                    <w:left w:val="single" w:color="auto" w:sz="4" w:space="0"/>
                    <w:bottom w:val="single" w:color="auto" w:sz="4" w:space="0"/>
                    <w:right w:val="single" w:color="auto" w:sz="4" w:space="0"/>
                  </w:tcBorders>
                  <w:noWrap w:val="0"/>
                  <w:vAlign w:val="center"/>
                </w:tcPr>
                <w:p w14:paraId="152CB60E">
                  <w:pPr>
                    <w:pStyle w:val="34"/>
                    <w:rPr>
                      <w:rFonts w:hint="default"/>
                      <w:color w:val="000000"/>
                      <w:lang w:val="en-US" w:eastAsia="zh-CN"/>
                    </w:rPr>
                  </w:pPr>
                  <w:r>
                    <w:rPr>
                      <w:rFonts w:hint="eastAsia"/>
                      <w:color w:val="000000"/>
                      <w:lang w:val="en-US" w:eastAsia="zh-CN"/>
                    </w:rPr>
                    <w:t>办公楼</w:t>
                  </w:r>
                </w:p>
              </w:tc>
              <w:tc>
                <w:tcPr>
                  <w:tcW w:w="2243" w:type="pct"/>
                  <w:tcBorders>
                    <w:top w:val="single" w:color="auto" w:sz="4" w:space="0"/>
                    <w:left w:val="single" w:color="auto" w:sz="4" w:space="0"/>
                    <w:bottom w:val="single" w:color="auto" w:sz="4" w:space="0"/>
                    <w:right w:val="single" w:color="auto" w:sz="4" w:space="0"/>
                  </w:tcBorders>
                  <w:noWrap w:val="0"/>
                  <w:vAlign w:val="center"/>
                </w:tcPr>
                <w:p w14:paraId="311F4F71">
                  <w:pPr>
                    <w:pStyle w:val="34"/>
                    <w:rPr>
                      <w:rFonts w:hint="default"/>
                      <w:color w:val="000000"/>
                      <w:lang w:val="en-US" w:eastAsia="zh-CN"/>
                    </w:rPr>
                  </w:pPr>
                  <w:r>
                    <w:rPr>
                      <w:rFonts w:hint="eastAsia"/>
                      <w:color w:val="000000"/>
                      <w:lang w:val="en-US" w:eastAsia="zh-CN"/>
                    </w:rPr>
                    <w:t>依托租赁厂区办公楼进行办公</w:t>
                  </w:r>
                </w:p>
              </w:tc>
              <w:tc>
                <w:tcPr>
                  <w:tcW w:w="1570" w:type="pct"/>
                  <w:tcBorders>
                    <w:left w:val="single" w:color="auto" w:sz="4" w:space="0"/>
                    <w:right w:val="single" w:color="auto" w:sz="4" w:space="0"/>
                  </w:tcBorders>
                  <w:noWrap w:val="0"/>
                  <w:vAlign w:val="center"/>
                </w:tcPr>
                <w:p w14:paraId="5432A39C">
                  <w:pPr>
                    <w:pStyle w:val="34"/>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与环评一致</w:t>
                  </w:r>
                </w:p>
              </w:tc>
            </w:tr>
            <w:tr w14:paraId="7C067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5"/>
                  <w:tcBorders>
                    <w:top w:val="single" w:color="auto" w:sz="4" w:space="0"/>
                    <w:left w:val="single" w:color="auto" w:sz="4" w:space="0"/>
                    <w:bottom w:val="single" w:color="auto" w:sz="4" w:space="0"/>
                    <w:right w:val="single" w:color="auto" w:sz="4" w:space="0"/>
                  </w:tcBorders>
                  <w:noWrap w:val="0"/>
                  <w:vAlign w:val="center"/>
                </w:tcPr>
                <w:p w14:paraId="12014760">
                  <w:pPr>
                    <w:pStyle w:val="34"/>
                    <w:rPr>
                      <w:rFonts w:hint="default"/>
                      <w:color w:val="000000" w:themeColor="text1"/>
                      <w:lang w:val="en-US" w:eastAsia="zh-CN"/>
                      <w14:textFill>
                        <w14:solidFill>
                          <w14:schemeClr w14:val="tx1"/>
                        </w14:solidFill>
                      </w14:textFill>
                    </w:rPr>
                  </w:pPr>
                </w:p>
              </w:tc>
            </w:tr>
            <w:tr w14:paraId="56E94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6" w:type="pct"/>
                  <w:tcBorders>
                    <w:top w:val="single" w:color="auto" w:sz="4" w:space="0"/>
                    <w:left w:val="single" w:color="auto" w:sz="4" w:space="0"/>
                    <w:bottom w:val="single" w:color="auto" w:sz="4" w:space="0"/>
                    <w:right w:val="single" w:color="auto" w:sz="4" w:space="0"/>
                  </w:tcBorders>
                  <w:noWrap w:val="0"/>
                  <w:vAlign w:val="center"/>
                </w:tcPr>
                <w:p w14:paraId="3071AFF8">
                  <w:pPr>
                    <w:pStyle w:val="34"/>
                    <w:rPr>
                      <w:rFonts w:hint="default"/>
                      <w:color w:val="000000"/>
                      <w:lang w:val="en-US" w:eastAsia="zh-CN"/>
                    </w:rPr>
                  </w:pPr>
                  <w:r>
                    <w:rPr>
                      <w:rFonts w:hint="eastAsia"/>
                      <w:color w:val="000000"/>
                      <w:lang w:val="en-US" w:eastAsia="zh-CN"/>
                    </w:rPr>
                    <w:t>1</w:t>
                  </w:r>
                </w:p>
              </w:tc>
              <w:tc>
                <w:tcPr>
                  <w:tcW w:w="829" w:type="pct"/>
                  <w:gridSpan w:val="2"/>
                  <w:tcBorders>
                    <w:top w:val="single" w:color="auto" w:sz="4" w:space="0"/>
                    <w:left w:val="single" w:color="auto" w:sz="4" w:space="0"/>
                    <w:bottom w:val="single" w:color="auto" w:sz="4" w:space="0"/>
                    <w:right w:val="single" w:color="auto" w:sz="4" w:space="0"/>
                  </w:tcBorders>
                  <w:noWrap w:val="0"/>
                  <w:vAlign w:val="center"/>
                </w:tcPr>
                <w:p w14:paraId="158AB4DD">
                  <w:pPr>
                    <w:pStyle w:val="34"/>
                    <w:rPr>
                      <w:rFonts w:hint="default"/>
                      <w:color w:val="000000"/>
                      <w:lang w:val="en-US" w:eastAsia="zh-CN"/>
                    </w:rPr>
                  </w:pPr>
                  <w:r>
                    <w:rPr>
                      <w:rFonts w:hint="eastAsia"/>
                      <w:color w:val="000000"/>
                      <w:lang w:val="en-US" w:eastAsia="zh-CN"/>
                    </w:rPr>
                    <w:t>原料区</w:t>
                  </w:r>
                </w:p>
              </w:tc>
              <w:tc>
                <w:tcPr>
                  <w:tcW w:w="2243" w:type="pct"/>
                  <w:tcBorders>
                    <w:top w:val="single" w:color="auto" w:sz="4" w:space="0"/>
                    <w:left w:val="single" w:color="auto" w:sz="4" w:space="0"/>
                    <w:bottom w:val="single" w:color="auto" w:sz="4" w:space="0"/>
                    <w:right w:val="single" w:color="auto" w:sz="4" w:space="0"/>
                  </w:tcBorders>
                  <w:noWrap w:val="0"/>
                  <w:vAlign w:val="center"/>
                </w:tcPr>
                <w:p w14:paraId="4DC7A261">
                  <w:pPr>
                    <w:pStyle w:val="34"/>
                    <w:rPr>
                      <w:rFonts w:hint="default"/>
                      <w:color w:val="000000"/>
                      <w:lang w:val="en-US" w:eastAsia="zh-CN"/>
                    </w:rPr>
                  </w:pPr>
                  <w:r>
                    <w:rPr>
                      <w:rFonts w:hint="eastAsia"/>
                      <w:color w:val="000000"/>
                      <w:lang w:val="en-US" w:eastAsia="zh-CN"/>
                    </w:rPr>
                    <w:t>位于厂房东北侧，</w:t>
                  </w:r>
                  <w:r>
                    <w:rPr>
                      <w:rFonts w:hint="eastAsia" w:cs="Times New Roman"/>
                      <w:bCs/>
                      <w:color w:val="000000"/>
                      <w:kern w:val="2"/>
                      <w:sz w:val="21"/>
                      <w:szCs w:val="21"/>
                      <w:lang w:val="en-US" w:eastAsia="zh-CN" w:bidi="ar-SA"/>
                    </w:rPr>
                    <w:t>面积约400m</w:t>
                  </w:r>
                  <w:r>
                    <w:rPr>
                      <w:rFonts w:hint="eastAsia" w:cs="Times New Roman"/>
                      <w:bCs/>
                      <w:color w:val="000000"/>
                      <w:kern w:val="2"/>
                      <w:sz w:val="21"/>
                      <w:szCs w:val="21"/>
                      <w:vertAlign w:val="superscript"/>
                      <w:lang w:val="en-US" w:eastAsia="zh-CN" w:bidi="ar-SA"/>
                    </w:rPr>
                    <w:t>2</w:t>
                  </w:r>
                  <w:r>
                    <w:rPr>
                      <w:rFonts w:hint="eastAsia"/>
                      <w:color w:val="000000"/>
                      <w:lang w:val="en-US" w:eastAsia="zh-CN"/>
                    </w:rPr>
                    <w:t>，主要用于外购的钢材的暂存</w:t>
                  </w:r>
                </w:p>
              </w:tc>
              <w:tc>
                <w:tcPr>
                  <w:tcW w:w="1570" w:type="pct"/>
                  <w:tcBorders>
                    <w:left w:val="single" w:color="auto" w:sz="4" w:space="0"/>
                    <w:right w:val="single" w:color="auto" w:sz="4" w:space="0"/>
                  </w:tcBorders>
                  <w:noWrap w:val="0"/>
                  <w:vAlign w:val="center"/>
                </w:tcPr>
                <w:p w14:paraId="18171EF2">
                  <w:pPr>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与环评一致</w:t>
                  </w:r>
                </w:p>
              </w:tc>
            </w:tr>
            <w:tr w14:paraId="23B0A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6" w:type="pct"/>
                  <w:tcBorders>
                    <w:top w:val="single" w:color="auto" w:sz="4" w:space="0"/>
                    <w:left w:val="single" w:color="auto" w:sz="4" w:space="0"/>
                    <w:bottom w:val="single" w:color="auto" w:sz="4" w:space="0"/>
                    <w:right w:val="single" w:color="auto" w:sz="4" w:space="0"/>
                  </w:tcBorders>
                  <w:noWrap w:val="0"/>
                  <w:vAlign w:val="center"/>
                </w:tcPr>
                <w:p w14:paraId="2F9AB76A">
                  <w:pPr>
                    <w:pStyle w:val="34"/>
                    <w:rPr>
                      <w:rFonts w:hint="default"/>
                      <w:color w:val="000000"/>
                      <w:lang w:val="en-US" w:eastAsia="zh-CN"/>
                    </w:rPr>
                  </w:pPr>
                  <w:r>
                    <w:rPr>
                      <w:rFonts w:hint="eastAsia"/>
                      <w:color w:val="000000"/>
                      <w:lang w:val="en-US" w:eastAsia="zh-CN"/>
                    </w:rPr>
                    <w:t>2</w:t>
                  </w:r>
                </w:p>
              </w:tc>
              <w:tc>
                <w:tcPr>
                  <w:tcW w:w="829" w:type="pct"/>
                  <w:gridSpan w:val="2"/>
                  <w:tcBorders>
                    <w:top w:val="single" w:color="auto" w:sz="4" w:space="0"/>
                    <w:left w:val="single" w:color="auto" w:sz="4" w:space="0"/>
                    <w:bottom w:val="single" w:color="auto" w:sz="4" w:space="0"/>
                    <w:right w:val="single" w:color="auto" w:sz="4" w:space="0"/>
                  </w:tcBorders>
                  <w:noWrap w:val="0"/>
                  <w:vAlign w:val="center"/>
                </w:tcPr>
                <w:p w14:paraId="16BA70CD">
                  <w:pPr>
                    <w:pStyle w:val="34"/>
                    <w:rPr>
                      <w:rFonts w:hint="default"/>
                      <w:color w:val="000000"/>
                      <w:lang w:val="en-US" w:eastAsia="zh-CN"/>
                    </w:rPr>
                  </w:pPr>
                  <w:r>
                    <w:rPr>
                      <w:rFonts w:hint="eastAsia"/>
                      <w:color w:val="000000"/>
                      <w:lang w:val="en-US" w:eastAsia="zh-CN"/>
                    </w:rPr>
                    <w:t>成品区</w:t>
                  </w:r>
                </w:p>
              </w:tc>
              <w:tc>
                <w:tcPr>
                  <w:tcW w:w="2243" w:type="pct"/>
                  <w:tcBorders>
                    <w:top w:val="single" w:color="auto" w:sz="4" w:space="0"/>
                    <w:left w:val="single" w:color="auto" w:sz="4" w:space="0"/>
                    <w:bottom w:val="single" w:color="auto" w:sz="4" w:space="0"/>
                    <w:right w:val="single" w:color="auto" w:sz="4" w:space="0"/>
                  </w:tcBorders>
                  <w:noWrap w:val="0"/>
                  <w:vAlign w:val="center"/>
                </w:tcPr>
                <w:p w14:paraId="4345CE32">
                  <w:pPr>
                    <w:pStyle w:val="34"/>
                    <w:rPr>
                      <w:rFonts w:hint="eastAsia"/>
                      <w:color w:val="000000"/>
                      <w:lang w:val="en-US" w:eastAsia="zh-CN"/>
                    </w:rPr>
                  </w:pPr>
                  <w:r>
                    <w:rPr>
                      <w:rFonts w:hint="eastAsia"/>
                      <w:color w:val="000000"/>
                      <w:highlight w:val="none"/>
                      <w:lang w:val="en-US" w:eastAsia="zh-CN"/>
                    </w:rPr>
                    <w:t>紧邻组装区北侧布置为成品区，</w:t>
                  </w:r>
                  <w:r>
                    <w:rPr>
                      <w:rFonts w:hint="eastAsia" w:cs="Times New Roman"/>
                      <w:bCs/>
                      <w:color w:val="000000"/>
                      <w:kern w:val="2"/>
                      <w:sz w:val="21"/>
                      <w:szCs w:val="21"/>
                      <w:lang w:val="en-US" w:eastAsia="zh-CN" w:bidi="ar-SA"/>
                    </w:rPr>
                    <w:t>面积约50m</w:t>
                  </w:r>
                  <w:r>
                    <w:rPr>
                      <w:rFonts w:hint="eastAsia" w:cs="Times New Roman"/>
                      <w:bCs/>
                      <w:color w:val="000000"/>
                      <w:kern w:val="2"/>
                      <w:sz w:val="21"/>
                      <w:szCs w:val="21"/>
                      <w:vertAlign w:val="superscript"/>
                      <w:lang w:val="en-US" w:eastAsia="zh-CN" w:bidi="ar-SA"/>
                    </w:rPr>
                    <w:t>2</w:t>
                  </w:r>
                  <w:r>
                    <w:rPr>
                      <w:rFonts w:hint="eastAsia" w:cs="Times New Roman"/>
                      <w:bCs/>
                      <w:color w:val="000000"/>
                      <w:kern w:val="2"/>
                      <w:sz w:val="21"/>
                      <w:szCs w:val="21"/>
                      <w:lang w:val="en-US" w:eastAsia="zh-CN" w:bidi="ar-SA"/>
                    </w:rPr>
                    <w:t>，用于产品暂存</w:t>
                  </w:r>
                </w:p>
              </w:tc>
              <w:tc>
                <w:tcPr>
                  <w:tcW w:w="1570" w:type="pct"/>
                  <w:tcBorders>
                    <w:left w:val="single" w:color="auto" w:sz="4" w:space="0"/>
                    <w:right w:val="single" w:color="auto" w:sz="4" w:space="0"/>
                  </w:tcBorders>
                  <w:noWrap w:val="0"/>
                  <w:vAlign w:val="center"/>
                </w:tcPr>
                <w:p w14:paraId="305C8277">
                  <w:pPr>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与环评一致</w:t>
                  </w:r>
                </w:p>
              </w:tc>
            </w:tr>
            <w:tr w14:paraId="0003C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6" w:type="pct"/>
                  <w:tcBorders>
                    <w:top w:val="single" w:color="auto" w:sz="4" w:space="0"/>
                    <w:left w:val="single" w:color="auto" w:sz="4" w:space="0"/>
                    <w:bottom w:val="single" w:color="auto" w:sz="4" w:space="0"/>
                    <w:right w:val="single" w:color="auto" w:sz="4" w:space="0"/>
                  </w:tcBorders>
                  <w:noWrap w:val="0"/>
                  <w:vAlign w:val="center"/>
                </w:tcPr>
                <w:p w14:paraId="42EDCC84">
                  <w:pPr>
                    <w:pStyle w:val="34"/>
                    <w:rPr>
                      <w:rFonts w:hint="default"/>
                      <w:color w:val="000000"/>
                      <w:lang w:val="en-US" w:eastAsia="zh-CN"/>
                    </w:rPr>
                  </w:pPr>
                  <w:r>
                    <w:rPr>
                      <w:rFonts w:hint="eastAsia"/>
                      <w:color w:val="000000"/>
                      <w:lang w:val="en-US" w:eastAsia="zh-CN"/>
                    </w:rPr>
                    <w:t>3</w:t>
                  </w:r>
                </w:p>
              </w:tc>
              <w:tc>
                <w:tcPr>
                  <w:tcW w:w="829" w:type="pct"/>
                  <w:gridSpan w:val="2"/>
                  <w:tcBorders>
                    <w:top w:val="single" w:color="auto" w:sz="4" w:space="0"/>
                    <w:left w:val="single" w:color="auto" w:sz="4" w:space="0"/>
                    <w:bottom w:val="single" w:color="auto" w:sz="4" w:space="0"/>
                    <w:right w:val="single" w:color="auto" w:sz="4" w:space="0"/>
                  </w:tcBorders>
                  <w:noWrap w:val="0"/>
                  <w:vAlign w:val="center"/>
                </w:tcPr>
                <w:p w14:paraId="2E94F395">
                  <w:pPr>
                    <w:pStyle w:val="34"/>
                    <w:rPr>
                      <w:rFonts w:hint="default"/>
                      <w:color w:val="000000"/>
                      <w:lang w:val="en-US" w:eastAsia="zh-CN"/>
                    </w:rPr>
                  </w:pPr>
                  <w:r>
                    <w:rPr>
                      <w:rFonts w:hint="eastAsia"/>
                      <w:color w:val="000000"/>
                      <w:lang w:val="en-US" w:eastAsia="zh-CN"/>
                    </w:rPr>
                    <w:t>漆料间</w:t>
                  </w:r>
                </w:p>
              </w:tc>
              <w:tc>
                <w:tcPr>
                  <w:tcW w:w="2243" w:type="pct"/>
                  <w:tcBorders>
                    <w:top w:val="single" w:color="auto" w:sz="4" w:space="0"/>
                    <w:left w:val="single" w:color="auto" w:sz="4" w:space="0"/>
                    <w:bottom w:val="single" w:color="auto" w:sz="4" w:space="0"/>
                    <w:right w:val="single" w:color="auto" w:sz="4" w:space="0"/>
                  </w:tcBorders>
                  <w:noWrap w:val="0"/>
                  <w:vAlign w:val="center"/>
                </w:tcPr>
                <w:p w14:paraId="5F01A985">
                  <w:pPr>
                    <w:pStyle w:val="34"/>
                    <w:rPr>
                      <w:rFonts w:hint="default"/>
                      <w:color w:val="000000"/>
                      <w:lang w:val="en-US" w:eastAsia="zh-CN"/>
                    </w:rPr>
                  </w:pPr>
                  <w:r>
                    <w:rPr>
                      <w:rFonts w:hint="eastAsia"/>
                      <w:color w:val="000000"/>
                      <w:lang w:val="en-US" w:eastAsia="zh-CN"/>
                    </w:rPr>
                    <w:t>紧邻喷漆房设置1个漆料间，</w:t>
                  </w:r>
                  <w:r>
                    <w:rPr>
                      <w:rFonts w:hint="eastAsia" w:cs="Times New Roman"/>
                      <w:bCs/>
                      <w:color w:val="000000"/>
                      <w:kern w:val="2"/>
                      <w:sz w:val="21"/>
                      <w:szCs w:val="21"/>
                      <w:lang w:val="en-US" w:eastAsia="zh-CN" w:bidi="ar-SA"/>
                    </w:rPr>
                    <w:t>面积约10m</w:t>
                  </w:r>
                  <w:r>
                    <w:rPr>
                      <w:rFonts w:hint="eastAsia" w:cs="Times New Roman"/>
                      <w:bCs/>
                      <w:color w:val="000000"/>
                      <w:kern w:val="2"/>
                      <w:sz w:val="21"/>
                      <w:szCs w:val="21"/>
                      <w:vertAlign w:val="superscript"/>
                      <w:lang w:val="en-US" w:eastAsia="zh-CN" w:bidi="ar-SA"/>
                    </w:rPr>
                    <w:t>2</w:t>
                  </w:r>
                  <w:r>
                    <w:rPr>
                      <w:rFonts w:hint="eastAsia"/>
                      <w:color w:val="000000"/>
                      <w:lang w:val="en-US" w:eastAsia="zh-CN"/>
                    </w:rPr>
                    <w:t>，用于漆料及润滑油的暂存</w:t>
                  </w:r>
                </w:p>
              </w:tc>
              <w:tc>
                <w:tcPr>
                  <w:tcW w:w="1570" w:type="pct"/>
                  <w:tcBorders>
                    <w:left w:val="single" w:color="auto" w:sz="4" w:space="0"/>
                    <w:right w:val="single" w:color="auto" w:sz="4" w:space="0"/>
                  </w:tcBorders>
                  <w:noWrap w:val="0"/>
                  <w:vAlign w:val="center"/>
                </w:tcPr>
                <w:p w14:paraId="17A29BCA">
                  <w:pPr>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与环评一致</w:t>
                  </w:r>
                </w:p>
              </w:tc>
            </w:tr>
            <w:tr w14:paraId="39129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6" w:type="pct"/>
                  <w:tcBorders>
                    <w:top w:val="single" w:color="auto" w:sz="4" w:space="0"/>
                    <w:left w:val="single" w:color="auto" w:sz="4" w:space="0"/>
                    <w:bottom w:val="single" w:color="auto" w:sz="4" w:space="0"/>
                    <w:right w:val="single" w:color="auto" w:sz="4" w:space="0"/>
                  </w:tcBorders>
                  <w:noWrap w:val="0"/>
                  <w:vAlign w:val="center"/>
                </w:tcPr>
                <w:p w14:paraId="626DC4B7">
                  <w:pPr>
                    <w:pStyle w:val="34"/>
                    <w:rPr>
                      <w:rFonts w:hint="default"/>
                      <w:color w:val="000000"/>
                      <w:lang w:val="en-US" w:eastAsia="zh-CN"/>
                    </w:rPr>
                  </w:pPr>
                  <w:r>
                    <w:rPr>
                      <w:rFonts w:hint="eastAsia"/>
                      <w:color w:val="000000"/>
                      <w:lang w:val="en-US" w:eastAsia="zh-CN"/>
                    </w:rPr>
                    <w:t>4</w:t>
                  </w:r>
                </w:p>
              </w:tc>
              <w:tc>
                <w:tcPr>
                  <w:tcW w:w="829" w:type="pct"/>
                  <w:gridSpan w:val="2"/>
                  <w:tcBorders>
                    <w:top w:val="single" w:color="auto" w:sz="4" w:space="0"/>
                    <w:left w:val="single" w:color="auto" w:sz="4" w:space="0"/>
                    <w:bottom w:val="single" w:color="auto" w:sz="4" w:space="0"/>
                    <w:right w:val="single" w:color="auto" w:sz="4" w:space="0"/>
                  </w:tcBorders>
                  <w:noWrap w:val="0"/>
                  <w:vAlign w:val="center"/>
                </w:tcPr>
                <w:p w14:paraId="299DF770">
                  <w:pPr>
                    <w:pStyle w:val="34"/>
                    <w:rPr>
                      <w:rFonts w:hint="default"/>
                      <w:color w:val="000000"/>
                      <w:lang w:val="en-US" w:eastAsia="zh-CN"/>
                    </w:rPr>
                  </w:pPr>
                  <w:r>
                    <w:rPr>
                      <w:rFonts w:hint="eastAsia"/>
                      <w:color w:val="000000"/>
                      <w:lang w:val="en-US" w:eastAsia="zh-CN"/>
                    </w:rPr>
                    <w:t>配件间</w:t>
                  </w:r>
                </w:p>
              </w:tc>
              <w:tc>
                <w:tcPr>
                  <w:tcW w:w="2243" w:type="pct"/>
                  <w:tcBorders>
                    <w:top w:val="single" w:color="auto" w:sz="4" w:space="0"/>
                    <w:left w:val="single" w:color="auto" w:sz="4" w:space="0"/>
                    <w:bottom w:val="single" w:color="auto" w:sz="4" w:space="0"/>
                    <w:right w:val="single" w:color="auto" w:sz="4" w:space="0"/>
                  </w:tcBorders>
                  <w:noWrap w:val="0"/>
                  <w:vAlign w:val="center"/>
                </w:tcPr>
                <w:p w14:paraId="3DF273CF">
                  <w:pPr>
                    <w:pStyle w:val="34"/>
                    <w:rPr>
                      <w:rFonts w:hint="default"/>
                      <w:color w:val="000000"/>
                      <w:lang w:val="en-US" w:eastAsia="zh-CN"/>
                    </w:rPr>
                  </w:pPr>
                  <w:r>
                    <w:rPr>
                      <w:rFonts w:hint="eastAsia"/>
                      <w:color w:val="000000"/>
                      <w:lang w:val="en-US" w:eastAsia="zh-CN"/>
                    </w:rPr>
                    <w:t>位于厂房南侧，</w:t>
                  </w:r>
                  <w:r>
                    <w:rPr>
                      <w:rFonts w:hint="eastAsia" w:cs="Times New Roman"/>
                      <w:bCs/>
                      <w:color w:val="000000"/>
                      <w:kern w:val="2"/>
                      <w:sz w:val="21"/>
                      <w:szCs w:val="21"/>
                      <w:lang w:val="en-US" w:eastAsia="zh-CN" w:bidi="ar-SA"/>
                    </w:rPr>
                    <w:t>面积约20m</w:t>
                  </w:r>
                  <w:r>
                    <w:rPr>
                      <w:rFonts w:hint="eastAsia" w:cs="Times New Roman"/>
                      <w:bCs/>
                      <w:color w:val="000000"/>
                      <w:kern w:val="2"/>
                      <w:sz w:val="21"/>
                      <w:szCs w:val="21"/>
                      <w:vertAlign w:val="superscript"/>
                      <w:lang w:val="en-US" w:eastAsia="zh-CN" w:bidi="ar-SA"/>
                    </w:rPr>
                    <w:t>2</w:t>
                  </w:r>
                  <w:r>
                    <w:rPr>
                      <w:rFonts w:hint="eastAsia"/>
                      <w:color w:val="000000"/>
                      <w:lang w:val="en-US" w:eastAsia="zh-CN"/>
                    </w:rPr>
                    <w:t>，用于焊材、产品组装配件等的暂存</w:t>
                  </w:r>
                </w:p>
              </w:tc>
              <w:tc>
                <w:tcPr>
                  <w:tcW w:w="1570" w:type="pct"/>
                  <w:tcBorders>
                    <w:left w:val="single" w:color="auto" w:sz="4" w:space="0"/>
                    <w:right w:val="single" w:color="auto" w:sz="4" w:space="0"/>
                  </w:tcBorders>
                  <w:noWrap w:val="0"/>
                  <w:vAlign w:val="center"/>
                </w:tcPr>
                <w:p w14:paraId="70F12F18">
                  <w:pPr>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与环评一致</w:t>
                  </w:r>
                </w:p>
              </w:tc>
            </w:tr>
            <w:tr w14:paraId="0156F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5"/>
                  <w:tcBorders>
                    <w:top w:val="single" w:color="auto" w:sz="4" w:space="0"/>
                    <w:left w:val="single" w:color="auto" w:sz="4" w:space="0"/>
                    <w:bottom w:val="single" w:color="auto" w:sz="4" w:space="0"/>
                    <w:right w:val="single" w:color="auto" w:sz="4" w:space="0"/>
                  </w:tcBorders>
                  <w:noWrap w:val="0"/>
                  <w:vAlign w:val="center"/>
                </w:tcPr>
                <w:p w14:paraId="2032293E">
                  <w:pPr>
                    <w:pStyle w:val="34"/>
                    <w:rPr>
                      <w:color w:val="000000" w:themeColor="text1"/>
                      <w14:textFill>
                        <w14:solidFill>
                          <w14:schemeClr w14:val="tx1"/>
                        </w14:solidFill>
                      </w14:textFill>
                    </w:rPr>
                  </w:pPr>
                </w:p>
              </w:tc>
            </w:tr>
            <w:tr w14:paraId="030AB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6" w:type="pct"/>
                  <w:tcBorders>
                    <w:top w:val="single" w:color="auto" w:sz="4" w:space="0"/>
                    <w:left w:val="single" w:color="auto" w:sz="4" w:space="0"/>
                    <w:bottom w:val="single" w:color="auto" w:sz="4" w:space="0"/>
                    <w:right w:val="single" w:color="auto" w:sz="4" w:space="0"/>
                  </w:tcBorders>
                  <w:noWrap w:val="0"/>
                  <w:vAlign w:val="center"/>
                </w:tcPr>
                <w:p w14:paraId="081DD861">
                  <w:pPr>
                    <w:pStyle w:val="34"/>
                    <w:rPr>
                      <w:color w:val="000000"/>
                    </w:rPr>
                  </w:pPr>
                  <w:r>
                    <w:rPr>
                      <w:color w:val="000000"/>
                    </w:rPr>
                    <w:t>1</w:t>
                  </w:r>
                </w:p>
              </w:tc>
              <w:tc>
                <w:tcPr>
                  <w:tcW w:w="829" w:type="pct"/>
                  <w:gridSpan w:val="2"/>
                  <w:tcBorders>
                    <w:top w:val="single" w:color="auto" w:sz="4" w:space="0"/>
                    <w:left w:val="single" w:color="auto" w:sz="4" w:space="0"/>
                    <w:bottom w:val="single" w:color="auto" w:sz="4" w:space="0"/>
                    <w:right w:val="single" w:color="auto" w:sz="4" w:space="0"/>
                  </w:tcBorders>
                  <w:noWrap w:val="0"/>
                  <w:vAlign w:val="center"/>
                </w:tcPr>
                <w:p w14:paraId="36589C5A">
                  <w:pPr>
                    <w:pStyle w:val="34"/>
                    <w:rPr>
                      <w:color w:val="000000"/>
                    </w:rPr>
                  </w:pPr>
                  <w:r>
                    <w:rPr>
                      <w:rFonts w:hint="eastAsia"/>
                      <w:color w:val="000000"/>
                    </w:rPr>
                    <w:t>供水系统</w:t>
                  </w:r>
                </w:p>
              </w:tc>
              <w:tc>
                <w:tcPr>
                  <w:tcW w:w="2243" w:type="pct"/>
                  <w:tcBorders>
                    <w:top w:val="single" w:color="auto" w:sz="4" w:space="0"/>
                    <w:left w:val="single" w:color="auto" w:sz="4" w:space="0"/>
                    <w:bottom w:val="single" w:color="auto" w:sz="4" w:space="0"/>
                    <w:right w:val="single" w:color="auto" w:sz="4" w:space="0"/>
                  </w:tcBorders>
                  <w:noWrap w:val="0"/>
                  <w:vAlign w:val="center"/>
                </w:tcPr>
                <w:p w14:paraId="1ECC20E7">
                  <w:pPr>
                    <w:pStyle w:val="34"/>
                    <w:rPr>
                      <w:rFonts w:hint="default" w:eastAsia="宋体"/>
                      <w:color w:val="000000"/>
                      <w:lang w:val="en-US" w:eastAsia="zh-CN"/>
                    </w:rPr>
                  </w:pPr>
                  <w:r>
                    <w:rPr>
                      <w:rFonts w:hint="eastAsia"/>
                      <w:color w:val="000000"/>
                      <w:lang w:val="en-US" w:eastAsia="zh-CN"/>
                    </w:rPr>
                    <w:t>依托园区供给</w:t>
                  </w:r>
                </w:p>
              </w:tc>
              <w:tc>
                <w:tcPr>
                  <w:tcW w:w="1570" w:type="pct"/>
                  <w:tcBorders>
                    <w:top w:val="single" w:color="auto" w:sz="4" w:space="0"/>
                    <w:left w:val="single" w:color="auto" w:sz="4" w:space="0"/>
                    <w:bottom w:val="single" w:color="auto" w:sz="4" w:space="0"/>
                    <w:right w:val="single" w:color="auto" w:sz="4" w:space="0"/>
                  </w:tcBorders>
                  <w:noWrap w:val="0"/>
                  <w:vAlign w:val="center"/>
                </w:tcPr>
                <w:p w14:paraId="049702FB">
                  <w:pPr>
                    <w:jc w:val="center"/>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与环评一致</w:t>
                  </w:r>
                </w:p>
              </w:tc>
            </w:tr>
            <w:tr w14:paraId="3C757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6" w:type="pct"/>
                  <w:tcBorders>
                    <w:top w:val="single" w:color="auto" w:sz="4" w:space="0"/>
                    <w:left w:val="single" w:color="auto" w:sz="4" w:space="0"/>
                    <w:bottom w:val="single" w:color="auto" w:sz="4" w:space="0"/>
                    <w:right w:val="single" w:color="auto" w:sz="4" w:space="0"/>
                  </w:tcBorders>
                  <w:noWrap w:val="0"/>
                  <w:vAlign w:val="center"/>
                </w:tcPr>
                <w:p w14:paraId="0E06DF42">
                  <w:pPr>
                    <w:pStyle w:val="34"/>
                    <w:rPr>
                      <w:color w:val="000000"/>
                    </w:rPr>
                  </w:pPr>
                  <w:r>
                    <w:rPr>
                      <w:color w:val="000000"/>
                    </w:rPr>
                    <w:t>2</w:t>
                  </w:r>
                </w:p>
              </w:tc>
              <w:tc>
                <w:tcPr>
                  <w:tcW w:w="829" w:type="pct"/>
                  <w:gridSpan w:val="2"/>
                  <w:tcBorders>
                    <w:top w:val="single" w:color="auto" w:sz="4" w:space="0"/>
                    <w:left w:val="single" w:color="auto" w:sz="4" w:space="0"/>
                    <w:bottom w:val="single" w:color="auto" w:sz="4" w:space="0"/>
                    <w:right w:val="single" w:color="auto" w:sz="4" w:space="0"/>
                  </w:tcBorders>
                  <w:noWrap w:val="0"/>
                  <w:vAlign w:val="center"/>
                </w:tcPr>
                <w:p w14:paraId="3576C016">
                  <w:pPr>
                    <w:pStyle w:val="34"/>
                    <w:rPr>
                      <w:color w:val="000000"/>
                    </w:rPr>
                  </w:pPr>
                  <w:r>
                    <w:rPr>
                      <w:color w:val="000000"/>
                    </w:rPr>
                    <w:t>供电系统</w:t>
                  </w:r>
                </w:p>
              </w:tc>
              <w:tc>
                <w:tcPr>
                  <w:tcW w:w="2243" w:type="pct"/>
                  <w:tcBorders>
                    <w:top w:val="single" w:color="auto" w:sz="4" w:space="0"/>
                    <w:left w:val="single" w:color="auto" w:sz="4" w:space="0"/>
                    <w:bottom w:val="single" w:color="auto" w:sz="4" w:space="0"/>
                    <w:right w:val="single" w:color="auto" w:sz="4" w:space="0"/>
                  </w:tcBorders>
                  <w:noWrap w:val="0"/>
                  <w:vAlign w:val="center"/>
                </w:tcPr>
                <w:p w14:paraId="1E03546D">
                  <w:pPr>
                    <w:pStyle w:val="34"/>
                    <w:rPr>
                      <w:rFonts w:hint="default" w:eastAsia="宋体"/>
                      <w:color w:val="000000"/>
                      <w:lang w:val="en-US" w:eastAsia="zh-CN"/>
                    </w:rPr>
                  </w:pPr>
                  <w:r>
                    <w:rPr>
                      <w:rFonts w:hint="eastAsia"/>
                      <w:color w:val="000000"/>
                      <w:lang w:val="en-US" w:eastAsia="zh-CN"/>
                    </w:rPr>
                    <w:t>依托园区供给</w:t>
                  </w:r>
                </w:p>
              </w:tc>
              <w:tc>
                <w:tcPr>
                  <w:tcW w:w="1570" w:type="pct"/>
                  <w:tcBorders>
                    <w:top w:val="single" w:color="auto" w:sz="4" w:space="0"/>
                    <w:left w:val="single" w:color="auto" w:sz="4" w:space="0"/>
                    <w:bottom w:val="single" w:color="auto" w:sz="4" w:space="0"/>
                    <w:right w:val="single" w:color="auto" w:sz="4" w:space="0"/>
                  </w:tcBorders>
                  <w:noWrap w:val="0"/>
                  <w:vAlign w:val="center"/>
                </w:tcPr>
                <w:p w14:paraId="76C75A51">
                  <w:pPr>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与环评一致</w:t>
                  </w:r>
                </w:p>
              </w:tc>
            </w:tr>
            <w:tr w14:paraId="148D5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6" w:type="pct"/>
                  <w:tcBorders>
                    <w:top w:val="single" w:color="auto" w:sz="4" w:space="0"/>
                    <w:left w:val="single" w:color="auto" w:sz="4" w:space="0"/>
                    <w:bottom w:val="single" w:color="auto" w:sz="4" w:space="0"/>
                    <w:right w:val="single" w:color="auto" w:sz="4" w:space="0"/>
                  </w:tcBorders>
                  <w:noWrap w:val="0"/>
                  <w:vAlign w:val="center"/>
                </w:tcPr>
                <w:p w14:paraId="7A05BBE7">
                  <w:pPr>
                    <w:pStyle w:val="34"/>
                    <w:rPr>
                      <w:rFonts w:hint="eastAsia" w:eastAsia="宋体"/>
                      <w:color w:val="000000"/>
                      <w:lang w:val="en-US" w:eastAsia="zh-CN"/>
                    </w:rPr>
                  </w:pPr>
                  <w:r>
                    <w:rPr>
                      <w:rFonts w:hint="eastAsia"/>
                      <w:color w:val="000000"/>
                      <w:lang w:val="en-US" w:eastAsia="zh-CN"/>
                    </w:rPr>
                    <w:t>3</w:t>
                  </w:r>
                </w:p>
              </w:tc>
              <w:tc>
                <w:tcPr>
                  <w:tcW w:w="829" w:type="pct"/>
                  <w:gridSpan w:val="2"/>
                  <w:tcBorders>
                    <w:top w:val="single" w:color="auto" w:sz="4" w:space="0"/>
                    <w:left w:val="single" w:color="auto" w:sz="4" w:space="0"/>
                    <w:bottom w:val="single" w:color="auto" w:sz="4" w:space="0"/>
                    <w:right w:val="single" w:color="auto" w:sz="4" w:space="0"/>
                  </w:tcBorders>
                  <w:noWrap w:val="0"/>
                  <w:vAlign w:val="center"/>
                </w:tcPr>
                <w:p w14:paraId="73DC9885">
                  <w:pPr>
                    <w:pStyle w:val="34"/>
                    <w:rPr>
                      <w:rFonts w:hint="default" w:eastAsia="宋体"/>
                      <w:color w:val="000000"/>
                      <w:lang w:val="en-US" w:eastAsia="zh-CN"/>
                    </w:rPr>
                  </w:pPr>
                  <w:r>
                    <w:rPr>
                      <w:rFonts w:hint="eastAsia"/>
                      <w:color w:val="000000"/>
                      <w:lang w:val="en-US" w:eastAsia="zh-CN"/>
                    </w:rPr>
                    <w:t>空压系统</w:t>
                  </w:r>
                </w:p>
              </w:tc>
              <w:tc>
                <w:tcPr>
                  <w:tcW w:w="2243" w:type="pct"/>
                  <w:tcBorders>
                    <w:top w:val="single" w:color="auto" w:sz="4" w:space="0"/>
                    <w:left w:val="single" w:color="auto" w:sz="4" w:space="0"/>
                    <w:bottom w:val="single" w:color="auto" w:sz="4" w:space="0"/>
                    <w:right w:val="single" w:color="auto" w:sz="4" w:space="0"/>
                  </w:tcBorders>
                  <w:noWrap w:val="0"/>
                  <w:vAlign w:val="center"/>
                </w:tcPr>
                <w:p w14:paraId="52B29C5A">
                  <w:pPr>
                    <w:pStyle w:val="34"/>
                    <w:rPr>
                      <w:rFonts w:hint="default"/>
                      <w:color w:val="000000"/>
                      <w:lang w:val="en-US" w:eastAsia="zh-CN"/>
                    </w:rPr>
                  </w:pPr>
                  <w:r>
                    <w:rPr>
                      <w:rFonts w:hint="eastAsia"/>
                      <w:color w:val="000000"/>
                      <w:lang w:val="en-US" w:eastAsia="zh-CN"/>
                    </w:rPr>
                    <w:t>项目厂房设置2台无油空压机提供压缩空气</w:t>
                  </w:r>
                </w:p>
              </w:tc>
              <w:tc>
                <w:tcPr>
                  <w:tcW w:w="1570" w:type="pct"/>
                  <w:tcBorders>
                    <w:top w:val="single" w:color="auto" w:sz="4" w:space="0"/>
                    <w:left w:val="single" w:color="auto" w:sz="4" w:space="0"/>
                    <w:bottom w:val="single" w:color="auto" w:sz="4" w:space="0"/>
                    <w:right w:val="single" w:color="auto" w:sz="4" w:space="0"/>
                  </w:tcBorders>
                  <w:noWrap w:val="0"/>
                  <w:vAlign w:val="center"/>
                </w:tcPr>
                <w:p w14:paraId="0BE5E76B">
                  <w:pPr>
                    <w:jc w:val="center"/>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与环评一致</w:t>
                  </w:r>
                </w:p>
              </w:tc>
            </w:tr>
            <w:tr w14:paraId="7A26D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6" w:type="pct"/>
                  <w:tcBorders>
                    <w:top w:val="single" w:color="auto" w:sz="4" w:space="0"/>
                    <w:left w:val="single" w:color="auto" w:sz="4" w:space="0"/>
                    <w:bottom w:val="single" w:color="auto" w:sz="4" w:space="0"/>
                    <w:right w:val="single" w:color="auto" w:sz="4" w:space="0"/>
                  </w:tcBorders>
                  <w:noWrap w:val="0"/>
                  <w:vAlign w:val="center"/>
                </w:tcPr>
                <w:p w14:paraId="72AFFE3B">
                  <w:pPr>
                    <w:pStyle w:val="34"/>
                    <w:rPr>
                      <w:rFonts w:hint="eastAsia"/>
                      <w:color w:val="000000"/>
                      <w:lang w:val="en-US" w:eastAsia="zh-CN"/>
                    </w:rPr>
                  </w:pPr>
                  <w:r>
                    <w:rPr>
                      <w:rFonts w:hint="eastAsia"/>
                      <w:color w:val="000000"/>
                      <w:lang w:val="en-US" w:eastAsia="zh-CN"/>
                    </w:rPr>
                    <w:t>4</w:t>
                  </w:r>
                </w:p>
              </w:tc>
              <w:tc>
                <w:tcPr>
                  <w:tcW w:w="829" w:type="pct"/>
                  <w:gridSpan w:val="2"/>
                  <w:tcBorders>
                    <w:top w:val="single" w:color="auto" w:sz="4" w:space="0"/>
                    <w:left w:val="single" w:color="auto" w:sz="4" w:space="0"/>
                    <w:bottom w:val="single" w:color="auto" w:sz="4" w:space="0"/>
                    <w:right w:val="single" w:color="auto" w:sz="4" w:space="0"/>
                  </w:tcBorders>
                  <w:noWrap w:val="0"/>
                  <w:vAlign w:val="center"/>
                </w:tcPr>
                <w:p w14:paraId="6ACEAD4A">
                  <w:pPr>
                    <w:pStyle w:val="34"/>
                    <w:rPr>
                      <w:rFonts w:hint="default"/>
                      <w:color w:val="000000"/>
                      <w:lang w:val="en-US" w:eastAsia="zh-CN"/>
                    </w:rPr>
                  </w:pPr>
                  <w:r>
                    <w:rPr>
                      <w:color w:val="000000"/>
                    </w:rPr>
                    <w:t>排水工程</w:t>
                  </w:r>
                </w:p>
              </w:tc>
              <w:tc>
                <w:tcPr>
                  <w:tcW w:w="2243" w:type="pct"/>
                  <w:tcBorders>
                    <w:top w:val="single" w:color="auto" w:sz="4" w:space="0"/>
                    <w:left w:val="single" w:color="auto" w:sz="4" w:space="0"/>
                    <w:bottom w:val="single" w:color="auto" w:sz="4" w:space="0"/>
                    <w:right w:val="single" w:color="auto" w:sz="4" w:space="0"/>
                  </w:tcBorders>
                  <w:noWrap w:val="0"/>
                  <w:vAlign w:val="center"/>
                </w:tcPr>
                <w:p w14:paraId="5A4379B4">
                  <w:pPr>
                    <w:pStyle w:val="34"/>
                    <w:rPr>
                      <w:rFonts w:hint="default"/>
                      <w:color w:val="000000"/>
                      <w:lang w:val="en-US" w:eastAsia="zh-CN"/>
                    </w:rPr>
                  </w:pPr>
                  <w:r>
                    <w:rPr>
                      <w:color w:val="000000"/>
                    </w:rPr>
                    <w:t>雨污分流</w:t>
                  </w:r>
                  <w:r>
                    <w:rPr>
                      <w:rFonts w:hint="eastAsia"/>
                      <w:color w:val="000000"/>
                    </w:rPr>
                    <w:t>。</w:t>
                  </w:r>
                  <w:r>
                    <w:rPr>
                      <w:color w:val="000000"/>
                    </w:rPr>
                    <w:t>雨水</w:t>
                  </w:r>
                  <w:r>
                    <w:rPr>
                      <w:rFonts w:hint="eastAsia"/>
                      <w:color w:val="000000"/>
                      <w:lang w:val="en-US" w:eastAsia="zh-CN"/>
                    </w:rPr>
                    <w:t>经依托</w:t>
                  </w:r>
                  <w:r>
                    <w:rPr>
                      <w:color w:val="000000"/>
                    </w:rPr>
                    <w:t>雨水管网收集后</w:t>
                  </w:r>
                  <w:r>
                    <w:rPr>
                      <w:rFonts w:hint="eastAsia"/>
                      <w:color w:val="000000"/>
                    </w:rPr>
                    <w:t>排入</w:t>
                  </w:r>
                  <w:r>
                    <w:rPr>
                      <w:rFonts w:hint="eastAsia"/>
                      <w:color w:val="000000"/>
                      <w:lang w:eastAsia="zh-CN"/>
                    </w:rPr>
                    <w:t>园区雨水管网</w:t>
                  </w:r>
                  <w:r>
                    <w:rPr>
                      <w:color w:val="000000"/>
                    </w:rPr>
                    <w:t>；</w:t>
                  </w:r>
                  <w:r>
                    <w:rPr>
                      <w:rFonts w:hint="eastAsia"/>
                      <w:color w:val="000000"/>
                      <w:lang w:val="en-US" w:eastAsia="zh-CN"/>
                    </w:rPr>
                    <w:t>生活污水依托厂区污水管网及生化池收集处理后排入园区污水管网</w:t>
                  </w:r>
                </w:p>
              </w:tc>
              <w:tc>
                <w:tcPr>
                  <w:tcW w:w="1570" w:type="pct"/>
                  <w:tcBorders>
                    <w:top w:val="single" w:color="auto" w:sz="4" w:space="0"/>
                    <w:left w:val="single" w:color="auto" w:sz="4" w:space="0"/>
                    <w:bottom w:val="single" w:color="auto" w:sz="4" w:space="0"/>
                    <w:right w:val="single" w:color="auto" w:sz="4" w:space="0"/>
                  </w:tcBorders>
                  <w:noWrap w:val="0"/>
                  <w:vAlign w:val="center"/>
                </w:tcPr>
                <w:p w14:paraId="625F1AE0">
                  <w:pPr>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与环评一致</w:t>
                  </w:r>
                </w:p>
              </w:tc>
            </w:tr>
            <w:tr w14:paraId="4BF1B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5"/>
                  <w:tcBorders>
                    <w:top w:val="single" w:color="auto" w:sz="4" w:space="0"/>
                    <w:left w:val="single" w:color="auto" w:sz="4" w:space="0"/>
                    <w:bottom w:val="single" w:color="auto" w:sz="4" w:space="0"/>
                    <w:right w:val="single" w:color="auto" w:sz="4" w:space="0"/>
                  </w:tcBorders>
                  <w:noWrap w:val="0"/>
                  <w:vAlign w:val="center"/>
                </w:tcPr>
                <w:p w14:paraId="5DB38C9C">
                  <w:pPr>
                    <w:pStyle w:val="34"/>
                    <w:rPr>
                      <w:color w:val="000000" w:themeColor="text1"/>
                      <w14:textFill>
                        <w14:solidFill>
                          <w14:schemeClr w14:val="tx1"/>
                        </w14:solidFill>
                      </w14:textFill>
                    </w:rPr>
                  </w:pPr>
                </w:p>
              </w:tc>
            </w:tr>
            <w:tr w14:paraId="50F73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356" w:type="pct"/>
                  <w:tcBorders>
                    <w:top w:val="single" w:color="auto" w:sz="4" w:space="0"/>
                    <w:left w:val="single" w:color="auto" w:sz="4" w:space="0"/>
                    <w:right w:val="single" w:color="auto" w:sz="4" w:space="0"/>
                  </w:tcBorders>
                  <w:noWrap w:val="0"/>
                  <w:vAlign w:val="center"/>
                </w:tcPr>
                <w:p w14:paraId="583DFEB5">
                  <w:pPr>
                    <w:pStyle w:val="34"/>
                    <w:rPr>
                      <w:color w:val="000000"/>
                    </w:rPr>
                  </w:pPr>
                  <w:r>
                    <w:rPr>
                      <w:color w:val="000000"/>
                    </w:rPr>
                    <w:t>1</w:t>
                  </w:r>
                </w:p>
              </w:tc>
              <w:tc>
                <w:tcPr>
                  <w:tcW w:w="829" w:type="pct"/>
                  <w:gridSpan w:val="2"/>
                  <w:tcBorders>
                    <w:top w:val="single" w:color="auto" w:sz="4" w:space="0"/>
                    <w:left w:val="single" w:color="auto" w:sz="4" w:space="0"/>
                    <w:right w:val="single" w:color="auto" w:sz="4" w:space="0"/>
                  </w:tcBorders>
                  <w:noWrap w:val="0"/>
                  <w:vAlign w:val="center"/>
                </w:tcPr>
                <w:p w14:paraId="05705651">
                  <w:pPr>
                    <w:pStyle w:val="34"/>
                    <w:rPr>
                      <w:color w:val="000000"/>
                    </w:rPr>
                  </w:pPr>
                  <w:r>
                    <w:rPr>
                      <w:color w:val="000000"/>
                    </w:rPr>
                    <w:t>废水</w:t>
                  </w:r>
                </w:p>
              </w:tc>
              <w:tc>
                <w:tcPr>
                  <w:tcW w:w="2243" w:type="pct"/>
                  <w:tcBorders>
                    <w:top w:val="single" w:color="auto" w:sz="4" w:space="0"/>
                    <w:left w:val="single" w:color="auto" w:sz="4" w:space="0"/>
                    <w:bottom w:val="single" w:color="auto" w:sz="4" w:space="0"/>
                    <w:right w:val="single" w:color="auto" w:sz="4" w:space="0"/>
                  </w:tcBorders>
                  <w:noWrap w:val="0"/>
                  <w:vAlign w:val="center"/>
                </w:tcPr>
                <w:p w14:paraId="191872C1">
                  <w:pPr>
                    <w:pStyle w:val="34"/>
                    <w:rPr>
                      <w:rFonts w:hint="default"/>
                      <w:color w:val="000000"/>
                      <w:lang w:val="en-US" w:eastAsia="zh-CN"/>
                    </w:rPr>
                  </w:pPr>
                  <w:r>
                    <w:rPr>
                      <w:rFonts w:hint="eastAsia"/>
                      <w:color w:val="000000"/>
                      <w:highlight w:val="none"/>
                      <w:lang w:val="en-US" w:eastAsia="zh-CN"/>
                    </w:rPr>
                    <w:t>项目生活污水</w:t>
                  </w:r>
                  <w:r>
                    <w:rPr>
                      <w:rFonts w:hint="eastAsia"/>
                      <w:color w:val="000000"/>
                      <w:lang w:val="en-US" w:eastAsia="zh-CN"/>
                    </w:rPr>
                    <w:t>依托厂区</w:t>
                  </w:r>
                  <w:r>
                    <w:rPr>
                      <w:rFonts w:hint="eastAsia"/>
                      <w:color w:val="000000"/>
                      <w:highlight w:val="none"/>
                      <w:lang w:val="en-US" w:eastAsia="zh-CN"/>
                    </w:rPr>
                    <w:t>生化池（20m</w:t>
                  </w:r>
                  <w:r>
                    <w:rPr>
                      <w:rFonts w:hint="eastAsia"/>
                      <w:color w:val="000000"/>
                      <w:highlight w:val="none"/>
                      <w:vertAlign w:val="superscript"/>
                      <w:lang w:val="en-US" w:eastAsia="zh-CN"/>
                    </w:rPr>
                    <w:t>3</w:t>
                  </w:r>
                  <w:r>
                    <w:rPr>
                      <w:rFonts w:hint="eastAsia"/>
                      <w:color w:val="000000"/>
                      <w:highlight w:val="none"/>
                      <w:lang w:val="en-US" w:eastAsia="zh-CN"/>
                    </w:rPr>
                    <w:t>/d）</w:t>
                  </w:r>
                  <w:r>
                    <w:rPr>
                      <w:rFonts w:hint="eastAsia"/>
                      <w:color w:val="000000"/>
                      <w:lang w:val="en-US" w:eastAsia="zh-CN"/>
                    </w:rPr>
                    <w:t>处理达《污水综合排放标准》（GB8978-1996）三级标准和九龙园污水处理厂纳管要求后排入九龙园污水处理厂处理达《化工园区主要水污染物排放标准》（DB50/457-2012）后</w:t>
                  </w:r>
                  <w:r>
                    <w:rPr>
                      <w:color w:val="000000"/>
                      <w:lang w:val="en-US" w:eastAsia="zh-CN"/>
                    </w:rPr>
                    <w:t>排放至</w:t>
                  </w:r>
                  <w:r>
                    <w:rPr>
                      <w:rFonts w:hint="eastAsia"/>
                      <w:color w:val="000000"/>
                      <w:lang w:val="en-US" w:eastAsia="zh-CN"/>
                    </w:rPr>
                    <w:t>龙宝河</w:t>
                  </w:r>
                </w:p>
              </w:tc>
              <w:tc>
                <w:tcPr>
                  <w:tcW w:w="1570" w:type="pct"/>
                  <w:tcBorders>
                    <w:top w:val="single" w:color="auto" w:sz="4" w:space="0"/>
                    <w:left w:val="single" w:color="auto" w:sz="4" w:space="0"/>
                    <w:right w:val="single" w:color="auto" w:sz="4" w:space="0"/>
                  </w:tcBorders>
                  <w:noWrap w:val="0"/>
                  <w:vAlign w:val="center"/>
                </w:tcPr>
                <w:p w14:paraId="4A6629EF">
                  <w:pPr>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与环评一致</w:t>
                  </w:r>
                </w:p>
              </w:tc>
            </w:tr>
            <w:tr w14:paraId="7DF5E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6" w:type="pct"/>
                  <w:vMerge w:val="restart"/>
                  <w:tcBorders>
                    <w:top w:val="single" w:color="auto" w:sz="4" w:space="0"/>
                    <w:left w:val="single" w:color="auto" w:sz="4" w:space="0"/>
                    <w:right w:val="single" w:color="auto" w:sz="4" w:space="0"/>
                  </w:tcBorders>
                  <w:noWrap w:val="0"/>
                  <w:vAlign w:val="center"/>
                </w:tcPr>
                <w:p w14:paraId="565D804C">
                  <w:pPr>
                    <w:pStyle w:val="34"/>
                    <w:rPr>
                      <w:color w:val="000000"/>
                    </w:rPr>
                  </w:pPr>
                  <w:r>
                    <w:rPr>
                      <w:color w:val="000000"/>
                    </w:rPr>
                    <w:t>2</w:t>
                  </w:r>
                </w:p>
              </w:tc>
              <w:tc>
                <w:tcPr>
                  <w:tcW w:w="829" w:type="pct"/>
                  <w:gridSpan w:val="2"/>
                  <w:vMerge w:val="restart"/>
                  <w:tcBorders>
                    <w:top w:val="single" w:color="auto" w:sz="4" w:space="0"/>
                    <w:left w:val="single" w:color="auto" w:sz="4" w:space="0"/>
                    <w:right w:val="single" w:color="auto" w:sz="4" w:space="0"/>
                  </w:tcBorders>
                  <w:noWrap w:val="0"/>
                  <w:vAlign w:val="center"/>
                </w:tcPr>
                <w:p w14:paraId="04904B7F">
                  <w:pPr>
                    <w:pStyle w:val="34"/>
                    <w:rPr>
                      <w:color w:val="000000"/>
                    </w:rPr>
                  </w:pPr>
                  <w:r>
                    <w:rPr>
                      <w:color w:val="000000"/>
                    </w:rPr>
                    <w:t>废气</w:t>
                  </w:r>
                </w:p>
              </w:tc>
              <w:tc>
                <w:tcPr>
                  <w:tcW w:w="2243" w:type="pct"/>
                  <w:tcBorders>
                    <w:top w:val="single" w:color="auto" w:sz="4" w:space="0"/>
                    <w:left w:val="single" w:color="auto" w:sz="4" w:space="0"/>
                    <w:bottom w:val="single" w:color="auto" w:sz="4" w:space="0"/>
                    <w:right w:val="single" w:color="auto" w:sz="4" w:space="0"/>
                  </w:tcBorders>
                  <w:noWrap w:val="0"/>
                  <w:vAlign w:val="center"/>
                </w:tcPr>
                <w:p w14:paraId="4BF1CDF4">
                  <w:pPr>
                    <w:pStyle w:val="34"/>
                    <w:bidi w:val="0"/>
                    <w:rPr>
                      <w:rFonts w:hint="default"/>
                      <w:color w:val="000000"/>
                      <w:lang w:val="en-US" w:eastAsia="zh-CN"/>
                    </w:rPr>
                  </w:pPr>
                  <w:r>
                    <w:rPr>
                      <w:rFonts w:hint="eastAsia"/>
                      <w:color w:val="000000"/>
                      <w:lang w:val="en-US" w:eastAsia="zh-CN"/>
                    </w:rPr>
                    <w:t>下料粉尘和打磨粉尘均经过移动式布袋除尘器收集处理后无组织排放在车间内，加强车间地面清扫</w:t>
                  </w:r>
                </w:p>
              </w:tc>
              <w:tc>
                <w:tcPr>
                  <w:tcW w:w="1570" w:type="pct"/>
                  <w:tcBorders>
                    <w:top w:val="single" w:color="auto" w:sz="4" w:space="0"/>
                    <w:left w:val="single" w:color="auto" w:sz="4" w:space="0"/>
                    <w:right w:val="single" w:color="auto" w:sz="4" w:space="0"/>
                  </w:tcBorders>
                  <w:noWrap w:val="0"/>
                  <w:vAlign w:val="center"/>
                </w:tcPr>
                <w:p w14:paraId="72542439">
                  <w:pPr>
                    <w:bidi w:val="0"/>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与环评一致</w:t>
                  </w:r>
                </w:p>
              </w:tc>
            </w:tr>
            <w:tr w14:paraId="661C4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6" w:type="pct"/>
                  <w:vMerge w:val="continue"/>
                  <w:tcBorders>
                    <w:left w:val="single" w:color="auto" w:sz="4" w:space="0"/>
                    <w:right w:val="single" w:color="auto" w:sz="4" w:space="0"/>
                  </w:tcBorders>
                  <w:noWrap w:val="0"/>
                  <w:vAlign w:val="center"/>
                </w:tcPr>
                <w:p w14:paraId="3D7439B2">
                  <w:pPr>
                    <w:pStyle w:val="34"/>
                    <w:rPr>
                      <w:color w:val="000000"/>
                    </w:rPr>
                  </w:pPr>
                </w:p>
              </w:tc>
              <w:tc>
                <w:tcPr>
                  <w:tcW w:w="829" w:type="pct"/>
                  <w:gridSpan w:val="2"/>
                  <w:vMerge w:val="continue"/>
                  <w:tcBorders>
                    <w:left w:val="single" w:color="auto" w:sz="4" w:space="0"/>
                    <w:right w:val="single" w:color="auto" w:sz="4" w:space="0"/>
                  </w:tcBorders>
                  <w:noWrap w:val="0"/>
                  <w:vAlign w:val="center"/>
                </w:tcPr>
                <w:p w14:paraId="06EC33FE">
                  <w:pPr>
                    <w:pStyle w:val="34"/>
                    <w:rPr>
                      <w:color w:val="000000"/>
                    </w:rPr>
                  </w:pPr>
                </w:p>
              </w:tc>
              <w:tc>
                <w:tcPr>
                  <w:tcW w:w="2243" w:type="pct"/>
                  <w:tcBorders>
                    <w:top w:val="single" w:color="auto" w:sz="4" w:space="0"/>
                    <w:left w:val="single" w:color="auto" w:sz="4" w:space="0"/>
                    <w:bottom w:val="single" w:color="auto" w:sz="4" w:space="0"/>
                    <w:right w:val="single" w:color="auto" w:sz="4" w:space="0"/>
                  </w:tcBorders>
                  <w:noWrap w:val="0"/>
                  <w:vAlign w:val="center"/>
                </w:tcPr>
                <w:p w14:paraId="1454E956">
                  <w:pPr>
                    <w:pStyle w:val="34"/>
                    <w:bidi w:val="0"/>
                    <w:rPr>
                      <w:rFonts w:hint="default"/>
                      <w:color w:val="000000"/>
                      <w:highlight w:val="none"/>
                      <w:lang w:val="en-US" w:eastAsia="zh-CN"/>
                    </w:rPr>
                  </w:pPr>
                  <w:r>
                    <w:rPr>
                      <w:rFonts w:hint="eastAsia"/>
                      <w:color w:val="000000"/>
                      <w:highlight w:val="none"/>
                      <w:lang w:val="en-US" w:eastAsia="zh-CN"/>
                    </w:rPr>
                    <w:t>焊接烟尘经集气罩收集后引至一套布袋除尘器处理，由15m高1#排气筒排放，风量5000m</w:t>
                  </w:r>
                  <w:r>
                    <w:rPr>
                      <w:rFonts w:hint="eastAsia"/>
                      <w:color w:val="000000"/>
                      <w:highlight w:val="none"/>
                      <w:vertAlign w:val="superscript"/>
                      <w:lang w:val="en-US" w:eastAsia="zh-CN"/>
                    </w:rPr>
                    <w:t>3</w:t>
                  </w:r>
                  <w:r>
                    <w:rPr>
                      <w:rFonts w:hint="eastAsia"/>
                      <w:color w:val="000000"/>
                      <w:highlight w:val="none"/>
                      <w:lang w:val="en-US" w:eastAsia="zh-CN"/>
                    </w:rPr>
                    <w:t>/h</w:t>
                  </w:r>
                </w:p>
              </w:tc>
              <w:tc>
                <w:tcPr>
                  <w:tcW w:w="1570" w:type="pct"/>
                  <w:tcBorders>
                    <w:top w:val="single" w:color="auto" w:sz="4" w:space="0"/>
                    <w:left w:val="single" w:color="auto" w:sz="4" w:space="0"/>
                    <w:right w:val="single" w:color="auto" w:sz="4" w:space="0"/>
                  </w:tcBorders>
                  <w:noWrap w:val="0"/>
                  <w:vAlign w:val="center"/>
                </w:tcPr>
                <w:p w14:paraId="163B0E4A">
                  <w:pPr>
                    <w:bidi w:val="0"/>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与环评一致</w:t>
                  </w:r>
                </w:p>
              </w:tc>
            </w:tr>
            <w:tr w14:paraId="33DB4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6" w:type="pct"/>
                  <w:vMerge w:val="continue"/>
                  <w:tcBorders>
                    <w:left w:val="single" w:color="auto" w:sz="4" w:space="0"/>
                    <w:right w:val="single" w:color="auto" w:sz="4" w:space="0"/>
                  </w:tcBorders>
                  <w:noWrap w:val="0"/>
                  <w:vAlign w:val="center"/>
                </w:tcPr>
                <w:p w14:paraId="16EC80C2">
                  <w:pPr>
                    <w:pStyle w:val="34"/>
                    <w:rPr>
                      <w:color w:val="000000"/>
                    </w:rPr>
                  </w:pPr>
                </w:p>
              </w:tc>
              <w:tc>
                <w:tcPr>
                  <w:tcW w:w="829" w:type="pct"/>
                  <w:gridSpan w:val="2"/>
                  <w:vMerge w:val="continue"/>
                  <w:tcBorders>
                    <w:left w:val="single" w:color="auto" w:sz="4" w:space="0"/>
                    <w:right w:val="single" w:color="auto" w:sz="4" w:space="0"/>
                  </w:tcBorders>
                  <w:noWrap w:val="0"/>
                  <w:vAlign w:val="center"/>
                </w:tcPr>
                <w:p w14:paraId="6A7E7081">
                  <w:pPr>
                    <w:pStyle w:val="34"/>
                    <w:rPr>
                      <w:color w:val="000000"/>
                    </w:rPr>
                  </w:pPr>
                </w:p>
              </w:tc>
              <w:tc>
                <w:tcPr>
                  <w:tcW w:w="2243" w:type="pct"/>
                  <w:tcBorders>
                    <w:top w:val="single" w:color="auto" w:sz="4" w:space="0"/>
                    <w:left w:val="single" w:color="auto" w:sz="4" w:space="0"/>
                    <w:bottom w:val="single" w:color="auto" w:sz="4" w:space="0"/>
                    <w:right w:val="single" w:color="auto" w:sz="4" w:space="0"/>
                  </w:tcBorders>
                  <w:noWrap w:val="0"/>
                  <w:vAlign w:val="center"/>
                </w:tcPr>
                <w:p w14:paraId="17826A40">
                  <w:pPr>
                    <w:pStyle w:val="34"/>
                    <w:bidi w:val="0"/>
                    <w:rPr>
                      <w:rFonts w:hint="default"/>
                      <w:color w:val="000000"/>
                      <w:highlight w:val="none"/>
                      <w:lang w:val="en-US" w:eastAsia="zh-CN"/>
                    </w:rPr>
                  </w:pPr>
                  <w:r>
                    <w:rPr>
                      <w:rStyle w:val="68"/>
                      <w:rFonts w:hint="eastAsia"/>
                      <w:bCs/>
                      <w:color w:val="000000"/>
                      <w:lang w:val="en-US" w:eastAsia="zh-CN"/>
                    </w:rPr>
                    <w:t>喷漆房设置水帘装置，喷漆废气和调漆废气先经水帘预处理后再同烘干废气一起进入一套喷淋+干式过滤+二级活性炭吸附装置处理后通过15m高2#排气筒排放</w:t>
                  </w:r>
                  <w:r>
                    <w:rPr>
                      <w:rFonts w:hint="eastAsia"/>
                      <w:color w:val="000000"/>
                      <w:highlight w:val="none"/>
                      <w:lang w:val="en-US" w:eastAsia="zh-CN"/>
                    </w:rPr>
                    <w:t>，风量20000m</w:t>
                  </w:r>
                  <w:r>
                    <w:rPr>
                      <w:rFonts w:hint="eastAsia"/>
                      <w:color w:val="000000"/>
                      <w:highlight w:val="none"/>
                      <w:vertAlign w:val="superscript"/>
                      <w:lang w:val="en-US" w:eastAsia="zh-CN"/>
                    </w:rPr>
                    <w:t>3</w:t>
                  </w:r>
                  <w:r>
                    <w:rPr>
                      <w:rFonts w:hint="eastAsia"/>
                      <w:color w:val="000000"/>
                      <w:highlight w:val="none"/>
                      <w:lang w:val="en-US" w:eastAsia="zh-CN"/>
                    </w:rPr>
                    <w:t>/h</w:t>
                  </w:r>
                </w:p>
              </w:tc>
              <w:tc>
                <w:tcPr>
                  <w:tcW w:w="1570" w:type="pct"/>
                  <w:tcBorders>
                    <w:top w:val="single" w:color="auto" w:sz="4" w:space="0"/>
                    <w:left w:val="single" w:color="auto" w:sz="4" w:space="0"/>
                    <w:right w:val="single" w:color="auto" w:sz="4" w:space="0"/>
                  </w:tcBorders>
                  <w:noWrap w:val="0"/>
                  <w:vAlign w:val="center"/>
                </w:tcPr>
                <w:p w14:paraId="1AC4A2D4">
                  <w:pPr>
                    <w:bidi w:val="0"/>
                    <w:jc w:val="center"/>
                    <w:rPr>
                      <w:rFonts w:hint="eastAsia"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eastAsia"/>
                      <w:color w:val="000000" w:themeColor="text1"/>
                      <w:lang w:val="en-US" w:eastAsia="zh-CN"/>
                      <w14:textFill>
                        <w14:solidFill>
                          <w14:schemeClr w14:val="tx1"/>
                        </w14:solidFill>
                      </w14:textFill>
                    </w:rPr>
                    <w:t>与环评一致</w:t>
                  </w:r>
                </w:p>
              </w:tc>
            </w:tr>
            <w:tr w14:paraId="28926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6" w:type="pct"/>
                  <w:vMerge w:val="restart"/>
                  <w:tcBorders>
                    <w:top w:val="single" w:color="auto" w:sz="4" w:space="0"/>
                    <w:left w:val="single" w:color="auto" w:sz="4" w:space="0"/>
                    <w:right w:val="single" w:color="auto" w:sz="4" w:space="0"/>
                  </w:tcBorders>
                  <w:noWrap w:val="0"/>
                  <w:vAlign w:val="center"/>
                </w:tcPr>
                <w:p w14:paraId="355BE90B">
                  <w:pPr>
                    <w:pStyle w:val="34"/>
                    <w:rPr>
                      <w:color w:val="000000"/>
                    </w:rPr>
                  </w:pPr>
                  <w:r>
                    <w:rPr>
                      <w:color w:val="000000"/>
                    </w:rPr>
                    <w:t>3</w:t>
                  </w:r>
                </w:p>
              </w:tc>
              <w:tc>
                <w:tcPr>
                  <w:tcW w:w="829" w:type="pct"/>
                  <w:gridSpan w:val="2"/>
                  <w:vMerge w:val="restart"/>
                  <w:tcBorders>
                    <w:top w:val="single" w:color="auto" w:sz="4" w:space="0"/>
                    <w:left w:val="single" w:color="auto" w:sz="4" w:space="0"/>
                    <w:right w:val="single" w:color="auto" w:sz="4" w:space="0"/>
                  </w:tcBorders>
                  <w:noWrap w:val="0"/>
                  <w:vAlign w:val="center"/>
                </w:tcPr>
                <w:p w14:paraId="49711032">
                  <w:pPr>
                    <w:pStyle w:val="34"/>
                    <w:rPr>
                      <w:color w:val="000000"/>
                    </w:rPr>
                  </w:pPr>
                  <w:r>
                    <w:rPr>
                      <w:color w:val="000000"/>
                    </w:rPr>
                    <w:t>固体废物</w:t>
                  </w:r>
                </w:p>
              </w:tc>
              <w:tc>
                <w:tcPr>
                  <w:tcW w:w="2243" w:type="pct"/>
                  <w:tcBorders>
                    <w:top w:val="single" w:color="auto" w:sz="4" w:space="0"/>
                    <w:left w:val="single" w:color="auto" w:sz="4" w:space="0"/>
                    <w:bottom w:val="single" w:color="auto" w:sz="4" w:space="0"/>
                    <w:right w:val="single" w:color="auto" w:sz="4" w:space="0"/>
                  </w:tcBorders>
                  <w:noWrap w:val="0"/>
                  <w:vAlign w:val="center"/>
                </w:tcPr>
                <w:p w14:paraId="30C46FB6">
                  <w:pPr>
                    <w:pStyle w:val="34"/>
                    <w:rPr>
                      <w:rFonts w:hint="default"/>
                      <w:color w:val="000000"/>
                      <w:lang w:val="en-US" w:eastAsia="zh-CN"/>
                    </w:rPr>
                  </w:pPr>
                  <w:r>
                    <w:rPr>
                      <w:rFonts w:hint="eastAsia"/>
                      <w:color w:val="000000"/>
                      <w:lang w:val="en-US" w:eastAsia="zh-CN"/>
                    </w:rPr>
                    <w:t>生活垃圾交园区环卫部门清运</w:t>
                  </w:r>
                </w:p>
              </w:tc>
              <w:tc>
                <w:tcPr>
                  <w:tcW w:w="1570" w:type="pct"/>
                  <w:tcBorders>
                    <w:top w:val="single" w:color="auto" w:sz="4" w:space="0"/>
                    <w:left w:val="single" w:color="auto" w:sz="4" w:space="0"/>
                    <w:right w:val="single" w:color="auto" w:sz="4" w:space="0"/>
                  </w:tcBorders>
                  <w:noWrap w:val="0"/>
                  <w:vAlign w:val="center"/>
                </w:tcPr>
                <w:p w14:paraId="7F85E63C">
                  <w:pPr>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与环评一致</w:t>
                  </w:r>
                </w:p>
              </w:tc>
            </w:tr>
            <w:tr w14:paraId="4E9C2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6" w:type="pct"/>
                  <w:vMerge w:val="continue"/>
                  <w:tcBorders>
                    <w:left w:val="single" w:color="auto" w:sz="4" w:space="0"/>
                    <w:right w:val="single" w:color="auto" w:sz="4" w:space="0"/>
                  </w:tcBorders>
                  <w:noWrap w:val="0"/>
                  <w:vAlign w:val="center"/>
                </w:tcPr>
                <w:p w14:paraId="6EE6BDB5">
                  <w:pPr>
                    <w:pStyle w:val="34"/>
                    <w:rPr>
                      <w:color w:val="000000"/>
                    </w:rPr>
                  </w:pPr>
                </w:p>
              </w:tc>
              <w:tc>
                <w:tcPr>
                  <w:tcW w:w="829" w:type="pct"/>
                  <w:gridSpan w:val="2"/>
                  <w:vMerge w:val="continue"/>
                  <w:tcBorders>
                    <w:left w:val="single" w:color="auto" w:sz="4" w:space="0"/>
                    <w:right w:val="single" w:color="auto" w:sz="4" w:space="0"/>
                  </w:tcBorders>
                  <w:noWrap w:val="0"/>
                  <w:vAlign w:val="center"/>
                </w:tcPr>
                <w:p w14:paraId="64216C8B">
                  <w:pPr>
                    <w:pStyle w:val="34"/>
                    <w:rPr>
                      <w:color w:val="000000"/>
                    </w:rPr>
                  </w:pPr>
                </w:p>
              </w:tc>
              <w:tc>
                <w:tcPr>
                  <w:tcW w:w="2243" w:type="pct"/>
                  <w:tcBorders>
                    <w:top w:val="single" w:color="auto" w:sz="4" w:space="0"/>
                    <w:left w:val="single" w:color="auto" w:sz="4" w:space="0"/>
                    <w:bottom w:val="single" w:color="auto" w:sz="4" w:space="0"/>
                    <w:right w:val="single" w:color="auto" w:sz="4" w:space="0"/>
                  </w:tcBorders>
                  <w:noWrap w:val="0"/>
                  <w:vAlign w:val="center"/>
                </w:tcPr>
                <w:p w14:paraId="4A2ED67A">
                  <w:pPr>
                    <w:pStyle w:val="34"/>
                    <w:rPr>
                      <w:rFonts w:hint="eastAsia"/>
                      <w:color w:val="000000"/>
                      <w:highlight w:val="none"/>
                      <w:lang w:val="en-US" w:eastAsia="zh-CN"/>
                    </w:rPr>
                  </w:pPr>
                  <w:r>
                    <w:rPr>
                      <w:rFonts w:hint="eastAsia"/>
                      <w:color w:val="000000"/>
                      <w:highlight w:val="none"/>
                      <w:lang w:val="en-US" w:eastAsia="zh-CN"/>
                    </w:rPr>
                    <w:t>一般固废暂存间（面积10m</w:t>
                  </w:r>
                  <w:r>
                    <w:rPr>
                      <w:rFonts w:hint="eastAsia"/>
                      <w:color w:val="000000"/>
                      <w:highlight w:val="none"/>
                      <w:vertAlign w:val="superscript"/>
                      <w:lang w:val="en-US" w:eastAsia="zh-CN"/>
                    </w:rPr>
                    <w:t>2</w:t>
                  </w:r>
                  <w:r>
                    <w:rPr>
                      <w:rFonts w:hint="eastAsia"/>
                      <w:color w:val="000000"/>
                      <w:highlight w:val="none"/>
                      <w:lang w:val="en-US" w:eastAsia="zh-CN"/>
                    </w:rPr>
                    <w:t>）位于厂房西南侧，一般固废经收集暂存后外售物资回收单位</w:t>
                  </w:r>
                </w:p>
              </w:tc>
              <w:tc>
                <w:tcPr>
                  <w:tcW w:w="1570" w:type="pct"/>
                  <w:tcBorders>
                    <w:top w:val="single" w:color="auto" w:sz="4" w:space="0"/>
                    <w:left w:val="single" w:color="auto" w:sz="4" w:space="0"/>
                    <w:right w:val="single" w:color="auto" w:sz="4" w:space="0"/>
                  </w:tcBorders>
                  <w:noWrap w:val="0"/>
                  <w:vAlign w:val="center"/>
                </w:tcPr>
                <w:p w14:paraId="34427B80">
                  <w:pPr>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与环评一致</w:t>
                  </w:r>
                </w:p>
              </w:tc>
            </w:tr>
            <w:tr w14:paraId="2B738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6" w:type="pct"/>
                  <w:vMerge w:val="continue"/>
                  <w:tcBorders>
                    <w:left w:val="single" w:color="auto" w:sz="4" w:space="0"/>
                    <w:right w:val="single" w:color="auto" w:sz="4" w:space="0"/>
                  </w:tcBorders>
                  <w:noWrap w:val="0"/>
                  <w:vAlign w:val="center"/>
                </w:tcPr>
                <w:p w14:paraId="27DB811F">
                  <w:pPr>
                    <w:pStyle w:val="34"/>
                    <w:rPr>
                      <w:color w:val="000000"/>
                    </w:rPr>
                  </w:pPr>
                </w:p>
              </w:tc>
              <w:tc>
                <w:tcPr>
                  <w:tcW w:w="829" w:type="pct"/>
                  <w:gridSpan w:val="2"/>
                  <w:vMerge w:val="continue"/>
                  <w:tcBorders>
                    <w:left w:val="single" w:color="auto" w:sz="4" w:space="0"/>
                    <w:right w:val="single" w:color="auto" w:sz="4" w:space="0"/>
                  </w:tcBorders>
                  <w:noWrap w:val="0"/>
                  <w:vAlign w:val="center"/>
                </w:tcPr>
                <w:p w14:paraId="563BC535">
                  <w:pPr>
                    <w:pStyle w:val="34"/>
                    <w:rPr>
                      <w:color w:val="000000"/>
                    </w:rPr>
                  </w:pPr>
                </w:p>
              </w:tc>
              <w:tc>
                <w:tcPr>
                  <w:tcW w:w="2243" w:type="pct"/>
                  <w:tcBorders>
                    <w:top w:val="single" w:color="auto" w:sz="4" w:space="0"/>
                    <w:left w:val="single" w:color="auto" w:sz="4" w:space="0"/>
                    <w:bottom w:val="single" w:color="auto" w:sz="4" w:space="0"/>
                    <w:right w:val="single" w:color="auto" w:sz="4" w:space="0"/>
                  </w:tcBorders>
                  <w:noWrap w:val="0"/>
                  <w:vAlign w:val="center"/>
                </w:tcPr>
                <w:p w14:paraId="22BDAE3D">
                  <w:pPr>
                    <w:pStyle w:val="34"/>
                    <w:rPr>
                      <w:rFonts w:hint="default"/>
                      <w:color w:val="000000"/>
                      <w:highlight w:val="none"/>
                      <w:lang w:val="en-US" w:eastAsia="zh-CN"/>
                    </w:rPr>
                  </w:pPr>
                  <w:r>
                    <w:rPr>
                      <w:rFonts w:hint="eastAsia"/>
                      <w:color w:val="000000"/>
                      <w:highlight w:val="none"/>
                      <w:lang w:val="en-US" w:eastAsia="zh-CN"/>
                    </w:rPr>
                    <w:t>危险废物贮存库（面积10m</w:t>
                  </w:r>
                  <w:r>
                    <w:rPr>
                      <w:rFonts w:hint="eastAsia"/>
                      <w:color w:val="000000"/>
                      <w:highlight w:val="none"/>
                      <w:vertAlign w:val="superscript"/>
                      <w:lang w:val="en-US" w:eastAsia="zh-CN"/>
                    </w:rPr>
                    <w:t>2</w:t>
                  </w:r>
                  <w:r>
                    <w:rPr>
                      <w:rFonts w:hint="eastAsia"/>
                      <w:color w:val="000000"/>
                      <w:highlight w:val="none"/>
                      <w:lang w:val="en-US" w:eastAsia="zh-CN"/>
                    </w:rPr>
                    <w:t>）位于厂房东北侧，危险废物经分类收集暂存后交有危废处置资质单位处理</w:t>
                  </w:r>
                </w:p>
              </w:tc>
              <w:tc>
                <w:tcPr>
                  <w:tcW w:w="1570" w:type="pct"/>
                  <w:tcBorders>
                    <w:left w:val="single" w:color="auto" w:sz="4" w:space="0"/>
                    <w:right w:val="single" w:color="auto" w:sz="4" w:space="0"/>
                  </w:tcBorders>
                  <w:noWrap w:val="0"/>
                  <w:vAlign w:val="center"/>
                </w:tcPr>
                <w:p w14:paraId="33999549">
                  <w:pPr>
                    <w:pStyle w:val="34"/>
                    <w:rPr>
                      <w:color w:val="000000" w:themeColor="text1"/>
                      <w14:textFill>
                        <w14:solidFill>
                          <w14:schemeClr w14:val="tx1"/>
                        </w14:solidFill>
                      </w14:textFill>
                    </w:rPr>
                  </w:pPr>
                  <w:r>
                    <w:rPr>
                      <w:rFonts w:hint="eastAsia"/>
                      <w:color w:val="000000" w:themeColor="text1"/>
                      <w:highlight w:val="none"/>
                      <w:lang w:val="en-US" w:eastAsia="zh-CN"/>
                      <w14:textFill>
                        <w14:solidFill>
                          <w14:schemeClr w14:val="tx1"/>
                        </w14:solidFill>
                      </w14:textFill>
                    </w:rPr>
                    <w:t>危险废物贮存库（面积5m</w:t>
                  </w:r>
                  <w:r>
                    <w:rPr>
                      <w:rFonts w:hint="eastAsia"/>
                      <w:color w:val="000000" w:themeColor="text1"/>
                      <w:highlight w:val="none"/>
                      <w:vertAlign w:val="superscript"/>
                      <w:lang w:val="en-US" w:eastAsia="zh-CN"/>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）位于厂房东北侧</w:t>
                  </w:r>
                </w:p>
              </w:tc>
            </w:tr>
            <w:tr w14:paraId="4E942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6" w:type="pct"/>
                  <w:tcBorders>
                    <w:top w:val="single" w:color="auto" w:sz="4" w:space="0"/>
                    <w:left w:val="single" w:color="auto" w:sz="4" w:space="0"/>
                    <w:bottom w:val="single" w:color="auto" w:sz="4" w:space="0"/>
                    <w:right w:val="single" w:color="auto" w:sz="4" w:space="0"/>
                  </w:tcBorders>
                  <w:noWrap w:val="0"/>
                  <w:vAlign w:val="center"/>
                </w:tcPr>
                <w:p w14:paraId="772B417D">
                  <w:pPr>
                    <w:pStyle w:val="34"/>
                    <w:rPr>
                      <w:color w:val="000000"/>
                    </w:rPr>
                  </w:pPr>
                  <w:r>
                    <w:rPr>
                      <w:color w:val="000000"/>
                    </w:rPr>
                    <w:t>4</w:t>
                  </w:r>
                </w:p>
              </w:tc>
              <w:tc>
                <w:tcPr>
                  <w:tcW w:w="829" w:type="pct"/>
                  <w:gridSpan w:val="2"/>
                  <w:tcBorders>
                    <w:top w:val="single" w:color="auto" w:sz="4" w:space="0"/>
                    <w:left w:val="single" w:color="auto" w:sz="4" w:space="0"/>
                    <w:bottom w:val="single" w:color="auto" w:sz="4" w:space="0"/>
                    <w:right w:val="single" w:color="auto" w:sz="4" w:space="0"/>
                  </w:tcBorders>
                  <w:noWrap w:val="0"/>
                  <w:vAlign w:val="center"/>
                </w:tcPr>
                <w:p w14:paraId="70616E4B">
                  <w:pPr>
                    <w:pStyle w:val="34"/>
                    <w:rPr>
                      <w:color w:val="000000"/>
                    </w:rPr>
                  </w:pPr>
                  <w:r>
                    <w:rPr>
                      <w:color w:val="000000"/>
                    </w:rPr>
                    <w:t>噪声</w:t>
                  </w:r>
                </w:p>
              </w:tc>
              <w:tc>
                <w:tcPr>
                  <w:tcW w:w="2243" w:type="pct"/>
                  <w:tcBorders>
                    <w:top w:val="single" w:color="auto" w:sz="4" w:space="0"/>
                    <w:left w:val="single" w:color="auto" w:sz="4" w:space="0"/>
                    <w:bottom w:val="single" w:color="auto" w:sz="4" w:space="0"/>
                    <w:right w:val="single" w:color="auto" w:sz="4" w:space="0"/>
                  </w:tcBorders>
                  <w:noWrap w:val="0"/>
                  <w:vAlign w:val="center"/>
                </w:tcPr>
                <w:p w14:paraId="0430391A">
                  <w:pPr>
                    <w:pStyle w:val="34"/>
                    <w:rPr>
                      <w:color w:val="000000"/>
                    </w:rPr>
                  </w:pPr>
                  <w:r>
                    <w:rPr>
                      <w:rFonts w:hint="eastAsia"/>
                      <w:color w:val="000000"/>
                    </w:rPr>
                    <w:t>采取墙体隔声、基础减震等隔声降噪措施</w:t>
                  </w:r>
                </w:p>
              </w:tc>
              <w:tc>
                <w:tcPr>
                  <w:tcW w:w="1570" w:type="pct"/>
                  <w:tcBorders>
                    <w:top w:val="single" w:color="auto" w:sz="4" w:space="0"/>
                    <w:left w:val="single" w:color="auto" w:sz="4" w:space="0"/>
                    <w:bottom w:val="single" w:color="auto" w:sz="4" w:space="0"/>
                    <w:right w:val="single" w:color="auto" w:sz="4" w:space="0"/>
                  </w:tcBorders>
                  <w:noWrap w:val="0"/>
                  <w:vAlign w:val="center"/>
                </w:tcPr>
                <w:p w14:paraId="0848EB68">
                  <w:pPr>
                    <w:pStyle w:val="34"/>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与环评一致</w:t>
                  </w:r>
                </w:p>
              </w:tc>
            </w:tr>
            <w:tr w14:paraId="6F047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6" w:type="pct"/>
                  <w:tcBorders>
                    <w:top w:val="single" w:color="auto" w:sz="4" w:space="0"/>
                    <w:left w:val="single" w:color="auto" w:sz="4" w:space="0"/>
                    <w:bottom w:val="single" w:color="auto" w:sz="4" w:space="0"/>
                    <w:right w:val="single" w:color="auto" w:sz="4" w:space="0"/>
                  </w:tcBorders>
                  <w:noWrap w:val="0"/>
                  <w:vAlign w:val="center"/>
                </w:tcPr>
                <w:p w14:paraId="27C7234E">
                  <w:pPr>
                    <w:pStyle w:val="34"/>
                    <w:rPr>
                      <w:rFonts w:hint="eastAsia" w:eastAsia="宋体"/>
                      <w:color w:val="000000"/>
                      <w:lang w:val="en-US" w:eastAsia="zh-CN"/>
                    </w:rPr>
                  </w:pPr>
                  <w:r>
                    <w:rPr>
                      <w:rFonts w:hint="eastAsia"/>
                      <w:color w:val="000000"/>
                      <w:lang w:val="en-US" w:eastAsia="zh-CN"/>
                    </w:rPr>
                    <w:t>5</w:t>
                  </w:r>
                </w:p>
              </w:tc>
              <w:tc>
                <w:tcPr>
                  <w:tcW w:w="829" w:type="pct"/>
                  <w:gridSpan w:val="2"/>
                  <w:tcBorders>
                    <w:top w:val="single" w:color="auto" w:sz="4" w:space="0"/>
                    <w:left w:val="single" w:color="auto" w:sz="4" w:space="0"/>
                    <w:bottom w:val="single" w:color="auto" w:sz="4" w:space="0"/>
                    <w:right w:val="single" w:color="auto" w:sz="4" w:space="0"/>
                  </w:tcBorders>
                  <w:noWrap w:val="0"/>
                  <w:vAlign w:val="center"/>
                </w:tcPr>
                <w:p w14:paraId="2010E158">
                  <w:pPr>
                    <w:pStyle w:val="34"/>
                    <w:rPr>
                      <w:rFonts w:hint="default" w:eastAsia="宋体"/>
                      <w:color w:val="000000"/>
                      <w:lang w:val="en-US" w:eastAsia="zh-CN"/>
                    </w:rPr>
                  </w:pPr>
                  <w:r>
                    <w:rPr>
                      <w:rFonts w:hint="eastAsia"/>
                      <w:color w:val="000000"/>
                      <w:lang w:val="en-US" w:eastAsia="zh-CN"/>
                    </w:rPr>
                    <w:t>土壤及地下水</w:t>
                  </w:r>
                </w:p>
              </w:tc>
              <w:tc>
                <w:tcPr>
                  <w:tcW w:w="2243" w:type="pct"/>
                  <w:tcBorders>
                    <w:top w:val="single" w:color="auto" w:sz="4" w:space="0"/>
                    <w:left w:val="single" w:color="auto" w:sz="4" w:space="0"/>
                    <w:bottom w:val="single" w:color="auto" w:sz="4" w:space="0"/>
                    <w:right w:val="single" w:color="auto" w:sz="4" w:space="0"/>
                  </w:tcBorders>
                  <w:noWrap w:val="0"/>
                  <w:vAlign w:val="center"/>
                </w:tcPr>
                <w:p w14:paraId="5F855D49">
                  <w:pPr>
                    <w:pStyle w:val="34"/>
                    <w:rPr>
                      <w:rFonts w:hint="default"/>
                      <w:color w:val="000000"/>
                      <w:lang w:val="en-US"/>
                    </w:rPr>
                  </w:pPr>
                  <w:r>
                    <w:rPr>
                      <w:rFonts w:hint="eastAsia"/>
                      <w:color w:val="000000"/>
                      <w:lang w:val="en-US" w:eastAsia="zh-CN"/>
                    </w:rPr>
                    <w:t>采取分区防渗措施，漆料间、危险废物贮存库、喷漆区、喷涂废气处理装置区域设为重点防渗区，采取重点防渗措施；其他生产区为一般防渗区</w:t>
                  </w:r>
                </w:p>
              </w:tc>
              <w:tc>
                <w:tcPr>
                  <w:tcW w:w="1570" w:type="pct"/>
                  <w:tcBorders>
                    <w:top w:val="single" w:color="auto" w:sz="4" w:space="0"/>
                    <w:left w:val="single" w:color="auto" w:sz="4" w:space="0"/>
                    <w:bottom w:val="single" w:color="auto" w:sz="4" w:space="0"/>
                    <w:right w:val="single" w:color="auto" w:sz="4" w:space="0"/>
                  </w:tcBorders>
                  <w:noWrap w:val="0"/>
                  <w:vAlign w:val="center"/>
                </w:tcPr>
                <w:p w14:paraId="064D00CE">
                  <w:pPr>
                    <w:pStyle w:val="34"/>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与环评一致</w:t>
                  </w:r>
                </w:p>
              </w:tc>
            </w:tr>
            <w:tr w14:paraId="15A93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6" w:type="pct"/>
                  <w:tcBorders>
                    <w:top w:val="single" w:color="auto" w:sz="4" w:space="0"/>
                    <w:left w:val="single" w:color="auto" w:sz="4" w:space="0"/>
                    <w:bottom w:val="single" w:color="auto" w:sz="4" w:space="0"/>
                    <w:right w:val="single" w:color="auto" w:sz="4" w:space="0"/>
                  </w:tcBorders>
                  <w:noWrap w:val="0"/>
                  <w:vAlign w:val="center"/>
                </w:tcPr>
                <w:p w14:paraId="0E8CA107">
                  <w:pPr>
                    <w:pStyle w:val="34"/>
                    <w:rPr>
                      <w:rFonts w:hint="default"/>
                      <w:color w:val="000000"/>
                      <w:lang w:val="en-US" w:eastAsia="zh-CN"/>
                    </w:rPr>
                  </w:pPr>
                  <w:r>
                    <w:rPr>
                      <w:rFonts w:hint="eastAsia"/>
                      <w:color w:val="000000"/>
                      <w:lang w:val="en-US" w:eastAsia="zh-CN"/>
                    </w:rPr>
                    <w:t>6</w:t>
                  </w:r>
                </w:p>
              </w:tc>
              <w:tc>
                <w:tcPr>
                  <w:tcW w:w="829" w:type="pct"/>
                  <w:gridSpan w:val="2"/>
                  <w:tcBorders>
                    <w:top w:val="single" w:color="auto" w:sz="4" w:space="0"/>
                    <w:left w:val="single" w:color="auto" w:sz="4" w:space="0"/>
                    <w:bottom w:val="single" w:color="auto" w:sz="4" w:space="0"/>
                    <w:right w:val="single" w:color="auto" w:sz="4" w:space="0"/>
                  </w:tcBorders>
                  <w:noWrap w:val="0"/>
                  <w:vAlign w:val="center"/>
                </w:tcPr>
                <w:p w14:paraId="14F80DA6">
                  <w:pPr>
                    <w:pStyle w:val="34"/>
                    <w:rPr>
                      <w:rFonts w:hint="default"/>
                      <w:color w:val="000000"/>
                      <w:lang w:val="en-US" w:eastAsia="zh-CN"/>
                    </w:rPr>
                  </w:pPr>
                  <w:r>
                    <w:rPr>
                      <w:rFonts w:hint="eastAsia"/>
                      <w:color w:val="000000"/>
                      <w:lang w:val="en-US" w:eastAsia="zh-CN"/>
                    </w:rPr>
                    <w:t>环境风险防范措施</w:t>
                  </w:r>
                </w:p>
              </w:tc>
              <w:tc>
                <w:tcPr>
                  <w:tcW w:w="2243" w:type="pct"/>
                  <w:tcBorders>
                    <w:top w:val="single" w:color="auto" w:sz="4" w:space="0"/>
                    <w:left w:val="single" w:color="auto" w:sz="4" w:space="0"/>
                    <w:bottom w:val="single" w:color="auto" w:sz="4" w:space="0"/>
                    <w:right w:val="single" w:color="auto" w:sz="4" w:space="0"/>
                  </w:tcBorders>
                  <w:noWrap w:val="0"/>
                  <w:vAlign w:val="center"/>
                </w:tcPr>
                <w:p w14:paraId="24A6E675">
                  <w:pPr>
                    <w:pStyle w:val="69"/>
                    <w:bidi w:val="0"/>
                    <w:rPr>
                      <w:rFonts w:hint="default"/>
                      <w:color w:val="000000"/>
                    </w:rPr>
                  </w:pPr>
                  <w:r>
                    <w:rPr>
                      <w:rFonts w:hint="eastAsia"/>
                      <w:color w:val="000000"/>
                      <w:lang w:val="en-US" w:eastAsia="zh-CN"/>
                    </w:rPr>
                    <w:t>项目</w:t>
                  </w:r>
                  <w:r>
                    <w:rPr>
                      <w:rFonts w:hint="default"/>
                      <w:color w:val="000000"/>
                      <w:lang w:val="en-US" w:eastAsia="zh-CN"/>
                    </w:rPr>
                    <w:t>设置</w:t>
                  </w:r>
                  <w:r>
                    <w:rPr>
                      <w:rFonts w:hint="eastAsia"/>
                      <w:color w:val="000000"/>
                      <w:lang w:val="en-US" w:eastAsia="zh-CN"/>
                    </w:rPr>
                    <w:t>专人</w:t>
                  </w:r>
                  <w:r>
                    <w:rPr>
                      <w:rFonts w:hint="default"/>
                      <w:color w:val="000000"/>
                      <w:lang w:val="en-US" w:eastAsia="zh-CN"/>
                    </w:rPr>
                    <w:t>负责对</w:t>
                  </w:r>
                  <w:r>
                    <w:rPr>
                      <w:rFonts w:hint="eastAsia"/>
                      <w:color w:val="000000"/>
                      <w:lang w:val="en-US" w:eastAsia="zh-CN"/>
                    </w:rPr>
                    <w:t>危险废物贮存库和漆料间</w:t>
                  </w:r>
                  <w:r>
                    <w:rPr>
                      <w:rFonts w:hint="default"/>
                      <w:color w:val="000000"/>
                      <w:lang w:val="en-US" w:eastAsia="zh-CN"/>
                    </w:rPr>
                    <w:t>进行管理。</w:t>
                  </w:r>
                  <w:r>
                    <w:rPr>
                      <w:rFonts w:hint="eastAsia"/>
                      <w:color w:val="000000"/>
                      <w:lang w:val="en-US" w:eastAsia="zh-CN"/>
                    </w:rPr>
                    <w:t>项目漆料间、危险废物贮存库、喷漆区、喷涂废气处理装置区域采取重点防腐防渗措施，漆渣、含漆废水、废润滑油等采用密闭桶装，各液态辅料采用不易破损的密闭包装桶存放</w:t>
                  </w:r>
                  <w:r>
                    <w:rPr>
                      <w:rFonts w:hint="default"/>
                      <w:color w:val="000000"/>
                    </w:rPr>
                    <w:t>。</w:t>
                  </w:r>
                </w:p>
                <w:p w14:paraId="67AECCF4">
                  <w:pPr>
                    <w:pStyle w:val="69"/>
                    <w:bidi w:val="0"/>
                    <w:rPr>
                      <w:color w:val="000000"/>
                    </w:rPr>
                  </w:pPr>
                  <w:r>
                    <w:rPr>
                      <w:rFonts w:hint="eastAsia"/>
                      <w:color w:val="000000"/>
                      <w:lang w:val="en-US" w:eastAsia="zh-CN"/>
                    </w:rPr>
                    <w:t>（</w:t>
                  </w:r>
                  <w:r>
                    <w:rPr>
                      <w:rFonts w:hint="default"/>
                      <w:color w:val="000000"/>
                      <w:lang w:val="en-US" w:eastAsia="zh-CN"/>
                    </w:rPr>
                    <w:t>1</w:t>
                  </w:r>
                  <w:r>
                    <w:rPr>
                      <w:rFonts w:hint="eastAsia"/>
                      <w:color w:val="000000"/>
                      <w:lang w:val="en-US" w:eastAsia="zh-CN"/>
                    </w:rPr>
                    <w:t xml:space="preserve">）强化安全生产及环境保护意识教育，加强操作人员上岗前的培训，使职工掌握生产技能和安全防护知识； </w:t>
                  </w:r>
                </w:p>
                <w:p w14:paraId="6CC4F048">
                  <w:pPr>
                    <w:pStyle w:val="69"/>
                    <w:bidi w:val="0"/>
                    <w:rPr>
                      <w:color w:val="000000"/>
                    </w:rPr>
                  </w:pPr>
                  <w:r>
                    <w:rPr>
                      <w:rFonts w:hint="eastAsia"/>
                      <w:color w:val="000000"/>
                      <w:lang w:val="en-US" w:eastAsia="zh-CN"/>
                    </w:rPr>
                    <w:t>（</w:t>
                  </w:r>
                  <w:r>
                    <w:rPr>
                      <w:rFonts w:hint="default"/>
                      <w:color w:val="000000"/>
                      <w:lang w:val="en-US" w:eastAsia="zh-CN"/>
                    </w:rPr>
                    <w:t>2</w:t>
                  </w:r>
                  <w:r>
                    <w:rPr>
                      <w:rFonts w:hint="eastAsia"/>
                      <w:color w:val="000000"/>
                      <w:lang w:val="en-US" w:eastAsia="zh-CN"/>
                    </w:rPr>
                    <w:t xml:space="preserve">）设置专用库房（漆料间）、危险废物贮存库，液体危险废物使用专用容器盛装并配套泄漏收集托盘和备用物料转移空桶； </w:t>
                  </w:r>
                </w:p>
                <w:p w14:paraId="475495C2">
                  <w:pPr>
                    <w:pStyle w:val="69"/>
                    <w:bidi w:val="0"/>
                    <w:rPr>
                      <w:color w:val="000000"/>
                    </w:rPr>
                  </w:pPr>
                  <w:r>
                    <w:rPr>
                      <w:rFonts w:hint="eastAsia"/>
                      <w:color w:val="000000"/>
                      <w:lang w:val="en-US" w:eastAsia="zh-CN"/>
                    </w:rPr>
                    <w:t>（</w:t>
                  </w:r>
                  <w:r>
                    <w:rPr>
                      <w:rFonts w:hint="default"/>
                      <w:color w:val="000000"/>
                      <w:lang w:val="en-US" w:eastAsia="zh-CN"/>
                    </w:rPr>
                    <w:t>3</w:t>
                  </w:r>
                  <w:r>
                    <w:rPr>
                      <w:rFonts w:hint="eastAsia"/>
                      <w:color w:val="000000"/>
                      <w:lang w:val="en-US" w:eastAsia="zh-CN"/>
                    </w:rPr>
                    <w:t>）专用库房（漆料间）、危险废物贮存库地面作硬化防渗处理，设置不锈钢托盘，油类等危险物质放置于托盘上，危险废物贮存库设置围堰；</w:t>
                  </w:r>
                </w:p>
                <w:p w14:paraId="0F71662E">
                  <w:pPr>
                    <w:pStyle w:val="69"/>
                    <w:bidi w:val="0"/>
                    <w:rPr>
                      <w:rFonts w:hint="eastAsia"/>
                      <w:color w:val="000000"/>
                      <w:lang w:val="en-US" w:eastAsia="zh-CN"/>
                    </w:rPr>
                  </w:pPr>
                  <w:r>
                    <w:rPr>
                      <w:rFonts w:hint="eastAsia"/>
                      <w:color w:val="000000"/>
                      <w:lang w:eastAsia="zh-CN"/>
                    </w:rPr>
                    <w:t>（</w:t>
                  </w:r>
                  <w:r>
                    <w:rPr>
                      <w:rFonts w:hint="eastAsia"/>
                      <w:color w:val="000000"/>
                      <w:lang w:val="en-US" w:eastAsia="zh-CN"/>
                    </w:rPr>
                    <w:t>4</w:t>
                  </w:r>
                  <w:r>
                    <w:rPr>
                      <w:rFonts w:hint="eastAsia"/>
                      <w:color w:val="000000"/>
                      <w:lang w:eastAsia="zh-CN"/>
                    </w:rPr>
                    <w:t>）</w:t>
                  </w:r>
                  <w:r>
                    <w:rPr>
                      <w:rFonts w:hint="eastAsia"/>
                      <w:color w:val="000000"/>
                      <w:lang w:val="en-US" w:eastAsia="zh-CN"/>
                    </w:rPr>
                    <w:t>漆料间、危险废物贮存库设置禁止烟火标识，配备灭火器和消防沙。</w:t>
                  </w:r>
                </w:p>
              </w:tc>
              <w:tc>
                <w:tcPr>
                  <w:tcW w:w="1570" w:type="pct"/>
                  <w:tcBorders>
                    <w:top w:val="single" w:color="auto" w:sz="4" w:space="0"/>
                    <w:left w:val="single" w:color="auto" w:sz="4" w:space="0"/>
                    <w:bottom w:val="single" w:color="auto" w:sz="4" w:space="0"/>
                    <w:right w:val="single" w:color="auto" w:sz="4" w:space="0"/>
                  </w:tcBorders>
                  <w:noWrap w:val="0"/>
                  <w:vAlign w:val="center"/>
                </w:tcPr>
                <w:p w14:paraId="3BDDE487">
                  <w:pPr>
                    <w:pStyle w:val="34"/>
                    <w:rPr>
                      <w:rFonts w:hint="default"/>
                      <w:color w:val="000000"/>
                      <w:lang w:val="en-US" w:eastAsia="zh-CN"/>
                    </w:rPr>
                  </w:pPr>
                  <w:r>
                    <w:rPr>
                      <w:rFonts w:hint="eastAsia"/>
                      <w:color w:val="000000" w:themeColor="text1"/>
                      <w:lang w:val="en-US" w:eastAsia="zh-CN"/>
                      <w14:textFill>
                        <w14:solidFill>
                          <w14:schemeClr w14:val="tx1"/>
                        </w14:solidFill>
                      </w14:textFill>
                    </w:rPr>
                    <w:t>与环评一致</w:t>
                  </w:r>
                </w:p>
              </w:tc>
            </w:tr>
          </w:tbl>
          <w:p w14:paraId="55C2C48D">
            <w:pPr>
              <w:keepNext w:val="0"/>
              <w:keepLines w:val="0"/>
              <w:pageBreakBefore w:val="0"/>
              <w:tabs>
                <w:tab w:val="left" w:pos="900"/>
              </w:tabs>
              <w:kinsoku/>
              <w:wordWrap/>
              <w:overflowPunct/>
              <w:topLinePunct w:val="0"/>
              <w:autoSpaceDE/>
              <w:autoSpaceDN/>
              <w:bidi w:val="0"/>
              <w:adjustRightInd/>
              <w:snapToGrid w:val="0"/>
              <w:spacing w:line="240" w:lineRule="auto"/>
              <w:ind w:firstLine="420" w:firstLineChars="200"/>
              <w:textAlignment w:val="auto"/>
              <w:rPr>
                <w:rFonts w:hint="default" w:ascii="Times New Roman" w:hAnsi="Times New Roman" w:eastAsia="宋体" w:cs="Times New Roman"/>
                <w:b w:val="0"/>
                <w:bCs w:val="0"/>
                <w:color w:val="000000" w:themeColor="text1"/>
                <w:sz w:val="21"/>
                <w:szCs w:val="21"/>
                <w:lang w:val="en-US" w:eastAsia="en-US" w:bidi="ar"/>
                <w14:textFill>
                  <w14:solidFill>
                    <w14:schemeClr w14:val="tx1"/>
                  </w14:solidFill>
                </w14:textFill>
              </w:rPr>
            </w:pPr>
          </w:p>
          <w:p w14:paraId="7204E7AE">
            <w:pPr>
              <w:pStyle w:val="21"/>
              <w:bidi w:val="0"/>
              <w:rPr>
                <w:rFonts w:hint="eastAsia"/>
                <w:color w:val="000000"/>
                <w:lang w:val="en-US" w:eastAsia="zh-CN"/>
              </w:rPr>
            </w:pPr>
            <w:r>
              <w:rPr>
                <w:rFonts w:hint="eastAsia"/>
                <w:color w:val="000000"/>
                <w:lang w:val="en-US" w:eastAsia="zh-CN"/>
              </w:rPr>
              <w:t>劳动定员及工作制度：</w:t>
            </w:r>
            <w:r>
              <w:rPr>
                <w:rFonts w:hint="eastAsia"/>
                <w:color w:val="000000"/>
              </w:rPr>
              <w:t>员工</w:t>
            </w:r>
            <w:r>
              <w:rPr>
                <w:rFonts w:hint="eastAsia"/>
                <w:color w:val="000000"/>
                <w:lang w:val="en-US" w:eastAsia="zh-CN"/>
              </w:rPr>
              <w:t>10人，</w:t>
            </w:r>
            <w:r>
              <w:rPr>
                <w:color w:val="000000"/>
              </w:rPr>
              <w:t>年生产天数为</w:t>
            </w:r>
            <w:r>
              <w:rPr>
                <w:rFonts w:hint="eastAsia"/>
                <w:color w:val="000000"/>
                <w:lang w:val="en-US" w:eastAsia="zh-CN"/>
              </w:rPr>
              <w:t>30</w:t>
            </w:r>
            <w:r>
              <w:rPr>
                <w:rFonts w:hint="eastAsia"/>
                <w:color w:val="000000"/>
              </w:rPr>
              <w:t>0</w:t>
            </w:r>
            <w:r>
              <w:rPr>
                <w:color w:val="000000"/>
              </w:rPr>
              <w:t>天，每天实行</w:t>
            </w:r>
            <w:r>
              <w:rPr>
                <w:rFonts w:hint="eastAsia"/>
                <w:color w:val="000000"/>
                <w:lang w:val="en-US" w:eastAsia="zh-CN"/>
              </w:rPr>
              <w:t>1</w:t>
            </w:r>
            <w:r>
              <w:rPr>
                <w:color w:val="000000"/>
              </w:rPr>
              <w:t>班制，每班工作8小时</w:t>
            </w:r>
            <w:r>
              <w:rPr>
                <w:rFonts w:hint="eastAsia"/>
                <w:color w:val="000000"/>
                <w:lang w:eastAsia="zh-CN"/>
              </w:rPr>
              <w:t>，</w:t>
            </w:r>
            <w:r>
              <w:rPr>
                <w:rFonts w:hint="eastAsia"/>
                <w:color w:val="000000"/>
                <w:lang w:val="en-US" w:eastAsia="zh-CN"/>
              </w:rPr>
              <w:t>夜间不生产</w:t>
            </w:r>
            <w:r>
              <w:rPr>
                <w:rFonts w:hint="eastAsia"/>
                <w:color w:val="000000"/>
                <w:lang w:eastAsia="zh-CN"/>
              </w:rPr>
              <w:t>。</w:t>
            </w:r>
          </w:p>
          <w:p w14:paraId="46FA1ADA">
            <w:pPr>
              <w:pStyle w:val="21"/>
              <w:bidi w:val="0"/>
              <w:rPr>
                <w:rFonts w:hint="eastAsia" w:ascii="宋体" w:hAnsi="宋体" w:cs="宋体" w:eastAsiaTheme="minorEastAsia"/>
                <w:b w:val="0"/>
                <w:bCs w:val="0"/>
                <w:color w:val="000000"/>
                <w:spacing w:val="3"/>
                <w:szCs w:val="22"/>
                <w:lang w:val="en-US" w:eastAsia="zh-CN" w:bidi="ar-SA"/>
              </w:rPr>
            </w:pPr>
            <w:r>
              <w:rPr>
                <w:rFonts w:ascii="宋体" w:hAnsi="宋体" w:cs="宋体" w:eastAsiaTheme="minorEastAsia"/>
                <w:b w:val="0"/>
                <w:bCs w:val="0"/>
                <w:color w:val="000000"/>
                <w:spacing w:val="3"/>
                <w:szCs w:val="22"/>
                <w:lang w:val="en-US" w:eastAsia="en-US" w:bidi="ar-SA"/>
              </w:rPr>
              <w:t>实际验收内容</w:t>
            </w:r>
            <w:r>
              <w:rPr>
                <w:rFonts w:hint="eastAsia" w:ascii="宋体" w:hAnsi="宋体" w:cs="宋体" w:eastAsiaTheme="minorEastAsia"/>
                <w:b w:val="0"/>
                <w:bCs w:val="0"/>
                <w:color w:val="000000"/>
                <w:spacing w:val="3"/>
                <w:szCs w:val="22"/>
                <w:lang w:val="en-US" w:eastAsia="zh-CN" w:bidi="ar-SA"/>
              </w:rPr>
              <w:t>：</w:t>
            </w:r>
          </w:p>
          <w:p w14:paraId="1F49D075">
            <w:pPr>
              <w:pStyle w:val="21"/>
              <w:bidi w:val="0"/>
              <w:rPr>
                <w:rFonts w:hint="eastAsia"/>
                <w:color w:val="000000"/>
                <w:lang w:val="en-US" w:eastAsia="zh-CN"/>
              </w:rPr>
            </w:pPr>
            <w:r>
              <w:rPr>
                <w:rFonts w:hint="eastAsia"/>
                <w:color w:val="000000"/>
                <w:lang w:val="en-US" w:eastAsia="zh-CN"/>
              </w:rPr>
              <w:t>劳动定员及工作制度：</w:t>
            </w:r>
            <w:r>
              <w:rPr>
                <w:rFonts w:hint="eastAsia"/>
                <w:color w:val="000000"/>
              </w:rPr>
              <w:t>员工</w:t>
            </w:r>
            <w:r>
              <w:rPr>
                <w:rFonts w:hint="eastAsia"/>
                <w:color w:val="000000"/>
                <w:lang w:val="en-US" w:eastAsia="zh-CN"/>
              </w:rPr>
              <w:t>10人，</w:t>
            </w:r>
            <w:r>
              <w:rPr>
                <w:color w:val="000000"/>
              </w:rPr>
              <w:t>年生产天数为</w:t>
            </w:r>
            <w:r>
              <w:rPr>
                <w:rFonts w:hint="eastAsia"/>
                <w:color w:val="000000"/>
                <w:lang w:val="en-US" w:eastAsia="zh-CN"/>
              </w:rPr>
              <w:t>30</w:t>
            </w:r>
            <w:r>
              <w:rPr>
                <w:rFonts w:hint="eastAsia"/>
                <w:color w:val="000000"/>
              </w:rPr>
              <w:t>0</w:t>
            </w:r>
            <w:r>
              <w:rPr>
                <w:color w:val="000000"/>
              </w:rPr>
              <w:t>天，每天实行</w:t>
            </w:r>
            <w:r>
              <w:rPr>
                <w:rFonts w:hint="eastAsia"/>
                <w:color w:val="000000"/>
                <w:lang w:val="en-US" w:eastAsia="zh-CN"/>
              </w:rPr>
              <w:t>1</w:t>
            </w:r>
            <w:r>
              <w:rPr>
                <w:color w:val="000000"/>
              </w:rPr>
              <w:t>班制，每班工作8小时</w:t>
            </w:r>
            <w:r>
              <w:rPr>
                <w:rFonts w:hint="eastAsia"/>
                <w:color w:val="000000"/>
                <w:lang w:eastAsia="zh-CN"/>
              </w:rPr>
              <w:t>，</w:t>
            </w:r>
            <w:r>
              <w:rPr>
                <w:rFonts w:hint="eastAsia"/>
                <w:color w:val="000000"/>
                <w:lang w:val="en-US" w:eastAsia="zh-CN"/>
              </w:rPr>
              <w:t>夜间不生产</w:t>
            </w:r>
            <w:r>
              <w:rPr>
                <w:rFonts w:hint="eastAsia"/>
                <w:color w:val="000000"/>
                <w:lang w:eastAsia="zh-CN"/>
              </w:rPr>
              <w:t>。</w:t>
            </w:r>
          </w:p>
          <w:p w14:paraId="2487D3D7">
            <w:pPr>
              <w:pStyle w:val="21"/>
              <w:bidi w:val="0"/>
              <w:jc w:val="left"/>
              <w:rPr>
                <w:rFonts w:hint="eastAsia" w:ascii="宋体" w:hAnsi="宋体" w:cs="宋体" w:eastAsiaTheme="minorEastAsia"/>
                <w:b w:val="0"/>
                <w:bCs w:val="0"/>
                <w:color w:val="000000"/>
                <w:szCs w:val="22"/>
                <w:lang w:val="en-US" w:eastAsia="zh-CN" w:bidi="ar-SA"/>
              </w:rPr>
            </w:pPr>
            <w:r>
              <w:rPr>
                <w:rFonts w:hint="eastAsia" w:ascii="宋体" w:hAnsi="宋体" w:cs="宋体" w:eastAsiaTheme="minorEastAsia"/>
                <w:b w:val="0"/>
                <w:bCs w:val="0"/>
                <w:color w:val="000000"/>
                <w:szCs w:val="22"/>
                <w:lang w:val="en-US" w:eastAsia="zh-CN" w:bidi="ar-SA"/>
              </w:rPr>
              <w:t>（3）主要设备调查</w:t>
            </w:r>
          </w:p>
          <w:p w14:paraId="02DDD129">
            <w:pPr>
              <w:pStyle w:val="21"/>
              <w:bidi w:val="0"/>
              <w:jc w:val="both"/>
              <w:rPr>
                <w:rFonts w:ascii="宋体" w:hAnsi="宋体"/>
                <w:color w:val="000000" w:themeColor="text1"/>
                <w:sz w:val="24"/>
                <w:szCs w:val="24"/>
                <w14:textFill>
                  <w14:solidFill>
                    <w14:schemeClr w14:val="tx1"/>
                  </w14:solidFill>
                </w14:textFill>
              </w:rPr>
            </w:pPr>
            <w:r>
              <w:rPr>
                <w:rFonts w:hint="eastAsia" w:ascii="宋体" w:hAnsi="宋体" w:cs="宋体" w:eastAsiaTheme="minorEastAsia"/>
                <w:b w:val="0"/>
                <w:bCs w:val="0"/>
                <w:color w:val="000000"/>
                <w:szCs w:val="22"/>
                <w:lang w:val="en-US" w:eastAsia="zh-CN" w:bidi="ar-SA"/>
              </w:rPr>
              <w:t>根据本次验收调查可知，现场实际</w:t>
            </w:r>
            <w:r>
              <w:rPr>
                <w:rFonts w:hint="eastAsia" w:ascii="宋体" w:hAnsi="宋体" w:cs="宋体" w:eastAsiaTheme="minorEastAsia"/>
                <w:b w:val="0"/>
                <w:bCs w:val="0"/>
                <w:color w:val="000000" w:themeColor="text1"/>
                <w:szCs w:val="22"/>
                <w:lang w:val="en-US" w:eastAsia="zh-CN" w:bidi="ar-SA"/>
                <w14:textFill>
                  <w14:solidFill>
                    <w14:schemeClr w14:val="tx1"/>
                  </w14:solidFill>
                </w14:textFill>
              </w:rPr>
              <w:t>安装设备调查</w:t>
            </w:r>
            <w:r>
              <w:rPr>
                <w:rFonts w:ascii="宋体" w:hAnsi="宋体"/>
                <w:color w:val="000000" w:themeColor="text1"/>
                <w:sz w:val="24"/>
                <w:szCs w:val="24"/>
                <w14:textFill>
                  <w14:solidFill>
                    <w14:schemeClr w14:val="tx1"/>
                  </w14:solidFill>
                </w14:textFill>
              </w:rPr>
              <w:t>项目主要</w:t>
            </w:r>
            <w:r>
              <w:rPr>
                <w:rFonts w:hint="eastAsia" w:ascii="宋体" w:hAnsi="宋体"/>
                <w:color w:val="000000" w:themeColor="text1"/>
                <w:sz w:val="24"/>
                <w:szCs w:val="24"/>
                <w:lang w:val="en-US" w:eastAsia="zh-CN"/>
                <w14:textFill>
                  <w14:solidFill>
                    <w14:schemeClr w14:val="tx1"/>
                  </w14:solidFill>
                </w14:textFill>
              </w:rPr>
              <w:t>新增</w:t>
            </w:r>
            <w:r>
              <w:rPr>
                <w:rFonts w:ascii="宋体" w:hAnsi="宋体"/>
                <w:color w:val="000000" w:themeColor="text1"/>
                <w:sz w:val="24"/>
                <w:szCs w:val="24"/>
                <w14:textFill>
                  <w14:solidFill>
                    <w14:schemeClr w14:val="tx1"/>
                  </w14:solidFill>
                </w14:textFill>
              </w:rPr>
              <w:t>设备清单见表</w:t>
            </w:r>
            <w:r>
              <w:rPr>
                <w:rFonts w:hint="eastAsia" w:ascii="Times New Roman" w:hAnsi="Times New Roman"/>
                <w:color w:val="000000" w:themeColor="text1"/>
                <w:sz w:val="24"/>
                <w:szCs w:val="24"/>
                <w:lang w:val="en-US" w:eastAsia="zh-CN"/>
                <w14:textFill>
                  <w14:solidFill>
                    <w14:schemeClr w14:val="tx1"/>
                  </w14:solidFill>
                </w14:textFill>
              </w:rPr>
              <w:t>2</w:t>
            </w:r>
            <w:r>
              <w:rPr>
                <w:rFonts w:ascii="Times New Roman" w:hAnsi="Times New Roman"/>
                <w:color w:val="000000" w:themeColor="text1"/>
                <w:sz w:val="24"/>
                <w:szCs w:val="24"/>
                <w14:textFill>
                  <w14:solidFill>
                    <w14:schemeClr w14:val="tx1"/>
                  </w14:solidFill>
                </w14:textFill>
              </w:rPr>
              <w:t>-</w:t>
            </w:r>
            <w:r>
              <w:rPr>
                <w:rFonts w:hint="eastAsia" w:ascii="Times New Roman" w:hAnsi="Times New Roman"/>
                <w:color w:val="000000" w:themeColor="text1"/>
                <w:sz w:val="24"/>
                <w:szCs w:val="24"/>
                <w:lang w:val="en-US" w:eastAsia="zh-CN"/>
                <w14:textFill>
                  <w14:solidFill>
                    <w14:schemeClr w14:val="tx1"/>
                  </w14:solidFill>
                </w14:textFill>
              </w:rPr>
              <w:t>5</w:t>
            </w:r>
            <w:r>
              <w:rPr>
                <w:rFonts w:ascii="宋体" w:hAnsi="宋体"/>
                <w:color w:val="000000" w:themeColor="text1"/>
                <w:sz w:val="24"/>
                <w:szCs w:val="24"/>
                <w14:textFill>
                  <w14:solidFill>
                    <w14:schemeClr w14:val="tx1"/>
                  </w14:solidFill>
                </w14:textFill>
              </w:rPr>
              <w:t>，根据《部分工业行业淘汰落后生产工艺装备和产品指导目录（</w:t>
            </w:r>
            <w:r>
              <w:rPr>
                <w:rFonts w:ascii="Times New Roman" w:hAnsi="Times New Roman"/>
                <w:color w:val="000000" w:themeColor="text1"/>
                <w:sz w:val="24"/>
                <w:szCs w:val="24"/>
                <w14:textFill>
                  <w14:solidFill>
                    <w14:schemeClr w14:val="tx1"/>
                  </w14:solidFill>
                </w14:textFill>
              </w:rPr>
              <w:t>2010</w:t>
            </w:r>
            <w:r>
              <w:rPr>
                <w:rFonts w:ascii="宋体" w:hAnsi="宋体"/>
                <w:color w:val="000000" w:themeColor="text1"/>
                <w:sz w:val="24"/>
                <w:szCs w:val="24"/>
                <w14:textFill>
                  <w14:solidFill>
                    <w14:schemeClr w14:val="tx1"/>
                  </w14:solidFill>
                </w14:textFill>
              </w:rPr>
              <w:t>年本）》和《产业结构调整指导目录（</w:t>
            </w:r>
            <w:r>
              <w:rPr>
                <w:rFonts w:ascii="Times New Roman" w:hAnsi="Times New Roman"/>
                <w:color w:val="000000" w:themeColor="text1"/>
                <w:sz w:val="24"/>
                <w:szCs w:val="24"/>
                <w14:textFill>
                  <w14:solidFill>
                    <w14:schemeClr w14:val="tx1"/>
                  </w14:solidFill>
                </w14:textFill>
              </w:rPr>
              <w:t>20</w:t>
            </w:r>
            <w:r>
              <w:rPr>
                <w:rFonts w:hint="eastAsia" w:ascii="Times New Roman" w:hAnsi="Times New Roman"/>
                <w:color w:val="000000" w:themeColor="text1"/>
                <w:sz w:val="24"/>
                <w:szCs w:val="24"/>
                <w:lang w:val="en-US" w:eastAsia="zh-CN"/>
                <w14:textFill>
                  <w14:solidFill>
                    <w14:schemeClr w14:val="tx1"/>
                  </w14:solidFill>
                </w14:textFill>
              </w:rPr>
              <w:t>24</w:t>
            </w:r>
            <w:r>
              <w:rPr>
                <w:rFonts w:ascii="宋体" w:hAnsi="宋体"/>
                <w:color w:val="000000" w:themeColor="text1"/>
                <w:sz w:val="24"/>
                <w:szCs w:val="24"/>
                <w14:textFill>
                  <w14:solidFill>
                    <w14:schemeClr w14:val="tx1"/>
                  </w14:solidFill>
                </w14:textFill>
              </w:rPr>
              <w:t>年本）》，项目无淘汰落后设备。</w:t>
            </w:r>
          </w:p>
          <w:p w14:paraId="0D8C984E">
            <w:pPr>
              <w:pStyle w:val="21"/>
              <w:bidi w:val="0"/>
              <w:jc w:val="center"/>
              <w:rPr>
                <w:color w:val="auto"/>
              </w:rPr>
            </w:pPr>
            <w:r>
              <w:rPr>
                <w:rFonts w:ascii="Times New Roman" w:hAnsi="宋体"/>
                <w:color w:val="000000" w:themeColor="text1"/>
                <w:sz w:val="24"/>
                <w:szCs w:val="24"/>
                <w14:textFill>
                  <w14:solidFill>
                    <w14:schemeClr w14:val="tx1"/>
                  </w14:solidFill>
                </w14:textFill>
              </w:rPr>
              <w:t>表</w:t>
            </w:r>
            <w:r>
              <w:rPr>
                <w:rFonts w:hint="eastAsia" w:ascii="Times New Roman" w:hAnsi="Times New Roman"/>
                <w:color w:val="000000" w:themeColor="text1"/>
                <w:sz w:val="24"/>
                <w:szCs w:val="24"/>
                <w:lang w:val="en-US" w:eastAsia="zh-CN"/>
                <w14:textFill>
                  <w14:solidFill>
                    <w14:schemeClr w14:val="tx1"/>
                  </w14:solidFill>
                </w14:textFill>
              </w:rPr>
              <w:t>2</w:t>
            </w:r>
            <w:r>
              <w:rPr>
                <w:rFonts w:ascii="Times New Roman" w:hAnsi="Times New Roman"/>
                <w:color w:val="000000" w:themeColor="text1"/>
                <w:sz w:val="24"/>
                <w:szCs w:val="24"/>
                <w14:textFill>
                  <w14:solidFill>
                    <w14:schemeClr w14:val="tx1"/>
                  </w14:solidFill>
                </w14:textFill>
              </w:rPr>
              <w:t>-</w:t>
            </w:r>
            <w:r>
              <w:rPr>
                <w:rFonts w:hint="eastAsia" w:ascii="Times New Roman" w:hAnsi="Times New Roman"/>
                <w:color w:val="000000" w:themeColor="text1"/>
                <w:sz w:val="24"/>
                <w:szCs w:val="24"/>
                <w:lang w:val="en-US" w:eastAsia="zh-CN"/>
                <w14:textFill>
                  <w14:solidFill>
                    <w14:schemeClr w14:val="tx1"/>
                  </w14:solidFill>
                </w14:textFill>
              </w:rPr>
              <w:t>5</w:t>
            </w:r>
            <w:r>
              <w:rPr>
                <w:rFonts w:ascii="Times New Roman" w:hAnsi="Times New Roman"/>
                <w:color w:val="000000" w:themeColor="text1"/>
                <w:sz w:val="24"/>
                <w:szCs w:val="24"/>
                <w14:textFill>
                  <w14:solidFill>
                    <w14:schemeClr w14:val="tx1"/>
                  </w14:solidFill>
                </w14:textFill>
              </w:rPr>
              <w:t xml:space="preserve">  </w:t>
            </w:r>
            <w:r>
              <w:rPr>
                <w:color w:val="000000" w:themeColor="text1"/>
                <w14:textFill>
                  <w14:solidFill>
                    <w14:schemeClr w14:val="tx1"/>
                  </w14:solidFill>
                </w14:textFill>
              </w:rPr>
              <w:t xml:space="preserve"> 项目主要生产设备一</w:t>
            </w:r>
            <w:r>
              <w:rPr>
                <w:color w:val="auto"/>
              </w:rPr>
              <w:t>览表</w:t>
            </w:r>
          </w:p>
          <w:tbl>
            <w:tblPr>
              <w:tblStyle w:val="1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2198"/>
              <w:gridCol w:w="3182"/>
              <w:gridCol w:w="2267"/>
              <w:gridCol w:w="1908"/>
            </w:tblGrid>
            <w:tr w14:paraId="3AD4C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150" w:type="pct"/>
                  <w:noWrap w:val="0"/>
                  <w:vAlign w:val="center"/>
                </w:tcPr>
                <w:p w14:paraId="091DFB17">
                  <w:pPr>
                    <w:pStyle w:val="34"/>
                    <w:bidi w:val="0"/>
                    <w:rPr>
                      <w:color w:val="000000"/>
                    </w:rPr>
                  </w:pPr>
                  <w:r>
                    <w:rPr>
                      <w:color w:val="000000"/>
                    </w:rPr>
                    <w:t>设备名称</w:t>
                  </w:r>
                </w:p>
              </w:tc>
              <w:tc>
                <w:tcPr>
                  <w:tcW w:w="1665" w:type="pct"/>
                  <w:noWrap w:val="0"/>
                  <w:vAlign w:val="center"/>
                </w:tcPr>
                <w:p w14:paraId="6681669D">
                  <w:pPr>
                    <w:pStyle w:val="34"/>
                    <w:bidi w:val="0"/>
                    <w:rPr>
                      <w:color w:val="000000"/>
                    </w:rPr>
                  </w:pPr>
                  <w:r>
                    <w:rPr>
                      <w:color w:val="000000"/>
                    </w:rPr>
                    <w:t>型号规格</w:t>
                  </w:r>
                </w:p>
              </w:tc>
              <w:tc>
                <w:tcPr>
                  <w:tcW w:w="1186" w:type="pct"/>
                  <w:noWrap w:val="0"/>
                  <w:vAlign w:val="center"/>
                </w:tcPr>
                <w:p w14:paraId="6DEB2214">
                  <w:pPr>
                    <w:pStyle w:val="34"/>
                    <w:bidi w:val="0"/>
                    <w:rPr>
                      <w:rFonts w:hint="eastAsia" w:eastAsia="宋体"/>
                      <w:color w:val="000000"/>
                      <w:lang w:eastAsia="zh-CN"/>
                    </w:rPr>
                  </w:pPr>
                  <w:r>
                    <w:rPr>
                      <w:color w:val="000000"/>
                    </w:rPr>
                    <w:t>数量</w:t>
                  </w:r>
                  <w:r>
                    <w:rPr>
                      <w:rFonts w:hint="eastAsia"/>
                      <w:color w:val="000000"/>
                      <w:lang w:eastAsia="zh-CN"/>
                    </w:rPr>
                    <w:t>（</w:t>
                  </w:r>
                  <w:r>
                    <w:rPr>
                      <w:rFonts w:hint="eastAsia"/>
                      <w:color w:val="000000"/>
                      <w:lang w:val="en-US" w:eastAsia="zh-CN"/>
                    </w:rPr>
                    <w:t>台/套</w:t>
                  </w:r>
                  <w:r>
                    <w:rPr>
                      <w:rFonts w:hint="eastAsia"/>
                      <w:color w:val="000000"/>
                      <w:lang w:eastAsia="zh-CN"/>
                    </w:rPr>
                    <w:t>）</w:t>
                  </w:r>
                </w:p>
              </w:tc>
              <w:tc>
                <w:tcPr>
                  <w:tcW w:w="998" w:type="pct"/>
                  <w:noWrap w:val="0"/>
                  <w:vAlign w:val="center"/>
                </w:tcPr>
                <w:p w14:paraId="0A4404F6">
                  <w:pPr>
                    <w:pStyle w:val="34"/>
                    <w:bidi w:val="0"/>
                    <w:rPr>
                      <w:rFonts w:hint="default"/>
                      <w:color w:val="000000"/>
                      <w:lang w:val="en-US" w:eastAsia="zh-CN"/>
                    </w:rPr>
                  </w:pPr>
                  <w:r>
                    <w:rPr>
                      <w:rFonts w:hint="eastAsia"/>
                      <w:color w:val="000000"/>
                      <w:lang w:val="en-US" w:eastAsia="zh-CN"/>
                    </w:rPr>
                    <w:t>对应工序</w:t>
                  </w:r>
                </w:p>
              </w:tc>
            </w:tr>
            <w:tr w14:paraId="20BEC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150" w:type="pct"/>
                  <w:noWrap w:val="0"/>
                  <w:vAlign w:val="center"/>
                </w:tcPr>
                <w:p w14:paraId="791A00F3">
                  <w:pPr>
                    <w:pStyle w:val="34"/>
                    <w:bidi w:val="0"/>
                    <w:rPr>
                      <w:rFonts w:hint="default" w:ascii="Times New Roman" w:hAnsi="Times New Roman" w:eastAsia="宋体" w:cs="Times New Roman"/>
                      <w:bCs/>
                      <w:color w:val="000000"/>
                      <w:kern w:val="2"/>
                      <w:sz w:val="21"/>
                      <w:szCs w:val="21"/>
                      <w:lang w:val="en-US" w:eastAsia="zh-CN" w:bidi="ar-SA"/>
                    </w:rPr>
                  </w:pPr>
                  <w:r>
                    <w:rPr>
                      <w:rFonts w:hint="eastAsia"/>
                      <w:color w:val="000000"/>
                      <w:lang w:val="en-US" w:eastAsia="zh-CN"/>
                    </w:rPr>
                    <w:t>激光切割机</w:t>
                  </w:r>
                </w:p>
              </w:tc>
              <w:tc>
                <w:tcPr>
                  <w:tcW w:w="1665" w:type="pct"/>
                  <w:noWrap w:val="0"/>
                  <w:vAlign w:val="center"/>
                </w:tcPr>
                <w:p w14:paraId="6C6B3B08">
                  <w:pPr>
                    <w:pStyle w:val="34"/>
                    <w:bidi w:val="0"/>
                    <w:rPr>
                      <w:rFonts w:hint="default" w:ascii="Times New Roman" w:hAnsi="Times New Roman" w:eastAsia="宋体" w:cs="Times New Roman"/>
                      <w:bCs/>
                      <w:color w:val="000000"/>
                      <w:kern w:val="2"/>
                      <w:sz w:val="21"/>
                      <w:szCs w:val="21"/>
                      <w:lang w:val="en-US" w:eastAsia="zh-CN" w:bidi="ar-SA"/>
                    </w:rPr>
                  </w:pPr>
                  <w:r>
                    <w:rPr>
                      <w:rFonts w:hint="eastAsia" w:cs="Times New Roman"/>
                      <w:bCs/>
                      <w:color w:val="000000"/>
                      <w:kern w:val="2"/>
                      <w:sz w:val="21"/>
                      <w:szCs w:val="21"/>
                      <w:lang w:val="en-US" w:eastAsia="zh-CN" w:bidi="ar-SA"/>
                    </w:rPr>
                    <w:t>SF3105G</w:t>
                  </w:r>
                </w:p>
              </w:tc>
              <w:tc>
                <w:tcPr>
                  <w:tcW w:w="1186" w:type="pct"/>
                  <w:noWrap w:val="0"/>
                  <w:vAlign w:val="center"/>
                </w:tcPr>
                <w:p w14:paraId="76A41292">
                  <w:pPr>
                    <w:pStyle w:val="34"/>
                    <w:bidi w:val="0"/>
                    <w:rPr>
                      <w:rFonts w:hint="default" w:ascii="Times New Roman" w:hAnsi="Times New Roman" w:eastAsia="宋体" w:cs="Times New Roman"/>
                      <w:bCs/>
                      <w:color w:val="000000"/>
                      <w:kern w:val="2"/>
                      <w:sz w:val="21"/>
                      <w:szCs w:val="21"/>
                      <w:lang w:val="en-US" w:eastAsia="zh-CN" w:bidi="ar-SA"/>
                    </w:rPr>
                  </w:pPr>
                  <w:r>
                    <w:rPr>
                      <w:rFonts w:hint="eastAsia"/>
                      <w:color w:val="000000"/>
                      <w:lang w:val="en-US" w:eastAsia="zh-CN"/>
                    </w:rPr>
                    <w:t>1</w:t>
                  </w:r>
                </w:p>
              </w:tc>
              <w:tc>
                <w:tcPr>
                  <w:tcW w:w="998" w:type="pct"/>
                  <w:vMerge w:val="restart"/>
                  <w:noWrap w:val="0"/>
                  <w:vAlign w:val="center"/>
                </w:tcPr>
                <w:p w14:paraId="6CD4DE24">
                  <w:pPr>
                    <w:pStyle w:val="34"/>
                    <w:bidi w:val="0"/>
                    <w:rPr>
                      <w:rFonts w:hint="default"/>
                      <w:color w:val="000000"/>
                      <w:lang w:val="en-US" w:eastAsia="zh-CN"/>
                    </w:rPr>
                  </w:pPr>
                  <w:r>
                    <w:rPr>
                      <w:rFonts w:hint="eastAsia"/>
                      <w:color w:val="000000"/>
                      <w:lang w:val="en-US" w:eastAsia="zh-CN"/>
                    </w:rPr>
                    <w:t>下料</w:t>
                  </w:r>
                </w:p>
              </w:tc>
            </w:tr>
            <w:tr w14:paraId="01805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150" w:type="pct"/>
                  <w:noWrap w:val="0"/>
                  <w:vAlign w:val="center"/>
                </w:tcPr>
                <w:p w14:paraId="6A348E62">
                  <w:pPr>
                    <w:pStyle w:val="34"/>
                    <w:bidi w:val="0"/>
                    <w:rPr>
                      <w:rFonts w:hint="eastAsia" w:ascii="Times New Roman" w:hAnsi="Times New Roman" w:eastAsia="宋体" w:cs="Times New Roman"/>
                      <w:bCs/>
                      <w:color w:val="000000"/>
                      <w:kern w:val="2"/>
                      <w:sz w:val="21"/>
                      <w:szCs w:val="21"/>
                      <w:lang w:val="en-US" w:eastAsia="zh-CN" w:bidi="ar-SA"/>
                    </w:rPr>
                  </w:pPr>
                  <w:r>
                    <w:rPr>
                      <w:rFonts w:hint="eastAsia"/>
                      <w:color w:val="000000"/>
                      <w:lang w:val="en-US" w:eastAsia="zh-CN"/>
                    </w:rPr>
                    <w:t>剪板机</w:t>
                  </w:r>
                </w:p>
              </w:tc>
              <w:tc>
                <w:tcPr>
                  <w:tcW w:w="1665" w:type="pct"/>
                  <w:noWrap w:val="0"/>
                  <w:vAlign w:val="center"/>
                </w:tcPr>
                <w:p w14:paraId="19B6DCEF">
                  <w:pPr>
                    <w:pStyle w:val="34"/>
                    <w:bidi w:val="0"/>
                    <w:rPr>
                      <w:rFonts w:hint="default" w:ascii="Times New Roman" w:hAnsi="Times New Roman" w:eastAsia="宋体" w:cs="Times New Roman"/>
                      <w:bCs/>
                      <w:color w:val="000000"/>
                      <w:kern w:val="2"/>
                      <w:sz w:val="21"/>
                      <w:szCs w:val="21"/>
                      <w:lang w:val="en-US" w:eastAsia="zh-CN" w:bidi="ar-SA"/>
                    </w:rPr>
                  </w:pPr>
                  <w:r>
                    <w:rPr>
                      <w:rFonts w:hint="eastAsia"/>
                      <w:color w:val="000000"/>
                      <w:lang w:val="en-US" w:eastAsia="zh-CN"/>
                    </w:rPr>
                    <w:t>JB-1800</w:t>
                  </w:r>
                </w:p>
              </w:tc>
              <w:tc>
                <w:tcPr>
                  <w:tcW w:w="1186" w:type="pct"/>
                  <w:noWrap w:val="0"/>
                  <w:vAlign w:val="center"/>
                </w:tcPr>
                <w:p w14:paraId="5675459A">
                  <w:pPr>
                    <w:pStyle w:val="34"/>
                    <w:bidi w:val="0"/>
                    <w:rPr>
                      <w:rFonts w:hint="default" w:ascii="Times New Roman" w:hAnsi="Times New Roman" w:eastAsia="宋体" w:cs="Times New Roman"/>
                      <w:bCs/>
                      <w:color w:val="000000"/>
                      <w:kern w:val="2"/>
                      <w:sz w:val="21"/>
                      <w:szCs w:val="21"/>
                      <w:lang w:val="en-US" w:eastAsia="zh-CN" w:bidi="ar-SA"/>
                    </w:rPr>
                  </w:pPr>
                  <w:r>
                    <w:rPr>
                      <w:rFonts w:hint="eastAsia"/>
                      <w:color w:val="000000"/>
                      <w:lang w:val="en-US" w:eastAsia="zh-CN"/>
                    </w:rPr>
                    <w:t>1</w:t>
                  </w:r>
                </w:p>
              </w:tc>
              <w:tc>
                <w:tcPr>
                  <w:tcW w:w="998" w:type="pct"/>
                  <w:vMerge w:val="continue"/>
                  <w:noWrap w:val="0"/>
                  <w:vAlign w:val="center"/>
                </w:tcPr>
                <w:p w14:paraId="1A6CC767">
                  <w:pPr>
                    <w:pStyle w:val="34"/>
                    <w:bidi w:val="0"/>
                    <w:rPr>
                      <w:rFonts w:hint="eastAsia"/>
                      <w:color w:val="000000"/>
                      <w:lang w:val="en-US" w:eastAsia="zh-CN"/>
                    </w:rPr>
                  </w:pPr>
                </w:p>
              </w:tc>
            </w:tr>
            <w:tr w14:paraId="50E47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150" w:type="pct"/>
                  <w:noWrap w:val="0"/>
                  <w:vAlign w:val="center"/>
                </w:tcPr>
                <w:p w14:paraId="223AB64A">
                  <w:pPr>
                    <w:pStyle w:val="34"/>
                    <w:bidi w:val="0"/>
                    <w:rPr>
                      <w:rFonts w:hint="default" w:ascii="Times New Roman" w:hAnsi="Times New Roman" w:eastAsia="宋体" w:cs="Times New Roman"/>
                      <w:bCs/>
                      <w:color w:val="000000"/>
                      <w:kern w:val="2"/>
                      <w:sz w:val="21"/>
                      <w:szCs w:val="21"/>
                      <w:lang w:val="en-US" w:eastAsia="zh-CN" w:bidi="ar-SA"/>
                    </w:rPr>
                  </w:pPr>
                  <w:r>
                    <w:rPr>
                      <w:rFonts w:hint="eastAsia" w:cs="Times New Roman"/>
                      <w:bCs/>
                      <w:color w:val="000000"/>
                      <w:kern w:val="2"/>
                      <w:sz w:val="21"/>
                      <w:szCs w:val="21"/>
                      <w:lang w:val="en-US" w:eastAsia="zh-CN" w:bidi="ar-SA"/>
                    </w:rPr>
                    <w:t>开槽机</w:t>
                  </w:r>
                </w:p>
              </w:tc>
              <w:tc>
                <w:tcPr>
                  <w:tcW w:w="1665" w:type="pct"/>
                  <w:noWrap w:val="0"/>
                  <w:vAlign w:val="center"/>
                </w:tcPr>
                <w:p w14:paraId="765F4CD2">
                  <w:pPr>
                    <w:pStyle w:val="34"/>
                    <w:bidi w:val="0"/>
                    <w:rPr>
                      <w:rFonts w:hint="default" w:ascii="Times New Roman" w:hAnsi="Times New Roman" w:eastAsia="宋体" w:cs="Times New Roman"/>
                      <w:bCs/>
                      <w:color w:val="000000"/>
                      <w:kern w:val="2"/>
                      <w:sz w:val="21"/>
                      <w:szCs w:val="21"/>
                      <w:lang w:val="en-US" w:eastAsia="zh-CN" w:bidi="ar-SA"/>
                    </w:rPr>
                  </w:pPr>
                  <w:r>
                    <w:rPr>
                      <w:rFonts w:hint="eastAsia" w:cs="Times New Roman"/>
                      <w:bCs/>
                      <w:color w:val="000000"/>
                      <w:kern w:val="2"/>
                      <w:sz w:val="21"/>
                      <w:szCs w:val="21"/>
                      <w:lang w:val="en-US" w:eastAsia="zh-CN" w:bidi="ar-SA"/>
                    </w:rPr>
                    <w:t>05RKC</w:t>
                  </w:r>
                </w:p>
              </w:tc>
              <w:tc>
                <w:tcPr>
                  <w:tcW w:w="1186" w:type="pct"/>
                  <w:noWrap w:val="0"/>
                  <w:vAlign w:val="center"/>
                </w:tcPr>
                <w:p w14:paraId="6A7C948B">
                  <w:pPr>
                    <w:pStyle w:val="34"/>
                    <w:bidi w:val="0"/>
                    <w:rPr>
                      <w:rFonts w:hint="default" w:ascii="Times New Roman" w:hAnsi="Times New Roman" w:eastAsia="宋体" w:cs="Times New Roman"/>
                      <w:bCs/>
                      <w:color w:val="000000"/>
                      <w:kern w:val="2"/>
                      <w:sz w:val="21"/>
                      <w:szCs w:val="21"/>
                      <w:lang w:val="en-US" w:eastAsia="zh-CN" w:bidi="ar-SA"/>
                    </w:rPr>
                  </w:pPr>
                  <w:r>
                    <w:rPr>
                      <w:rFonts w:hint="eastAsia"/>
                      <w:color w:val="000000"/>
                      <w:lang w:val="en-US" w:eastAsia="zh-CN"/>
                    </w:rPr>
                    <w:t>1</w:t>
                  </w:r>
                </w:p>
              </w:tc>
              <w:tc>
                <w:tcPr>
                  <w:tcW w:w="998" w:type="pct"/>
                  <w:vMerge w:val="restart"/>
                  <w:noWrap w:val="0"/>
                  <w:vAlign w:val="center"/>
                </w:tcPr>
                <w:p w14:paraId="5D472B02">
                  <w:pPr>
                    <w:pStyle w:val="34"/>
                    <w:bidi w:val="0"/>
                    <w:rPr>
                      <w:rFonts w:hint="default" w:ascii="Times New Roman" w:hAnsi="Times New Roman" w:eastAsia="宋体" w:cs="Times New Roman"/>
                      <w:bCs/>
                      <w:color w:val="000000"/>
                      <w:kern w:val="2"/>
                      <w:sz w:val="21"/>
                      <w:szCs w:val="21"/>
                      <w:lang w:val="en-US" w:eastAsia="zh-CN" w:bidi="ar-SA"/>
                    </w:rPr>
                  </w:pPr>
                  <w:r>
                    <w:rPr>
                      <w:rFonts w:hint="eastAsia"/>
                      <w:color w:val="000000"/>
                      <w:lang w:val="en-US" w:eastAsia="zh-CN"/>
                    </w:rPr>
                    <w:t>开槽折弯</w:t>
                  </w:r>
                </w:p>
              </w:tc>
            </w:tr>
            <w:tr w14:paraId="37707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150" w:type="pct"/>
                  <w:noWrap w:val="0"/>
                  <w:vAlign w:val="center"/>
                </w:tcPr>
                <w:p w14:paraId="6C0C7FAE">
                  <w:pPr>
                    <w:pStyle w:val="34"/>
                    <w:bidi w:val="0"/>
                    <w:rPr>
                      <w:rFonts w:hint="default" w:ascii="Times New Roman" w:hAnsi="Times New Roman" w:eastAsia="宋体" w:cs="Times New Roman"/>
                      <w:bCs/>
                      <w:color w:val="000000"/>
                      <w:kern w:val="2"/>
                      <w:sz w:val="21"/>
                      <w:szCs w:val="21"/>
                      <w:lang w:val="en-US" w:eastAsia="zh-CN" w:bidi="ar-SA"/>
                    </w:rPr>
                  </w:pPr>
                  <w:r>
                    <w:rPr>
                      <w:rFonts w:hint="eastAsia" w:cs="Times New Roman"/>
                      <w:bCs/>
                      <w:color w:val="000000"/>
                      <w:kern w:val="2"/>
                      <w:sz w:val="21"/>
                      <w:szCs w:val="21"/>
                      <w:lang w:val="en-US" w:eastAsia="zh-CN" w:bidi="ar-SA"/>
                    </w:rPr>
                    <w:t>刨槽机</w:t>
                  </w:r>
                </w:p>
              </w:tc>
              <w:tc>
                <w:tcPr>
                  <w:tcW w:w="1665" w:type="pct"/>
                  <w:noWrap w:val="0"/>
                  <w:vAlign w:val="center"/>
                </w:tcPr>
                <w:p w14:paraId="4EBDE988">
                  <w:pPr>
                    <w:pStyle w:val="34"/>
                    <w:bidi w:val="0"/>
                    <w:rPr>
                      <w:rFonts w:hint="default" w:ascii="Times New Roman" w:hAnsi="Times New Roman" w:eastAsia="宋体" w:cs="Times New Roman"/>
                      <w:bCs/>
                      <w:color w:val="000000"/>
                      <w:kern w:val="2"/>
                      <w:sz w:val="21"/>
                      <w:szCs w:val="21"/>
                      <w:lang w:val="en-US" w:eastAsia="zh-CN" w:bidi="ar-SA"/>
                    </w:rPr>
                  </w:pPr>
                  <w:r>
                    <w:rPr>
                      <w:rFonts w:hint="eastAsia" w:cs="Times New Roman"/>
                      <w:bCs/>
                      <w:color w:val="000000"/>
                      <w:kern w:val="2"/>
                      <w:sz w:val="21"/>
                      <w:szCs w:val="21"/>
                      <w:lang w:val="en-US" w:eastAsia="zh-CN" w:bidi="ar-SA"/>
                    </w:rPr>
                    <w:t>QCPC-4200</w:t>
                  </w:r>
                </w:p>
              </w:tc>
              <w:tc>
                <w:tcPr>
                  <w:tcW w:w="1186" w:type="pct"/>
                  <w:noWrap w:val="0"/>
                  <w:vAlign w:val="center"/>
                </w:tcPr>
                <w:p w14:paraId="604293D4">
                  <w:pPr>
                    <w:pStyle w:val="34"/>
                    <w:bidi w:val="0"/>
                    <w:rPr>
                      <w:rFonts w:hint="default" w:ascii="Times New Roman" w:hAnsi="Times New Roman" w:eastAsia="宋体" w:cs="Times New Roman"/>
                      <w:bCs/>
                      <w:color w:val="000000"/>
                      <w:kern w:val="2"/>
                      <w:sz w:val="21"/>
                      <w:szCs w:val="21"/>
                      <w:lang w:val="en-US" w:eastAsia="zh-CN" w:bidi="ar-SA"/>
                    </w:rPr>
                  </w:pPr>
                  <w:r>
                    <w:rPr>
                      <w:rFonts w:hint="eastAsia"/>
                      <w:color w:val="000000"/>
                      <w:lang w:val="en-US" w:eastAsia="zh-CN"/>
                    </w:rPr>
                    <w:t>1</w:t>
                  </w:r>
                </w:p>
              </w:tc>
              <w:tc>
                <w:tcPr>
                  <w:tcW w:w="998" w:type="pct"/>
                  <w:vMerge w:val="continue"/>
                  <w:noWrap w:val="0"/>
                  <w:vAlign w:val="center"/>
                </w:tcPr>
                <w:p w14:paraId="18DDC5D2">
                  <w:pPr>
                    <w:pStyle w:val="34"/>
                    <w:bidi w:val="0"/>
                    <w:rPr>
                      <w:rFonts w:hint="default"/>
                      <w:color w:val="000000"/>
                      <w:lang w:val="en-US" w:eastAsia="zh-CN"/>
                    </w:rPr>
                  </w:pPr>
                </w:p>
              </w:tc>
            </w:tr>
            <w:tr w14:paraId="0BBCC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150" w:type="pct"/>
                  <w:noWrap w:val="0"/>
                  <w:vAlign w:val="center"/>
                </w:tcPr>
                <w:p w14:paraId="0585B4B2">
                  <w:pPr>
                    <w:pStyle w:val="34"/>
                    <w:bidi w:val="0"/>
                    <w:rPr>
                      <w:rFonts w:hint="default" w:cs="Times New Roman"/>
                      <w:bCs/>
                      <w:color w:val="000000"/>
                      <w:kern w:val="2"/>
                      <w:sz w:val="21"/>
                      <w:szCs w:val="21"/>
                      <w:lang w:val="en-US" w:eastAsia="zh-CN" w:bidi="ar-SA"/>
                    </w:rPr>
                  </w:pPr>
                  <w:r>
                    <w:rPr>
                      <w:rFonts w:hint="eastAsia" w:cs="Times New Roman"/>
                      <w:bCs/>
                      <w:color w:val="000000"/>
                      <w:kern w:val="2"/>
                      <w:sz w:val="21"/>
                      <w:szCs w:val="21"/>
                      <w:lang w:val="en-US" w:eastAsia="zh-CN" w:bidi="ar-SA"/>
                    </w:rPr>
                    <w:t>折弯机</w:t>
                  </w:r>
                </w:p>
              </w:tc>
              <w:tc>
                <w:tcPr>
                  <w:tcW w:w="1665" w:type="pct"/>
                  <w:noWrap w:val="0"/>
                  <w:vAlign w:val="center"/>
                </w:tcPr>
                <w:p w14:paraId="26FC096E">
                  <w:pPr>
                    <w:pStyle w:val="34"/>
                    <w:bidi w:val="0"/>
                    <w:rPr>
                      <w:rFonts w:hint="default" w:ascii="Times New Roman" w:hAnsi="Times New Roman" w:eastAsia="宋体" w:cs="Times New Roman"/>
                      <w:bCs/>
                      <w:color w:val="000000"/>
                      <w:kern w:val="2"/>
                      <w:sz w:val="21"/>
                      <w:szCs w:val="21"/>
                      <w:lang w:val="en-US" w:eastAsia="zh-CN" w:bidi="ar-SA"/>
                    </w:rPr>
                  </w:pPr>
                  <w:r>
                    <w:rPr>
                      <w:rFonts w:hint="eastAsia" w:cs="Times New Roman"/>
                      <w:bCs/>
                      <w:color w:val="000000"/>
                      <w:kern w:val="2"/>
                      <w:sz w:val="21"/>
                      <w:szCs w:val="21"/>
                      <w:lang w:val="en-US" w:eastAsia="zh-CN" w:bidi="ar-SA"/>
                    </w:rPr>
                    <w:t>WC67K</w:t>
                  </w:r>
                </w:p>
              </w:tc>
              <w:tc>
                <w:tcPr>
                  <w:tcW w:w="1186" w:type="pct"/>
                  <w:noWrap w:val="0"/>
                  <w:vAlign w:val="center"/>
                </w:tcPr>
                <w:p w14:paraId="0F969A52">
                  <w:pPr>
                    <w:pStyle w:val="34"/>
                    <w:bidi w:val="0"/>
                    <w:rPr>
                      <w:rFonts w:hint="default"/>
                      <w:color w:val="000000"/>
                      <w:lang w:val="en-US" w:eastAsia="zh-CN"/>
                    </w:rPr>
                  </w:pPr>
                  <w:r>
                    <w:rPr>
                      <w:rFonts w:hint="eastAsia"/>
                      <w:color w:val="000000"/>
                      <w:lang w:val="en-US" w:eastAsia="zh-CN"/>
                    </w:rPr>
                    <w:t>1</w:t>
                  </w:r>
                </w:p>
              </w:tc>
              <w:tc>
                <w:tcPr>
                  <w:tcW w:w="998" w:type="pct"/>
                  <w:vMerge w:val="continue"/>
                  <w:noWrap w:val="0"/>
                  <w:vAlign w:val="center"/>
                </w:tcPr>
                <w:p w14:paraId="535A2412">
                  <w:pPr>
                    <w:pStyle w:val="34"/>
                    <w:bidi w:val="0"/>
                    <w:rPr>
                      <w:rFonts w:hint="default"/>
                      <w:color w:val="000000"/>
                      <w:lang w:val="en-US" w:eastAsia="zh-CN"/>
                    </w:rPr>
                  </w:pPr>
                </w:p>
              </w:tc>
            </w:tr>
            <w:tr w14:paraId="71CA0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150" w:type="pct"/>
                  <w:noWrap w:val="0"/>
                  <w:vAlign w:val="center"/>
                </w:tcPr>
                <w:p w14:paraId="1EBDAD30">
                  <w:pPr>
                    <w:pStyle w:val="34"/>
                    <w:bidi w:val="0"/>
                    <w:rPr>
                      <w:rFonts w:hint="eastAsia" w:ascii="Times New Roman" w:hAnsi="Times New Roman" w:eastAsia="宋体" w:cs="Times New Roman"/>
                      <w:bCs/>
                      <w:color w:val="000000"/>
                      <w:kern w:val="2"/>
                      <w:sz w:val="21"/>
                      <w:szCs w:val="21"/>
                      <w:lang w:val="en-US" w:eastAsia="zh-CN" w:bidi="ar-SA"/>
                    </w:rPr>
                  </w:pPr>
                  <w:r>
                    <w:rPr>
                      <w:rFonts w:hint="eastAsia"/>
                      <w:color w:val="000000"/>
                      <w:lang w:val="en-US" w:eastAsia="zh-CN"/>
                    </w:rPr>
                    <w:t>二氧化碳气保焊机</w:t>
                  </w:r>
                </w:p>
              </w:tc>
              <w:tc>
                <w:tcPr>
                  <w:tcW w:w="1665" w:type="pct"/>
                  <w:noWrap w:val="0"/>
                  <w:vAlign w:val="center"/>
                </w:tcPr>
                <w:p w14:paraId="5C7086B1">
                  <w:pPr>
                    <w:pStyle w:val="34"/>
                    <w:bidi w:val="0"/>
                    <w:rPr>
                      <w:rFonts w:hint="eastAsia" w:ascii="Times New Roman" w:hAnsi="Times New Roman" w:eastAsia="宋体" w:cs="Times New Roman"/>
                      <w:bCs/>
                      <w:color w:val="000000"/>
                      <w:kern w:val="2"/>
                      <w:sz w:val="21"/>
                      <w:szCs w:val="21"/>
                      <w:lang w:val="en-US" w:eastAsia="zh-CN" w:bidi="ar-SA"/>
                    </w:rPr>
                  </w:pPr>
                  <w:r>
                    <w:rPr>
                      <w:rFonts w:hint="eastAsia"/>
                      <w:color w:val="000000"/>
                      <w:lang w:val="en-US" w:eastAsia="zh-CN"/>
                    </w:rPr>
                    <w:t>NB-500N</w:t>
                  </w:r>
                </w:p>
              </w:tc>
              <w:tc>
                <w:tcPr>
                  <w:tcW w:w="1186" w:type="pct"/>
                  <w:noWrap w:val="0"/>
                  <w:vAlign w:val="center"/>
                </w:tcPr>
                <w:p w14:paraId="7F0B2BA0">
                  <w:pPr>
                    <w:pStyle w:val="34"/>
                    <w:bidi w:val="0"/>
                    <w:rPr>
                      <w:rFonts w:hint="eastAsia" w:ascii="Times New Roman" w:hAnsi="Times New Roman" w:eastAsia="宋体" w:cs="Times New Roman"/>
                      <w:bCs/>
                      <w:color w:val="000000"/>
                      <w:kern w:val="2"/>
                      <w:sz w:val="21"/>
                      <w:szCs w:val="21"/>
                      <w:lang w:val="en-US" w:eastAsia="zh-CN" w:bidi="ar-SA"/>
                    </w:rPr>
                  </w:pPr>
                  <w:r>
                    <w:rPr>
                      <w:rFonts w:hint="eastAsia"/>
                      <w:color w:val="000000"/>
                      <w:lang w:val="en-US" w:eastAsia="zh-CN"/>
                    </w:rPr>
                    <w:t>3</w:t>
                  </w:r>
                </w:p>
              </w:tc>
              <w:tc>
                <w:tcPr>
                  <w:tcW w:w="998" w:type="pct"/>
                  <w:vMerge w:val="restart"/>
                  <w:noWrap w:val="0"/>
                  <w:vAlign w:val="center"/>
                </w:tcPr>
                <w:p w14:paraId="6234577E">
                  <w:pPr>
                    <w:pStyle w:val="34"/>
                    <w:bidi w:val="0"/>
                    <w:rPr>
                      <w:rFonts w:hint="default"/>
                      <w:color w:val="000000"/>
                      <w:lang w:val="en-US" w:eastAsia="zh-CN"/>
                    </w:rPr>
                  </w:pPr>
                  <w:r>
                    <w:rPr>
                      <w:rFonts w:hint="eastAsia"/>
                      <w:color w:val="000000"/>
                      <w:lang w:val="en-US" w:eastAsia="zh-CN"/>
                    </w:rPr>
                    <w:t>焊接</w:t>
                  </w:r>
                </w:p>
              </w:tc>
            </w:tr>
            <w:tr w14:paraId="2B9B2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150" w:type="pct"/>
                  <w:noWrap w:val="0"/>
                  <w:vAlign w:val="center"/>
                </w:tcPr>
                <w:p w14:paraId="5358295C">
                  <w:pPr>
                    <w:pStyle w:val="34"/>
                    <w:bidi w:val="0"/>
                    <w:rPr>
                      <w:rFonts w:hint="default" w:ascii="Times New Roman" w:hAnsi="Times New Roman" w:eastAsia="宋体" w:cs="Times New Roman"/>
                      <w:bCs/>
                      <w:color w:val="000000"/>
                      <w:kern w:val="2"/>
                      <w:sz w:val="21"/>
                      <w:szCs w:val="21"/>
                      <w:lang w:val="en-US" w:eastAsia="zh-CN" w:bidi="ar-SA"/>
                    </w:rPr>
                  </w:pPr>
                  <w:r>
                    <w:rPr>
                      <w:rFonts w:hint="eastAsia" w:cs="Times New Roman"/>
                      <w:bCs/>
                      <w:color w:val="000000"/>
                      <w:kern w:val="2"/>
                      <w:sz w:val="21"/>
                      <w:szCs w:val="21"/>
                      <w:lang w:val="en-US" w:eastAsia="zh-CN" w:bidi="ar-SA"/>
                    </w:rPr>
                    <w:t>氩弧焊</w:t>
                  </w:r>
                </w:p>
              </w:tc>
              <w:tc>
                <w:tcPr>
                  <w:tcW w:w="1665" w:type="pct"/>
                  <w:noWrap w:val="0"/>
                  <w:vAlign w:val="center"/>
                </w:tcPr>
                <w:p w14:paraId="2023A24A">
                  <w:pPr>
                    <w:pStyle w:val="34"/>
                    <w:bidi w:val="0"/>
                    <w:rPr>
                      <w:rFonts w:hint="default" w:ascii="Times New Roman" w:hAnsi="Times New Roman" w:eastAsia="宋体" w:cs="Times New Roman"/>
                      <w:bCs/>
                      <w:color w:val="000000"/>
                      <w:kern w:val="2"/>
                      <w:sz w:val="21"/>
                      <w:szCs w:val="21"/>
                      <w:lang w:val="en-US" w:eastAsia="zh-CN" w:bidi="ar-SA"/>
                    </w:rPr>
                  </w:pPr>
                  <w:r>
                    <w:rPr>
                      <w:rFonts w:hint="eastAsia" w:cs="Times New Roman"/>
                      <w:bCs/>
                      <w:color w:val="000000"/>
                      <w:kern w:val="2"/>
                      <w:sz w:val="21"/>
                      <w:szCs w:val="21"/>
                      <w:lang w:val="en-US" w:eastAsia="zh-CN" w:bidi="ar-SA"/>
                    </w:rPr>
                    <w:t>WS/TIG-200</w:t>
                  </w:r>
                </w:p>
              </w:tc>
              <w:tc>
                <w:tcPr>
                  <w:tcW w:w="1186" w:type="pct"/>
                  <w:noWrap w:val="0"/>
                  <w:vAlign w:val="center"/>
                </w:tcPr>
                <w:p w14:paraId="242B7AED">
                  <w:pPr>
                    <w:pStyle w:val="34"/>
                    <w:bidi w:val="0"/>
                    <w:rPr>
                      <w:rFonts w:hint="default"/>
                      <w:color w:val="000000"/>
                      <w:lang w:val="en-US" w:eastAsia="zh-CN"/>
                    </w:rPr>
                  </w:pPr>
                  <w:r>
                    <w:rPr>
                      <w:rFonts w:hint="eastAsia"/>
                      <w:color w:val="000000"/>
                      <w:lang w:val="en-US" w:eastAsia="zh-CN"/>
                    </w:rPr>
                    <w:t>3</w:t>
                  </w:r>
                </w:p>
              </w:tc>
              <w:tc>
                <w:tcPr>
                  <w:tcW w:w="998" w:type="pct"/>
                  <w:vMerge w:val="continue"/>
                  <w:noWrap w:val="0"/>
                  <w:vAlign w:val="center"/>
                </w:tcPr>
                <w:p w14:paraId="1035E926">
                  <w:pPr>
                    <w:pStyle w:val="34"/>
                    <w:bidi w:val="0"/>
                    <w:rPr>
                      <w:rFonts w:hint="eastAsia"/>
                      <w:color w:val="000000"/>
                      <w:lang w:val="en-US" w:eastAsia="zh-CN"/>
                    </w:rPr>
                  </w:pPr>
                </w:p>
              </w:tc>
            </w:tr>
            <w:tr w14:paraId="7478B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150" w:type="pct"/>
                  <w:noWrap w:val="0"/>
                  <w:vAlign w:val="center"/>
                </w:tcPr>
                <w:p w14:paraId="7D11C727">
                  <w:pPr>
                    <w:pStyle w:val="34"/>
                    <w:bidi w:val="0"/>
                    <w:rPr>
                      <w:rFonts w:hint="default" w:ascii="Times New Roman" w:hAnsi="Times New Roman" w:eastAsia="宋体" w:cs="Times New Roman"/>
                      <w:bCs/>
                      <w:color w:val="000000"/>
                      <w:kern w:val="2"/>
                      <w:sz w:val="21"/>
                      <w:szCs w:val="21"/>
                      <w:lang w:val="en-US" w:eastAsia="zh-CN" w:bidi="ar-SA"/>
                    </w:rPr>
                  </w:pPr>
                  <w:r>
                    <w:rPr>
                      <w:rFonts w:hint="eastAsia" w:cs="Times New Roman"/>
                      <w:bCs/>
                      <w:color w:val="000000"/>
                      <w:kern w:val="2"/>
                      <w:sz w:val="21"/>
                      <w:szCs w:val="21"/>
                      <w:lang w:val="en-US" w:eastAsia="zh-CN" w:bidi="ar-SA"/>
                    </w:rPr>
                    <w:t>手工点焊机</w:t>
                  </w:r>
                </w:p>
              </w:tc>
              <w:tc>
                <w:tcPr>
                  <w:tcW w:w="1665" w:type="pct"/>
                  <w:noWrap w:val="0"/>
                  <w:vAlign w:val="center"/>
                </w:tcPr>
                <w:p w14:paraId="30C6EDA4">
                  <w:pPr>
                    <w:pStyle w:val="34"/>
                    <w:bidi w:val="0"/>
                    <w:rPr>
                      <w:rFonts w:hint="default" w:ascii="Times New Roman" w:hAnsi="Times New Roman" w:eastAsia="宋体" w:cs="Times New Roman"/>
                      <w:bCs/>
                      <w:color w:val="000000"/>
                      <w:kern w:val="2"/>
                      <w:sz w:val="21"/>
                      <w:szCs w:val="21"/>
                      <w:lang w:val="en-US" w:eastAsia="zh-CN" w:bidi="ar-SA"/>
                    </w:rPr>
                  </w:pPr>
                  <w:r>
                    <w:rPr>
                      <w:rFonts w:hint="eastAsia" w:cs="Times New Roman"/>
                      <w:bCs/>
                      <w:color w:val="000000"/>
                      <w:kern w:val="2"/>
                      <w:sz w:val="21"/>
                      <w:szCs w:val="21"/>
                      <w:lang w:val="en-US" w:eastAsia="zh-CN" w:bidi="ar-SA"/>
                    </w:rPr>
                    <w:t>/</w:t>
                  </w:r>
                </w:p>
              </w:tc>
              <w:tc>
                <w:tcPr>
                  <w:tcW w:w="1186" w:type="pct"/>
                  <w:noWrap w:val="0"/>
                  <w:vAlign w:val="center"/>
                </w:tcPr>
                <w:p w14:paraId="6AB615EB">
                  <w:pPr>
                    <w:pStyle w:val="34"/>
                    <w:bidi w:val="0"/>
                    <w:rPr>
                      <w:rFonts w:hint="default"/>
                      <w:color w:val="000000"/>
                      <w:lang w:val="en-US" w:eastAsia="zh-CN"/>
                    </w:rPr>
                  </w:pPr>
                  <w:r>
                    <w:rPr>
                      <w:rFonts w:hint="eastAsia"/>
                      <w:color w:val="000000"/>
                      <w:lang w:val="en-US" w:eastAsia="zh-CN"/>
                    </w:rPr>
                    <w:t>1</w:t>
                  </w:r>
                </w:p>
              </w:tc>
              <w:tc>
                <w:tcPr>
                  <w:tcW w:w="998" w:type="pct"/>
                  <w:vMerge w:val="continue"/>
                  <w:noWrap w:val="0"/>
                  <w:vAlign w:val="center"/>
                </w:tcPr>
                <w:p w14:paraId="0F2CB17D">
                  <w:pPr>
                    <w:pStyle w:val="34"/>
                    <w:bidi w:val="0"/>
                    <w:rPr>
                      <w:rFonts w:hint="eastAsia"/>
                      <w:color w:val="000000"/>
                      <w:lang w:val="en-US" w:eastAsia="zh-CN"/>
                    </w:rPr>
                  </w:pPr>
                </w:p>
              </w:tc>
            </w:tr>
            <w:tr w14:paraId="39550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150" w:type="pct"/>
                  <w:noWrap w:val="0"/>
                  <w:vAlign w:val="center"/>
                </w:tcPr>
                <w:p w14:paraId="42044336">
                  <w:pPr>
                    <w:pStyle w:val="34"/>
                    <w:bidi w:val="0"/>
                    <w:rPr>
                      <w:rFonts w:hint="default" w:ascii="Times New Roman" w:hAnsi="Times New Roman" w:eastAsia="宋体" w:cs="Times New Roman"/>
                      <w:bCs/>
                      <w:color w:val="000000"/>
                      <w:kern w:val="2"/>
                      <w:sz w:val="21"/>
                      <w:szCs w:val="21"/>
                      <w:lang w:val="en-US" w:eastAsia="zh-CN" w:bidi="ar-SA"/>
                    </w:rPr>
                  </w:pPr>
                  <w:r>
                    <w:rPr>
                      <w:rFonts w:hint="eastAsia" w:cs="Times New Roman"/>
                      <w:bCs/>
                      <w:color w:val="000000"/>
                      <w:kern w:val="2"/>
                      <w:sz w:val="21"/>
                      <w:szCs w:val="21"/>
                      <w:lang w:val="en-US" w:eastAsia="zh-CN" w:bidi="ar-SA"/>
                    </w:rPr>
                    <w:t>砂轮机</w:t>
                  </w:r>
                </w:p>
              </w:tc>
              <w:tc>
                <w:tcPr>
                  <w:tcW w:w="1665" w:type="pct"/>
                  <w:noWrap w:val="0"/>
                  <w:vAlign w:val="center"/>
                </w:tcPr>
                <w:p w14:paraId="59551341">
                  <w:pPr>
                    <w:pStyle w:val="34"/>
                    <w:bidi w:val="0"/>
                    <w:rPr>
                      <w:rFonts w:hint="default" w:ascii="Times New Roman" w:hAnsi="Times New Roman" w:eastAsia="宋体" w:cs="Times New Roman"/>
                      <w:bCs/>
                      <w:color w:val="000000"/>
                      <w:kern w:val="2"/>
                      <w:sz w:val="21"/>
                      <w:szCs w:val="21"/>
                      <w:lang w:val="en-US" w:eastAsia="zh-CN" w:bidi="ar-SA"/>
                    </w:rPr>
                  </w:pPr>
                  <w:r>
                    <w:rPr>
                      <w:rFonts w:hint="eastAsia" w:cs="Times New Roman"/>
                      <w:bCs/>
                      <w:color w:val="000000"/>
                      <w:kern w:val="2"/>
                      <w:sz w:val="21"/>
                      <w:szCs w:val="21"/>
                      <w:lang w:val="en-US" w:eastAsia="zh-CN" w:bidi="ar-SA"/>
                    </w:rPr>
                    <w:t>/</w:t>
                  </w:r>
                </w:p>
              </w:tc>
              <w:tc>
                <w:tcPr>
                  <w:tcW w:w="1186" w:type="pct"/>
                  <w:noWrap w:val="0"/>
                  <w:vAlign w:val="center"/>
                </w:tcPr>
                <w:p w14:paraId="38EE3331">
                  <w:pPr>
                    <w:pStyle w:val="34"/>
                    <w:bidi w:val="0"/>
                    <w:rPr>
                      <w:rFonts w:hint="default"/>
                      <w:color w:val="000000"/>
                      <w:lang w:val="en-US" w:eastAsia="zh-CN"/>
                    </w:rPr>
                  </w:pPr>
                  <w:r>
                    <w:rPr>
                      <w:rFonts w:hint="eastAsia"/>
                      <w:color w:val="000000"/>
                      <w:lang w:val="en-US" w:eastAsia="zh-CN"/>
                    </w:rPr>
                    <w:t>5</w:t>
                  </w:r>
                </w:p>
              </w:tc>
              <w:tc>
                <w:tcPr>
                  <w:tcW w:w="998" w:type="pct"/>
                  <w:noWrap w:val="0"/>
                  <w:vAlign w:val="center"/>
                </w:tcPr>
                <w:p w14:paraId="26A5D300">
                  <w:pPr>
                    <w:pStyle w:val="34"/>
                    <w:bidi w:val="0"/>
                    <w:rPr>
                      <w:rFonts w:hint="default"/>
                      <w:color w:val="000000"/>
                      <w:lang w:val="en-US" w:eastAsia="zh-CN"/>
                    </w:rPr>
                  </w:pPr>
                  <w:r>
                    <w:rPr>
                      <w:rFonts w:hint="eastAsia"/>
                      <w:color w:val="000000"/>
                      <w:lang w:val="en-US" w:eastAsia="zh-CN"/>
                    </w:rPr>
                    <w:t>打磨</w:t>
                  </w:r>
                </w:p>
              </w:tc>
            </w:tr>
            <w:tr w14:paraId="1B52F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150" w:type="pct"/>
                  <w:noWrap w:val="0"/>
                  <w:vAlign w:val="center"/>
                </w:tcPr>
                <w:p w14:paraId="01105E52">
                  <w:pPr>
                    <w:pStyle w:val="34"/>
                    <w:bidi w:val="0"/>
                    <w:rPr>
                      <w:rFonts w:hint="default" w:ascii="Times New Roman" w:hAnsi="Times New Roman" w:eastAsia="宋体" w:cs="Times New Roman"/>
                      <w:bCs/>
                      <w:color w:val="000000"/>
                      <w:kern w:val="2"/>
                      <w:sz w:val="21"/>
                      <w:szCs w:val="21"/>
                      <w:lang w:val="en-US" w:eastAsia="zh-CN" w:bidi="ar-SA"/>
                    </w:rPr>
                  </w:pPr>
                  <w:r>
                    <w:rPr>
                      <w:rFonts w:hint="eastAsia" w:cs="Times New Roman"/>
                      <w:bCs/>
                      <w:color w:val="000000"/>
                      <w:kern w:val="2"/>
                      <w:sz w:val="21"/>
                      <w:szCs w:val="21"/>
                      <w:lang w:val="en-US" w:eastAsia="zh-CN" w:bidi="ar-SA"/>
                    </w:rPr>
                    <w:t>喷漆房</w:t>
                  </w:r>
                </w:p>
              </w:tc>
              <w:tc>
                <w:tcPr>
                  <w:tcW w:w="1665" w:type="pct"/>
                  <w:noWrap w:val="0"/>
                  <w:vAlign w:val="center"/>
                </w:tcPr>
                <w:p w14:paraId="6643E63D">
                  <w:pPr>
                    <w:pStyle w:val="34"/>
                    <w:bidi w:val="0"/>
                    <w:rPr>
                      <w:rFonts w:hint="default" w:ascii="Times New Roman" w:hAnsi="Times New Roman" w:eastAsia="宋体" w:cs="Times New Roman"/>
                      <w:bCs/>
                      <w:color w:val="000000"/>
                      <w:kern w:val="2"/>
                      <w:sz w:val="21"/>
                      <w:szCs w:val="21"/>
                      <w:lang w:val="en-US" w:eastAsia="zh-CN" w:bidi="ar-SA"/>
                    </w:rPr>
                  </w:pPr>
                  <w:r>
                    <w:rPr>
                      <w:rFonts w:hint="eastAsia" w:cs="Times New Roman"/>
                      <w:bCs/>
                      <w:color w:val="000000"/>
                      <w:kern w:val="2"/>
                      <w:sz w:val="21"/>
                      <w:szCs w:val="21"/>
                      <w:lang w:val="en-US" w:eastAsia="zh-CN" w:bidi="ar-SA"/>
                    </w:rPr>
                    <w:t>12*9*3m，2个喷漆工位，每个工位设置1把手持气动喷枪</w:t>
                  </w:r>
                </w:p>
              </w:tc>
              <w:tc>
                <w:tcPr>
                  <w:tcW w:w="1186" w:type="pct"/>
                  <w:noWrap w:val="0"/>
                  <w:vAlign w:val="center"/>
                </w:tcPr>
                <w:p w14:paraId="3591D691">
                  <w:pPr>
                    <w:pStyle w:val="34"/>
                    <w:bidi w:val="0"/>
                    <w:rPr>
                      <w:rFonts w:hint="default"/>
                      <w:color w:val="000000"/>
                      <w:lang w:val="en-US" w:eastAsia="zh-CN"/>
                    </w:rPr>
                  </w:pPr>
                  <w:r>
                    <w:rPr>
                      <w:rFonts w:hint="eastAsia"/>
                      <w:color w:val="000000"/>
                      <w:lang w:val="en-US" w:eastAsia="zh-CN"/>
                    </w:rPr>
                    <w:t>1</w:t>
                  </w:r>
                </w:p>
              </w:tc>
              <w:tc>
                <w:tcPr>
                  <w:tcW w:w="998" w:type="pct"/>
                  <w:vMerge w:val="restart"/>
                  <w:noWrap w:val="0"/>
                  <w:vAlign w:val="center"/>
                </w:tcPr>
                <w:p w14:paraId="7EAEC166">
                  <w:pPr>
                    <w:pStyle w:val="34"/>
                    <w:bidi w:val="0"/>
                    <w:rPr>
                      <w:rFonts w:hint="default"/>
                      <w:color w:val="000000"/>
                      <w:lang w:val="en-US" w:eastAsia="zh-CN"/>
                    </w:rPr>
                  </w:pPr>
                  <w:r>
                    <w:rPr>
                      <w:rFonts w:hint="eastAsia"/>
                      <w:color w:val="000000"/>
                      <w:lang w:val="en-US" w:eastAsia="zh-CN"/>
                    </w:rPr>
                    <w:t>喷漆</w:t>
                  </w:r>
                </w:p>
              </w:tc>
            </w:tr>
            <w:tr w14:paraId="6DECB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150" w:type="pct"/>
                  <w:noWrap w:val="0"/>
                  <w:vAlign w:val="center"/>
                </w:tcPr>
                <w:p w14:paraId="1E748DE7">
                  <w:pPr>
                    <w:pStyle w:val="34"/>
                    <w:bidi w:val="0"/>
                    <w:rPr>
                      <w:rFonts w:hint="default" w:ascii="Times New Roman" w:hAnsi="Times New Roman" w:eastAsia="宋体" w:cs="Times New Roman"/>
                      <w:bCs/>
                      <w:color w:val="000000"/>
                      <w:kern w:val="2"/>
                      <w:sz w:val="21"/>
                      <w:szCs w:val="21"/>
                      <w:lang w:val="en-US" w:eastAsia="zh-CN" w:bidi="ar-SA"/>
                    </w:rPr>
                  </w:pPr>
                  <w:r>
                    <w:rPr>
                      <w:rFonts w:hint="eastAsia" w:cs="Times New Roman"/>
                      <w:bCs/>
                      <w:color w:val="000000"/>
                      <w:kern w:val="2"/>
                      <w:sz w:val="21"/>
                      <w:szCs w:val="21"/>
                      <w:lang w:val="en-US" w:eastAsia="zh-CN" w:bidi="ar-SA"/>
                    </w:rPr>
                    <w:t>烘干房</w:t>
                  </w:r>
                </w:p>
              </w:tc>
              <w:tc>
                <w:tcPr>
                  <w:tcW w:w="1665" w:type="pct"/>
                  <w:noWrap w:val="0"/>
                  <w:vAlign w:val="center"/>
                </w:tcPr>
                <w:p w14:paraId="51C27ACC">
                  <w:pPr>
                    <w:pStyle w:val="34"/>
                    <w:bidi w:val="0"/>
                    <w:rPr>
                      <w:rFonts w:hint="default" w:ascii="Times New Roman" w:hAnsi="Times New Roman" w:eastAsia="宋体" w:cs="Times New Roman"/>
                      <w:bCs/>
                      <w:color w:val="000000"/>
                      <w:kern w:val="2"/>
                      <w:sz w:val="21"/>
                      <w:szCs w:val="21"/>
                      <w:lang w:val="en-US" w:eastAsia="zh-CN" w:bidi="ar-SA"/>
                    </w:rPr>
                  </w:pPr>
                  <w:r>
                    <w:rPr>
                      <w:rFonts w:hint="eastAsia" w:cs="Times New Roman"/>
                      <w:bCs/>
                      <w:color w:val="000000"/>
                      <w:kern w:val="2"/>
                      <w:sz w:val="21"/>
                      <w:szCs w:val="21"/>
                      <w:lang w:val="en-US" w:eastAsia="zh-CN" w:bidi="ar-SA"/>
                    </w:rPr>
                    <w:t>7*4*3m，电加热</w:t>
                  </w:r>
                </w:p>
              </w:tc>
              <w:tc>
                <w:tcPr>
                  <w:tcW w:w="1186" w:type="pct"/>
                  <w:noWrap w:val="0"/>
                  <w:vAlign w:val="center"/>
                </w:tcPr>
                <w:p w14:paraId="4405E16A">
                  <w:pPr>
                    <w:pStyle w:val="34"/>
                    <w:bidi w:val="0"/>
                    <w:rPr>
                      <w:rFonts w:hint="default"/>
                      <w:color w:val="000000"/>
                      <w:lang w:val="en-US" w:eastAsia="zh-CN"/>
                    </w:rPr>
                  </w:pPr>
                  <w:r>
                    <w:rPr>
                      <w:rFonts w:hint="eastAsia"/>
                      <w:color w:val="000000"/>
                      <w:lang w:val="en-US" w:eastAsia="zh-CN"/>
                    </w:rPr>
                    <w:t>1</w:t>
                  </w:r>
                </w:p>
              </w:tc>
              <w:tc>
                <w:tcPr>
                  <w:tcW w:w="998" w:type="pct"/>
                  <w:vMerge w:val="continue"/>
                  <w:noWrap w:val="0"/>
                  <w:vAlign w:val="center"/>
                </w:tcPr>
                <w:p w14:paraId="55B8CCCD">
                  <w:pPr>
                    <w:pStyle w:val="34"/>
                    <w:bidi w:val="0"/>
                    <w:rPr>
                      <w:rFonts w:hint="eastAsia"/>
                      <w:color w:val="000000"/>
                      <w:lang w:val="en-US" w:eastAsia="zh-CN"/>
                    </w:rPr>
                  </w:pPr>
                </w:p>
              </w:tc>
            </w:tr>
            <w:tr w14:paraId="0A0DC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150" w:type="pct"/>
                  <w:noWrap w:val="0"/>
                  <w:vAlign w:val="center"/>
                </w:tcPr>
                <w:p w14:paraId="4271256B">
                  <w:pPr>
                    <w:pStyle w:val="34"/>
                    <w:bidi w:val="0"/>
                    <w:rPr>
                      <w:rFonts w:hint="default" w:cs="Times New Roman"/>
                      <w:bCs/>
                      <w:color w:val="000000"/>
                      <w:kern w:val="2"/>
                      <w:sz w:val="21"/>
                      <w:szCs w:val="21"/>
                      <w:lang w:val="en-US" w:eastAsia="zh-CN" w:bidi="ar-SA"/>
                    </w:rPr>
                  </w:pPr>
                  <w:r>
                    <w:rPr>
                      <w:rFonts w:hint="eastAsia" w:cs="Times New Roman"/>
                      <w:bCs/>
                      <w:color w:val="000000"/>
                      <w:kern w:val="2"/>
                      <w:sz w:val="21"/>
                      <w:szCs w:val="21"/>
                      <w:lang w:val="en-US" w:eastAsia="zh-CN" w:bidi="ar-SA"/>
                    </w:rPr>
                    <w:t>空压机</w:t>
                  </w:r>
                </w:p>
              </w:tc>
              <w:tc>
                <w:tcPr>
                  <w:tcW w:w="1665" w:type="pct"/>
                  <w:noWrap w:val="0"/>
                  <w:vAlign w:val="center"/>
                </w:tcPr>
                <w:p w14:paraId="0F69ABE6">
                  <w:pPr>
                    <w:pStyle w:val="34"/>
                    <w:bidi w:val="0"/>
                    <w:rPr>
                      <w:rFonts w:hint="default" w:cs="Times New Roman"/>
                      <w:bCs/>
                      <w:color w:val="000000"/>
                      <w:kern w:val="2"/>
                      <w:sz w:val="21"/>
                      <w:szCs w:val="21"/>
                      <w:lang w:val="en-US" w:eastAsia="zh-CN" w:bidi="ar-SA"/>
                    </w:rPr>
                  </w:pPr>
                  <w:r>
                    <w:rPr>
                      <w:rFonts w:hint="eastAsia" w:cs="Times New Roman"/>
                      <w:bCs/>
                      <w:color w:val="000000"/>
                      <w:kern w:val="2"/>
                      <w:sz w:val="21"/>
                      <w:szCs w:val="21"/>
                      <w:lang w:val="en-US" w:eastAsia="zh-CN" w:bidi="ar-SA"/>
                    </w:rPr>
                    <w:t>无油空压机，DWL-55</w:t>
                  </w:r>
                </w:p>
              </w:tc>
              <w:tc>
                <w:tcPr>
                  <w:tcW w:w="1186" w:type="pct"/>
                  <w:noWrap w:val="0"/>
                  <w:vAlign w:val="center"/>
                </w:tcPr>
                <w:p w14:paraId="7AC4E6CA">
                  <w:pPr>
                    <w:pStyle w:val="34"/>
                    <w:bidi w:val="0"/>
                    <w:rPr>
                      <w:rFonts w:hint="default"/>
                      <w:color w:val="000000"/>
                      <w:lang w:val="en-US" w:eastAsia="zh-CN"/>
                    </w:rPr>
                  </w:pPr>
                  <w:r>
                    <w:rPr>
                      <w:rFonts w:hint="eastAsia"/>
                      <w:color w:val="000000"/>
                      <w:lang w:val="en-US" w:eastAsia="zh-CN"/>
                    </w:rPr>
                    <w:t>2</w:t>
                  </w:r>
                </w:p>
              </w:tc>
              <w:tc>
                <w:tcPr>
                  <w:tcW w:w="998" w:type="pct"/>
                  <w:noWrap w:val="0"/>
                  <w:vAlign w:val="center"/>
                </w:tcPr>
                <w:p w14:paraId="08DEBF91">
                  <w:pPr>
                    <w:pStyle w:val="34"/>
                    <w:bidi w:val="0"/>
                    <w:rPr>
                      <w:rFonts w:hint="default"/>
                      <w:color w:val="000000"/>
                      <w:lang w:val="en-US" w:eastAsia="zh-CN"/>
                    </w:rPr>
                  </w:pPr>
                  <w:r>
                    <w:rPr>
                      <w:rFonts w:hint="eastAsia"/>
                      <w:color w:val="000000"/>
                      <w:lang w:val="en-US" w:eastAsia="zh-CN"/>
                    </w:rPr>
                    <w:t>/</w:t>
                  </w:r>
                </w:p>
              </w:tc>
            </w:tr>
          </w:tbl>
          <w:p w14:paraId="25DC4418">
            <w:pPr>
              <w:pStyle w:val="21"/>
              <w:bidi w:val="0"/>
              <w:ind w:left="0" w:leftChars="0" w:firstLine="480" w:firstLineChars="200"/>
              <w:jc w:val="left"/>
              <w:rPr>
                <w:rFonts w:hint="default" w:ascii="Times New Roman" w:hAnsi="Times New Roman"/>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上表与环评一致，建设均无变动。</w:t>
            </w:r>
          </w:p>
          <w:p w14:paraId="37B722CD">
            <w:pPr>
              <w:pStyle w:val="21"/>
              <w:bidi w:val="0"/>
              <w:jc w:val="left"/>
              <w:rPr>
                <w:rFonts w:hint="eastAsia" w:ascii="宋体" w:hAnsi="宋体" w:cs="宋体" w:eastAsiaTheme="minorEastAsia"/>
                <w:b/>
                <w:bCs/>
                <w:color w:val="000000" w:themeColor="text1"/>
                <w:szCs w:val="22"/>
                <w:lang w:val="en-US" w:eastAsia="zh-CN" w:bidi="ar-SA"/>
                <w14:textFill>
                  <w14:solidFill>
                    <w14:schemeClr w14:val="tx1"/>
                  </w14:solidFill>
                </w14:textFill>
              </w:rPr>
            </w:pPr>
            <w:r>
              <w:rPr>
                <w:rFonts w:hint="eastAsia" w:ascii="宋体" w:hAnsi="宋体" w:cs="宋体" w:eastAsiaTheme="minorEastAsia"/>
                <w:b/>
                <w:bCs/>
                <w:color w:val="000000" w:themeColor="text1"/>
                <w:szCs w:val="22"/>
                <w:lang w:val="en-US" w:eastAsia="zh-CN" w:bidi="ar-SA"/>
                <w14:textFill>
                  <w14:solidFill>
                    <w14:schemeClr w14:val="tx1"/>
                  </w14:solidFill>
                </w14:textFill>
              </w:rPr>
              <w:t>2.2 原辅材料消耗及水平衡</w:t>
            </w:r>
          </w:p>
          <w:p w14:paraId="2154E06B">
            <w:pPr>
              <w:pStyle w:val="21"/>
              <w:bidi w:val="0"/>
              <w:jc w:val="left"/>
              <w:rPr>
                <w:rFonts w:hint="eastAsia" w:ascii="宋体" w:hAnsi="宋体" w:cs="宋体" w:eastAsiaTheme="minorEastAsia"/>
                <w:b/>
                <w:bCs/>
                <w:color w:val="000000"/>
                <w:szCs w:val="22"/>
                <w:lang w:val="en-US" w:eastAsia="zh-CN" w:bidi="ar-SA"/>
              </w:rPr>
            </w:pPr>
            <w:r>
              <w:rPr>
                <w:rFonts w:hint="eastAsia" w:ascii="宋体" w:hAnsi="宋体" w:cs="宋体" w:eastAsiaTheme="minorEastAsia"/>
                <w:b/>
                <w:bCs/>
                <w:color w:val="000000"/>
                <w:szCs w:val="22"/>
                <w:lang w:val="en-US" w:eastAsia="zh-CN" w:bidi="ar-SA"/>
              </w:rPr>
              <w:t>2.2.1 主要原辅料消耗</w:t>
            </w:r>
          </w:p>
          <w:p w14:paraId="0B8952D2">
            <w:pPr>
              <w:pStyle w:val="21"/>
              <w:bidi w:val="0"/>
              <w:jc w:val="left"/>
              <w:rPr>
                <w:rFonts w:hint="eastAsia" w:ascii="宋体" w:hAnsi="宋体" w:cs="宋体" w:eastAsiaTheme="minorEastAsia"/>
                <w:b w:val="0"/>
                <w:bCs w:val="0"/>
                <w:color w:val="000000"/>
                <w:szCs w:val="22"/>
                <w:lang w:val="en-US" w:eastAsia="zh-CN" w:bidi="ar-SA"/>
              </w:rPr>
            </w:pPr>
            <w:r>
              <w:rPr>
                <w:rFonts w:hint="eastAsia" w:ascii="宋体" w:hAnsi="宋体" w:cs="宋体" w:eastAsiaTheme="minorEastAsia"/>
                <w:b w:val="0"/>
                <w:bCs w:val="0"/>
                <w:color w:val="000000"/>
                <w:szCs w:val="22"/>
                <w:lang w:val="en-US" w:eastAsia="zh-CN" w:bidi="ar-SA"/>
              </w:rPr>
              <w:t>主要原辅材料消耗情况见表 2-6。</w:t>
            </w:r>
          </w:p>
          <w:p w14:paraId="0C07098C">
            <w:pPr>
              <w:pStyle w:val="23"/>
              <w:shd w:val="clear"/>
              <w:rPr>
                <w:color w:val="auto"/>
                <w:highlight w:val="none"/>
              </w:rPr>
            </w:pPr>
            <w:r>
              <w:rPr>
                <w:rFonts w:hint="eastAsia" w:ascii="宋体" w:hAnsi="宋体" w:cs="宋体" w:eastAsiaTheme="minorEastAsia"/>
                <w:b w:val="0"/>
                <w:bCs w:val="0"/>
                <w:color w:val="000000"/>
                <w:szCs w:val="22"/>
                <w:lang w:val="en-US" w:eastAsia="zh-CN" w:bidi="ar-SA"/>
              </w:rPr>
              <w:t>表 2-6</w:t>
            </w:r>
            <w:r>
              <w:rPr>
                <w:color w:val="auto"/>
              </w:rPr>
              <w:t xml:space="preserve"> </w:t>
            </w:r>
            <w:r>
              <w:rPr>
                <w:color w:val="auto"/>
                <w:highlight w:val="none"/>
              </w:rPr>
              <w:t>主要原辅料消耗量及</w:t>
            </w:r>
            <w:r>
              <w:rPr>
                <w:rFonts w:hint="eastAsia"/>
                <w:color w:val="auto"/>
                <w:highlight w:val="none"/>
                <w:lang w:eastAsia="zh-CN"/>
              </w:rPr>
              <w:t>成分</w:t>
            </w:r>
            <w:r>
              <w:rPr>
                <w:color w:val="auto"/>
                <w:highlight w:val="none"/>
              </w:rPr>
              <w:t>表</w:t>
            </w:r>
          </w:p>
          <w:tbl>
            <w:tblPr>
              <w:tblStyle w:val="1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503"/>
              <w:gridCol w:w="1516"/>
              <w:gridCol w:w="1038"/>
              <w:gridCol w:w="1246"/>
              <w:gridCol w:w="3942"/>
              <w:gridCol w:w="1310"/>
            </w:tblGrid>
            <w:tr w14:paraId="2A19C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263" w:type="pct"/>
                  <w:noWrap w:val="0"/>
                  <w:vAlign w:val="center"/>
                </w:tcPr>
                <w:p w14:paraId="5A2D1FEA">
                  <w:pPr>
                    <w:pStyle w:val="34"/>
                    <w:bidi w:val="0"/>
                    <w:rPr>
                      <w:color w:val="000000"/>
                    </w:rPr>
                  </w:pPr>
                  <w:r>
                    <w:rPr>
                      <w:color w:val="000000"/>
                    </w:rPr>
                    <w:t>序号</w:t>
                  </w:r>
                </w:p>
              </w:tc>
              <w:tc>
                <w:tcPr>
                  <w:tcW w:w="793" w:type="pct"/>
                  <w:noWrap w:val="0"/>
                  <w:vAlign w:val="center"/>
                </w:tcPr>
                <w:p w14:paraId="694C68A3">
                  <w:pPr>
                    <w:pStyle w:val="34"/>
                    <w:bidi w:val="0"/>
                    <w:rPr>
                      <w:color w:val="000000"/>
                    </w:rPr>
                  </w:pPr>
                  <w:r>
                    <w:rPr>
                      <w:color w:val="000000"/>
                    </w:rPr>
                    <w:t>名称</w:t>
                  </w:r>
                </w:p>
              </w:tc>
              <w:tc>
                <w:tcPr>
                  <w:tcW w:w="543" w:type="pct"/>
                  <w:noWrap w:val="0"/>
                  <w:vAlign w:val="center"/>
                </w:tcPr>
                <w:p w14:paraId="155FAB9A">
                  <w:pPr>
                    <w:pStyle w:val="34"/>
                    <w:bidi w:val="0"/>
                    <w:rPr>
                      <w:rFonts w:hint="eastAsia"/>
                      <w:color w:val="000000"/>
                      <w:lang w:val="en-US" w:eastAsia="zh-CN"/>
                    </w:rPr>
                  </w:pPr>
                  <w:r>
                    <w:rPr>
                      <w:color w:val="000000"/>
                    </w:rPr>
                    <w:t>年耗量</w:t>
                  </w:r>
                  <w:r>
                    <w:rPr>
                      <w:rFonts w:hint="eastAsia"/>
                      <w:color w:val="000000"/>
                      <w:lang w:val="en-US" w:eastAsia="zh-CN"/>
                    </w:rPr>
                    <w:t>t/a</w:t>
                  </w:r>
                </w:p>
              </w:tc>
              <w:tc>
                <w:tcPr>
                  <w:tcW w:w="652" w:type="pct"/>
                  <w:noWrap w:val="0"/>
                  <w:vAlign w:val="center"/>
                </w:tcPr>
                <w:p w14:paraId="60DDCF7D">
                  <w:pPr>
                    <w:pStyle w:val="34"/>
                    <w:bidi w:val="0"/>
                    <w:rPr>
                      <w:rFonts w:hint="default" w:eastAsia="宋体"/>
                      <w:color w:val="000000"/>
                      <w:lang w:val="en-US" w:eastAsia="zh-CN"/>
                    </w:rPr>
                  </w:pPr>
                  <w:r>
                    <w:rPr>
                      <w:rFonts w:hint="eastAsia"/>
                      <w:color w:val="000000"/>
                      <w:lang w:val="en-US" w:eastAsia="zh-CN"/>
                    </w:rPr>
                    <w:t>包装规格</w:t>
                  </w:r>
                </w:p>
              </w:tc>
              <w:tc>
                <w:tcPr>
                  <w:tcW w:w="2062" w:type="pct"/>
                  <w:noWrap w:val="0"/>
                  <w:vAlign w:val="center"/>
                </w:tcPr>
                <w:p w14:paraId="1C370C5F">
                  <w:pPr>
                    <w:pStyle w:val="34"/>
                    <w:bidi w:val="0"/>
                    <w:rPr>
                      <w:rFonts w:hint="default"/>
                      <w:color w:val="000000"/>
                      <w:lang w:val="en-US" w:eastAsia="zh-CN"/>
                    </w:rPr>
                  </w:pPr>
                  <w:r>
                    <w:rPr>
                      <w:rFonts w:hint="eastAsia"/>
                      <w:color w:val="000000"/>
                      <w:lang w:val="en-US" w:eastAsia="zh-CN"/>
                    </w:rPr>
                    <w:t>主要成分</w:t>
                  </w:r>
                </w:p>
              </w:tc>
              <w:tc>
                <w:tcPr>
                  <w:tcW w:w="685" w:type="pct"/>
                  <w:noWrap w:val="0"/>
                  <w:vAlign w:val="center"/>
                </w:tcPr>
                <w:p w14:paraId="39334BBD">
                  <w:pPr>
                    <w:pStyle w:val="34"/>
                    <w:bidi w:val="0"/>
                    <w:rPr>
                      <w:rFonts w:hint="default"/>
                      <w:color w:val="000000"/>
                      <w:lang w:val="en-US" w:eastAsia="zh-CN"/>
                    </w:rPr>
                  </w:pPr>
                  <w:r>
                    <w:rPr>
                      <w:rFonts w:hint="eastAsia"/>
                      <w:color w:val="000000"/>
                      <w:lang w:val="en-US" w:eastAsia="zh-CN"/>
                    </w:rPr>
                    <w:t>厂区最大存放量t</w:t>
                  </w:r>
                </w:p>
              </w:tc>
            </w:tr>
            <w:tr w14:paraId="0288A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263" w:type="pct"/>
                  <w:noWrap w:val="0"/>
                  <w:vAlign w:val="center"/>
                </w:tcPr>
                <w:p w14:paraId="2860E3FB">
                  <w:pPr>
                    <w:pStyle w:val="34"/>
                    <w:bidi w:val="0"/>
                    <w:rPr>
                      <w:color w:val="000000"/>
                    </w:rPr>
                  </w:pPr>
                  <w:r>
                    <w:rPr>
                      <w:color w:val="000000"/>
                    </w:rPr>
                    <w:t>1</w:t>
                  </w:r>
                </w:p>
              </w:tc>
              <w:tc>
                <w:tcPr>
                  <w:tcW w:w="793" w:type="pct"/>
                  <w:noWrap w:val="0"/>
                  <w:vAlign w:val="center"/>
                </w:tcPr>
                <w:p w14:paraId="5D9B05C7">
                  <w:pPr>
                    <w:pStyle w:val="34"/>
                    <w:bidi w:val="0"/>
                    <w:rPr>
                      <w:rFonts w:hint="default"/>
                      <w:color w:val="000000"/>
                      <w:lang w:val="en-US" w:eastAsia="zh-CN"/>
                    </w:rPr>
                  </w:pPr>
                  <w:r>
                    <w:rPr>
                      <w:rFonts w:hint="eastAsia"/>
                      <w:color w:val="000000"/>
                      <w:lang w:val="en-US" w:eastAsia="zh-CN"/>
                    </w:rPr>
                    <w:t>不锈钢板</w:t>
                  </w:r>
                </w:p>
              </w:tc>
              <w:tc>
                <w:tcPr>
                  <w:tcW w:w="543" w:type="pct"/>
                  <w:noWrap w:val="0"/>
                  <w:vAlign w:val="center"/>
                </w:tcPr>
                <w:p w14:paraId="5C79B314">
                  <w:pPr>
                    <w:pStyle w:val="34"/>
                    <w:bidi w:val="0"/>
                    <w:rPr>
                      <w:rFonts w:hint="default"/>
                      <w:color w:val="000000"/>
                      <w:lang w:val="en-US" w:eastAsia="zh-CN"/>
                    </w:rPr>
                  </w:pPr>
                  <w:r>
                    <w:rPr>
                      <w:rFonts w:hint="eastAsia"/>
                      <w:color w:val="000000"/>
                      <w:lang w:val="en-US" w:eastAsia="zh-CN"/>
                    </w:rPr>
                    <w:t>100t</w:t>
                  </w:r>
                </w:p>
              </w:tc>
              <w:tc>
                <w:tcPr>
                  <w:tcW w:w="652" w:type="pct"/>
                  <w:noWrap w:val="0"/>
                  <w:vAlign w:val="center"/>
                </w:tcPr>
                <w:p w14:paraId="7AE2AFE9">
                  <w:pPr>
                    <w:pStyle w:val="34"/>
                    <w:bidi w:val="0"/>
                    <w:rPr>
                      <w:rFonts w:hint="default"/>
                      <w:color w:val="000000"/>
                      <w:lang w:val="en-US" w:eastAsia="zh-CN"/>
                    </w:rPr>
                  </w:pPr>
                  <w:r>
                    <w:rPr>
                      <w:rFonts w:hint="eastAsia"/>
                      <w:color w:val="000000"/>
                      <w:lang w:val="en-US" w:eastAsia="zh-CN"/>
                    </w:rPr>
                    <w:t>/</w:t>
                  </w:r>
                </w:p>
              </w:tc>
              <w:tc>
                <w:tcPr>
                  <w:tcW w:w="2062" w:type="pct"/>
                  <w:noWrap w:val="0"/>
                  <w:vAlign w:val="center"/>
                </w:tcPr>
                <w:p w14:paraId="25EB51DD">
                  <w:pPr>
                    <w:pStyle w:val="34"/>
                    <w:bidi w:val="0"/>
                    <w:rPr>
                      <w:rFonts w:hint="default"/>
                      <w:color w:val="000000"/>
                      <w:lang w:val="en-US" w:eastAsia="zh-CN"/>
                    </w:rPr>
                  </w:pPr>
                  <w:r>
                    <w:rPr>
                      <w:rFonts w:hint="eastAsia"/>
                      <w:color w:val="000000"/>
                      <w:lang w:val="en-US" w:eastAsia="zh-CN"/>
                    </w:rPr>
                    <w:t>/</w:t>
                  </w:r>
                </w:p>
              </w:tc>
              <w:tc>
                <w:tcPr>
                  <w:tcW w:w="685" w:type="pct"/>
                  <w:noWrap w:val="0"/>
                  <w:vAlign w:val="center"/>
                </w:tcPr>
                <w:p w14:paraId="3FC8377F">
                  <w:pPr>
                    <w:pStyle w:val="34"/>
                    <w:bidi w:val="0"/>
                    <w:rPr>
                      <w:rFonts w:hint="default"/>
                      <w:color w:val="000000"/>
                      <w:lang w:val="en-US" w:eastAsia="zh-CN"/>
                    </w:rPr>
                  </w:pPr>
                  <w:r>
                    <w:rPr>
                      <w:rFonts w:hint="eastAsia"/>
                      <w:color w:val="000000"/>
                      <w:lang w:val="en-US" w:eastAsia="zh-CN"/>
                    </w:rPr>
                    <w:t>10t</w:t>
                  </w:r>
                </w:p>
              </w:tc>
            </w:tr>
            <w:tr w14:paraId="0AC83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263" w:type="pct"/>
                  <w:noWrap w:val="0"/>
                  <w:vAlign w:val="center"/>
                </w:tcPr>
                <w:p w14:paraId="1E4DE022">
                  <w:pPr>
                    <w:pStyle w:val="34"/>
                    <w:bidi w:val="0"/>
                    <w:rPr>
                      <w:rFonts w:hint="eastAsia" w:eastAsia="宋体"/>
                      <w:color w:val="000000"/>
                      <w:lang w:val="en-US" w:eastAsia="zh-CN"/>
                    </w:rPr>
                  </w:pPr>
                  <w:r>
                    <w:rPr>
                      <w:rFonts w:hint="eastAsia"/>
                      <w:color w:val="000000"/>
                      <w:lang w:val="en-US" w:eastAsia="zh-CN"/>
                    </w:rPr>
                    <w:t>2</w:t>
                  </w:r>
                </w:p>
              </w:tc>
              <w:tc>
                <w:tcPr>
                  <w:tcW w:w="793" w:type="pct"/>
                  <w:noWrap w:val="0"/>
                  <w:vAlign w:val="center"/>
                </w:tcPr>
                <w:p w14:paraId="7C2BBD0E">
                  <w:pPr>
                    <w:pStyle w:val="34"/>
                    <w:bidi w:val="0"/>
                    <w:rPr>
                      <w:rFonts w:hint="default"/>
                      <w:color w:val="000000"/>
                      <w:lang w:val="en-US" w:eastAsia="zh-CN"/>
                    </w:rPr>
                  </w:pPr>
                  <w:r>
                    <w:rPr>
                      <w:rFonts w:hint="eastAsia"/>
                      <w:color w:val="000000"/>
                      <w:lang w:val="en-US" w:eastAsia="zh-CN"/>
                    </w:rPr>
                    <w:t>钢管</w:t>
                  </w:r>
                </w:p>
              </w:tc>
              <w:tc>
                <w:tcPr>
                  <w:tcW w:w="543" w:type="pct"/>
                  <w:noWrap w:val="0"/>
                  <w:vAlign w:val="center"/>
                </w:tcPr>
                <w:p w14:paraId="4B10D0A9">
                  <w:pPr>
                    <w:pStyle w:val="34"/>
                    <w:bidi w:val="0"/>
                    <w:rPr>
                      <w:rFonts w:hint="default"/>
                      <w:color w:val="000000"/>
                      <w:lang w:val="en-US" w:eastAsia="zh-CN"/>
                    </w:rPr>
                  </w:pPr>
                  <w:r>
                    <w:rPr>
                      <w:rFonts w:hint="eastAsia"/>
                      <w:color w:val="000000"/>
                      <w:lang w:val="en-US" w:eastAsia="zh-CN"/>
                    </w:rPr>
                    <w:t>10t</w:t>
                  </w:r>
                </w:p>
              </w:tc>
              <w:tc>
                <w:tcPr>
                  <w:tcW w:w="652" w:type="pct"/>
                  <w:noWrap w:val="0"/>
                  <w:vAlign w:val="center"/>
                </w:tcPr>
                <w:p w14:paraId="19DB3137">
                  <w:pPr>
                    <w:pStyle w:val="34"/>
                    <w:bidi w:val="0"/>
                    <w:rPr>
                      <w:rFonts w:hint="default"/>
                      <w:color w:val="000000"/>
                      <w:lang w:val="en-US" w:eastAsia="zh-CN"/>
                    </w:rPr>
                  </w:pPr>
                  <w:r>
                    <w:rPr>
                      <w:rFonts w:hint="eastAsia"/>
                      <w:color w:val="000000"/>
                      <w:lang w:val="en-US" w:eastAsia="zh-CN"/>
                    </w:rPr>
                    <w:t>/</w:t>
                  </w:r>
                </w:p>
              </w:tc>
              <w:tc>
                <w:tcPr>
                  <w:tcW w:w="2062" w:type="pct"/>
                  <w:noWrap w:val="0"/>
                  <w:vAlign w:val="center"/>
                </w:tcPr>
                <w:p w14:paraId="2EC8876C">
                  <w:pPr>
                    <w:pStyle w:val="34"/>
                    <w:bidi w:val="0"/>
                    <w:rPr>
                      <w:rFonts w:hint="default"/>
                      <w:color w:val="000000"/>
                      <w:lang w:val="en-US" w:eastAsia="zh-CN"/>
                    </w:rPr>
                  </w:pPr>
                  <w:r>
                    <w:rPr>
                      <w:rFonts w:hint="eastAsia"/>
                      <w:color w:val="000000"/>
                      <w:lang w:val="en-US" w:eastAsia="zh-CN"/>
                    </w:rPr>
                    <w:t>/</w:t>
                  </w:r>
                </w:p>
              </w:tc>
              <w:tc>
                <w:tcPr>
                  <w:tcW w:w="685" w:type="pct"/>
                  <w:noWrap w:val="0"/>
                  <w:vAlign w:val="center"/>
                </w:tcPr>
                <w:p w14:paraId="737A9961">
                  <w:pPr>
                    <w:pStyle w:val="34"/>
                    <w:bidi w:val="0"/>
                    <w:rPr>
                      <w:rFonts w:hint="default"/>
                      <w:color w:val="000000"/>
                      <w:lang w:val="en-US" w:eastAsia="zh-CN"/>
                    </w:rPr>
                  </w:pPr>
                  <w:r>
                    <w:rPr>
                      <w:rFonts w:hint="eastAsia"/>
                      <w:color w:val="000000"/>
                      <w:lang w:val="en-US" w:eastAsia="zh-CN"/>
                    </w:rPr>
                    <w:t>1t</w:t>
                  </w:r>
                </w:p>
              </w:tc>
            </w:tr>
            <w:tr w14:paraId="43326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263" w:type="pct"/>
                  <w:noWrap w:val="0"/>
                  <w:vAlign w:val="center"/>
                </w:tcPr>
                <w:p w14:paraId="72B5296F">
                  <w:pPr>
                    <w:pStyle w:val="34"/>
                    <w:bidi w:val="0"/>
                    <w:rPr>
                      <w:rFonts w:hint="eastAsia" w:eastAsia="宋体"/>
                      <w:color w:val="000000"/>
                      <w:lang w:eastAsia="zh-CN"/>
                    </w:rPr>
                  </w:pPr>
                  <w:r>
                    <w:rPr>
                      <w:rFonts w:hint="eastAsia"/>
                      <w:color w:val="000000"/>
                      <w:lang w:val="en-US" w:eastAsia="zh-CN"/>
                    </w:rPr>
                    <w:t>3</w:t>
                  </w:r>
                </w:p>
              </w:tc>
              <w:tc>
                <w:tcPr>
                  <w:tcW w:w="793" w:type="pct"/>
                  <w:noWrap w:val="0"/>
                  <w:vAlign w:val="center"/>
                </w:tcPr>
                <w:p w14:paraId="07E62306">
                  <w:pPr>
                    <w:pStyle w:val="34"/>
                    <w:bidi w:val="0"/>
                    <w:rPr>
                      <w:rFonts w:hint="default"/>
                      <w:color w:val="000000"/>
                      <w:lang w:val="en-US" w:eastAsia="zh-CN"/>
                    </w:rPr>
                  </w:pPr>
                  <w:r>
                    <w:rPr>
                      <w:rFonts w:hint="eastAsia"/>
                      <w:color w:val="000000"/>
                      <w:lang w:val="en-US" w:eastAsia="zh-CN"/>
                    </w:rPr>
                    <w:t>水性底漆</w:t>
                  </w:r>
                </w:p>
              </w:tc>
              <w:tc>
                <w:tcPr>
                  <w:tcW w:w="543" w:type="pct"/>
                  <w:noWrap w:val="0"/>
                  <w:vAlign w:val="center"/>
                </w:tcPr>
                <w:p w14:paraId="29025E9C">
                  <w:pPr>
                    <w:pStyle w:val="34"/>
                    <w:bidi w:val="0"/>
                    <w:rPr>
                      <w:rFonts w:hint="default"/>
                      <w:color w:val="000000"/>
                      <w:lang w:val="en-US" w:eastAsia="zh-CN"/>
                    </w:rPr>
                  </w:pPr>
                  <w:r>
                    <w:rPr>
                      <w:rFonts w:hint="eastAsia"/>
                      <w:color w:val="000000"/>
                      <w:lang w:val="en-US" w:eastAsia="zh-CN"/>
                    </w:rPr>
                    <w:t>0.67</w:t>
                  </w:r>
                </w:p>
              </w:tc>
              <w:tc>
                <w:tcPr>
                  <w:tcW w:w="652" w:type="pct"/>
                  <w:noWrap w:val="0"/>
                  <w:vAlign w:val="center"/>
                </w:tcPr>
                <w:p w14:paraId="642025C5">
                  <w:pPr>
                    <w:pStyle w:val="34"/>
                    <w:bidi w:val="0"/>
                    <w:rPr>
                      <w:rFonts w:hint="default"/>
                      <w:color w:val="000000"/>
                      <w:lang w:val="en-US" w:eastAsia="zh-CN"/>
                    </w:rPr>
                  </w:pPr>
                  <w:r>
                    <w:rPr>
                      <w:rFonts w:hint="eastAsia"/>
                      <w:color w:val="000000"/>
                      <w:lang w:val="en-US" w:eastAsia="zh-CN"/>
                    </w:rPr>
                    <w:t>25kg/桶</w:t>
                  </w:r>
                </w:p>
              </w:tc>
              <w:tc>
                <w:tcPr>
                  <w:tcW w:w="2062" w:type="pct"/>
                  <w:noWrap w:val="0"/>
                  <w:vAlign w:val="center"/>
                </w:tcPr>
                <w:p w14:paraId="12F4B22F">
                  <w:pPr>
                    <w:pStyle w:val="34"/>
                    <w:bidi w:val="0"/>
                    <w:rPr>
                      <w:rFonts w:hint="default"/>
                      <w:color w:val="000000"/>
                      <w:lang w:val="en-US" w:eastAsia="zh-CN"/>
                    </w:rPr>
                  </w:pPr>
                  <w:r>
                    <w:rPr>
                      <w:rFonts w:hint="eastAsia"/>
                      <w:color w:val="000000"/>
                      <w:lang w:val="en-US" w:eastAsia="zh-CN"/>
                    </w:rPr>
                    <w:t>丙二醇甲醚1~5%、去离子水10~15%、树脂40~50%、颜填料30~40%</w:t>
                  </w:r>
                </w:p>
              </w:tc>
              <w:tc>
                <w:tcPr>
                  <w:tcW w:w="685" w:type="pct"/>
                  <w:noWrap w:val="0"/>
                  <w:vAlign w:val="center"/>
                </w:tcPr>
                <w:p w14:paraId="1DA766F5">
                  <w:pPr>
                    <w:pStyle w:val="34"/>
                    <w:bidi w:val="0"/>
                    <w:rPr>
                      <w:rFonts w:hint="default"/>
                      <w:color w:val="000000"/>
                      <w:lang w:val="en-US" w:eastAsia="zh-CN"/>
                    </w:rPr>
                  </w:pPr>
                  <w:r>
                    <w:rPr>
                      <w:rFonts w:hint="eastAsia"/>
                      <w:color w:val="000000"/>
                      <w:lang w:val="en-US" w:eastAsia="zh-CN"/>
                    </w:rPr>
                    <w:t>0.1t</w:t>
                  </w:r>
                </w:p>
              </w:tc>
            </w:tr>
            <w:tr w14:paraId="36613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263" w:type="pct"/>
                  <w:noWrap w:val="0"/>
                  <w:vAlign w:val="center"/>
                </w:tcPr>
                <w:p w14:paraId="56B90E83">
                  <w:pPr>
                    <w:pStyle w:val="34"/>
                    <w:bidi w:val="0"/>
                    <w:rPr>
                      <w:rFonts w:hint="eastAsia" w:ascii="Times New Roman" w:hAnsi="Times New Roman" w:eastAsia="宋体" w:cs="Times New Roman"/>
                      <w:bCs/>
                      <w:color w:val="000000"/>
                      <w:kern w:val="2"/>
                      <w:sz w:val="21"/>
                      <w:szCs w:val="21"/>
                      <w:lang w:val="en-US" w:eastAsia="zh-CN" w:bidi="ar-SA"/>
                    </w:rPr>
                  </w:pPr>
                  <w:r>
                    <w:rPr>
                      <w:rFonts w:hint="eastAsia"/>
                      <w:color w:val="000000"/>
                      <w:lang w:val="en-US" w:eastAsia="zh-CN"/>
                    </w:rPr>
                    <w:t>4</w:t>
                  </w:r>
                </w:p>
              </w:tc>
              <w:tc>
                <w:tcPr>
                  <w:tcW w:w="793" w:type="pct"/>
                  <w:noWrap w:val="0"/>
                  <w:vAlign w:val="center"/>
                </w:tcPr>
                <w:p w14:paraId="778A6A33">
                  <w:pPr>
                    <w:pStyle w:val="34"/>
                    <w:bidi w:val="0"/>
                    <w:rPr>
                      <w:rFonts w:hint="default"/>
                      <w:color w:val="000000"/>
                      <w:lang w:val="en-US" w:eastAsia="zh-CN"/>
                    </w:rPr>
                  </w:pPr>
                  <w:r>
                    <w:rPr>
                      <w:rFonts w:hint="eastAsia"/>
                      <w:color w:val="000000"/>
                      <w:lang w:val="en-US" w:eastAsia="zh-CN"/>
                    </w:rPr>
                    <w:t>水性面漆</w:t>
                  </w:r>
                </w:p>
              </w:tc>
              <w:tc>
                <w:tcPr>
                  <w:tcW w:w="543" w:type="pct"/>
                  <w:noWrap w:val="0"/>
                  <w:vAlign w:val="center"/>
                </w:tcPr>
                <w:p w14:paraId="16912DB8">
                  <w:pPr>
                    <w:pStyle w:val="34"/>
                    <w:bidi w:val="0"/>
                    <w:rPr>
                      <w:rFonts w:hint="default"/>
                      <w:color w:val="000000"/>
                      <w:lang w:val="en-US" w:eastAsia="zh-CN"/>
                    </w:rPr>
                  </w:pPr>
                  <w:r>
                    <w:rPr>
                      <w:rFonts w:hint="eastAsia"/>
                      <w:color w:val="000000"/>
                      <w:lang w:val="en-US" w:eastAsia="zh-CN"/>
                    </w:rPr>
                    <w:t>0.72</w:t>
                  </w:r>
                </w:p>
              </w:tc>
              <w:tc>
                <w:tcPr>
                  <w:tcW w:w="652" w:type="pct"/>
                  <w:noWrap w:val="0"/>
                  <w:vAlign w:val="center"/>
                </w:tcPr>
                <w:p w14:paraId="039C8580">
                  <w:pPr>
                    <w:pStyle w:val="34"/>
                    <w:bidi w:val="0"/>
                    <w:rPr>
                      <w:rFonts w:hint="eastAsia"/>
                      <w:color w:val="000000"/>
                      <w:lang w:val="en-US" w:eastAsia="zh-CN"/>
                    </w:rPr>
                  </w:pPr>
                  <w:r>
                    <w:rPr>
                      <w:rFonts w:hint="eastAsia"/>
                      <w:color w:val="000000"/>
                      <w:lang w:val="en-US" w:eastAsia="zh-CN"/>
                    </w:rPr>
                    <w:t>25kg/桶</w:t>
                  </w:r>
                </w:p>
              </w:tc>
              <w:tc>
                <w:tcPr>
                  <w:tcW w:w="2062" w:type="pct"/>
                  <w:noWrap w:val="0"/>
                  <w:vAlign w:val="center"/>
                </w:tcPr>
                <w:p w14:paraId="0981D7B7">
                  <w:pPr>
                    <w:pStyle w:val="34"/>
                    <w:bidi w:val="0"/>
                    <w:rPr>
                      <w:rFonts w:hint="default"/>
                      <w:color w:val="000000"/>
                      <w:lang w:val="en-US" w:eastAsia="zh-CN"/>
                    </w:rPr>
                  </w:pPr>
                  <w:r>
                    <w:rPr>
                      <w:rFonts w:hint="eastAsia"/>
                      <w:color w:val="000000"/>
                      <w:lang w:val="en-US" w:eastAsia="zh-CN"/>
                    </w:rPr>
                    <w:t>丙二醇甲醚1~3%、二丙二醇丁醚1~3%，去离子水10~20%、树脂30~40%、颜填料30~40%</w:t>
                  </w:r>
                </w:p>
              </w:tc>
              <w:tc>
                <w:tcPr>
                  <w:tcW w:w="685" w:type="pct"/>
                  <w:noWrap w:val="0"/>
                  <w:vAlign w:val="center"/>
                </w:tcPr>
                <w:p w14:paraId="6D363C69">
                  <w:pPr>
                    <w:pStyle w:val="34"/>
                    <w:bidi w:val="0"/>
                    <w:rPr>
                      <w:rFonts w:hint="default"/>
                      <w:color w:val="000000"/>
                      <w:lang w:val="en-US" w:eastAsia="zh-CN"/>
                    </w:rPr>
                  </w:pPr>
                  <w:r>
                    <w:rPr>
                      <w:rFonts w:hint="eastAsia"/>
                      <w:color w:val="000000"/>
                      <w:lang w:val="en-US" w:eastAsia="zh-CN"/>
                    </w:rPr>
                    <w:t>0.1t</w:t>
                  </w:r>
                </w:p>
              </w:tc>
            </w:tr>
            <w:tr w14:paraId="4C066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263" w:type="pct"/>
                  <w:noWrap w:val="0"/>
                  <w:vAlign w:val="center"/>
                </w:tcPr>
                <w:p w14:paraId="636A1AC6">
                  <w:pPr>
                    <w:pStyle w:val="34"/>
                    <w:bidi w:val="0"/>
                    <w:rPr>
                      <w:rFonts w:hint="eastAsia" w:ascii="Times New Roman" w:hAnsi="Times New Roman" w:eastAsia="宋体" w:cs="Times New Roman"/>
                      <w:bCs/>
                      <w:color w:val="000000"/>
                      <w:kern w:val="2"/>
                      <w:sz w:val="21"/>
                      <w:szCs w:val="21"/>
                      <w:lang w:val="en-US" w:eastAsia="zh-CN" w:bidi="ar-SA"/>
                    </w:rPr>
                  </w:pPr>
                  <w:r>
                    <w:rPr>
                      <w:rFonts w:hint="eastAsia"/>
                      <w:color w:val="000000"/>
                      <w:lang w:val="en-US" w:eastAsia="zh-CN"/>
                    </w:rPr>
                    <w:t>5</w:t>
                  </w:r>
                </w:p>
              </w:tc>
              <w:tc>
                <w:tcPr>
                  <w:tcW w:w="793" w:type="pct"/>
                  <w:noWrap w:val="0"/>
                  <w:vAlign w:val="center"/>
                </w:tcPr>
                <w:p w14:paraId="4F7AD81B">
                  <w:pPr>
                    <w:pStyle w:val="34"/>
                    <w:bidi w:val="0"/>
                    <w:rPr>
                      <w:rFonts w:hint="default"/>
                      <w:color w:val="000000"/>
                      <w:lang w:val="en-US" w:eastAsia="zh-CN"/>
                    </w:rPr>
                  </w:pPr>
                  <w:r>
                    <w:rPr>
                      <w:rFonts w:hint="eastAsia"/>
                      <w:color w:val="000000"/>
                      <w:lang w:val="en-US" w:eastAsia="zh-CN"/>
                    </w:rPr>
                    <w:t>油性底漆</w:t>
                  </w:r>
                </w:p>
              </w:tc>
              <w:tc>
                <w:tcPr>
                  <w:tcW w:w="543" w:type="pct"/>
                  <w:noWrap w:val="0"/>
                  <w:vAlign w:val="center"/>
                </w:tcPr>
                <w:p w14:paraId="7EFEEFBF">
                  <w:pPr>
                    <w:pStyle w:val="34"/>
                    <w:bidi w:val="0"/>
                    <w:rPr>
                      <w:rFonts w:hint="default"/>
                      <w:color w:val="000000"/>
                      <w:lang w:val="en-US" w:eastAsia="zh-CN"/>
                    </w:rPr>
                  </w:pPr>
                  <w:r>
                    <w:rPr>
                      <w:rFonts w:hint="eastAsia"/>
                      <w:color w:val="000000"/>
                      <w:lang w:val="en-US" w:eastAsia="zh-CN"/>
                    </w:rPr>
                    <w:t>0.66</w:t>
                  </w:r>
                </w:p>
              </w:tc>
              <w:tc>
                <w:tcPr>
                  <w:tcW w:w="652" w:type="pct"/>
                  <w:noWrap w:val="0"/>
                  <w:vAlign w:val="center"/>
                </w:tcPr>
                <w:p w14:paraId="0938ACB6">
                  <w:pPr>
                    <w:pStyle w:val="34"/>
                    <w:bidi w:val="0"/>
                    <w:rPr>
                      <w:rFonts w:hint="eastAsia"/>
                      <w:color w:val="000000"/>
                      <w:lang w:val="en-US" w:eastAsia="zh-CN"/>
                    </w:rPr>
                  </w:pPr>
                  <w:r>
                    <w:rPr>
                      <w:rFonts w:hint="eastAsia"/>
                      <w:color w:val="000000"/>
                      <w:lang w:val="en-US" w:eastAsia="zh-CN"/>
                    </w:rPr>
                    <w:t>25kg/桶</w:t>
                  </w:r>
                </w:p>
              </w:tc>
              <w:tc>
                <w:tcPr>
                  <w:tcW w:w="2062" w:type="pct"/>
                  <w:noWrap w:val="0"/>
                  <w:vAlign w:val="center"/>
                </w:tcPr>
                <w:p w14:paraId="5E0E3B2F">
                  <w:pPr>
                    <w:pStyle w:val="34"/>
                    <w:bidi w:val="0"/>
                    <w:rPr>
                      <w:rFonts w:hint="default" w:ascii="Times New Roman" w:hAnsi="Times New Roman" w:eastAsia="宋体" w:cs="Times New Roman"/>
                      <w:bCs/>
                      <w:color w:val="000000"/>
                      <w:kern w:val="2"/>
                      <w:sz w:val="21"/>
                      <w:szCs w:val="21"/>
                      <w:lang w:val="en-US" w:eastAsia="zh-CN" w:bidi="ar-SA"/>
                    </w:rPr>
                  </w:pPr>
                  <w:r>
                    <w:rPr>
                      <w:rFonts w:hint="eastAsia"/>
                      <w:color w:val="000000"/>
                      <w:lang w:val="en-US" w:eastAsia="zh-CN"/>
                    </w:rPr>
                    <w:t>二甲苯异构体混合物1~10%、环己酮1~5%、正丁醇</w:t>
                  </w:r>
                  <w:r>
                    <w:rPr>
                      <w:rFonts w:hint="default" w:ascii="Times New Roman" w:hAnsi="Times New Roman" w:cs="Times New Roman"/>
                      <w:color w:val="000000"/>
                      <w:lang w:val="en-US" w:eastAsia="zh-CN"/>
                    </w:rPr>
                    <w:t>&lt;</w:t>
                  </w:r>
                  <w:r>
                    <w:rPr>
                      <w:rFonts w:hint="eastAsia"/>
                      <w:color w:val="000000"/>
                      <w:lang w:val="en-US" w:eastAsia="zh-CN"/>
                    </w:rPr>
                    <w:t>3%、甲基异丁基酮</w:t>
                  </w:r>
                  <w:r>
                    <w:rPr>
                      <w:rFonts w:hint="default" w:ascii="Times New Roman" w:hAnsi="Times New Roman" w:cs="Times New Roman"/>
                      <w:color w:val="000000"/>
                      <w:lang w:val="en-US" w:eastAsia="zh-CN"/>
                    </w:rPr>
                    <w:t>&lt;</w:t>
                  </w:r>
                  <w:r>
                    <w:rPr>
                      <w:rFonts w:hint="eastAsia"/>
                      <w:color w:val="000000"/>
                      <w:lang w:val="en-US" w:eastAsia="zh-CN"/>
                    </w:rPr>
                    <w:t>1%、树脂25~35%、颜填料50~60%</w:t>
                  </w:r>
                </w:p>
              </w:tc>
              <w:tc>
                <w:tcPr>
                  <w:tcW w:w="685" w:type="pct"/>
                  <w:noWrap w:val="0"/>
                  <w:vAlign w:val="center"/>
                </w:tcPr>
                <w:p w14:paraId="77DDEC08">
                  <w:pPr>
                    <w:pStyle w:val="34"/>
                    <w:bidi w:val="0"/>
                    <w:rPr>
                      <w:rFonts w:hint="default"/>
                      <w:color w:val="000000"/>
                      <w:lang w:val="en-US" w:eastAsia="zh-CN"/>
                    </w:rPr>
                  </w:pPr>
                  <w:r>
                    <w:rPr>
                      <w:rFonts w:hint="eastAsia"/>
                      <w:color w:val="000000"/>
                      <w:lang w:val="en-US" w:eastAsia="zh-CN"/>
                    </w:rPr>
                    <w:t>0.1t</w:t>
                  </w:r>
                </w:p>
              </w:tc>
            </w:tr>
            <w:tr w14:paraId="24181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263" w:type="pct"/>
                  <w:noWrap w:val="0"/>
                  <w:vAlign w:val="center"/>
                </w:tcPr>
                <w:p w14:paraId="491919B5">
                  <w:pPr>
                    <w:pStyle w:val="34"/>
                    <w:bidi w:val="0"/>
                    <w:rPr>
                      <w:rFonts w:hint="eastAsia" w:ascii="Times New Roman" w:hAnsi="Times New Roman" w:eastAsia="宋体" w:cs="Times New Roman"/>
                      <w:bCs/>
                      <w:color w:val="000000"/>
                      <w:kern w:val="2"/>
                      <w:sz w:val="21"/>
                      <w:szCs w:val="21"/>
                      <w:lang w:val="en-US" w:eastAsia="zh-CN" w:bidi="ar-SA"/>
                    </w:rPr>
                  </w:pPr>
                  <w:r>
                    <w:rPr>
                      <w:rFonts w:hint="eastAsia"/>
                      <w:color w:val="000000"/>
                      <w:lang w:val="en-US" w:eastAsia="zh-CN"/>
                    </w:rPr>
                    <w:t>6</w:t>
                  </w:r>
                </w:p>
              </w:tc>
              <w:tc>
                <w:tcPr>
                  <w:tcW w:w="793" w:type="pct"/>
                  <w:noWrap w:val="0"/>
                  <w:vAlign w:val="center"/>
                </w:tcPr>
                <w:p w14:paraId="4E8609D5">
                  <w:pPr>
                    <w:pStyle w:val="34"/>
                    <w:bidi w:val="0"/>
                    <w:rPr>
                      <w:rFonts w:hint="default"/>
                      <w:color w:val="000000"/>
                      <w:lang w:val="en-US" w:eastAsia="zh-CN"/>
                    </w:rPr>
                  </w:pPr>
                  <w:r>
                    <w:rPr>
                      <w:rFonts w:hint="eastAsia"/>
                      <w:color w:val="000000"/>
                      <w:lang w:val="en-US" w:eastAsia="zh-CN"/>
                    </w:rPr>
                    <w:t>油性面漆</w:t>
                  </w:r>
                </w:p>
              </w:tc>
              <w:tc>
                <w:tcPr>
                  <w:tcW w:w="543" w:type="pct"/>
                  <w:noWrap w:val="0"/>
                  <w:vAlign w:val="center"/>
                </w:tcPr>
                <w:p w14:paraId="764D7F05">
                  <w:pPr>
                    <w:pStyle w:val="34"/>
                    <w:bidi w:val="0"/>
                    <w:rPr>
                      <w:rFonts w:hint="default"/>
                      <w:color w:val="000000"/>
                      <w:lang w:val="en-US" w:eastAsia="zh-CN"/>
                    </w:rPr>
                  </w:pPr>
                  <w:r>
                    <w:rPr>
                      <w:rFonts w:hint="eastAsia"/>
                      <w:color w:val="000000"/>
                      <w:lang w:val="en-US" w:eastAsia="zh-CN"/>
                    </w:rPr>
                    <w:t>0.99</w:t>
                  </w:r>
                </w:p>
              </w:tc>
              <w:tc>
                <w:tcPr>
                  <w:tcW w:w="652" w:type="pct"/>
                  <w:noWrap w:val="0"/>
                  <w:vAlign w:val="center"/>
                </w:tcPr>
                <w:p w14:paraId="766D077C">
                  <w:pPr>
                    <w:pStyle w:val="34"/>
                    <w:bidi w:val="0"/>
                    <w:rPr>
                      <w:rFonts w:hint="eastAsia"/>
                      <w:color w:val="000000"/>
                      <w:lang w:val="en-US" w:eastAsia="zh-CN"/>
                    </w:rPr>
                  </w:pPr>
                  <w:r>
                    <w:rPr>
                      <w:rFonts w:hint="eastAsia"/>
                      <w:color w:val="000000"/>
                      <w:lang w:val="en-US" w:eastAsia="zh-CN"/>
                    </w:rPr>
                    <w:t>25kg/桶</w:t>
                  </w:r>
                </w:p>
              </w:tc>
              <w:tc>
                <w:tcPr>
                  <w:tcW w:w="2062" w:type="pct"/>
                  <w:noWrap w:val="0"/>
                  <w:vAlign w:val="center"/>
                </w:tcPr>
                <w:p w14:paraId="46E53EFD">
                  <w:pPr>
                    <w:pStyle w:val="34"/>
                    <w:bidi w:val="0"/>
                    <w:rPr>
                      <w:rFonts w:hint="default" w:ascii="Times New Roman" w:hAnsi="Times New Roman" w:eastAsia="宋体" w:cs="Times New Roman"/>
                      <w:bCs/>
                      <w:color w:val="000000"/>
                      <w:kern w:val="2"/>
                      <w:sz w:val="21"/>
                      <w:szCs w:val="21"/>
                      <w:lang w:val="en-US" w:eastAsia="zh-CN" w:bidi="ar-SA"/>
                    </w:rPr>
                  </w:pPr>
                  <w:r>
                    <w:rPr>
                      <w:rFonts w:hint="eastAsia"/>
                      <w:color w:val="000000"/>
                      <w:lang w:val="en-US" w:eastAsia="zh-CN"/>
                    </w:rPr>
                    <w:t>二甲苯异构体混合物10~20%、环己酮</w:t>
                  </w:r>
                  <w:r>
                    <w:rPr>
                      <w:rFonts w:hint="default" w:ascii="Times New Roman" w:hAnsi="Times New Roman" w:cs="Times New Roman"/>
                      <w:color w:val="000000"/>
                      <w:lang w:val="en-US" w:eastAsia="zh-CN"/>
                    </w:rPr>
                    <w:t>&lt;</w:t>
                  </w:r>
                  <w:r>
                    <w:rPr>
                      <w:rFonts w:hint="eastAsia"/>
                      <w:color w:val="000000"/>
                      <w:lang w:val="en-US" w:eastAsia="zh-CN"/>
                    </w:rPr>
                    <w:t>1%、乙酸丁酯10~15%、丙二醇甲醚醋酸酯</w:t>
                  </w:r>
                  <w:r>
                    <w:rPr>
                      <w:rFonts w:hint="eastAsia" w:cs="Times New Roman"/>
                      <w:color w:val="000000"/>
                      <w:lang w:val="en-US" w:eastAsia="zh-CN"/>
                    </w:rPr>
                    <w:t>5~10</w:t>
                  </w:r>
                  <w:r>
                    <w:rPr>
                      <w:rFonts w:hint="eastAsia"/>
                      <w:color w:val="000000"/>
                      <w:lang w:val="en-US" w:eastAsia="zh-CN"/>
                    </w:rPr>
                    <w:t>%、树脂25~35%、颜填料25~35%</w:t>
                  </w:r>
                </w:p>
              </w:tc>
              <w:tc>
                <w:tcPr>
                  <w:tcW w:w="685" w:type="pct"/>
                  <w:noWrap w:val="0"/>
                  <w:vAlign w:val="center"/>
                </w:tcPr>
                <w:p w14:paraId="521BCF2B">
                  <w:pPr>
                    <w:pStyle w:val="34"/>
                    <w:bidi w:val="0"/>
                    <w:rPr>
                      <w:rFonts w:hint="default"/>
                      <w:color w:val="000000"/>
                      <w:lang w:val="en-US" w:eastAsia="zh-CN"/>
                    </w:rPr>
                  </w:pPr>
                  <w:r>
                    <w:rPr>
                      <w:rFonts w:hint="eastAsia"/>
                      <w:color w:val="000000"/>
                      <w:lang w:val="en-US" w:eastAsia="zh-CN"/>
                    </w:rPr>
                    <w:t>0.1t</w:t>
                  </w:r>
                </w:p>
              </w:tc>
            </w:tr>
            <w:tr w14:paraId="2B93C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263" w:type="pct"/>
                  <w:noWrap w:val="0"/>
                  <w:vAlign w:val="center"/>
                </w:tcPr>
                <w:p w14:paraId="37B2BA0E">
                  <w:pPr>
                    <w:pStyle w:val="34"/>
                    <w:bidi w:val="0"/>
                    <w:rPr>
                      <w:rFonts w:hint="eastAsia" w:ascii="Times New Roman" w:hAnsi="Times New Roman" w:eastAsia="宋体" w:cs="Times New Roman"/>
                      <w:bCs/>
                      <w:color w:val="000000"/>
                      <w:kern w:val="2"/>
                      <w:sz w:val="21"/>
                      <w:szCs w:val="21"/>
                      <w:lang w:val="en-US" w:eastAsia="zh-CN" w:bidi="ar-SA"/>
                    </w:rPr>
                  </w:pPr>
                  <w:r>
                    <w:rPr>
                      <w:rFonts w:hint="eastAsia"/>
                      <w:color w:val="000000"/>
                      <w:lang w:val="en-US" w:eastAsia="zh-CN"/>
                    </w:rPr>
                    <w:t>7</w:t>
                  </w:r>
                </w:p>
              </w:tc>
              <w:tc>
                <w:tcPr>
                  <w:tcW w:w="793" w:type="pct"/>
                  <w:noWrap w:val="0"/>
                  <w:vAlign w:val="center"/>
                </w:tcPr>
                <w:p w14:paraId="7E77A36B">
                  <w:pPr>
                    <w:pStyle w:val="34"/>
                    <w:bidi w:val="0"/>
                    <w:rPr>
                      <w:rFonts w:hint="default"/>
                      <w:color w:val="000000"/>
                      <w:lang w:val="en-US" w:eastAsia="zh-CN"/>
                    </w:rPr>
                  </w:pPr>
                  <w:r>
                    <w:rPr>
                      <w:rFonts w:hint="eastAsia"/>
                      <w:color w:val="000000"/>
                      <w:lang w:val="en-US" w:eastAsia="zh-CN"/>
                    </w:rPr>
                    <w:t>稀释剂</w:t>
                  </w:r>
                </w:p>
              </w:tc>
              <w:tc>
                <w:tcPr>
                  <w:tcW w:w="543" w:type="pct"/>
                  <w:noWrap w:val="0"/>
                  <w:vAlign w:val="center"/>
                </w:tcPr>
                <w:p w14:paraId="4D38B95A">
                  <w:pPr>
                    <w:pStyle w:val="34"/>
                    <w:bidi w:val="0"/>
                    <w:rPr>
                      <w:rFonts w:hint="default"/>
                      <w:color w:val="000000"/>
                      <w:lang w:val="en-US" w:eastAsia="zh-CN"/>
                    </w:rPr>
                  </w:pPr>
                  <w:r>
                    <w:rPr>
                      <w:rFonts w:hint="eastAsia"/>
                      <w:color w:val="000000"/>
                      <w:lang w:val="en-US" w:eastAsia="zh-CN"/>
                    </w:rPr>
                    <w:t>0.82</w:t>
                  </w:r>
                </w:p>
              </w:tc>
              <w:tc>
                <w:tcPr>
                  <w:tcW w:w="652" w:type="pct"/>
                  <w:noWrap w:val="0"/>
                  <w:vAlign w:val="center"/>
                </w:tcPr>
                <w:p w14:paraId="3261D69F">
                  <w:pPr>
                    <w:pStyle w:val="34"/>
                    <w:bidi w:val="0"/>
                    <w:rPr>
                      <w:rFonts w:hint="eastAsia"/>
                      <w:color w:val="000000"/>
                      <w:lang w:val="en-US" w:eastAsia="zh-CN"/>
                    </w:rPr>
                  </w:pPr>
                  <w:r>
                    <w:rPr>
                      <w:rFonts w:hint="eastAsia"/>
                      <w:color w:val="000000"/>
                      <w:lang w:val="en-US" w:eastAsia="zh-CN"/>
                    </w:rPr>
                    <w:t>25kg/桶</w:t>
                  </w:r>
                </w:p>
              </w:tc>
              <w:tc>
                <w:tcPr>
                  <w:tcW w:w="2062" w:type="pct"/>
                  <w:noWrap w:val="0"/>
                  <w:vAlign w:val="center"/>
                </w:tcPr>
                <w:p w14:paraId="749202F4">
                  <w:pPr>
                    <w:pStyle w:val="34"/>
                    <w:bidi w:val="0"/>
                    <w:rPr>
                      <w:rFonts w:hint="default"/>
                      <w:color w:val="000000"/>
                      <w:lang w:val="en-US" w:eastAsia="zh-CN"/>
                    </w:rPr>
                  </w:pPr>
                  <w:r>
                    <w:rPr>
                      <w:rFonts w:hint="eastAsia"/>
                      <w:color w:val="000000"/>
                      <w:lang w:val="en-US" w:eastAsia="zh-CN"/>
                    </w:rPr>
                    <w:t>乙酸乙酯55%、醋酸丁酯45%</w:t>
                  </w:r>
                </w:p>
              </w:tc>
              <w:tc>
                <w:tcPr>
                  <w:tcW w:w="685" w:type="pct"/>
                  <w:noWrap w:val="0"/>
                  <w:vAlign w:val="center"/>
                </w:tcPr>
                <w:p w14:paraId="4377EA02">
                  <w:pPr>
                    <w:pStyle w:val="34"/>
                    <w:bidi w:val="0"/>
                    <w:rPr>
                      <w:rFonts w:hint="default"/>
                      <w:color w:val="000000"/>
                      <w:lang w:val="en-US" w:eastAsia="zh-CN"/>
                    </w:rPr>
                  </w:pPr>
                  <w:r>
                    <w:rPr>
                      <w:rFonts w:hint="eastAsia"/>
                      <w:color w:val="000000"/>
                      <w:lang w:val="en-US" w:eastAsia="zh-CN"/>
                    </w:rPr>
                    <w:t>0.1t</w:t>
                  </w:r>
                </w:p>
              </w:tc>
            </w:tr>
            <w:tr w14:paraId="771E2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263" w:type="pct"/>
                  <w:noWrap w:val="0"/>
                  <w:vAlign w:val="center"/>
                </w:tcPr>
                <w:p w14:paraId="47CDEE7A">
                  <w:pPr>
                    <w:pStyle w:val="34"/>
                    <w:bidi w:val="0"/>
                    <w:rPr>
                      <w:rFonts w:hint="eastAsia" w:ascii="Times New Roman" w:hAnsi="Times New Roman" w:eastAsia="宋体" w:cs="Times New Roman"/>
                      <w:bCs/>
                      <w:color w:val="000000"/>
                      <w:kern w:val="2"/>
                      <w:sz w:val="21"/>
                      <w:szCs w:val="21"/>
                      <w:lang w:val="en-US" w:eastAsia="zh-CN" w:bidi="ar-SA"/>
                    </w:rPr>
                  </w:pPr>
                  <w:r>
                    <w:rPr>
                      <w:rFonts w:hint="eastAsia" w:cs="Times New Roman"/>
                      <w:bCs/>
                      <w:color w:val="000000"/>
                      <w:kern w:val="2"/>
                      <w:sz w:val="21"/>
                      <w:szCs w:val="21"/>
                      <w:lang w:val="en-US" w:eastAsia="zh-CN" w:bidi="ar-SA"/>
                    </w:rPr>
                    <w:t>8</w:t>
                  </w:r>
                </w:p>
              </w:tc>
              <w:tc>
                <w:tcPr>
                  <w:tcW w:w="793" w:type="pct"/>
                  <w:noWrap w:val="0"/>
                  <w:vAlign w:val="center"/>
                </w:tcPr>
                <w:p w14:paraId="5F07E4B2">
                  <w:pPr>
                    <w:pStyle w:val="34"/>
                    <w:bidi w:val="0"/>
                    <w:rPr>
                      <w:rFonts w:hint="default"/>
                      <w:color w:val="000000"/>
                      <w:lang w:val="en-US" w:eastAsia="zh-CN"/>
                    </w:rPr>
                  </w:pPr>
                  <w:r>
                    <w:rPr>
                      <w:rFonts w:hint="eastAsia"/>
                      <w:color w:val="000000"/>
                      <w:lang w:val="en-US" w:eastAsia="zh-CN"/>
                    </w:rPr>
                    <w:t>固化剂</w:t>
                  </w:r>
                </w:p>
              </w:tc>
              <w:tc>
                <w:tcPr>
                  <w:tcW w:w="543" w:type="pct"/>
                  <w:noWrap w:val="0"/>
                  <w:vAlign w:val="center"/>
                </w:tcPr>
                <w:p w14:paraId="7C779548">
                  <w:pPr>
                    <w:pStyle w:val="34"/>
                    <w:bidi w:val="0"/>
                    <w:rPr>
                      <w:rFonts w:hint="default"/>
                      <w:color w:val="000000"/>
                      <w:lang w:val="en-US" w:eastAsia="zh-CN"/>
                    </w:rPr>
                  </w:pPr>
                  <w:r>
                    <w:rPr>
                      <w:rFonts w:hint="eastAsia"/>
                      <w:color w:val="000000"/>
                      <w:lang w:val="en-US" w:eastAsia="zh-CN"/>
                    </w:rPr>
                    <w:t>0.08</w:t>
                  </w:r>
                </w:p>
              </w:tc>
              <w:tc>
                <w:tcPr>
                  <w:tcW w:w="652" w:type="pct"/>
                  <w:noWrap w:val="0"/>
                  <w:vAlign w:val="center"/>
                </w:tcPr>
                <w:p w14:paraId="460D4145">
                  <w:pPr>
                    <w:pStyle w:val="34"/>
                    <w:bidi w:val="0"/>
                    <w:rPr>
                      <w:rFonts w:hint="eastAsia"/>
                      <w:color w:val="000000"/>
                      <w:lang w:val="en-US" w:eastAsia="zh-CN"/>
                    </w:rPr>
                  </w:pPr>
                  <w:r>
                    <w:rPr>
                      <w:rFonts w:hint="eastAsia"/>
                      <w:color w:val="000000"/>
                      <w:lang w:val="en-US" w:eastAsia="zh-CN"/>
                    </w:rPr>
                    <w:t>25kg/桶</w:t>
                  </w:r>
                </w:p>
              </w:tc>
              <w:tc>
                <w:tcPr>
                  <w:tcW w:w="2062" w:type="pct"/>
                  <w:noWrap w:val="0"/>
                  <w:vAlign w:val="center"/>
                </w:tcPr>
                <w:p w14:paraId="1D63ED38">
                  <w:pPr>
                    <w:pStyle w:val="34"/>
                    <w:bidi w:val="0"/>
                    <w:rPr>
                      <w:rFonts w:hint="default"/>
                      <w:color w:val="000000"/>
                      <w:lang w:val="en-US" w:eastAsia="zh-CN"/>
                    </w:rPr>
                  </w:pPr>
                  <w:r>
                    <w:rPr>
                      <w:rFonts w:hint="eastAsia"/>
                      <w:color w:val="000000"/>
                      <w:lang w:val="en-US" w:eastAsia="zh-CN"/>
                    </w:rPr>
                    <w:t>聚六亚甲基二异氰酸酯40%、醋酸丁酯60%</w:t>
                  </w:r>
                </w:p>
              </w:tc>
              <w:tc>
                <w:tcPr>
                  <w:tcW w:w="685" w:type="pct"/>
                  <w:noWrap w:val="0"/>
                  <w:vAlign w:val="center"/>
                </w:tcPr>
                <w:p w14:paraId="3A419B08">
                  <w:pPr>
                    <w:pStyle w:val="34"/>
                    <w:bidi w:val="0"/>
                    <w:rPr>
                      <w:rFonts w:hint="default"/>
                      <w:color w:val="000000"/>
                      <w:lang w:val="en-US" w:eastAsia="zh-CN"/>
                    </w:rPr>
                  </w:pPr>
                  <w:r>
                    <w:rPr>
                      <w:rFonts w:hint="eastAsia"/>
                      <w:color w:val="000000"/>
                      <w:lang w:val="en-US" w:eastAsia="zh-CN"/>
                    </w:rPr>
                    <w:t>0.05t</w:t>
                  </w:r>
                </w:p>
              </w:tc>
            </w:tr>
            <w:tr w14:paraId="3AB3A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263" w:type="pct"/>
                  <w:noWrap w:val="0"/>
                  <w:vAlign w:val="center"/>
                </w:tcPr>
                <w:p w14:paraId="4516ABC5">
                  <w:pPr>
                    <w:pStyle w:val="34"/>
                    <w:bidi w:val="0"/>
                    <w:rPr>
                      <w:rFonts w:hint="default" w:ascii="Times New Roman" w:hAnsi="Times New Roman" w:eastAsia="宋体" w:cs="Times New Roman"/>
                      <w:bCs/>
                      <w:color w:val="000000"/>
                      <w:kern w:val="2"/>
                      <w:sz w:val="21"/>
                      <w:szCs w:val="21"/>
                      <w:lang w:val="en-US" w:eastAsia="zh-CN" w:bidi="ar-SA"/>
                    </w:rPr>
                  </w:pPr>
                  <w:r>
                    <w:rPr>
                      <w:rFonts w:hint="eastAsia"/>
                      <w:color w:val="000000"/>
                      <w:lang w:val="en-US" w:eastAsia="zh-CN"/>
                    </w:rPr>
                    <w:t>9</w:t>
                  </w:r>
                </w:p>
              </w:tc>
              <w:tc>
                <w:tcPr>
                  <w:tcW w:w="793" w:type="pct"/>
                  <w:noWrap w:val="0"/>
                  <w:vAlign w:val="center"/>
                </w:tcPr>
                <w:p w14:paraId="4312EB92">
                  <w:pPr>
                    <w:pStyle w:val="34"/>
                    <w:bidi w:val="0"/>
                    <w:rPr>
                      <w:rFonts w:hint="default"/>
                      <w:color w:val="000000"/>
                      <w:lang w:val="en-US" w:eastAsia="zh-CN"/>
                    </w:rPr>
                  </w:pPr>
                  <w:r>
                    <w:rPr>
                      <w:rFonts w:hint="eastAsia"/>
                      <w:color w:val="000000"/>
                      <w:lang w:val="en-US" w:eastAsia="zh-CN"/>
                    </w:rPr>
                    <w:t>气体保护焊丝</w:t>
                  </w:r>
                </w:p>
              </w:tc>
              <w:tc>
                <w:tcPr>
                  <w:tcW w:w="543" w:type="pct"/>
                  <w:noWrap w:val="0"/>
                  <w:vAlign w:val="center"/>
                </w:tcPr>
                <w:p w14:paraId="5CFACB20">
                  <w:pPr>
                    <w:pStyle w:val="34"/>
                    <w:bidi w:val="0"/>
                    <w:rPr>
                      <w:rFonts w:hint="default"/>
                      <w:color w:val="000000"/>
                      <w:lang w:val="en-US" w:eastAsia="zh-CN"/>
                    </w:rPr>
                  </w:pPr>
                  <w:r>
                    <w:rPr>
                      <w:rFonts w:hint="eastAsia"/>
                      <w:color w:val="000000"/>
                      <w:lang w:val="en-US" w:eastAsia="zh-CN"/>
                    </w:rPr>
                    <w:t>5</w:t>
                  </w:r>
                </w:p>
              </w:tc>
              <w:tc>
                <w:tcPr>
                  <w:tcW w:w="652" w:type="pct"/>
                  <w:noWrap w:val="0"/>
                  <w:vAlign w:val="center"/>
                </w:tcPr>
                <w:p w14:paraId="397C2BB0">
                  <w:pPr>
                    <w:pStyle w:val="34"/>
                    <w:bidi w:val="0"/>
                    <w:rPr>
                      <w:rFonts w:hint="default"/>
                      <w:color w:val="000000"/>
                      <w:lang w:val="en-US" w:eastAsia="zh-CN"/>
                    </w:rPr>
                  </w:pPr>
                  <w:r>
                    <w:rPr>
                      <w:rFonts w:hint="eastAsia"/>
                      <w:color w:val="000000"/>
                      <w:lang w:val="en-US" w:eastAsia="zh-CN"/>
                    </w:rPr>
                    <w:t>10kg/盒</w:t>
                  </w:r>
                </w:p>
              </w:tc>
              <w:tc>
                <w:tcPr>
                  <w:tcW w:w="2062" w:type="pct"/>
                  <w:noWrap w:val="0"/>
                  <w:vAlign w:val="center"/>
                </w:tcPr>
                <w:p w14:paraId="7FFE3448">
                  <w:pPr>
                    <w:pStyle w:val="34"/>
                    <w:bidi w:val="0"/>
                    <w:rPr>
                      <w:rFonts w:hint="default"/>
                      <w:color w:val="000000"/>
                      <w:lang w:val="en-US" w:eastAsia="zh-CN"/>
                    </w:rPr>
                  </w:pPr>
                  <w:r>
                    <w:rPr>
                      <w:rFonts w:hint="eastAsia"/>
                      <w:color w:val="000000"/>
                      <w:lang w:val="en-US" w:eastAsia="zh-CN"/>
                    </w:rPr>
                    <w:t>/</w:t>
                  </w:r>
                </w:p>
              </w:tc>
              <w:tc>
                <w:tcPr>
                  <w:tcW w:w="685" w:type="pct"/>
                  <w:noWrap w:val="0"/>
                  <w:vAlign w:val="center"/>
                </w:tcPr>
                <w:p w14:paraId="7EB1FDE2">
                  <w:pPr>
                    <w:pStyle w:val="34"/>
                    <w:bidi w:val="0"/>
                    <w:rPr>
                      <w:rFonts w:hint="default"/>
                      <w:color w:val="000000"/>
                      <w:lang w:val="en-US" w:eastAsia="zh-CN"/>
                    </w:rPr>
                  </w:pPr>
                  <w:r>
                    <w:rPr>
                      <w:rFonts w:hint="eastAsia"/>
                      <w:color w:val="000000"/>
                      <w:lang w:val="en-US" w:eastAsia="zh-CN"/>
                    </w:rPr>
                    <w:t>0.5</w:t>
                  </w:r>
                </w:p>
              </w:tc>
            </w:tr>
            <w:tr w14:paraId="1D510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263" w:type="pct"/>
                  <w:noWrap w:val="0"/>
                  <w:vAlign w:val="center"/>
                </w:tcPr>
                <w:p w14:paraId="07990D1A">
                  <w:pPr>
                    <w:pStyle w:val="34"/>
                    <w:bidi w:val="0"/>
                    <w:rPr>
                      <w:rFonts w:hint="default" w:ascii="Times New Roman" w:hAnsi="Times New Roman" w:eastAsia="宋体" w:cs="Times New Roman"/>
                      <w:bCs/>
                      <w:color w:val="000000"/>
                      <w:kern w:val="2"/>
                      <w:sz w:val="21"/>
                      <w:szCs w:val="21"/>
                      <w:lang w:val="en-US" w:eastAsia="zh-CN" w:bidi="ar-SA"/>
                    </w:rPr>
                  </w:pPr>
                  <w:r>
                    <w:rPr>
                      <w:rFonts w:hint="eastAsia" w:cs="Times New Roman"/>
                      <w:bCs/>
                      <w:color w:val="000000"/>
                      <w:kern w:val="2"/>
                      <w:sz w:val="21"/>
                      <w:szCs w:val="21"/>
                      <w:lang w:val="en-US" w:eastAsia="zh-CN" w:bidi="ar-SA"/>
                    </w:rPr>
                    <w:t>10</w:t>
                  </w:r>
                </w:p>
              </w:tc>
              <w:tc>
                <w:tcPr>
                  <w:tcW w:w="793" w:type="pct"/>
                  <w:noWrap w:val="0"/>
                  <w:vAlign w:val="center"/>
                </w:tcPr>
                <w:p w14:paraId="0074595F">
                  <w:pPr>
                    <w:pStyle w:val="34"/>
                    <w:bidi w:val="0"/>
                    <w:rPr>
                      <w:rFonts w:hint="default" w:ascii="Times New Roman" w:hAnsi="Times New Roman" w:eastAsia="宋体" w:cs="Times New Roman"/>
                      <w:bCs/>
                      <w:color w:val="000000"/>
                      <w:kern w:val="2"/>
                      <w:sz w:val="21"/>
                      <w:szCs w:val="21"/>
                      <w:lang w:val="en-US" w:eastAsia="zh-CN" w:bidi="ar-SA"/>
                    </w:rPr>
                  </w:pPr>
                  <w:r>
                    <w:rPr>
                      <w:rFonts w:hint="eastAsia"/>
                      <w:color w:val="000000"/>
                      <w:lang w:val="en-US" w:eastAsia="zh-CN"/>
                    </w:rPr>
                    <w:t>二氧化碳</w:t>
                  </w:r>
                </w:p>
              </w:tc>
              <w:tc>
                <w:tcPr>
                  <w:tcW w:w="543" w:type="pct"/>
                  <w:noWrap w:val="0"/>
                  <w:vAlign w:val="center"/>
                </w:tcPr>
                <w:p w14:paraId="7B87C95B">
                  <w:pPr>
                    <w:pStyle w:val="34"/>
                    <w:bidi w:val="0"/>
                    <w:rPr>
                      <w:rFonts w:hint="default" w:ascii="Times New Roman" w:hAnsi="Times New Roman" w:eastAsia="宋体" w:cs="Times New Roman"/>
                      <w:bCs/>
                      <w:color w:val="000000"/>
                      <w:kern w:val="2"/>
                      <w:sz w:val="21"/>
                      <w:szCs w:val="21"/>
                      <w:lang w:val="en-US" w:eastAsia="zh-CN" w:bidi="ar-SA"/>
                    </w:rPr>
                  </w:pPr>
                  <w:r>
                    <w:rPr>
                      <w:rFonts w:hint="eastAsia" w:cs="Times New Roman"/>
                      <w:bCs/>
                      <w:color w:val="000000"/>
                      <w:kern w:val="2"/>
                      <w:sz w:val="21"/>
                      <w:szCs w:val="21"/>
                      <w:lang w:val="en-US" w:eastAsia="zh-CN" w:bidi="ar-SA"/>
                    </w:rPr>
                    <w:t>0.5</w:t>
                  </w:r>
                </w:p>
              </w:tc>
              <w:tc>
                <w:tcPr>
                  <w:tcW w:w="652" w:type="pct"/>
                  <w:noWrap w:val="0"/>
                  <w:vAlign w:val="center"/>
                </w:tcPr>
                <w:p w14:paraId="60EA91D1">
                  <w:pPr>
                    <w:pStyle w:val="34"/>
                    <w:bidi w:val="0"/>
                    <w:rPr>
                      <w:rFonts w:hint="default"/>
                      <w:color w:val="000000"/>
                      <w:lang w:val="en-US" w:eastAsia="zh-CN"/>
                    </w:rPr>
                  </w:pPr>
                  <w:r>
                    <w:rPr>
                      <w:rFonts w:hint="eastAsia"/>
                      <w:color w:val="000000"/>
                      <w:lang w:val="en-US" w:eastAsia="zh-CN"/>
                    </w:rPr>
                    <w:t>储气罐</w:t>
                  </w:r>
                </w:p>
              </w:tc>
              <w:tc>
                <w:tcPr>
                  <w:tcW w:w="2062" w:type="pct"/>
                  <w:noWrap w:val="0"/>
                  <w:vAlign w:val="center"/>
                </w:tcPr>
                <w:p w14:paraId="74E7498E">
                  <w:pPr>
                    <w:pStyle w:val="34"/>
                    <w:bidi w:val="0"/>
                    <w:rPr>
                      <w:rFonts w:hint="default"/>
                      <w:color w:val="000000"/>
                      <w:lang w:val="en-US" w:eastAsia="zh-CN"/>
                    </w:rPr>
                  </w:pPr>
                  <w:r>
                    <w:rPr>
                      <w:rFonts w:hint="eastAsia"/>
                      <w:color w:val="000000"/>
                      <w:lang w:val="en-US" w:eastAsia="zh-CN"/>
                    </w:rPr>
                    <w:t>CO</w:t>
                  </w:r>
                  <w:r>
                    <w:rPr>
                      <w:rFonts w:hint="eastAsia"/>
                      <w:color w:val="000000"/>
                      <w:vertAlign w:val="subscript"/>
                      <w:lang w:val="en-US" w:eastAsia="zh-CN"/>
                    </w:rPr>
                    <w:t>2</w:t>
                  </w:r>
                </w:p>
              </w:tc>
              <w:tc>
                <w:tcPr>
                  <w:tcW w:w="685" w:type="pct"/>
                  <w:noWrap w:val="0"/>
                  <w:vAlign w:val="center"/>
                </w:tcPr>
                <w:p w14:paraId="3F424AD0">
                  <w:pPr>
                    <w:pStyle w:val="34"/>
                    <w:bidi w:val="0"/>
                    <w:rPr>
                      <w:rFonts w:hint="default"/>
                      <w:color w:val="000000"/>
                      <w:lang w:val="en-US" w:eastAsia="zh-CN"/>
                    </w:rPr>
                  </w:pPr>
                  <w:r>
                    <w:rPr>
                      <w:rFonts w:hint="eastAsia"/>
                      <w:color w:val="000000"/>
                      <w:lang w:val="en-US" w:eastAsia="zh-CN"/>
                    </w:rPr>
                    <w:t>0.1</w:t>
                  </w:r>
                </w:p>
              </w:tc>
            </w:tr>
            <w:tr w14:paraId="50E03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263" w:type="pct"/>
                  <w:noWrap w:val="0"/>
                  <w:vAlign w:val="center"/>
                </w:tcPr>
                <w:p w14:paraId="4A96A308">
                  <w:pPr>
                    <w:pStyle w:val="34"/>
                    <w:bidi w:val="0"/>
                    <w:rPr>
                      <w:rFonts w:hint="default" w:cs="Times New Roman"/>
                      <w:bCs/>
                      <w:color w:val="000000"/>
                      <w:kern w:val="2"/>
                      <w:sz w:val="21"/>
                      <w:szCs w:val="21"/>
                      <w:lang w:val="en-US" w:eastAsia="zh-CN" w:bidi="ar-SA"/>
                    </w:rPr>
                  </w:pPr>
                  <w:r>
                    <w:rPr>
                      <w:rFonts w:hint="eastAsia" w:cs="Times New Roman"/>
                      <w:bCs/>
                      <w:color w:val="000000"/>
                      <w:kern w:val="2"/>
                      <w:sz w:val="21"/>
                      <w:szCs w:val="21"/>
                      <w:lang w:val="en-US" w:eastAsia="zh-CN" w:bidi="ar-SA"/>
                    </w:rPr>
                    <w:t>11</w:t>
                  </w:r>
                </w:p>
              </w:tc>
              <w:tc>
                <w:tcPr>
                  <w:tcW w:w="793" w:type="pct"/>
                  <w:noWrap w:val="0"/>
                  <w:vAlign w:val="center"/>
                </w:tcPr>
                <w:p w14:paraId="1CF694CD">
                  <w:pPr>
                    <w:pStyle w:val="34"/>
                    <w:bidi w:val="0"/>
                    <w:rPr>
                      <w:rFonts w:hint="default"/>
                      <w:color w:val="000000"/>
                      <w:lang w:val="en-US" w:eastAsia="zh-CN"/>
                    </w:rPr>
                  </w:pPr>
                  <w:r>
                    <w:rPr>
                      <w:rFonts w:hint="eastAsia"/>
                      <w:color w:val="000000"/>
                      <w:lang w:val="en-US" w:eastAsia="zh-CN"/>
                    </w:rPr>
                    <w:t>氩气</w:t>
                  </w:r>
                </w:p>
              </w:tc>
              <w:tc>
                <w:tcPr>
                  <w:tcW w:w="543" w:type="pct"/>
                  <w:noWrap w:val="0"/>
                  <w:vAlign w:val="center"/>
                </w:tcPr>
                <w:p w14:paraId="2F83A10D">
                  <w:pPr>
                    <w:pStyle w:val="34"/>
                    <w:bidi w:val="0"/>
                    <w:rPr>
                      <w:rFonts w:hint="default" w:cs="Times New Roman"/>
                      <w:bCs/>
                      <w:color w:val="000000"/>
                      <w:kern w:val="2"/>
                      <w:sz w:val="21"/>
                      <w:szCs w:val="21"/>
                      <w:lang w:val="en-US" w:eastAsia="zh-CN" w:bidi="ar-SA"/>
                    </w:rPr>
                  </w:pPr>
                  <w:r>
                    <w:rPr>
                      <w:rFonts w:hint="eastAsia" w:cs="Times New Roman"/>
                      <w:bCs/>
                      <w:color w:val="000000"/>
                      <w:kern w:val="2"/>
                      <w:sz w:val="21"/>
                      <w:szCs w:val="21"/>
                      <w:lang w:val="en-US" w:eastAsia="zh-CN" w:bidi="ar-SA"/>
                    </w:rPr>
                    <w:t>0.5</w:t>
                  </w:r>
                </w:p>
              </w:tc>
              <w:tc>
                <w:tcPr>
                  <w:tcW w:w="652" w:type="pct"/>
                  <w:noWrap w:val="0"/>
                  <w:vAlign w:val="center"/>
                </w:tcPr>
                <w:p w14:paraId="0518A661">
                  <w:pPr>
                    <w:pStyle w:val="34"/>
                    <w:bidi w:val="0"/>
                    <w:rPr>
                      <w:rFonts w:hint="eastAsia"/>
                      <w:color w:val="000000"/>
                      <w:lang w:val="en-US" w:eastAsia="zh-CN"/>
                    </w:rPr>
                  </w:pPr>
                  <w:r>
                    <w:rPr>
                      <w:rFonts w:hint="eastAsia"/>
                      <w:color w:val="000000"/>
                      <w:lang w:val="en-US" w:eastAsia="zh-CN"/>
                    </w:rPr>
                    <w:t>储气罐</w:t>
                  </w:r>
                </w:p>
              </w:tc>
              <w:tc>
                <w:tcPr>
                  <w:tcW w:w="2062" w:type="pct"/>
                  <w:noWrap w:val="0"/>
                  <w:vAlign w:val="center"/>
                </w:tcPr>
                <w:p w14:paraId="13DEBD3E">
                  <w:pPr>
                    <w:pStyle w:val="34"/>
                    <w:bidi w:val="0"/>
                    <w:rPr>
                      <w:rFonts w:hint="default"/>
                      <w:color w:val="000000"/>
                      <w:lang w:val="en-US" w:eastAsia="zh-CN"/>
                    </w:rPr>
                  </w:pPr>
                  <w:r>
                    <w:rPr>
                      <w:rFonts w:hint="eastAsia"/>
                      <w:color w:val="000000"/>
                      <w:lang w:val="en-US" w:eastAsia="zh-CN"/>
                    </w:rPr>
                    <w:t>Ar</w:t>
                  </w:r>
                </w:p>
              </w:tc>
              <w:tc>
                <w:tcPr>
                  <w:tcW w:w="685" w:type="pct"/>
                  <w:noWrap w:val="0"/>
                  <w:vAlign w:val="center"/>
                </w:tcPr>
                <w:p w14:paraId="10FA18A9">
                  <w:pPr>
                    <w:pStyle w:val="34"/>
                    <w:bidi w:val="0"/>
                    <w:rPr>
                      <w:rFonts w:hint="default"/>
                      <w:color w:val="000000"/>
                      <w:lang w:val="en-US" w:eastAsia="zh-CN"/>
                    </w:rPr>
                  </w:pPr>
                  <w:r>
                    <w:rPr>
                      <w:rFonts w:hint="eastAsia"/>
                      <w:color w:val="000000"/>
                      <w:lang w:val="en-US" w:eastAsia="zh-CN"/>
                    </w:rPr>
                    <w:t>0.1</w:t>
                  </w:r>
                </w:p>
              </w:tc>
            </w:tr>
            <w:tr w14:paraId="1374A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263" w:type="pct"/>
                  <w:noWrap w:val="0"/>
                  <w:vAlign w:val="center"/>
                </w:tcPr>
                <w:p w14:paraId="22D6C67C">
                  <w:pPr>
                    <w:pStyle w:val="34"/>
                    <w:bidi w:val="0"/>
                    <w:rPr>
                      <w:rFonts w:hint="default"/>
                      <w:color w:val="000000"/>
                      <w:lang w:val="en-US" w:eastAsia="zh-CN"/>
                    </w:rPr>
                  </w:pPr>
                  <w:r>
                    <w:rPr>
                      <w:rFonts w:hint="eastAsia"/>
                      <w:color w:val="000000"/>
                      <w:lang w:val="en-US" w:eastAsia="zh-CN"/>
                    </w:rPr>
                    <w:t>12</w:t>
                  </w:r>
                </w:p>
              </w:tc>
              <w:tc>
                <w:tcPr>
                  <w:tcW w:w="793" w:type="pct"/>
                  <w:noWrap w:val="0"/>
                  <w:vAlign w:val="center"/>
                </w:tcPr>
                <w:p w14:paraId="6337FC87">
                  <w:pPr>
                    <w:pStyle w:val="34"/>
                    <w:bidi w:val="0"/>
                    <w:rPr>
                      <w:rFonts w:hint="default" w:ascii="Times New Roman" w:hAnsi="Times New Roman" w:eastAsia="宋体" w:cs="Times New Roman"/>
                      <w:bCs/>
                      <w:color w:val="000000"/>
                      <w:kern w:val="2"/>
                      <w:sz w:val="21"/>
                      <w:szCs w:val="21"/>
                      <w:lang w:val="en-US" w:eastAsia="zh-CN" w:bidi="ar-SA"/>
                    </w:rPr>
                  </w:pPr>
                  <w:r>
                    <w:rPr>
                      <w:rFonts w:hint="eastAsia"/>
                      <w:color w:val="000000"/>
                      <w:lang w:val="en-US" w:eastAsia="zh-CN"/>
                    </w:rPr>
                    <w:t>润滑油</w:t>
                  </w:r>
                </w:p>
              </w:tc>
              <w:tc>
                <w:tcPr>
                  <w:tcW w:w="543" w:type="pct"/>
                  <w:noWrap w:val="0"/>
                  <w:vAlign w:val="center"/>
                </w:tcPr>
                <w:p w14:paraId="1EA525D3">
                  <w:pPr>
                    <w:pStyle w:val="34"/>
                    <w:bidi w:val="0"/>
                    <w:rPr>
                      <w:rFonts w:hint="default" w:ascii="Times New Roman" w:hAnsi="Times New Roman" w:eastAsia="宋体" w:cs="Times New Roman"/>
                      <w:bCs/>
                      <w:color w:val="000000"/>
                      <w:kern w:val="2"/>
                      <w:sz w:val="21"/>
                      <w:szCs w:val="21"/>
                      <w:lang w:val="en-US" w:eastAsia="zh-CN" w:bidi="ar-SA"/>
                    </w:rPr>
                  </w:pPr>
                  <w:r>
                    <w:rPr>
                      <w:rFonts w:hint="eastAsia"/>
                      <w:color w:val="000000"/>
                      <w:lang w:val="en-US" w:eastAsia="zh-CN"/>
                    </w:rPr>
                    <w:t>0.1</w:t>
                  </w:r>
                </w:p>
              </w:tc>
              <w:tc>
                <w:tcPr>
                  <w:tcW w:w="652" w:type="pct"/>
                  <w:noWrap w:val="0"/>
                  <w:vAlign w:val="center"/>
                </w:tcPr>
                <w:p w14:paraId="6E631F5A">
                  <w:pPr>
                    <w:pStyle w:val="34"/>
                    <w:bidi w:val="0"/>
                    <w:rPr>
                      <w:rFonts w:hint="default"/>
                      <w:color w:val="000000"/>
                      <w:lang w:val="en-US" w:eastAsia="zh-CN"/>
                    </w:rPr>
                  </w:pPr>
                  <w:r>
                    <w:rPr>
                      <w:rFonts w:hint="eastAsia"/>
                      <w:color w:val="000000"/>
                      <w:lang w:val="en-US" w:eastAsia="zh-CN"/>
                    </w:rPr>
                    <w:t>200kg/桶</w:t>
                  </w:r>
                </w:p>
              </w:tc>
              <w:tc>
                <w:tcPr>
                  <w:tcW w:w="2062" w:type="pct"/>
                  <w:noWrap w:val="0"/>
                  <w:vAlign w:val="center"/>
                </w:tcPr>
                <w:p w14:paraId="6C325277">
                  <w:pPr>
                    <w:pStyle w:val="34"/>
                    <w:bidi w:val="0"/>
                    <w:rPr>
                      <w:rFonts w:hint="default"/>
                      <w:color w:val="000000"/>
                      <w:lang w:val="en-US" w:eastAsia="zh-CN"/>
                    </w:rPr>
                  </w:pPr>
                  <w:r>
                    <w:rPr>
                      <w:rFonts w:hint="eastAsia"/>
                      <w:color w:val="000000"/>
                      <w:lang w:val="en-US" w:eastAsia="zh-CN"/>
                    </w:rPr>
                    <w:t>矿物油</w:t>
                  </w:r>
                </w:p>
              </w:tc>
              <w:tc>
                <w:tcPr>
                  <w:tcW w:w="685" w:type="pct"/>
                  <w:noWrap w:val="0"/>
                  <w:vAlign w:val="center"/>
                </w:tcPr>
                <w:p w14:paraId="02D193C8">
                  <w:pPr>
                    <w:pStyle w:val="34"/>
                    <w:bidi w:val="0"/>
                    <w:rPr>
                      <w:rFonts w:hint="default"/>
                      <w:color w:val="000000"/>
                      <w:lang w:val="en-US" w:eastAsia="zh-CN"/>
                    </w:rPr>
                  </w:pPr>
                  <w:r>
                    <w:rPr>
                      <w:rFonts w:hint="eastAsia"/>
                      <w:color w:val="000000"/>
                      <w:lang w:val="en-US" w:eastAsia="zh-CN"/>
                    </w:rPr>
                    <w:t>0.1</w:t>
                  </w:r>
                </w:p>
              </w:tc>
            </w:tr>
          </w:tbl>
          <w:p w14:paraId="14409AA9">
            <w:pPr>
              <w:pStyle w:val="21"/>
              <w:bidi w:val="0"/>
              <w:ind w:left="0" w:leftChars="0" w:firstLine="482" w:firstLineChars="200"/>
              <w:jc w:val="left"/>
              <w:rPr>
                <w:rFonts w:hint="eastAsia" w:ascii="宋体" w:hAnsi="宋体" w:cs="宋体" w:eastAsiaTheme="minorEastAsia"/>
                <w:b/>
                <w:bCs/>
                <w:color w:val="000000"/>
                <w:szCs w:val="22"/>
                <w:lang w:val="en-US" w:eastAsia="zh-CN" w:bidi="ar-SA"/>
              </w:rPr>
            </w:pPr>
            <w:r>
              <w:rPr>
                <w:rFonts w:hint="eastAsia" w:ascii="宋体" w:hAnsi="宋体" w:cs="宋体" w:eastAsiaTheme="minorEastAsia"/>
                <w:b/>
                <w:bCs/>
                <w:color w:val="000000"/>
                <w:szCs w:val="22"/>
                <w:lang w:val="en-US" w:eastAsia="zh-CN" w:bidi="ar-SA"/>
              </w:rPr>
              <w:t>2.2.2耗能</w:t>
            </w:r>
          </w:p>
          <w:p w14:paraId="1E708E5C">
            <w:pPr>
              <w:pStyle w:val="23"/>
              <w:rPr>
                <w:color w:val="auto"/>
                <w:highlight w:val="none"/>
              </w:rPr>
            </w:pPr>
            <w:r>
              <w:rPr>
                <w:color w:val="auto"/>
                <w:highlight w:val="none"/>
              </w:rPr>
              <w:t xml:space="preserve"> 项目资源能耗情况表</w:t>
            </w:r>
          </w:p>
          <w:tbl>
            <w:tblPr>
              <w:tblStyle w:val="15"/>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9"/>
              <w:gridCol w:w="2297"/>
              <w:gridCol w:w="2721"/>
              <w:gridCol w:w="3474"/>
            </w:tblGrid>
            <w:tr w14:paraId="11D1C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54" w:type="pct"/>
                  <w:noWrap w:val="0"/>
                  <w:vAlign w:val="center"/>
                </w:tcPr>
                <w:p w14:paraId="1471EB53">
                  <w:pPr>
                    <w:pStyle w:val="34"/>
                    <w:rPr>
                      <w:color w:val="000000"/>
                    </w:rPr>
                  </w:pPr>
                  <w:r>
                    <w:rPr>
                      <w:color w:val="000000"/>
                    </w:rPr>
                    <w:t>序号</w:t>
                  </w:r>
                </w:p>
              </w:tc>
              <w:tc>
                <w:tcPr>
                  <w:tcW w:w="1202" w:type="pct"/>
                  <w:noWrap w:val="0"/>
                  <w:vAlign w:val="center"/>
                </w:tcPr>
                <w:p w14:paraId="6F7EC4A8">
                  <w:pPr>
                    <w:pStyle w:val="34"/>
                    <w:rPr>
                      <w:color w:val="000000"/>
                    </w:rPr>
                  </w:pPr>
                  <w:r>
                    <w:rPr>
                      <w:color w:val="000000"/>
                    </w:rPr>
                    <w:t>类型</w:t>
                  </w:r>
                </w:p>
              </w:tc>
              <w:tc>
                <w:tcPr>
                  <w:tcW w:w="1424" w:type="pct"/>
                  <w:noWrap w:val="0"/>
                  <w:vAlign w:val="center"/>
                </w:tcPr>
                <w:p w14:paraId="2403C1E7">
                  <w:pPr>
                    <w:pStyle w:val="34"/>
                    <w:rPr>
                      <w:color w:val="000000"/>
                    </w:rPr>
                  </w:pPr>
                  <w:r>
                    <w:rPr>
                      <w:color w:val="000000"/>
                    </w:rPr>
                    <w:t>名称</w:t>
                  </w:r>
                </w:p>
              </w:tc>
              <w:tc>
                <w:tcPr>
                  <w:tcW w:w="1818" w:type="pct"/>
                  <w:noWrap w:val="0"/>
                  <w:vAlign w:val="center"/>
                </w:tcPr>
                <w:p w14:paraId="37988E5E">
                  <w:pPr>
                    <w:pStyle w:val="34"/>
                    <w:rPr>
                      <w:color w:val="000000"/>
                    </w:rPr>
                  </w:pPr>
                  <w:r>
                    <w:rPr>
                      <w:color w:val="000000"/>
                    </w:rPr>
                    <w:t>年用量</w:t>
                  </w:r>
                </w:p>
              </w:tc>
            </w:tr>
            <w:tr w14:paraId="3EE3E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554" w:type="pct"/>
                  <w:noWrap w:val="0"/>
                  <w:vAlign w:val="center"/>
                </w:tcPr>
                <w:p w14:paraId="5CD69A4D">
                  <w:pPr>
                    <w:pStyle w:val="34"/>
                    <w:rPr>
                      <w:color w:val="000000"/>
                    </w:rPr>
                  </w:pPr>
                  <w:r>
                    <w:rPr>
                      <w:color w:val="000000"/>
                    </w:rPr>
                    <w:t>1</w:t>
                  </w:r>
                </w:p>
              </w:tc>
              <w:tc>
                <w:tcPr>
                  <w:tcW w:w="1202" w:type="pct"/>
                  <w:vMerge w:val="restart"/>
                  <w:noWrap w:val="0"/>
                  <w:vAlign w:val="center"/>
                </w:tcPr>
                <w:p w14:paraId="6D4CE2CA">
                  <w:pPr>
                    <w:pStyle w:val="34"/>
                    <w:rPr>
                      <w:color w:val="000000"/>
                    </w:rPr>
                  </w:pPr>
                  <w:r>
                    <w:rPr>
                      <w:color w:val="000000"/>
                    </w:rPr>
                    <w:t>能源</w:t>
                  </w:r>
                </w:p>
              </w:tc>
              <w:tc>
                <w:tcPr>
                  <w:tcW w:w="1424" w:type="pct"/>
                  <w:noWrap w:val="0"/>
                  <w:vAlign w:val="center"/>
                </w:tcPr>
                <w:p w14:paraId="5E27E942">
                  <w:pPr>
                    <w:pStyle w:val="34"/>
                    <w:rPr>
                      <w:rFonts w:hint="eastAsia"/>
                      <w:color w:val="000000"/>
                    </w:rPr>
                  </w:pPr>
                  <w:r>
                    <w:rPr>
                      <w:rFonts w:hint="eastAsia"/>
                      <w:color w:val="000000"/>
                    </w:rPr>
                    <w:t>电</w:t>
                  </w:r>
                </w:p>
              </w:tc>
              <w:tc>
                <w:tcPr>
                  <w:tcW w:w="1818" w:type="pct"/>
                  <w:noWrap w:val="0"/>
                  <w:vAlign w:val="center"/>
                </w:tcPr>
                <w:p w14:paraId="016DF026">
                  <w:pPr>
                    <w:pStyle w:val="34"/>
                    <w:rPr>
                      <w:color w:val="000000"/>
                    </w:rPr>
                  </w:pPr>
                  <w:r>
                    <w:rPr>
                      <w:rFonts w:hint="eastAsia"/>
                      <w:color w:val="000000"/>
                      <w:lang w:val="en-US" w:eastAsia="zh-CN"/>
                    </w:rPr>
                    <w:t>50万</w:t>
                  </w:r>
                  <w:r>
                    <w:rPr>
                      <w:color w:val="000000"/>
                    </w:rPr>
                    <w:t>度</w:t>
                  </w:r>
                </w:p>
              </w:tc>
            </w:tr>
            <w:tr w14:paraId="7207E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4" w:type="pct"/>
                  <w:noWrap w:val="0"/>
                  <w:vAlign w:val="center"/>
                </w:tcPr>
                <w:p w14:paraId="3184B3E4">
                  <w:pPr>
                    <w:pStyle w:val="34"/>
                    <w:rPr>
                      <w:color w:val="000000"/>
                      <w:highlight w:val="none"/>
                    </w:rPr>
                  </w:pPr>
                  <w:r>
                    <w:rPr>
                      <w:color w:val="000000"/>
                      <w:highlight w:val="none"/>
                    </w:rPr>
                    <w:t>2</w:t>
                  </w:r>
                </w:p>
              </w:tc>
              <w:tc>
                <w:tcPr>
                  <w:tcW w:w="1202" w:type="pct"/>
                  <w:vMerge w:val="continue"/>
                  <w:noWrap w:val="0"/>
                  <w:vAlign w:val="center"/>
                </w:tcPr>
                <w:p w14:paraId="461C5F18">
                  <w:pPr>
                    <w:pStyle w:val="34"/>
                    <w:rPr>
                      <w:color w:val="000000"/>
                      <w:highlight w:val="none"/>
                    </w:rPr>
                  </w:pPr>
                </w:p>
              </w:tc>
              <w:tc>
                <w:tcPr>
                  <w:tcW w:w="1424" w:type="pct"/>
                  <w:noWrap w:val="0"/>
                  <w:vAlign w:val="center"/>
                </w:tcPr>
                <w:p w14:paraId="70A10128">
                  <w:pPr>
                    <w:pStyle w:val="34"/>
                    <w:rPr>
                      <w:color w:val="000000"/>
                      <w:highlight w:val="none"/>
                    </w:rPr>
                  </w:pPr>
                  <w:r>
                    <w:rPr>
                      <w:rFonts w:hint="eastAsia"/>
                      <w:color w:val="000000"/>
                      <w:highlight w:val="none"/>
                    </w:rPr>
                    <w:t>自来水</w:t>
                  </w:r>
                </w:p>
              </w:tc>
              <w:tc>
                <w:tcPr>
                  <w:tcW w:w="1818" w:type="pct"/>
                  <w:noWrap w:val="0"/>
                  <w:vAlign w:val="center"/>
                </w:tcPr>
                <w:p w14:paraId="4AEC023B">
                  <w:pPr>
                    <w:pStyle w:val="34"/>
                    <w:rPr>
                      <w:color w:val="000000"/>
                      <w:highlight w:val="none"/>
                    </w:rPr>
                  </w:pPr>
                  <w:r>
                    <w:rPr>
                      <w:rFonts w:hint="eastAsia"/>
                      <w:color w:val="000000"/>
                      <w:highlight w:val="none"/>
                      <w:lang w:val="en-US" w:eastAsia="zh-CN"/>
                    </w:rPr>
                    <w:t>231.69</w:t>
                  </w:r>
                  <w:r>
                    <w:rPr>
                      <w:color w:val="000000"/>
                      <w:highlight w:val="none"/>
                    </w:rPr>
                    <w:t>m</w:t>
                  </w:r>
                  <w:r>
                    <w:rPr>
                      <w:color w:val="000000"/>
                      <w:highlight w:val="none"/>
                      <w:vertAlign w:val="superscript"/>
                    </w:rPr>
                    <w:t>3</w:t>
                  </w:r>
                </w:p>
              </w:tc>
            </w:tr>
          </w:tbl>
          <w:p w14:paraId="135C46A9">
            <w:pPr>
              <w:pStyle w:val="42"/>
              <w:ind w:firstLine="482" w:firstLineChars="200"/>
              <w:rPr>
                <w:rFonts w:hint="eastAsia" w:eastAsia="宋体" w:cs="Times New Roman" w:asciiTheme="minorHAnsi" w:hAnsiTheme="minorHAnsi"/>
                <w:b/>
                <w:bCs/>
                <w:snapToGrid w:val="0"/>
                <w:color w:val="000000" w:themeColor="text1"/>
                <w:kern w:val="2"/>
                <w:sz w:val="24"/>
                <w:szCs w:val="24"/>
                <w:highlight w:val="none"/>
                <w:lang w:val="en-US" w:eastAsia="en-US" w:bidi="ar-SA"/>
                <w14:textFill>
                  <w14:solidFill>
                    <w14:schemeClr w14:val="tx1"/>
                  </w14:solidFill>
                </w14:textFill>
              </w:rPr>
            </w:pPr>
            <w:r>
              <w:rPr>
                <w:rFonts w:hint="eastAsia" w:eastAsia="宋体" w:cs="Times New Roman" w:asciiTheme="minorHAnsi" w:hAnsiTheme="minorHAnsi"/>
                <w:b/>
                <w:bCs/>
                <w:snapToGrid w:val="0"/>
                <w:color w:val="000000" w:themeColor="text1"/>
                <w:kern w:val="2"/>
                <w:sz w:val="24"/>
                <w:szCs w:val="24"/>
                <w:highlight w:val="none"/>
                <w:lang w:val="en-US" w:eastAsia="en-US" w:bidi="ar-SA"/>
                <w14:textFill>
                  <w14:solidFill>
                    <w14:schemeClr w14:val="tx1"/>
                  </w14:solidFill>
                </w14:textFill>
              </w:rPr>
              <w:t>2.3 主要工艺流程及产污环节</w:t>
            </w:r>
          </w:p>
          <w:p w14:paraId="59C21794">
            <w:pPr>
              <w:pStyle w:val="21"/>
              <w:bidi w:val="0"/>
              <w:ind w:left="0" w:leftChars="0" w:firstLine="480" w:firstLineChars="200"/>
              <w:rPr>
                <w:rFonts w:hint="eastAsia"/>
                <w:color w:val="000000"/>
                <w:lang w:val="en-US" w:eastAsia="zh-CN"/>
              </w:rPr>
            </w:pPr>
            <w:r>
              <w:rPr>
                <w:rFonts w:hint="eastAsia"/>
                <w:color w:val="000000"/>
                <w:lang w:val="en-US" w:eastAsia="zh-CN"/>
              </w:rPr>
              <w:t>项目生产工艺流程详见下图。</w:t>
            </w:r>
          </w:p>
          <w:p w14:paraId="7007F91A">
            <w:pPr>
              <w:pStyle w:val="21"/>
              <w:bidi w:val="0"/>
              <w:rPr>
                <w:rFonts w:hint="eastAsia"/>
                <w:color w:val="000000"/>
                <w:lang w:val="en-US" w:eastAsia="zh-CN"/>
              </w:rPr>
            </w:pPr>
            <w:r>
              <w:rPr>
                <w:rFonts w:hint="eastAsia"/>
                <w:color w:val="000000"/>
                <w:lang w:val="en-US" w:eastAsia="zh-CN"/>
              </w:rPr>
              <w:drawing>
                <wp:inline distT="0" distB="0" distL="114300" distR="114300">
                  <wp:extent cx="4299585" cy="5200650"/>
                  <wp:effectExtent l="0" t="0" r="0" b="0"/>
                  <wp:docPr id="1" name="图片 1" descr="C:/Users/admin/AppData/Local/Temp/wps.rjrgKG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AppData/Local/Temp/wps.rjrgKGwps"/>
                          <pic:cNvPicPr>
                            <a:picLocks noChangeAspect="1"/>
                          </pic:cNvPicPr>
                        </pic:nvPicPr>
                        <pic:blipFill>
                          <a:blip r:embed="rId4"/>
                          <a:srcRect l="3360" t="3403" r="3542" b="3210"/>
                          <a:stretch>
                            <a:fillRect/>
                          </a:stretch>
                        </pic:blipFill>
                        <pic:spPr>
                          <a:xfrm>
                            <a:off x="0" y="0"/>
                            <a:ext cx="4299585" cy="5200650"/>
                          </a:xfrm>
                          <a:prstGeom prst="rect">
                            <a:avLst/>
                          </a:prstGeom>
                          <a:noFill/>
                          <a:ln>
                            <a:noFill/>
                          </a:ln>
                        </pic:spPr>
                      </pic:pic>
                    </a:graphicData>
                  </a:graphic>
                </wp:inline>
              </w:drawing>
            </w:r>
          </w:p>
          <w:p w14:paraId="08CE9F58">
            <w:pPr>
              <w:pStyle w:val="21"/>
              <w:ind w:left="0" w:leftChars="0" w:firstLine="480" w:firstLineChars="200"/>
              <w:rPr>
                <w:rFonts w:hint="eastAsia" w:eastAsia="宋体"/>
                <w:color w:val="000000"/>
                <w:lang w:val="en-US" w:eastAsia="zh-CN"/>
              </w:rPr>
            </w:pPr>
            <w:r>
              <w:rPr>
                <w:color w:val="000000"/>
              </w:rPr>
              <w:t>工艺流程说明：</w:t>
            </w:r>
          </w:p>
          <w:p w14:paraId="54343769">
            <w:pPr>
              <w:pStyle w:val="21"/>
              <w:bidi w:val="0"/>
              <w:rPr>
                <w:rFonts w:hint="eastAsia"/>
                <w:color w:val="000000"/>
                <w:lang w:val="en-US" w:eastAsia="zh-CN"/>
              </w:rPr>
            </w:pPr>
            <w:r>
              <w:rPr>
                <w:rFonts w:hint="eastAsia"/>
                <w:color w:val="000000"/>
                <w:lang w:val="en-US" w:eastAsia="zh-CN"/>
              </w:rPr>
              <w:t>切割下料：项目采用剪板机和激光切割机对钢板和钢管进行切割下料。剪板机借助于运动的上刀片和固定的下刀片，采用合理的刀片间隙，对各种厚度的金属板材施加剪切力，使板材按所需要的尺寸断裂分离。</w:t>
            </w:r>
            <w:r>
              <w:rPr>
                <w:rFonts w:hint="default"/>
                <w:color w:val="000000"/>
                <w:lang w:val="en-US" w:eastAsia="zh-CN"/>
              </w:rPr>
              <w:t>激光切割机是将从</w:t>
            </w:r>
            <w:r>
              <w:rPr>
                <w:rFonts w:hint="default"/>
                <w:color w:val="000000"/>
                <w:lang w:val="en-US" w:eastAsia="zh-CN"/>
              </w:rPr>
              <w:fldChar w:fldCharType="begin"/>
            </w:r>
            <w:r>
              <w:rPr>
                <w:rFonts w:hint="default"/>
                <w:color w:val="000000"/>
                <w:lang w:val="en-US" w:eastAsia="zh-CN"/>
              </w:rPr>
              <w:instrText xml:space="preserve"> HYPERLINK "https://baike.baidu.com/item/%E6%BF%80%E5%85%89%E5%99%A8/2374206?fromModule=lemma_inlink" \t "https://baike.baidu.com/item/%E6%BF%80%E5%85%89%E5%88%87%E5%89%B2%E6%9C%BA/_blank" </w:instrText>
            </w:r>
            <w:r>
              <w:rPr>
                <w:rFonts w:hint="default"/>
                <w:color w:val="000000"/>
                <w:lang w:val="en-US" w:eastAsia="zh-CN"/>
              </w:rPr>
              <w:fldChar w:fldCharType="separate"/>
            </w:r>
            <w:r>
              <w:rPr>
                <w:rStyle w:val="18"/>
                <w:rFonts w:hint="default" w:ascii="Helvetica" w:hAnsi="Helvetica" w:eastAsia="Helvetica" w:cs="Helvetica"/>
                <w:i w:val="0"/>
                <w:iCs w:val="0"/>
                <w:caps w:val="0"/>
                <w:color w:val="000000"/>
                <w:spacing w:val="0"/>
                <w:szCs w:val="21"/>
                <w:u w:val="none"/>
                <w:shd w:val="clear" w:color="auto" w:fill="FFFFFF"/>
              </w:rPr>
              <w:t>激光器</w:t>
            </w:r>
            <w:r>
              <w:rPr>
                <w:rFonts w:hint="default"/>
                <w:color w:val="000000"/>
                <w:lang w:val="en-US" w:eastAsia="zh-CN"/>
              </w:rPr>
              <w:fldChar w:fldCharType="end"/>
            </w:r>
            <w:r>
              <w:rPr>
                <w:rFonts w:hint="default"/>
                <w:color w:val="000000"/>
                <w:lang w:val="en-US" w:eastAsia="zh-CN"/>
              </w:rPr>
              <w:t>发射出的激光，经光路系统，聚焦成高</w:t>
            </w:r>
            <w:r>
              <w:rPr>
                <w:rFonts w:hint="default"/>
                <w:color w:val="000000"/>
                <w:lang w:val="en-US" w:eastAsia="zh-CN"/>
              </w:rPr>
              <w:fldChar w:fldCharType="begin"/>
            </w:r>
            <w:r>
              <w:rPr>
                <w:rFonts w:hint="default"/>
                <w:color w:val="000000"/>
                <w:lang w:val="en-US" w:eastAsia="zh-CN"/>
              </w:rPr>
              <w:instrText xml:space="preserve"> HYPERLINK "https://baike.baidu.com/item/%E5%8A%9F%E7%8E%87%E5%AF%86%E5%BA%A6/1595397?fromModule=lemma_inlink" \t "https://baike.baidu.com/item/%E6%BF%80%E5%85%89%E5%88%87%E5%89%B2%E6%9C%BA/_blank" </w:instrText>
            </w:r>
            <w:r>
              <w:rPr>
                <w:rFonts w:hint="default"/>
                <w:color w:val="000000"/>
                <w:lang w:val="en-US" w:eastAsia="zh-CN"/>
              </w:rPr>
              <w:fldChar w:fldCharType="separate"/>
            </w:r>
            <w:r>
              <w:rPr>
                <w:rStyle w:val="18"/>
                <w:rFonts w:hint="default" w:ascii="Helvetica" w:hAnsi="Helvetica" w:eastAsia="Helvetica" w:cs="Helvetica"/>
                <w:i w:val="0"/>
                <w:iCs w:val="0"/>
                <w:caps w:val="0"/>
                <w:color w:val="000000"/>
                <w:spacing w:val="0"/>
                <w:szCs w:val="21"/>
                <w:u w:val="none"/>
                <w:shd w:val="clear" w:color="auto" w:fill="FFFFFF"/>
              </w:rPr>
              <w:t>功率密度</w:t>
            </w:r>
            <w:r>
              <w:rPr>
                <w:rFonts w:hint="default"/>
                <w:color w:val="000000"/>
                <w:lang w:val="en-US" w:eastAsia="zh-CN"/>
              </w:rPr>
              <w:fldChar w:fldCharType="end"/>
            </w:r>
            <w:r>
              <w:rPr>
                <w:rFonts w:hint="default"/>
                <w:color w:val="000000"/>
                <w:lang w:val="en-US" w:eastAsia="zh-CN"/>
              </w:rPr>
              <w:t>的激光束。激光束照射到</w:t>
            </w:r>
            <w:r>
              <w:rPr>
                <w:rFonts w:hint="default"/>
                <w:color w:val="000000"/>
                <w:lang w:val="en-US" w:eastAsia="zh-CN"/>
              </w:rPr>
              <w:fldChar w:fldCharType="begin"/>
            </w:r>
            <w:r>
              <w:rPr>
                <w:rFonts w:hint="default"/>
                <w:color w:val="000000"/>
                <w:lang w:val="en-US" w:eastAsia="zh-CN"/>
              </w:rPr>
              <w:instrText xml:space="preserve"> HYPERLINK "https://baike.baidu.com/item/%E5%B7%A5%E4%BB%B6/0?fromModule=lemma_inlink" \t "https://baike.baidu.com/item/%E6%BF%80%E5%85%89%E5%88%87%E5%89%B2%E6%9C%BA/_blank" </w:instrText>
            </w:r>
            <w:r>
              <w:rPr>
                <w:rFonts w:hint="default"/>
                <w:color w:val="000000"/>
                <w:lang w:val="en-US" w:eastAsia="zh-CN"/>
              </w:rPr>
              <w:fldChar w:fldCharType="separate"/>
            </w:r>
            <w:r>
              <w:rPr>
                <w:rStyle w:val="18"/>
                <w:rFonts w:hint="default" w:ascii="Helvetica" w:hAnsi="Helvetica" w:eastAsia="Helvetica" w:cs="Helvetica"/>
                <w:i w:val="0"/>
                <w:iCs w:val="0"/>
                <w:caps w:val="0"/>
                <w:color w:val="000000"/>
                <w:spacing w:val="0"/>
                <w:szCs w:val="21"/>
                <w:u w:val="none"/>
                <w:shd w:val="clear" w:color="auto" w:fill="FFFFFF"/>
              </w:rPr>
              <w:t>工件</w:t>
            </w:r>
            <w:r>
              <w:rPr>
                <w:rFonts w:hint="default"/>
                <w:color w:val="000000"/>
                <w:lang w:val="en-US" w:eastAsia="zh-CN"/>
              </w:rPr>
              <w:fldChar w:fldCharType="end"/>
            </w:r>
            <w:r>
              <w:rPr>
                <w:rFonts w:hint="default"/>
                <w:color w:val="000000"/>
                <w:lang w:val="en-US" w:eastAsia="zh-CN"/>
              </w:rPr>
              <w:t>表面，使工件达到</w:t>
            </w:r>
            <w:r>
              <w:rPr>
                <w:rFonts w:hint="default"/>
                <w:color w:val="000000"/>
                <w:lang w:val="en-US" w:eastAsia="zh-CN"/>
              </w:rPr>
              <w:fldChar w:fldCharType="begin"/>
            </w:r>
            <w:r>
              <w:rPr>
                <w:rFonts w:hint="default"/>
                <w:color w:val="000000"/>
                <w:lang w:val="en-US" w:eastAsia="zh-CN"/>
              </w:rPr>
              <w:instrText xml:space="preserve"> HYPERLINK "https://baike.baidu.com/item/%E7%86%94%E7%82%B9/2144633?fromModule=lemma_inlink" \t "https://baike.baidu.com/item/%E6%BF%80%E5%85%89%E5%88%87%E5%89%B2%E6%9C%BA/_blank" </w:instrText>
            </w:r>
            <w:r>
              <w:rPr>
                <w:rFonts w:hint="default"/>
                <w:color w:val="000000"/>
                <w:lang w:val="en-US" w:eastAsia="zh-CN"/>
              </w:rPr>
              <w:fldChar w:fldCharType="separate"/>
            </w:r>
            <w:r>
              <w:rPr>
                <w:rStyle w:val="18"/>
                <w:rFonts w:hint="default" w:ascii="Helvetica" w:hAnsi="Helvetica" w:eastAsia="Helvetica" w:cs="Helvetica"/>
                <w:i w:val="0"/>
                <w:iCs w:val="0"/>
                <w:caps w:val="0"/>
                <w:color w:val="000000"/>
                <w:spacing w:val="0"/>
                <w:szCs w:val="21"/>
                <w:u w:val="none"/>
                <w:shd w:val="clear" w:color="auto" w:fill="FFFFFF"/>
              </w:rPr>
              <w:t>熔点</w:t>
            </w:r>
            <w:r>
              <w:rPr>
                <w:rFonts w:hint="default"/>
                <w:color w:val="000000"/>
                <w:lang w:val="en-US" w:eastAsia="zh-CN"/>
              </w:rPr>
              <w:fldChar w:fldCharType="end"/>
            </w:r>
            <w:r>
              <w:rPr>
                <w:rFonts w:hint="default"/>
                <w:color w:val="000000"/>
                <w:lang w:val="en-US" w:eastAsia="zh-CN"/>
              </w:rPr>
              <w:t>或沸点，同时与光束同轴的高压气体将熔化或</w:t>
            </w:r>
            <w:r>
              <w:rPr>
                <w:rFonts w:hint="default"/>
                <w:color w:val="000000"/>
                <w:lang w:val="en-US" w:eastAsia="zh-CN"/>
              </w:rPr>
              <w:fldChar w:fldCharType="begin"/>
            </w:r>
            <w:r>
              <w:rPr>
                <w:rFonts w:hint="default"/>
                <w:color w:val="000000"/>
                <w:lang w:val="en-US" w:eastAsia="zh-CN"/>
              </w:rPr>
              <w:instrText xml:space="preserve"> HYPERLINK "https://baike.baidu.com/item/%E6%B0%94%E5%8C%96/4361815?fromModule=lemma_inlink" \t "https://baike.baidu.com/item/%E6%BF%80%E5%85%89%E5%88%87%E5%89%B2%E6%9C%BA/_blank" </w:instrText>
            </w:r>
            <w:r>
              <w:rPr>
                <w:rFonts w:hint="default"/>
                <w:color w:val="000000"/>
                <w:lang w:val="en-US" w:eastAsia="zh-CN"/>
              </w:rPr>
              <w:fldChar w:fldCharType="separate"/>
            </w:r>
            <w:r>
              <w:rPr>
                <w:rStyle w:val="18"/>
                <w:rFonts w:hint="default" w:ascii="Helvetica" w:hAnsi="Helvetica" w:eastAsia="Helvetica" w:cs="Helvetica"/>
                <w:i w:val="0"/>
                <w:iCs w:val="0"/>
                <w:caps w:val="0"/>
                <w:color w:val="000000"/>
                <w:spacing w:val="0"/>
                <w:szCs w:val="21"/>
                <w:u w:val="none"/>
                <w:shd w:val="clear" w:color="auto" w:fill="FFFFFF"/>
              </w:rPr>
              <w:t>气化</w:t>
            </w:r>
            <w:r>
              <w:rPr>
                <w:rFonts w:hint="default"/>
                <w:color w:val="000000"/>
                <w:lang w:val="en-US" w:eastAsia="zh-CN"/>
              </w:rPr>
              <w:fldChar w:fldCharType="end"/>
            </w:r>
            <w:r>
              <w:rPr>
                <w:rFonts w:hint="default"/>
                <w:color w:val="000000"/>
                <w:lang w:val="en-US" w:eastAsia="zh-CN"/>
              </w:rPr>
              <w:t>金属吹走。随着光束与工件相对位置的移动，最终使材料形成切缝，从而达到切割的目的</w:t>
            </w:r>
            <w:r>
              <w:rPr>
                <w:rFonts w:hint="eastAsia"/>
                <w:color w:val="000000"/>
                <w:lang w:val="en-US" w:eastAsia="zh-CN"/>
              </w:rPr>
              <w:t>。切割过程主要产生下料粉尘G1、边角料S1和噪声N；</w:t>
            </w:r>
          </w:p>
          <w:p w14:paraId="320A910B">
            <w:pPr>
              <w:pStyle w:val="21"/>
              <w:rPr>
                <w:rFonts w:hint="eastAsia"/>
                <w:color w:val="000000"/>
                <w:lang w:val="en-US" w:eastAsia="zh-CN"/>
              </w:rPr>
            </w:pPr>
            <w:r>
              <w:rPr>
                <w:rFonts w:hint="eastAsia"/>
                <w:color w:val="000000"/>
                <w:lang w:val="en-US" w:eastAsia="zh-CN"/>
              </w:rPr>
              <w:t>开槽折弯：下料过后的钢材通过开槽机和刨槽机进行表面V型开槽，开槽后的钢材再送至折弯机按照产品要求进行折弯。过程主要产生边角料S1和噪声N；</w:t>
            </w:r>
          </w:p>
          <w:p w14:paraId="12EC7357">
            <w:pPr>
              <w:pStyle w:val="21"/>
              <w:rPr>
                <w:rFonts w:hint="eastAsia"/>
                <w:color w:val="000000"/>
                <w:lang w:val="en-US" w:eastAsia="zh-CN"/>
              </w:rPr>
            </w:pPr>
            <w:r>
              <w:rPr>
                <w:rFonts w:hint="eastAsia"/>
                <w:color w:val="000000"/>
                <w:lang w:val="en-US" w:eastAsia="zh-CN"/>
              </w:rPr>
              <w:t>焊接：项目采用二氧化碳保护焊对各加工部件进行焊接，焊接采用不锈钢实芯焊丝。焊接过程主要产生焊接烟尘G2和噪声N；</w:t>
            </w:r>
          </w:p>
          <w:p w14:paraId="41BE26F2">
            <w:pPr>
              <w:pStyle w:val="21"/>
              <w:rPr>
                <w:rFonts w:hint="default"/>
                <w:color w:val="000000"/>
                <w:lang w:val="en-US" w:eastAsia="zh-CN"/>
              </w:rPr>
            </w:pPr>
            <w:r>
              <w:rPr>
                <w:rFonts w:hint="eastAsia"/>
                <w:color w:val="000000"/>
                <w:lang w:val="en-US" w:eastAsia="zh-CN"/>
              </w:rPr>
              <w:t>打磨：焊接过后的工件会残留少量的焊点或者毛刺，项目采用人工手持砂轮，利用高速旋转的砂轮对工件进行焊点毛刺进行打磨，从而得到需要的表面粗糙度。过程主要产生打磨粉尘G3和噪声N；</w:t>
            </w:r>
          </w:p>
          <w:p w14:paraId="543BD3CA">
            <w:pPr>
              <w:pStyle w:val="21"/>
              <w:rPr>
                <w:rFonts w:hint="eastAsia"/>
                <w:color w:val="000000"/>
                <w:lang w:val="en-US" w:eastAsia="zh-CN"/>
              </w:rPr>
            </w:pPr>
            <w:r>
              <w:rPr>
                <w:rFonts w:hint="eastAsia"/>
                <w:color w:val="000000"/>
                <w:lang w:val="en-US" w:eastAsia="zh-CN"/>
              </w:rPr>
              <w:t>调漆、喷漆、烘干：项目喷漆房内设置2个喷漆工位，分别用于水性漆喷涂和油性漆喷涂。项目喷漆房内设置一个调漆工位，喷涂之前首先将漆料按照比例进行调漆。人工将工件搬至喷漆工位后首先对工件表面进行底漆喷涂，然后再进行面漆喷涂。两道喷涂完成后，工件再由人工送入密闭烘干房内进行烘干固化，烘房采用电加热，烘干温度约45~55℃，烘干过程约持续1h。喷漆房设置1套水帘装置，配套1个容积约2m</w:t>
            </w:r>
            <w:r>
              <w:rPr>
                <w:rFonts w:hint="eastAsia"/>
                <w:color w:val="000000"/>
                <w:vertAlign w:val="superscript"/>
                <w:lang w:val="en-US" w:eastAsia="zh-CN"/>
              </w:rPr>
              <w:t>3</w:t>
            </w:r>
            <w:r>
              <w:rPr>
                <w:rFonts w:hint="eastAsia"/>
                <w:color w:val="000000"/>
                <w:lang w:val="en-US" w:eastAsia="zh-CN"/>
              </w:rPr>
              <w:t>的循环水池。喷涂过程主要产生调漆废气G4、喷漆废气G5、烘干废气G6、漆渣S3、水帘废水W1。喷漆废气和调漆废气先经水帘预处理后再同烘干废气一起进入一套喷淋+干式过滤+二级活性炭吸附装置处理后通过15m高排气筒排放。废气处理过程主要产生废过滤棉S4、废活性炭S5以及喷淋废水W2；</w:t>
            </w:r>
          </w:p>
          <w:p w14:paraId="0FB5CE0B">
            <w:pPr>
              <w:pStyle w:val="21"/>
              <w:bidi w:val="0"/>
              <w:rPr>
                <w:rFonts w:hint="eastAsia"/>
                <w:color w:val="000000"/>
                <w:lang w:val="en-US" w:eastAsia="zh-CN"/>
              </w:rPr>
            </w:pPr>
            <w:r>
              <w:rPr>
                <w:rFonts w:hint="eastAsia"/>
                <w:b w:val="0"/>
                <w:bCs w:val="0"/>
                <w:color w:val="000000"/>
                <w:lang w:val="en-US" w:eastAsia="zh-CN"/>
              </w:rPr>
              <w:t>喷枪清洗：</w:t>
            </w:r>
            <w:r>
              <w:rPr>
                <w:rFonts w:hint="eastAsia"/>
                <w:color w:val="000000"/>
                <w:lang w:val="en-US" w:eastAsia="zh-CN"/>
              </w:rPr>
              <w:t>项目在每天停机时需对喷枪进行清洗。水性漆喷枪采用自来水进行清洗、油性漆喷枪采用稀释剂清洗，产生的洗枪废液桶装加盖密封保存，用作调漆用，不外排。</w:t>
            </w:r>
          </w:p>
          <w:p w14:paraId="0BFAA81E">
            <w:pPr>
              <w:pStyle w:val="21"/>
              <w:rPr>
                <w:rFonts w:hint="default"/>
                <w:color w:val="000000"/>
                <w:lang w:val="en-US" w:eastAsia="zh-CN"/>
              </w:rPr>
            </w:pPr>
            <w:r>
              <w:rPr>
                <w:rFonts w:hint="eastAsia"/>
                <w:color w:val="000000"/>
                <w:lang w:val="en-US" w:eastAsia="zh-CN"/>
              </w:rPr>
              <w:t>组装：烘干完成后的工件送至组装区，人工将外购的标准件与烘干后的工件进行组装得到成品。过程主要产生噪声N。</w:t>
            </w:r>
          </w:p>
          <w:p w14:paraId="3CA44B02">
            <w:pPr>
              <w:pStyle w:val="21"/>
              <w:bidi w:val="0"/>
              <w:rPr>
                <w:rFonts w:hint="default" w:eastAsia="宋体"/>
                <w:color w:val="000000"/>
                <w:lang w:val="en-US" w:eastAsia="zh-CN"/>
              </w:rPr>
            </w:pPr>
            <w:r>
              <w:rPr>
                <w:rFonts w:hint="eastAsia"/>
                <w:color w:val="000000"/>
                <w:lang w:val="en-US" w:eastAsia="zh-CN"/>
              </w:rPr>
              <w:t>项目生产过程中主要产排污情况详见下表：</w:t>
            </w:r>
          </w:p>
          <w:p w14:paraId="5245E477">
            <w:pPr>
              <w:pStyle w:val="23"/>
              <w:rPr>
                <w:color w:val="000000"/>
              </w:rPr>
            </w:pPr>
            <w:r>
              <w:rPr>
                <w:color w:val="000000"/>
              </w:rPr>
              <w:t>表2</w:t>
            </w:r>
            <w:r>
              <w:rPr>
                <w:rFonts w:hint="eastAsia"/>
                <w:color w:val="000000"/>
                <w:lang w:val="en-US" w:eastAsia="zh-CN"/>
              </w:rPr>
              <w:t>.9</w:t>
            </w:r>
            <w:r>
              <w:rPr>
                <w:color w:val="000000"/>
              </w:rPr>
              <w:t>-</w:t>
            </w:r>
            <w:r>
              <w:rPr>
                <w:rFonts w:hint="eastAsia"/>
                <w:color w:val="000000"/>
                <w:lang w:val="en-US" w:eastAsia="zh-CN"/>
              </w:rPr>
              <w:t>1</w:t>
            </w:r>
            <w:r>
              <w:rPr>
                <w:color w:val="000000"/>
              </w:rPr>
              <w:t xml:space="preserve"> 项目主要产污工序及污染物</w:t>
            </w:r>
            <w:r>
              <w:rPr>
                <w:rFonts w:hint="eastAsia"/>
                <w:color w:val="000000"/>
              </w:rPr>
              <w:t>情况</w:t>
            </w:r>
            <w:r>
              <w:rPr>
                <w:color w:val="000000"/>
              </w:rPr>
              <w:t>表</w:t>
            </w:r>
          </w:p>
          <w:tbl>
            <w:tblPr>
              <w:tblStyle w:val="15"/>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775"/>
              <w:gridCol w:w="1815"/>
              <w:gridCol w:w="1303"/>
              <w:gridCol w:w="1694"/>
              <w:gridCol w:w="3961"/>
            </w:tblGrid>
            <w:tr w14:paraId="25915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406" w:type="pct"/>
                  <w:noWrap w:val="0"/>
                  <w:vAlign w:val="center"/>
                </w:tcPr>
                <w:p w14:paraId="3474C033">
                  <w:pPr>
                    <w:pStyle w:val="34"/>
                    <w:rPr>
                      <w:color w:val="000000"/>
                    </w:rPr>
                  </w:pPr>
                  <w:r>
                    <w:rPr>
                      <w:color w:val="000000"/>
                    </w:rPr>
                    <w:t>项目</w:t>
                  </w:r>
                </w:p>
              </w:tc>
              <w:tc>
                <w:tcPr>
                  <w:tcW w:w="950" w:type="pct"/>
                  <w:noWrap w:val="0"/>
                  <w:vAlign w:val="center"/>
                </w:tcPr>
                <w:p w14:paraId="6199CEA8">
                  <w:pPr>
                    <w:pStyle w:val="34"/>
                    <w:rPr>
                      <w:rFonts w:hint="eastAsia" w:eastAsia="宋体"/>
                      <w:color w:val="000000"/>
                      <w:lang w:eastAsia="zh-CN"/>
                    </w:rPr>
                  </w:pPr>
                  <w:r>
                    <w:rPr>
                      <w:rFonts w:hint="eastAsia"/>
                      <w:color w:val="000000"/>
                      <w:lang w:val="en-US" w:eastAsia="zh-CN"/>
                    </w:rPr>
                    <w:t>名称</w:t>
                  </w:r>
                </w:p>
              </w:tc>
              <w:tc>
                <w:tcPr>
                  <w:tcW w:w="682" w:type="pct"/>
                  <w:noWrap w:val="0"/>
                  <w:vAlign w:val="center"/>
                </w:tcPr>
                <w:p w14:paraId="56CBFF77">
                  <w:pPr>
                    <w:pStyle w:val="34"/>
                    <w:rPr>
                      <w:color w:val="000000"/>
                    </w:rPr>
                  </w:pPr>
                  <w:r>
                    <w:rPr>
                      <w:color w:val="000000"/>
                    </w:rPr>
                    <w:t>序号</w:t>
                  </w:r>
                </w:p>
              </w:tc>
              <w:tc>
                <w:tcPr>
                  <w:tcW w:w="887" w:type="pct"/>
                  <w:noWrap w:val="0"/>
                  <w:vAlign w:val="center"/>
                </w:tcPr>
                <w:p w14:paraId="73ABB080">
                  <w:pPr>
                    <w:pStyle w:val="34"/>
                    <w:rPr>
                      <w:color w:val="000000"/>
                    </w:rPr>
                  </w:pPr>
                  <w:r>
                    <w:rPr>
                      <w:color w:val="000000"/>
                    </w:rPr>
                    <w:t>产</w:t>
                  </w:r>
                  <w:r>
                    <w:rPr>
                      <w:rFonts w:hint="eastAsia"/>
                      <w:color w:val="000000"/>
                    </w:rPr>
                    <w:t>生</w:t>
                  </w:r>
                  <w:r>
                    <w:rPr>
                      <w:color w:val="000000"/>
                    </w:rPr>
                    <w:t>工序</w:t>
                  </w:r>
                </w:p>
              </w:tc>
              <w:tc>
                <w:tcPr>
                  <w:tcW w:w="2074" w:type="pct"/>
                  <w:noWrap w:val="0"/>
                  <w:vAlign w:val="center"/>
                </w:tcPr>
                <w:p w14:paraId="527DF28C">
                  <w:pPr>
                    <w:pStyle w:val="34"/>
                    <w:rPr>
                      <w:rFonts w:hint="default" w:eastAsia="宋体"/>
                      <w:color w:val="000000"/>
                      <w:lang w:val="en-US" w:eastAsia="zh-CN"/>
                    </w:rPr>
                  </w:pPr>
                  <w:r>
                    <w:rPr>
                      <w:rFonts w:hint="eastAsia"/>
                      <w:color w:val="000000"/>
                    </w:rPr>
                    <w:t>去向</w:t>
                  </w:r>
                  <w:r>
                    <w:rPr>
                      <w:rFonts w:hint="eastAsia"/>
                      <w:color w:val="000000"/>
                      <w:lang w:val="en-US" w:eastAsia="zh-CN"/>
                    </w:rPr>
                    <w:t>/措施</w:t>
                  </w:r>
                </w:p>
              </w:tc>
            </w:tr>
            <w:tr w14:paraId="05A7E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406" w:type="pct"/>
                  <w:vMerge w:val="restart"/>
                  <w:noWrap w:val="0"/>
                  <w:vAlign w:val="center"/>
                </w:tcPr>
                <w:p w14:paraId="7B5C2F3C">
                  <w:pPr>
                    <w:pStyle w:val="34"/>
                    <w:rPr>
                      <w:color w:val="000000"/>
                    </w:rPr>
                  </w:pPr>
                  <w:r>
                    <w:rPr>
                      <w:color w:val="000000"/>
                    </w:rPr>
                    <w:t>废水</w:t>
                  </w:r>
                </w:p>
              </w:tc>
              <w:tc>
                <w:tcPr>
                  <w:tcW w:w="950" w:type="pct"/>
                  <w:noWrap w:val="0"/>
                  <w:vAlign w:val="center"/>
                </w:tcPr>
                <w:p w14:paraId="0A90440E">
                  <w:pPr>
                    <w:pStyle w:val="34"/>
                    <w:rPr>
                      <w:rFonts w:hint="default" w:eastAsia="宋体"/>
                      <w:color w:val="000000"/>
                      <w:lang w:val="en-US" w:eastAsia="zh-CN"/>
                    </w:rPr>
                  </w:pPr>
                  <w:r>
                    <w:rPr>
                      <w:rFonts w:hint="eastAsia"/>
                      <w:color w:val="000000"/>
                      <w:lang w:val="en-US" w:eastAsia="zh-CN"/>
                    </w:rPr>
                    <w:t>水帘废水</w:t>
                  </w:r>
                </w:p>
              </w:tc>
              <w:tc>
                <w:tcPr>
                  <w:tcW w:w="682" w:type="pct"/>
                  <w:noWrap w:val="0"/>
                  <w:vAlign w:val="center"/>
                </w:tcPr>
                <w:p w14:paraId="59C495C1">
                  <w:pPr>
                    <w:pStyle w:val="34"/>
                    <w:rPr>
                      <w:rFonts w:hint="default" w:eastAsia="宋体"/>
                      <w:color w:val="000000"/>
                      <w:lang w:val="en-US" w:eastAsia="zh-CN"/>
                    </w:rPr>
                  </w:pPr>
                  <w:r>
                    <w:rPr>
                      <w:rFonts w:hint="eastAsia"/>
                      <w:color w:val="000000"/>
                      <w:lang w:val="en-US" w:eastAsia="zh-CN"/>
                    </w:rPr>
                    <w:t>W1</w:t>
                  </w:r>
                </w:p>
              </w:tc>
              <w:tc>
                <w:tcPr>
                  <w:tcW w:w="887" w:type="pct"/>
                  <w:vMerge w:val="restart"/>
                  <w:noWrap w:val="0"/>
                  <w:vAlign w:val="center"/>
                </w:tcPr>
                <w:p w14:paraId="6AC5F6B0">
                  <w:pPr>
                    <w:pStyle w:val="34"/>
                    <w:rPr>
                      <w:rFonts w:hint="default" w:eastAsia="宋体"/>
                      <w:color w:val="000000"/>
                      <w:lang w:val="en-US" w:eastAsia="zh-CN"/>
                    </w:rPr>
                  </w:pPr>
                  <w:r>
                    <w:rPr>
                      <w:rFonts w:hint="eastAsia"/>
                      <w:color w:val="000000"/>
                      <w:lang w:val="en-US" w:eastAsia="zh-CN"/>
                    </w:rPr>
                    <w:t>喷漆</w:t>
                  </w:r>
                </w:p>
              </w:tc>
              <w:tc>
                <w:tcPr>
                  <w:tcW w:w="2074" w:type="pct"/>
                  <w:vMerge w:val="restart"/>
                  <w:noWrap w:val="0"/>
                  <w:vAlign w:val="center"/>
                </w:tcPr>
                <w:p w14:paraId="708C45FE">
                  <w:pPr>
                    <w:pStyle w:val="34"/>
                    <w:rPr>
                      <w:rFonts w:hint="default" w:eastAsia="宋体"/>
                      <w:color w:val="000000"/>
                      <w:lang w:val="en-US" w:eastAsia="zh-CN"/>
                    </w:rPr>
                  </w:pPr>
                  <w:r>
                    <w:rPr>
                      <w:rFonts w:hint="eastAsia"/>
                      <w:color w:val="000000"/>
                      <w:lang w:val="en-US" w:eastAsia="zh-CN"/>
                    </w:rPr>
                    <w:t>危险废物贮存库，定期交有资质单位处理</w:t>
                  </w:r>
                </w:p>
              </w:tc>
            </w:tr>
            <w:tr w14:paraId="3C232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406" w:type="pct"/>
                  <w:vMerge w:val="continue"/>
                  <w:noWrap w:val="0"/>
                  <w:vAlign w:val="center"/>
                </w:tcPr>
                <w:p w14:paraId="6944EE13">
                  <w:pPr>
                    <w:pStyle w:val="34"/>
                    <w:rPr>
                      <w:color w:val="000000"/>
                    </w:rPr>
                  </w:pPr>
                </w:p>
              </w:tc>
              <w:tc>
                <w:tcPr>
                  <w:tcW w:w="950" w:type="pct"/>
                  <w:noWrap w:val="0"/>
                  <w:vAlign w:val="center"/>
                </w:tcPr>
                <w:p w14:paraId="327BF635">
                  <w:pPr>
                    <w:pStyle w:val="34"/>
                    <w:rPr>
                      <w:rFonts w:hint="default"/>
                      <w:color w:val="000000"/>
                      <w:lang w:val="en-US" w:eastAsia="zh-CN"/>
                    </w:rPr>
                  </w:pPr>
                  <w:r>
                    <w:rPr>
                      <w:rFonts w:hint="eastAsia"/>
                      <w:color w:val="000000"/>
                      <w:lang w:val="en-US" w:eastAsia="zh-CN"/>
                    </w:rPr>
                    <w:t>喷淋废水</w:t>
                  </w:r>
                </w:p>
              </w:tc>
              <w:tc>
                <w:tcPr>
                  <w:tcW w:w="682" w:type="pct"/>
                  <w:noWrap w:val="0"/>
                  <w:vAlign w:val="center"/>
                </w:tcPr>
                <w:p w14:paraId="427CF273">
                  <w:pPr>
                    <w:pStyle w:val="34"/>
                    <w:rPr>
                      <w:rFonts w:hint="default"/>
                      <w:color w:val="000000"/>
                      <w:lang w:val="en-US" w:eastAsia="zh-CN"/>
                    </w:rPr>
                  </w:pPr>
                  <w:r>
                    <w:rPr>
                      <w:rFonts w:hint="eastAsia"/>
                      <w:color w:val="000000"/>
                      <w:lang w:val="en-US" w:eastAsia="zh-CN"/>
                    </w:rPr>
                    <w:t>W2</w:t>
                  </w:r>
                </w:p>
              </w:tc>
              <w:tc>
                <w:tcPr>
                  <w:tcW w:w="887" w:type="pct"/>
                  <w:vMerge w:val="continue"/>
                  <w:noWrap w:val="0"/>
                  <w:vAlign w:val="center"/>
                </w:tcPr>
                <w:p w14:paraId="612B8D3B">
                  <w:pPr>
                    <w:pStyle w:val="34"/>
                    <w:rPr>
                      <w:rFonts w:hint="eastAsia"/>
                      <w:color w:val="000000"/>
                      <w:lang w:val="en-US" w:eastAsia="zh-CN"/>
                    </w:rPr>
                  </w:pPr>
                </w:p>
              </w:tc>
              <w:tc>
                <w:tcPr>
                  <w:tcW w:w="2074" w:type="pct"/>
                  <w:vMerge w:val="continue"/>
                  <w:noWrap w:val="0"/>
                  <w:vAlign w:val="center"/>
                </w:tcPr>
                <w:p w14:paraId="52C6791B">
                  <w:pPr>
                    <w:pStyle w:val="34"/>
                    <w:rPr>
                      <w:rFonts w:hint="eastAsia"/>
                      <w:color w:val="000000"/>
                      <w:lang w:val="en-US" w:eastAsia="zh-CN"/>
                    </w:rPr>
                  </w:pPr>
                </w:p>
              </w:tc>
            </w:tr>
            <w:tr w14:paraId="28646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406" w:type="pct"/>
                  <w:vMerge w:val="continue"/>
                  <w:noWrap w:val="0"/>
                  <w:vAlign w:val="center"/>
                </w:tcPr>
                <w:p w14:paraId="04DCC780">
                  <w:pPr>
                    <w:pStyle w:val="34"/>
                    <w:rPr>
                      <w:color w:val="000000"/>
                    </w:rPr>
                  </w:pPr>
                </w:p>
              </w:tc>
              <w:tc>
                <w:tcPr>
                  <w:tcW w:w="950" w:type="pct"/>
                  <w:noWrap w:val="0"/>
                  <w:vAlign w:val="center"/>
                </w:tcPr>
                <w:p w14:paraId="07A03E1B">
                  <w:pPr>
                    <w:pStyle w:val="34"/>
                    <w:rPr>
                      <w:rFonts w:hint="eastAsia" w:ascii="Times New Roman" w:hAnsi="Times New Roman" w:eastAsia="宋体" w:cs="Times New Roman"/>
                      <w:bCs/>
                      <w:color w:val="000000"/>
                      <w:kern w:val="2"/>
                      <w:sz w:val="21"/>
                      <w:szCs w:val="21"/>
                      <w:lang w:val="en-US" w:eastAsia="zh-CN" w:bidi="ar-SA"/>
                    </w:rPr>
                  </w:pPr>
                  <w:r>
                    <w:rPr>
                      <w:rFonts w:hint="eastAsia"/>
                      <w:color w:val="000000"/>
                      <w:lang w:val="en-US" w:eastAsia="zh-CN"/>
                    </w:rPr>
                    <w:t>生活污水</w:t>
                  </w:r>
                </w:p>
              </w:tc>
              <w:tc>
                <w:tcPr>
                  <w:tcW w:w="682" w:type="pct"/>
                  <w:noWrap w:val="0"/>
                  <w:vAlign w:val="center"/>
                </w:tcPr>
                <w:p w14:paraId="6162E9AC">
                  <w:pPr>
                    <w:pStyle w:val="34"/>
                    <w:rPr>
                      <w:rFonts w:hint="eastAsia" w:ascii="Times New Roman" w:hAnsi="Times New Roman" w:eastAsia="宋体" w:cs="Times New Roman"/>
                      <w:bCs/>
                      <w:color w:val="000000"/>
                      <w:kern w:val="2"/>
                      <w:sz w:val="21"/>
                      <w:szCs w:val="21"/>
                      <w:lang w:val="en-US" w:eastAsia="zh-CN" w:bidi="ar-SA"/>
                    </w:rPr>
                  </w:pPr>
                  <w:r>
                    <w:rPr>
                      <w:rFonts w:hint="eastAsia"/>
                      <w:color w:val="000000"/>
                      <w:lang w:val="en-US" w:eastAsia="zh-CN"/>
                    </w:rPr>
                    <w:t>W3</w:t>
                  </w:r>
                </w:p>
              </w:tc>
              <w:tc>
                <w:tcPr>
                  <w:tcW w:w="887" w:type="pct"/>
                  <w:noWrap w:val="0"/>
                  <w:vAlign w:val="center"/>
                </w:tcPr>
                <w:p w14:paraId="0BA9A35C">
                  <w:pPr>
                    <w:pStyle w:val="34"/>
                    <w:rPr>
                      <w:rFonts w:hint="eastAsia" w:ascii="Times New Roman" w:hAnsi="Times New Roman" w:eastAsia="宋体" w:cs="Times New Roman"/>
                      <w:bCs/>
                      <w:color w:val="000000"/>
                      <w:kern w:val="2"/>
                      <w:sz w:val="21"/>
                      <w:szCs w:val="21"/>
                      <w:lang w:val="en-US" w:eastAsia="zh-CN" w:bidi="ar-SA"/>
                    </w:rPr>
                  </w:pPr>
                  <w:r>
                    <w:rPr>
                      <w:rFonts w:hint="eastAsia"/>
                      <w:color w:val="000000"/>
                      <w:lang w:val="en-US" w:eastAsia="zh-CN"/>
                    </w:rPr>
                    <w:t>员工生活</w:t>
                  </w:r>
                </w:p>
              </w:tc>
              <w:tc>
                <w:tcPr>
                  <w:tcW w:w="2074" w:type="pct"/>
                  <w:noWrap w:val="0"/>
                  <w:vAlign w:val="center"/>
                </w:tcPr>
                <w:p w14:paraId="23EBFE93">
                  <w:pPr>
                    <w:pStyle w:val="34"/>
                    <w:rPr>
                      <w:rFonts w:hint="eastAsia" w:ascii="Times New Roman" w:hAnsi="Times New Roman" w:eastAsia="宋体" w:cs="Times New Roman"/>
                      <w:bCs/>
                      <w:color w:val="000000"/>
                      <w:kern w:val="2"/>
                      <w:sz w:val="21"/>
                      <w:szCs w:val="21"/>
                      <w:lang w:val="en-US" w:eastAsia="zh-CN" w:bidi="ar-SA"/>
                    </w:rPr>
                  </w:pPr>
                  <w:r>
                    <w:rPr>
                      <w:rFonts w:hint="eastAsia"/>
                      <w:color w:val="000000"/>
                      <w:lang w:val="en-US" w:eastAsia="zh-CN"/>
                    </w:rPr>
                    <w:t>租赁厂房生化池</w:t>
                  </w:r>
                </w:p>
              </w:tc>
            </w:tr>
            <w:tr w14:paraId="44842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406" w:type="pct"/>
                  <w:vMerge w:val="restart"/>
                  <w:noWrap w:val="0"/>
                  <w:vAlign w:val="center"/>
                </w:tcPr>
                <w:p w14:paraId="1BF388CA">
                  <w:pPr>
                    <w:pStyle w:val="34"/>
                    <w:rPr>
                      <w:color w:val="000000"/>
                    </w:rPr>
                  </w:pPr>
                  <w:r>
                    <w:rPr>
                      <w:color w:val="000000"/>
                    </w:rPr>
                    <w:t>废气</w:t>
                  </w:r>
                </w:p>
              </w:tc>
              <w:tc>
                <w:tcPr>
                  <w:tcW w:w="950" w:type="pct"/>
                  <w:noWrap w:val="0"/>
                  <w:vAlign w:val="center"/>
                </w:tcPr>
                <w:p w14:paraId="21269509">
                  <w:pPr>
                    <w:pStyle w:val="34"/>
                    <w:rPr>
                      <w:rFonts w:hint="default" w:eastAsia="宋体"/>
                      <w:color w:val="000000"/>
                      <w:lang w:val="en-US" w:eastAsia="zh-CN"/>
                    </w:rPr>
                  </w:pPr>
                  <w:r>
                    <w:rPr>
                      <w:rFonts w:hint="eastAsia"/>
                      <w:color w:val="000000"/>
                      <w:lang w:val="en-US" w:eastAsia="zh-CN"/>
                    </w:rPr>
                    <w:t>下料粉尘</w:t>
                  </w:r>
                </w:p>
              </w:tc>
              <w:tc>
                <w:tcPr>
                  <w:tcW w:w="682" w:type="pct"/>
                  <w:noWrap w:val="0"/>
                  <w:vAlign w:val="center"/>
                </w:tcPr>
                <w:p w14:paraId="1BDB0AE3">
                  <w:pPr>
                    <w:pStyle w:val="34"/>
                    <w:rPr>
                      <w:rFonts w:hint="default" w:eastAsia="宋体"/>
                      <w:color w:val="000000"/>
                      <w:lang w:val="en-US" w:eastAsia="zh-CN"/>
                    </w:rPr>
                  </w:pPr>
                  <w:r>
                    <w:rPr>
                      <w:rFonts w:hint="eastAsia"/>
                      <w:color w:val="000000"/>
                      <w:lang w:val="en-US" w:eastAsia="zh-CN"/>
                    </w:rPr>
                    <w:t>G1</w:t>
                  </w:r>
                </w:p>
              </w:tc>
              <w:tc>
                <w:tcPr>
                  <w:tcW w:w="887" w:type="pct"/>
                  <w:noWrap w:val="0"/>
                  <w:vAlign w:val="center"/>
                </w:tcPr>
                <w:p w14:paraId="6A24CFE4">
                  <w:pPr>
                    <w:pStyle w:val="34"/>
                    <w:rPr>
                      <w:rFonts w:hint="default" w:eastAsia="宋体"/>
                      <w:color w:val="000000"/>
                      <w:lang w:val="en-US" w:eastAsia="zh-CN"/>
                    </w:rPr>
                  </w:pPr>
                  <w:r>
                    <w:rPr>
                      <w:rFonts w:hint="eastAsia"/>
                      <w:color w:val="000000"/>
                      <w:lang w:val="en-US" w:eastAsia="zh-CN"/>
                    </w:rPr>
                    <w:t>切割下料</w:t>
                  </w:r>
                </w:p>
              </w:tc>
              <w:tc>
                <w:tcPr>
                  <w:tcW w:w="2074" w:type="pct"/>
                  <w:noWrap w:val="0"/>
                  <w:vAlign w:val="center"/>
                </w:tcPr>
                <w:p w14:paraId="53FDD72A">
                  <w:pPr>
                    <w:pStyle w:val="34"/>
                    <w:rPr>
                      <w:rFonts w:hint="default" w:eastAsia="宋体"/>
                      <w:color w:val="000000"/>
                      <w:lang w:val="en-US" w:eastAsia="zh-CN"/>
                    </w:rPr>
                  </w:pPr>
                  <w:r>
                    <w:rPr>
                      <w:rFonts w:hint="eastAsia"/>
                      <w:color w:val="000000"/>
                      <w:lang w:val="en-US" w:eastAsia="zh-CN"/>
                    </w:rPr>
                    <w:t>移动布袋除尘器处理后排放在车间内</w:t>
                  </w:r>
                </w:p>
              </w:tc>
            </w:tr>
            <w:tr w14:paraId="2B3F4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406" w:type="pct"/>
                  <w:vMerge w:val="continue"/>
                  <w:noWrap w:val="0"/>
                  <w:vAlign w:val="center"/>
                </w:tcPr>
                <w:p w14:paraId="411E109F">
                  <w:pPr>
                    <w:pStyle w:val="34"/>
                    <w:rPr>
                      <w:color w:val="000000"/>
                    </w:rPr>
                  </w:pPr>
                </w:p>
              </w:tc>
              <w:tc>
                <w:tcPr>
                  <w:tcW w:w="950" w:type="pct"/>
                  <w:noWrap w:val="0"/>
                  <w:vAlign w:val="center"/>
                </w:tcPr>
                <w:p w14:paraId="4F4F5583">
                  <w:pPr>
                    <w:pStyle w:val="34"/>
                    <w:rPr>
                      <w:rFonts w:hint="default"/>
                      <w:color w:val="000000"/>
                      <w:lang w:val="en-US" w:eastAsia="zh-CN"/>
                    </w:rPr>
                  </w:pPr>
                  <w:r>
                    <w:rPr>
                      <w:rFonts w:hint="eastAsia"/>
                      <w:color w:val="000000"/>
                      <w:lang w:val="en-US" w:eastAsia="zh-CN"/>
                    </w:rPr>
                    <w:t>焊接烟尘</w:t>
                  </w:r>
                </w:p>
              </w:tc>
              <w:tc>
                <w:tcPr>
                  <w:tcW w:w="682" w:type="pct"/>
                  <w:noWrap w:val="0"/>
                  <w:vAlign w:val="center"/>
                </w:tcPr>
                <w:p w14:paraId="004F7FC4">
                  <w:pPr>
                    <w:pStyle w:val="34"/>
                    <w:rPr>
                      <w:rFonts w:hint="default"/>
                      <w:color w:val="000000"/>
                      <w:lang w:val="en-US" w:eastAsia="zh-CN"/>
                    </w:rPr>
                  </w:pPr>
                  <w:r>
                    <w:rPr>
                      <w:rFonts w:hint="eastAsia"/>
                      <w:color w:val="000000"/>
                      <w:lang w:val="en-US" w:eastAsia="zh-CN"/>
                    </w:rPr>
                    <w:t>G2</w:t>
                  </w:r>
                </w:p>
              </w:tc>
              <w:tc>
                <w:tcPr>
                  <w:tcW w:w="887" w:type="pct"/>
                  <w:noWrap w:val="0"/>
                  <w:vAlign w:val="center"/>
                </w:tcPr>
                <w:p w14:paraId="31548F2F">
                  <w:pPr>
                    <w:pStyle w:val="34"/>
                    <w:rPr>
                      <w:rFonts w:hint="default"/>
                      <w:color w:val="000000"/>
                      <w:lang w:val="en-US" w:eastAsia="zh-CN"/>
                    </w:rPr>
                  </w:pPr>
                  <w:r>
                    <w:rPr>
                      <w:rFonts w:hint="eastAsia"/>
                      <w:color w:val="000000"/>
                      <w:lang w:val="en-US" w:eastAsia="zh-CN"/>
                    </w:rPr>
                    <w:t>焊接</w:t>
                  </w:r>
                </w:p>
              </w:tc>
              <w:tc>
                <w:tcPr>
                  <w:tcW w:w="2074" w:type="pct"/>
                  <w:noWrap w:val="0"/>
                  <w:vAlign w:val="center"/>
                </w:tcPr>
                <w:p w14:paraId="0D9EC379">
                  <w:pPr>
                    <w:pStyle w:val="34"/>
                    <w:rPr>
                      <w:rFonts w:hint="default"/>
                      <w:color w:val="000000"/>
                      <w:lang w:val="en-US" w:eastAsia="zh-CN"/>
                    </w:rPr>
                  </w:pPr>
                  <w:r>
                    <w:rPr>
                      <w:rFonts w:hint="eastAsia"/>
                      <w:color w:val="000000"/>
                      <w:lang w:val="en-US" w:eastAsia="zh-CN"/>
                    </w:rPr>
                    <w:t>布袋除尘器+15m高1#排气筒</w:t>
                  </w:r>
                </w:p>
              </w:tc>
            </w:tr>
            <w:tr w14:paraId="02859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406" w:type="pct"/>
                  <w:vMerge w:val="continue"/>
                  <w:noWrap w:val="0"/>
                  <w:vAlign w:val="center"/>
                </w:tcPr>
                <w:p w14:paraId="1E1F3E3B">
                  <w:pPr>
                    <w:pStyle w:val="34"/>
                    <w:rPr>
                      <w:color w:val="000000"/>
                    </w:rPr>
                  </w:pPr>
                </w:p>
              </w:tc>
              <w:tc>
                <w:tcPr>
                  <w:tcW w:w="950" w:type="pct"/>
                  <w:noWrap w:val="0"/>
                  <w:vAlign w:val="center"/>
                </w:tcPr>
                <w:p w14:paraId="26CCE6B5">
                  <w:pPr>
                    <w:pStyle w:val="34"/>
                    <w:rPr>
                      <w:rFonts w:hint="default"/>
                      <w:color w:val="000000"/>
                      <w:lang w:val="en-US" w:eastAsia="zh-CN"/>
                    </w:rPr>
                  </w:pPr>
                  <w:r>
                    <w:rPr>
                      <w:rFonts w:hint="eastAsia"/>
                      <w:color w:val="000000"/>
                      <w:lang w:val="en-US" w:eastAsia="zh-CN"/>
                    </w:rPr>
                    <w:t>打磨粉尘</w:t>
                  </w:r>
                </w:p>
              </w:tc>
              <w:tc>
                <w:tcPr>
                  <w:tcW w:w="682" w:type="pct"/>
                  <w:noWrap w:val="0"/>
                  <w:vAlign w:val="center"/>
                </w:tcPr>
                <w:p w14:paraId="6B396A12">
                  <w:pPr>
                    <w:pStyle w:val="34"/>
                    <w:rPr>
                      <w:rFonts w:hint="default"/>
                      <w:color w:val="000000"/>
                      <w:lang w:val="en-US" w:eastAsia="zh-CN"/>
                    </w:rPr>
                  </w:pPr>
                  <w:r>
                    <w:rPr>
                      <w:rFonts w:hint="eastAsia"/>
                      <w:color w:val="000000"/>
                      <w:lang w:val="en-US" w:eastAsia="zh-CN"/>
                    </w:rPr>
                    <w:t>G3</w:t>
                  </w:r>
                </w:p>
              </w:tc>
              <w:tc>
                <w:tcPr>
                  <w:tcW w:w="887" w:type="pct"/>
                  <w:noWrap w:val="0"/>
                  <w:vAlign w:val="center"/>
                </w:tcPr>
                <w:p w14:paraId="3F07551F">
                  <w:pPr>
                    <w:pStyle w:val="34"/>
                    <w:rPr>
                      <w:rFonts w:hint="default"/>
                      <w:color w:val="000000"/>
                      <w:lang w:val="en-US" w:eastAsia="zh-CN"/>
                    </w:rPr>
                  </w:pPr>
                  <w:r>
                    <w:rPr>
                      <w:rFonts w:hint="eastAsia"/>
                      <w:color w:val="000000"/>
                      <w:lang w:val="en-US" w:eastAsia="zh-CN"/>
                    </w:rPr>
                    <w:t>打磨</w:t>
                  </w:r>
                </w:p>
              </w:tc>
              <w:tc>
                <w:tcPr>
                  <w:tcW w:w="2074" w:type="pct"/>
                  <w:noWrap w:val="0"/>
                  <w:vAlign w:val="center"/>
                </w:tcPr>
                <w:p w14:paraId="22DB5349">
                  <w:pPr>
                    <w:pStyle w:val="34"/>
                    <w:rPr>
                      <w:rFonts w:hint="default"/>
                      <w:color w:val="000000"/>
                      <w:lang w:val="en-US" w:eastAsia="zh-CN"/>
                    </w:rPr>
                  </w:pPr>
                  <w:r>
                    <w:rPr>
                      <w:rFonts w:hint="eastAsia"/>
                      <w:color w:val="000000"/>
                      <w:lang w:val="en-US" w:eastAsia="zh-CN"/>
                    </w:rPr>
                    <w:t>移动布袋除尘器处理后排放在车间内</w:t>
                  </w:r>
                </w:p>
              </w:tc>
            </w:tr>
            <w:tr w14:paraId="23CAB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406" w:type="pct"/>
                  <w:vMerge w:val="continue"/>
                  <w:noWrap w:val="0"/>
                  <w:vAlign w:val="center"/>
                </w:tcPr>
                <w:p w14:paraId="4E1A5B78">
                  <w:pPr>
                    <w:pStyle w:val="34"/>
                    <w:rPr>
                      <w:color w:val="000000"/>
                    </w:rPr>
                  </w:pPr>
                </w:p>
              </w:tc>
              <w:tc>
                <w:tcPr>
                  <w:tcW w:w="950" w:type="pct"/>
                  <w:noWrap w:val="0"/>
                  <w:vAlign w:val="center"/>
                </w:tcPr>
                <w:p w14:paraId="77BF6022">
                  <w:pPr>
                    <w:pStyle w:val="34"/>
                    <w:rPr>
                      <w:rFonts w:hint="default"/>
                      <w:color w:val="000000"/>
                      <w:lang w:val="en-US" w:eastAsia="zh-CN"/>
                    </w:rPr>
                  </w:pPr>
                  <w:r>
                    <w:rPr>
                      <w:rFonts w:hint="eastAsia"/>
                      <w:color w:val="000000"/>
                      <w:lang w:val="en-US" w:eastAsia="zh-CN"/>
                    </w:rPr>
                    <w:t>调漆废气</w:t>
                  </w:r>
                </w:p>
              </w:tc>
              <w:tc>
                <w:tcPr>
                  <w:tcW w:w="682" w:type="pct"/>
                  <w:noWrap w:val="0"/>
                  <w:vAlign w:val="center"/>
                </w:tcPr>
                <w:p w14:paraId="4B44CE43">
                  <w:pPr>
                    <w:pStyle w:val="34"/>
                    <w:rPr>
                      <w:rFonts w:hint="eastAsia"/>
                      <w:color w:val="000000"/>
                      <w:lang w:val="en-US" w:eastAsia="zh-CN"/>
                    </w:rPr>
                  </w:pPr>
                  <w:r>
                    <w:rPr>
                      <w:rFonts w:hint="eastAsia"/>
                      <w:color w:val="000000"/>
                      <w:lang w:val="en-US" w:eastAsia="zh-CN"/>
                    </w:rPr>
                    <w:t>G4</w:t>
                  </w:r>
                </w:p>
              </w:tc>
              <w:tc>
                <w:tcPr>
                  <w:tcW w:w="887" w:type="pct"/>
                  <w:noWrap w:val="0"/>
                  <w:vAlign w:val="center"/>
                </w:tcPr>
                <w:p w14:paraId="33D9B292">
                  <w:pPr>
                    <w:pStyle w:val="34"/>
                    <w:rPr>
                      <w:rFonts w:hint="default"/>
                      <w:color w:val="000000"/>
                      <w:lang w:val="en-US" w:eastAsia="zh-CN"/>
                    </w:rPr>
                  </w:pPr>
                  <w:r>
                    <w:rPr>
                      <w:rFonts w:hint="eastAsia"/>
                      <w:color w:val="000000"/>
                      <w:lang w:val="en-US" w:eastAsia="zh-CN"/>
                    </w:rPr>
                    <w:t>调漆</w:t>
                  </w:r>
                </w:p>
              </w:tc>
              <w:tc>
                <w:tcPr>
                  <w:tcW w:w="2074" w:type="pct"/>
                  <w:vMerge w:val="restart"/>
                  <w:noWrap w:val="0"/>
                  <w:vAlign w:val="center"/>
                </w:tcPr>
                <w:p w14:paraId="3003333D">
                  <w:pPr>
                    <w:pStyle w:val="34"/>
                    <w:rPr>
                      <w:rFonts w:hint="default"/>
                      <w:color w:val="000000"/>
                      <w:lang w:val="en-US" w:eastAsia="zh-CN"/>
                    </w:rPr>
                  </w:pPr>
                  <w:r>
                    <w:rPr>
                      <w:rFonts w:hint="eastAsia"/>
                      <w:color w:val="000000"/>
                      <w:lang w:val="en-US" w:eastAsia="zh-CN"/>
                    </w:rPr>
                    <w:t>喷淋+干式过滤+二级活性炭吸附+15m高2#排气筒</w:t>
                  </w:r>
                </w:p>
              </w:tc>
            </w:tr>
            <w:tr w14:paraId="2FCC5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406" w:type="pct"/>
                  <w:vMerge w:val="continue"/>
                  <w:noWrap w:val="0"/>
                  <w:vAlign w:val="center"/>
                </w:tcPr>
                <w:p w14:paraId="7CCDB37E">
                  <w:pPr>
                    <w:pStyle w:val="34"/>
                    <w:rPr>
                      <w:color w:val="000000"/>
                    </w:rPr>
                  </w:pPr>
                </w:p>
              </w:tc>
              <w:tc>
                <w:tcPr>
                  <w:tcW w:w="950" w:type="pct"/>
                  <w:noWrap w:val="0"/>
                  <w:vAlign w:val="center"/>
                </w:tcPr>
                <w:p w14:paraId="4C9217EC">
                  <w:pPr>
                    <w:pStyle w:val="34"/>
                    <w:rPr>
                      <w:rFonts w:hint="default"/>
                      <w:color w:val="000000"/>
                      <w:lang w:val="en-US" w:eastAsia="zh-CN"/>
                    </w:rPr>
                  </w:pPr>
                  <w:r>
                    <w:rPr>
                      <w:rFonts w:hint="eastAsia"/>
                      <w:color w:val="000000"/>
                      <w:lang w:val="en-US" w:eastAsia="zh-CN"/>
                    </w:rPr>
                    <w:t>喷漆废气</w:t>
                  </w:r>
                </w:p>
              </w:tc>
              <w:tc>
                <w:tcPr>
                  <w:tcW w:w="682" w:type="pct"/>
                  <w:noWrap w:val="0"/>
                  <w:vAlign w:val="center"/>
                </w:tcPr>
                <w:p w14:paraId="37162509">
                  <w:pPr>
                    <w:pStyle w:val="34"/>
                    <w:rPr>
                      <w:rFonts w:hint="default"/>
                      <w:color w:val="000000"/>
                      <w:lang w:val="en-US" w:eastAsia="zh-CN"/>
                    </w:rPr>
                  </w:pPr>
                  <w:r>
                    <w:rPr>
                      <w:rFonts w:hint="eastAsia"/>
                      <w:color w:val="000000"/>
                      <w:lang w:val="en-US" w:eastAsia="zh-CN"/>
                    </w:rPr>
                    <w:t>G5</w:t>
                  </w:r>
                </w:p>
              </w:tc>
              <w:tc>
                <w:tcPr>
                  <w:tcW w:w="887" w:type="pct"/>
                  <w:noWrap w:val="0"/>
                  <w:vAlign w:val="center"/>
                </w:tcPr>
                <w:p w14:paraId="2118FF88">
                  <w:pPr>
                    <w:pStyle w:val="34"/>
                    <w:rPr>
                      <w:rFonts w:hint="default"/>
                      <w:color w:val="000000"/>
                      <w:lang w:val="en-US" w:eastAsia="zh-CN"/>
                    </w:rPr>
                  </w:pPr>
                  <w:r>
                    <w:rPr>
                      <w:rFonts w:hint="eastAsia"/>
                      <w:color w:val="000000"/>
                      <w:lang w:val="en-US" w:eastAsia="zh-CN"/>
                    </w:rPr>
                    <w:t>喷漆</w:t>
                  </w:r>
                </w:p>
              </w:tc>
              <w:tc>
                <w:tcPr>
                  <w:tcW w:w="2074" w:type="pct"/>
                  <w:vMerge w:val="continue"/>
                  <w:noWrap w:val="0"/>
                  <w:vAlign w:val="center"/>
                </w:tcPr>
                <w:p w14:paraId="040FB551">
                  <w:pPr>
                    <w:pStyle w:val="34"/>
                    <w:rPr>
                      <w:rFonts w:hint="eastAsia"/>
                      <w:color w:val="000000"/>
                      <w:lang w:val="en-US" w:eastAsia="zh-CN"/>
                    </w:rPr>
                  </w:pPr>
                </w:p>
              </w:tc>
            </w:tr>
            <w:tr w14:paraId="1422F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406" w:type="pct"/>
                  <w:vMerge w:val="continue"/>
                  <w:noWrap w:val="0"/>
                  <w:vAlign w:val="center"/>
                </w:tcPr>
                <w:p w14:paraId="2151B20C">
                  <w:pPr>
                    <w:pStyle w:val="34"/>
                    <w:rPr>
                      <w:color w:val="000000"/>
                    </w:rPr>
                  </w:pPr>
                </w:p>
              </w:tc>
              <w:tc>
                <w:tcPr>
                  <w:tcW w:w="950" w:type="pct"/>
                  <w:noWrap w:val="0"/>
                  <w:vAlign w:val="center"/>
                </w:tcPr>
                <w:p w14:paraId="2EE10A1A">
                  <w:pPr>
                    <w:pStyle w:val="34"/>
                    <w:rPr>
                      <w:rFonts w:hint="default"/>
                      <w:color w:val="000000"/>
                      <w:lang w:val="en-US" w:eastAsia="zh-CN"/>
                    </w:rPr>
                  </w:pPr>
                  <w:r>
                    <w:rPr>
                      <w:rFonts w:hint="eastAsia"/>
                      <w:color w:val="000000"/>
                      <w:lang w:val="en-US" w:eastAsia="zh-CN"/>
                    </w:rPr>
                    <w:t>烘干废气</w:t>
                  </w:r>
                </w:p>
              </w:tc>
              <w:tc>
                <w:tcPr>
                  <w:tcW w:w="682" w:type="pct"/>
                  <w:noWrap w:val="0"/>
                  <w:vAlign w:val="center"/>
                </w:tcPr>
                <w:p w14:paraId="3E461BEB">
                  <w:pPr>
                    <w:pStyle w:val="34"/>
                    <w:rPr>
                      <w:rFonts w:hint="default"/>
                      <w:color w:val="000000"/>
                      <w:lang w:val="en-US" w:eastAsia="zh-CN"/>
                    </w:rPr>
                  </w:pPr>
                  <w:r>
                    <w:rPr>
                      <w:rFonts w:hint="eastAsia"/>
                      <w:color w:val="000000"/>
                      <w:lang w:val="en-US" w:eastAsia="zh-CN"/>
                    </w:rPr>
                    <w:t>G6</w:t>
                  </w:r>
                </w:p>
              </w:tc>
              <w:tc>
                <w:tcPr>
                  <w:tcW w:w="887" w:type="pct"/>
                  <w:noWrap w:val="0"/>
                  <w:vAlign w:val="center"/>
                </w:tcPr>
                <w:p w14:paraId="709F0A37">
                  <w:pPr>
                    <w:pStyle w:val="34"/>
                    <w:rPr>
                      <w:rFonts w:hint="default"/>
                      <w:color w:val="000000"/>
                      <w:lang w:val="en-US" w:eastAsia="zh-CN"/>
                    </w:rPr>
                  </w:pPr>
                  <w:r>
                    <w:rPr>
                      <w:rFonts w:hint="eastAsia"/>
                      <w:color w:val="000000"/>
                      <w:lang w:val="en-US" w:eastAsia="zh-CN"/>
                    </w:rPr>
                    <w:t>烘干</w:t>
                  </w:r>
                </w:p>
              </w:tc>
              <w:tc>
                <w:tcPr>
                  <w:tcW w:w="2074" w:type="pct"/>
                  <w:vMerge w:val="continue"/>
                  <w:noWrap w:val="0"/>
                  <w:vAlign w:val="center"/>
                </w:tcPr>
                <w:p w14:paraId="52EBF005">
                  <w:pPr>
                    <w:pStyle w:val="34"/>
                    <w:rPr>
                      <w:rFonts w:hint="default"/>
                      <w:color w:val="000000"/>
                      <w:lang w:val="en-US" w:eastAsia="zh-CN"/>
                    </w:rPr>
                  </w:pPr>
                </w:p>
              </w:tc>
            </w:tr>
            <w:tr w14:paraId="7EC63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406" w:type="pct"/>
                  <w:noWrap w:val="0"/>
                  <w:vAlign w:val="center"/>
                </w:tcPr>
                <w:p w14:paraId="774ACFA7">
                  <w:pPr>
                    <w:pStyle w:val="34"/>
                    <w:rPr>
                      <w:color w:val="000000"/>
                    </w:rPr>
                  </w:pPr>
                  <w:r>
                    <w:rPr>
                      <w:color w:val="000000"/>
                    </w:rPr>
                    <w:t>噪声</w:t>
                  </w:r>
                </w:p>
              </w:tc>
              <w:tc>
                <w:tcPr>
                  <w:tcW w:w="950" w:type="pct"/>
                  <w:noWrap w:val="0"/>
                  <w:vAlign w:val="center"/>
                </w:tcPr>
                <w:p w14:paraId="7F9550B1">
                  <w:pPr>
                    <w:pStyle w:val="34"/>
                    <w:rPr>
                      <w:rFonts w:hint="eastAsia"/>
                      <w:color w:val="000000"/>
                    </w:rPr>
                  </w:pPr>
                  <w:r>
                    <w:rPr>
                      <w:rFonts w:hint="eastAsia"/>
                      <w:color w:val="000000"/>
                    </w:rPr>
                    <w:t>噪声</w:t>
                  </w:r>
                </w:p>
              </w:tc>
              <w:tc>
                <w:tcPr>
                  <w:tcW w:w="682" w:type="pct"/>
                  <w:noWrap w:val="0"/>
                  <w:vAlign w:val="center"/>
                </w:tcPr>
                <w:p w14:paraId="387E7F95">
                  <w:pPr>
                    <w:pStyle w:val="34"/>
                    <w:rPr>
                      <w:rFonts w:hint="eastAsia"/>
                      <w:color w:val="000000"/>
                    </w:rPr>
                  </w:pPr>
                  <w:r>
                    <w:rPr>
                      <w:rFonts w:hint="eastAsia"/>
                      <w:color w:val="000000"/>
                    </w:rPr>
                    <w:t>N</w:t>
                  </w:r>
                </w:p>
              </w:tc>
              <w:tc>
                <w:tcPr>
                  <w:tcW w:w="887" w:type="pct"/>
                  <w:noWrap w:val="0"/>
                  <w:vAlign w:val="center"/>
                </w:tcPr>
                <w:p w14:paraId="48CB9569">
                  <w:pPr>
                    <w:pStyle w:val="34"/>
                    <w:rPr>
                      <w:rFonts w:hint="default"/>
                      <w:color w:val="000000"/>
                      <w:lang w:val="en-US"/>
                    </w:rPr>
                  </w:pPr>
                  <w:r>
                    <w:rPr>
                      <w:rFonts w:hint="eastAsia"/>
                      <w:color w:val="000000"/>
                      <w:lang w:val="en-US" w:eastAsia="zh-CN"/>
                    </w:rPr>
                    <w:t>生产过程</w:t>
                  </w:r>
                </w:p>
              </w:tc>
              <w:tc>
                <w:tcPr>
                  <w:tcW w:w="2074" w:type="pct"/>
                  <w:noWrap w:val="0"/>
                  <w:vAlign w:val="center"/>
                </w:tcPr>
                <w:p w14:paraId="583287B2">
                  <w:pPr>
                    <w:pStyle w:val="34"/>
                    <w:rPr>
                      <w:rFonts w:hint="default" w:eastAsia="宋体"/>
                      <w:color w:val="000000"/>
                      <w:lang w:val="en-US" w:eastAsia="zh-CN"/>
                    </w:rPr>
                  </w:pPr>
                  <w:r>
                    <w:rPr>
                      <w:rFonts w:hint="eastAsia"/>
                      <w:color w:val="000000"/>
                      <w:lang w:val="en-US" w:eastAsia="zh-CN"/>
                    </w:rPr>
                    <w:t>合理布局、基础减震、墙体隔声</w:t>
                  </w:r>
                </w:p>
              </w:tc>
            </w:tr>
            <w:tr w14:paraId="1E3B5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406" w:type="pct"/>
                  <w:vMerge w:val="restart"/>
                  <w:noWrap w:val="0"/>
                  <w:vAlign w:val="center"/>
                </w:tcPr>
                <w:p w14:paraId="2A797F07">
                  <w:pPr>
                    <w:pStyle w:val="34"/>
                    <w:rPr>
                      <w:color w:val="000000"/>
                    </w:rPr>
                  </w:pPr>
                  <w:r>
                    <w:rPr>
                      <w:color w:val="000000"/>
                    </w:rPr>
                    <w:t>固废</w:t>
                  </w:r>
                </w:p>
              </w:tc>
              <w:tc>
                <w:tcPr>
                  <w:tcW w:w="950" w:type="pct"/>
                  <w:noWrap w:val="0"/>
                  <w:vAlign w:val="center"/>
                </w:tcPr>
                <w:p w14:paraId="10751469">
                  <w:pPr>
                    <w:pStyle w:val="34"/>
                    <w:rPr>
                      <w:rFonts w:hint="default" w:eastAsia="宋体"/>
                      <w:color w:val="000000"/>
                      <w:lang w:val="en-US" w:eastAsia="zh-CN"/>
                    </w:rPr>
                  </w:pPr>
                  <w:r>
                    <w:rPr>
                      <w:rFonts w:hint="eastAsia"/>
                      <w:color w:val="000000"/>
                      <w:lang w:val="en-US" w:eastAsia="zh-CN"/>
                    </w:rPr>
                    <w:t>边角料</w:t>
                  </w:r>
                </w:p>
              </w:tc>
              <w:tc>
                <w:tcPr>
                  <w:tcW w:w="682" w:type="pct"/>
                  <w:noWrap w:val="0"/>
                  <w:vAlign w:val="center"/>
                </w:tcPr>
                <w:p w14:paraId="484A6F79">
                  <w:pPr>
                    <w:pStyle w:val="34"/>
                    <w:rPr>
                      <w:rFonts w:hint="default" w:ascii="Times New Roman" w:hAnsi="Times New Roman" w:eastAsia="宋体" w:cs="Times New Roman"/>
                      <w:bCs/>
                      <w:color w:val="000000"/>
                      <w:kern w:val="2"/>
                      <w:sz w:val="21"/>
                      <w:szCs w:val="21"/>
                      <w:lang w:val="en-US" w:eastAsia="zh-CN" w:bidi="ar-SA"/>
                    </w:rPr>
                  </w:pPr>
                  <w:r>
                    <w:rPr>
                      <w:rFonts w:hint="eastAsia" w:cs="Times New Roman"/>
                      <w:bCs/>
                      <w:color w:val="000000"/>
                      <w:kern w:val="2"/>
                      <w:sz w:val="21"/>
                      <w:szCs w:val="21"/>
                      <w:lang w:val="en-US" w:eastAsia="zh-CN" w:bidi="ar-SA"/>
                    </w:rPr>
                    <w:t>S1</w:t>
                  </w:r>
                </w:p>
              </w:tc>
              <w:tc>
                <w:tcPr>
                  <w:tcW w:w="887" w:type="pct"/>
                  <w:noWrap w:val="0"/>
                  <w:vAlign w:val="center"/>
                </w:tcPr>
                <w:p w14:paraId="4DA5FFFB">
                  <w:pPr>
                    <w:pStyle w:val="34"/>
                    <w:rPr>
                      <w:rFonts w:hint="default" w:eastAsia="宋体"/>
                      <w:color w:val="000000"/>
                      <w:lang w:val="en-US" w:eastAsia="zh-CN"/>
                    </w:rPr>
                  </w:pPr>
                  <w:r>
                    <w:rPr>
                      <w:rFonts w:hint="eastAsia"/>
                      <w:color w:val="000000"/>
                      <w:lang w:val="en-US" w:eastAsia="zh-CN"/>
                    </w:rPr>
                    <w:t>下料</w:t>
                  </w:r>
                </w:p>
              </w:tc>
              <w:tc>
                <w:tcPr>
                  <w:tcW w:w="2074" w:type="pct"/>
                  <w:noWrap w:val="0"/>
                  <w:vAlign w:val="center"/>
                </w:tcPr>
                <w:p w14:paraId="4F77613D">
                  <w:pPr>
                    <w:pStyle w:val="34"/>
                    <w:rPr>
                      <w:rFonts w:hint="default" w:eastAsia="宋体"/>
                      <w:color w:val="000000"/>
                      <w:lang w:val="en-US" w:eastAsia="zh-CN"/>
                    </w:rPr>
                  </w:pPr>
                  <w:r>
                    <w:rPr>
                      <w:rFonts w:hint="eastAsia"/>
                      <w:color w:val="000000"/>
                      <w:lang w:val="en-US" w:eastAsia="zh-CN"/>
                    </w:rPr>
                    <w:t>外售物资回收单位</w:t>
                  </w:r>
                </w:p>
              </w:tc>
            </w:tr>
            <w:tr w14:paraId="64A31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406" w:type="pct"/>
                  <w:vMerge w:val="continue"/>
                  <w:noWrap w:val="0"/>
                  <w:vAlign w:val="center"/>
                </w:tcPr>
                <w:p w14:paraId="520FD031">
                  <w:pPr>
                    <w:pStyle w:val="34"/>
                    <w:rPr>
                      <w:color w:val="000000"/>
                    </w:rPr>
                  </w:pPr>
                </w:p>
              </w:tc>
              <w:tc>
                <w:tcPr>
                  <w:tcW w:w="950" w:type="pct"/>
                  <w:noWrap w:val="0"/>
                  <w:vAlign w:val="center"/>
                </w:tcPr>
                <w:p w14:paraId="6AE31B9C">
                  <w:pPr>
                    <w:pStyle w:val="34"/>
                    <w:rPr>
                      <w:rFonts w:hint="default"/>
                      <w:color w:val="000000"/>
                      <w:lang w:val="en-US" w:eastAsia="zh-CN"/>
                    </w:rPr>
                  </w:pPr>
                  <w:r>
                    <w:rPr>
                      <w:rFonts w:hint="eastAsia"/>
                      <w:color w:val="000000"/>
                      <w:lang w:val="en-US" w:eastAsia="zh-CN"/>
                    </w:rPr>
                    <w:t>废漆桶</w:t>
                  </w:r>
                </w:p>
              </w:tc>
              <w:tc>
                <w:tcPr>
                  <w:tcW w:w="682" w:type="pct"/>
                  <w:noWrap w:val="0"/>
                  <w:vAlign w:val="center"/>
                </w:tcPr>
                <w:p w14:paraId="66D2AFCD">
                  <w:pPr>
                    <w:pStyle w:val="34"/>
                    <w:rPr>
                      <w:rFonts w:hint="default" w:cs="Times New Roman"/>
                      <w:bCs/>
                      <w:color w:val="000000"/>
                      <w:kern w:val="2"/>
                      <w:sz w:val="21"/>
                      <w:szCs w:val="21"/>
                      <w:lang w:val="en-US" w:eastAsia="zh-CN" w:bidi="ar-SA"/>
                    </w:rPr>
                  </w:pPr>
                  <w:r>
                    <w:rPr>
                      <w:rFonts w:hint="eastAsia" w:cs="Times New Roman"/>
                      <w:bCs/>
                      <w:color w:val="000000"/>
                      <w:kern w:val="2"/>
                      <w:sz w:val="21"/>
                      <w:szCs w:val="21"/>
                      <w:lang w:val="en-US" w:eastAsia="zh-CN" w:bidi="ar-SA"/>
                    </w:rPr>
                    <w:t>S2</w:t>
                  </w:r>
                </w:p>
              </w:tc>
              <w:tc>
                <w:tcPr>
                  <w:tcW w:w="887" w:type="pct"/>
                  <w:vMerge w:val="restart"/>
                  <w:noWrap w:val="0"/>
                  <w:vAlign w:val="center"/>
                </w:tcPr>
                <w:p w14:paraId="0D9B4D5D">
                  <w:pPr>
                    <w:pStyle w:val="34"/>
                    <w:rPr>
                      <w:rFonts w:hint="default"/>
                      <w:color w:val="000000"/>
                      <w:lang w:val="en-US" w:eastAsia="zh-CN"/>
                    </w:rPr>
                  </w:pPr>
                  <w:r>
                    <w:rPr>
                      <w:rFonts w:hint="eastAsia"/>
                      <w:color w:val="000000"/>
                      <w:lang w:val="en-US" w:eastAsia="zh-CN"/>
                    </w:rPr>
                    <w:t>喷涂</w:t>
                  </w:r>
                </w:p>
              </w:tc>
              <w:tc>
                <w:tcPr>
                  <w:tcW w:w="2074" w:type="pct"/>
                  <w:vMerge w:val="restart"/>
                  <w:noWrap w:val="0"/>
                  <w:vAlign w:val="center"/>
                </w:tcPr>
                <w:p w14:paraId="769CA241">
                  <w:pPr>
                    <w:pStyle w:val="34"/>
                    <w:rPr>
                      <w:rFonts w:hint="eastAsia"/>
                      <w:color w:val="000000"/>
                      <w:lang w:val="en-US" w:eastAsia="zh-CN"/>
                    </w:rPr>
                  </w:pPr>
                  <w:r>
                    <w:rPr>
                      <w:rFonts w:hint="eastAsia"/>
                      <w:color w:val="000000"/>
                      <w:lang w:val="en-US" w:eastAsia="zh-CN"/>
                    </w:rPr>
                    <w:t>危险废物贮存库，定期交有资质单位处理</w:t>
                  </w:r>
                </w:p>
              </w:tc>
            </w:tr>
            <w:tr w14:paraId="3D167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406" w:type="pct"/>
                  <w:vMerge w:val="continue"/>
                  <w:noWrap w:val="0"/>
                  <w:vAlign w:val="center"/>
                </w:tcPr>
                <w:p w14:paraId="31DC17C9">
                  <w:pPr>
                    <w:pStyle w:val="34"/>
                    <w:rPr>
                      <w:color w:val="000000"/>
                    </w:rPr>
                  </w:pPr>
                </w:p>
              </w:tc>
              <w:tc>
                <w:tcPr>
                  <w:tcW w:w="950" w:type="pct"/>
                  <w:noWrap w:val="0"/>
                  <w:vAlign w:val="center"/>
                </w:tcPr>
                <w:p w14:paraId="714D2FD0">
                  <w:pPr>
                    <w:pStyle w:val="34"/>
                    <w:rPr>
                      <w:rFonts w:hint="default"/>
                      <w:color w:val="000000"/>
                      <w:lang w:val="en-US" w:eastAsia="zh-CN"/>
                    </w:rPr>
                  </w:pPr>
                  <w:r>
                    <w:rPr>
                      <w:rFonts w:hint="eastAsia"/>
                      <w:color w:val="000000"/>
                      <w:lang w:val="en-US" w:eastAsia="zh-CN"/>
                    </w:rPr>
                    <w:t>漆渣</w:t>
                  </w:r>
                </w:p>
              </w:tc>
              <w:tc>
                <w:tcPr>
                  <w:tcW w:w="682" w:type="pct"/>
                  <w:noWrap w:val="0"/>
                  <w:vAlign w:val="center"/>
                </w:tcPr>
                <w:p w14:paraId="625BB478">
                  <w:pPr>
                    <w:pStyle w:val="34"/>
                    <w:rPr>
                      <w:rFonts w:hint="default" w:cs="Times New Roman"/>
                      <w:bCs/>
                      <w:color w:val="000000"/>
                      <w:kern w:val="2"/>
                      <w:sz w:val="21"/>
                      <w:szCs w:val="21"/>
                      <w:lang w:val="en-US" w:eastAsia="zh-CN" w:bidi="ar-SA"/>
                    </w:rPr>
                  </w:pPr>
                  <w:r>
                    <w:rPr>
                      <w:rFonts w:hint="eastAsia" w:cs="Times New Roman"/>
                      <w:bCs/>
                      <w:color w:val="000000"/>
                      <w:kern w:val="2"/>
                      <w:sz w:val="21"/>
                      <w:szCs w:val="21"/>
                      <w:lang w:val="en-US" w:eastAsia="zh-CN" w:bidi="ar-SA"/>
                    </w:rPr>
                    <w:t>S3</w:t>
                  </w:r>
                </w:p>
              </w:tc>
              <w:tc>
                <w:tcPr>
                  <w:tcW w:w="887" w:type="pct"/>
                  <w:vMerge w:val="continue"/>
                  <w:noWrap w:val="0"/>
                  <w:vAlign w:val="center"/>
                </w:tcPr>
                <w:p w14:paraId="296498F4">
                  <w:pPr>
                    <w:pStyle w:val="34"/>
                    <w:rPr>
                      <w:rFonts w:hint="eastAsia"/>
                      <w:color w:val="000000"/>
                      <w:lang w:val="en-US" w:eastAsia="zh-CN"/>
                    </w:rPr>
                  </w:pPr>
                </w:p>
              </w:tc>
              <w:tc>
                <w:tcPr>
                  <w:tcW w:w="2074" w:type="pct"/>
                  <w:vMerge w:val="continue"/>
                  <w:noWrap w:val="0"/>
                  <w:vAlign w:val="center"/>
                </w:tcPr>
                <w:p w14:paraId="227DD255">
                  <w:pPr>
                    <w:pStyle w:val="34"/>
                    <w:rPr>
                      <w:rFonts w:hint="eastAsia"/>
                      <w:color w:val="000000"/>
                      <w:lang w:val="en-US" w:eastAsia="zh-CN"/>
                    </w:rPr>
                  </w:pPr>
                </w:p>
              </w:tc>
            </w:tr>
            <w:tr w14:paraId="2461F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406" w:type="pct"/>
                  <w:vMerge w:val="continue"/>
                  <w:noWrap w:val="0"/>
                  <w:vAlign w:val="center"/>
                </w:tcPr>
                <w:p w14:paraId="2CBC0379">
                  <w:pPr>
                    <w:pStyle w:val="34"/>
                    <w:rPr>
                      <w:color w:val="000000"/>
                    </w:rPr>
                  </w:pPr>
                </w:p>
              </w:tc>
              <w:tc>
                <w:tcPr>
                  <w:tcW w:w="950" w:type="pct"/>
                  <w:noWrap w:val="0"/>
                  <w:vAlign w:val="center"/>
                </w:tcPr>
                <w:p w14:paraId="735E06FB">
                  <w:pPr>
                    <w:pStyle w:val="34"/>
                    <w:rPr>
                      <w:rFonts w:hint="default"/>
                      <w:color w:val="000000"/>
                      <w:lang w:val="en-US" w:eastAsia="zh-CN"/>
                    </w:rPr>
                  </w:pPr>
                  <w:r>
                    <w:rPr>
                      <w:rFonts w:hint="eastAsia"/>
                      <w:color w:val="000000"/>
                      <w:lang w:val="en-US" w:eastAsia="zh-CN"/>
                    </w:rPr>
                    <w:t>废过滤棉</w:t>
                  </w:r>
                </w:p>
              </w:tc>
              <w:tc>
                <w:tcPr>
                  <w:tcW w:w="682" w:type="pct"/>
                  <w:noWrap w:val="0"/>
                  <w:vAlign w:val="center"/>
                </w:tcPr>
                <w:p w14:paraId="41E4E466">
                  <w:pPr>
                    <w:pStyle w:val="34"/>
                    <w:rPr>
                      <w:rFonts w:hint="default" w:cs="Times New Roman"/>
                      <w:bCs/>
                      <w:color w:val="000000"/>
                      <w:kern w:val="2"/>
                      <w:sz w:val="21"/>
                      <w:szCs w:val="21"/>
                      <w:lang w:val="en-US" w:eastAsia="zh-CN" w:bidi="ar-SA"/>
                    </w:rPr>
                  </w:pPr>
                  <w:r>
                    <w:rPr>
                      <w:rFonts w:hint="eastAsia" w:cs="Times New Roman"/>
                      <w:bCs/>
                      <w:color w:val="000000"/>
                      <w:kern w:val="2"/>
                      <w:sz w:val="21"/>
                      <w:szCs w:val="21"/>
                      <w:lang w:val="en-US" w:eastAsia="zh-CN" w:bidi="ar-SA"/>
                    </w:rPr>
                    <w:t>S4</w:t>
                  </w:r>
                </w:p>
              </w:tc>
              <w:tc>
                <w:tcPr>
                  <w:tcW w:w="887" w:type="pct"/>
                  <w:vMerge w:val="continue"/>
                  <w:noWrap w:val="0"/>
                  <w:vAlign w:val="center"/>
                </w:tcPr>
                <w:p w14:paraId="3B221A98">
                  <w:pPr>
                    <w:pStyle w:val="34"/>
                    <w:rPr>
                      <w:rFonts w:hint="eastAsia"/>
                      <w:color w:val="000000"/>
                      <w:lang w:val="en-US" w:eastAsia="zh-CN"/>
                    </w:rPr>
                  </w:pPr>
                </w:p>
              </w:tc>
              <w:tc>
                <w:tcPr>
                  <w:tcW w:w="2074" w:type="pct"/>
                  <w:vMerge w:val="continue"/>
                  <w:noWrap w:val="0"/>
                  <w:vAlign w:val="center"/>
                </w:tcPr>
                <w:p w14:paraId="6578E621">
                  <w:pPr>
                    <w:pStyle w:val="34"/>
                    <w:rPr>
                      <w:rFonts w:hint="eastAsia"/>
                      <w:color w:val="000000"/>
                      <w:lang w:val="en-US" w:eastAsia="zh-CN"/>
                    </w:rPr>
                  </w:pPr>
                </w:p>
              </w:tc>
            </w:tr>
            <w:tr w14:paraId="1BCE0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406" w:type="pct"/>
                  <w:vMerge w:val="continue"/>
                  <w:noWrap w:val="0"/>
                  <w:vAlign w:val="center"/>
                </w:tcPr>
                <w:p w14:paraId="5FE53B67">
                  <w:pPr>
                    <w:pStyle w:val="34"/>
                    <w:rPr>
                      <w:color w:val="000000"/>
                    </w:rPr>
                  </w:pPr>
                </w:p>
              </w:tc>
              <w:tc>
                <w:tcPr>
                  <w:tcW w:w="950" w:type="pct"/>
                  <w:noWrap w:val="0"/>
                  <w:vAlign w:val="center"/>
                </w:tcPr>
                <w:p w14:paraId="7D75E15C">
                  <w:pPr>
                    <w:pStyle w:val="34"/>
                    <w:rPr>
                      <w:rFonts w:hint="default"/>
                      <w:color w:val="000000"/>
                      <w:lang w:val="en-US" w:eastAsia="zh-CN"/>
                    </w:rPr>
                  </w:pPr>
                  <w:r>
                    <w:rPr>
                      <w:rFonts w:hint="eastAsia"/>
                      <w:color w:val="000000"/>
                      <w:lang w:val="en-US" w:eastAsia="zh-CN"/>
                    </w:rPr>
                    <w:t>废活性炭</w:t>
                  </w:r>
                </w:p>
              </w:tc>
              <w:tc>
                <w:tcPr>
                  <w:tcW w:w="682" w:type="pct"/>
                  <w:noWrap w:val="0"/>
                  <w:vAlign w:val="center"/>
                </w:tcPr>
                <w:p w14:paraId="51C7B784">
                  <w:pPr>
                    <w:pStyle w:val="34"/>
                    <w:rPr>
                      <w:rFonts w:hint="default" w:cs="Times New Roman"/>
                      <w:bCs/>
                      <w:color w:val="000000"/>
                      <w:kern w:val="2"/>
                      <w:sz w:val="21"/>
                      <w:szCs w:val="21"/>
                      <w:lang w:val="en-US" w:eastAsia="zh-CN" w:bidi="ar-SA"/>
                    </w:rPr>
                  </w:pPr>
                  <w:r>
                    <w:rPr>
                      <w:rFonts w:hint="eastAsia" w:cs="Times New Roman"/>
                      <w:bCs/>
                      <w:color w:val="000000"/>
                      <w:kern w:val="2"/>
                      <w:sz w:val="21"/>
                      <w:szCs w:val="21"/>
                      <w:lang w:val="en-US" w:eastAsia="zh-CN" w:bidi="ar-SA"/>
                    </w:rPr>
                    <w:t>S5</w:t>
                  </w:r>
                </w:p>
              </w:tc>
              <w:tc>
                <w:tcPr>
                  <w:tcW w:w="887" w:type="pct"/>
                  <w:vMerge w:val="continue"/>
                  <w:noWrap w:val="0"/>
                  <w:vAlign w:val="center"/>
                </w:tcPr>
                <w:p w14:paraId="305C43EE">
                  <w:pPr>
                    <w:pStyle w:val="34"/>
                    <w:rPr>
                      <w:rFonts w:hint="eastAsia"/>
                      <w:color w:val="000000"/>
                      <w:lang w:val="en-US" w:eastAsia="zh-CN"/>
                    </w:rPr>
                  </w:pPr>
                </w:p>
              </w:tc>
              <w:tc>
                <w:tcPr>
                  <w:tcW w:w="2074" w:type="pct"/>
                  <w:vMerge w:val="continue"/>
                  <w:noWrap w:val="0"/>
                  <w:vAlign w:val="center"/>
                </w:tcPr>
                <w:p w14:paraId="5F1E4075">
                  <w:pPr>
                    <w:pStyle w:val="34"/>
                    <w:rPr>
                      <w:rFonts w:hint="eastAsia"/>
                      <w:color w:val="000000"/>
                      <w:lang w:val="en-US" w:eastAsia="zh-CN"/>
                    </w:rPr>
                  </w:pPr>
                </w:p>
              </w:tc>
            </w:tr>
            <w:tr w14:paraId="6D8A9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406" w:type="pct"/>
                  <w:vMerge w:val="continue"/>
                  <w:noWrap w:val="0"/>
                  <w:vAlign w:val="center"/>
                </w:tcPr>
                <w:p w14:paraId="35B30458">
                  <w:pPr>
                    <w:pStyle w:val="34"/>
                    <w:rPr>
                      <w:color w:val="000000"/>
                    </w:rPr>
                  </w:pPr>
                </w:p>
              </w:tc>
              <w:tc>
                <w:tcPr>
                  <w:tcW w:w="950" w:type="pct"/>
                  <w:noWrap w:val="0"/>
                  <w:vAlign w:val="center"/>
                </w:tcPr>
                <w:p w14:paraId="28947FD4">
                  <w:pPr>
                    <w:pStyle w:val="34"/>
                    <w:rPr>
                      <w:rFonts w:hint="default"/>
                      <w:color w:val="000000"/>
                      <w:lang w:val="en-US" w:eastAsia="zh-CN"/>
                    </w:rPr>
                  </w:pPr>
                  <w:r>
                    <w:rPr>
                      <w:rFonts w:hint="eastAsia"/>
                      <w:color w:val="000000"/>
                      <w:lang w:val="en-US" w:eastAsia="zh-CN"/>
                    </w:rPr>
                    <w:t>含漆棉纱及手套</w:t>
                  </w:r>
                </w:p>
              </w:tc>
              <w:tc>
                <w:tcPr>
                  <w:tcW w:w="682" w:type="pct"/>
                  <w:noWrap w:val="0"/>
                  <w:vAlign w:val="center"/>
                </w:tcPr>
                <w:p w14:paraId="23B3E0C3">
                  <w:pPr>
                    <w:pStyle w:val="34"/>
                    <w:rPr>
                      <w:rFonts w:hint="default" w:cs="Times New Roman"/>
                      <w:bCs/>
                      <w:color w:val="000000"/>
                      <w:kern w:val="2"/>
                      <w:sz w:val="21"/>
                      <w:szCs w:val="21"/>
                      <w:lang w:val="en-US" w:eastAsia="zh-CN" w:bidi="ar-SA"/>
                    </w:rPr>
                  </w:pPr>
                  <w:r>
                    <w:rPr>
                      <w:rFonts w:hint="eastAsia" w:cs="Times New Roman"/>
                      <w:bCs/>
                      <w:color w:val="000000"/>
                      <w:kern w:val="2"/>
                      <w:sz w:val="21"/>
                      <w:szCs w:val="21"/>
                      <w:lang w:val="en-US" w:eastAsia="zh-CN" w:bidi="ar-SA"/>
                    </w:rPr>
                    <w:t>S6</w:t>
                  </w:r>
                </w:p>
              </w:tc>
              <w:tc>
                <w:tcPr>
                  <w:tcW w:w="887" w:type="pct"/>
                  <w:vMerge w:val="continue"/>
                  <w:noWrap w:val="0"/>
                  <w:vAlign w:val="center"/>
                </w:tcPr>
                <w:p w14:paraId="62E57B73">
                  <w:pPr>
                    <w:pStyle w:val="34"/>
                    <w:rPr>
                      <w:rFonts w:hint="default"/>
                      <w:color w:val="000000"/>
                      <w:lang w:val="en-US" w:eastAsia="zh-CN"/>
                    </w:rPr>
                  </w:pPr>
                </w:p>
              </w:tc>
              <w:tc>
                <w:tcPr>
                  <w:tcW w:w="2074" w:type="pct"/>
                  <w:vMerge w:val="continue"/>
                  <w:noWrap w:val="0"/>
                  <w:vAlign w:val="center"/>
                </w:tcPr>
                <w:p w14:paraId="26A370EA">
                  <w:pPr>
                    <w:pStyle w:val="34"/>
                    <w:rPr>
                      <w:rFonts w:hint="eastAsia"/>
                      <w:color w:val="000000"/>
                      <w:lang w:val="en-US" w:eastAsia="zh-CN"/>
                    </w:rPr>
                  </w:pPr>
                </w:p>
              </w:tc>
            </w:tr>
            <w:tr w14:paraId="00373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406" w:type="pct"/>
                  <w:vMerge w:val="continue"/>
                  <w:noWrap w:val="0"/>
                  <w:vAlign w:val="center"/>
                </w:tcPr>
                <w:p w14:paraId="2C046847">
                  <w:pPr>
                    <w:pStyle w:val="34"/>
                    <w:rPr>
                      <w:color w:val="000000"/>
                    </w:rPr>
                  </w:pPr>
                </w:p>
              </w:tc>
              <w:tc>
                <w:tcPr>
                  <w:tcW w:w="950" w:type="pct"/>
                  <w:noWrap w:val="0"/>
                  <w:vAlign w:val="center"/>
                </w:tcPr>
                <w:p w14:paraId="4FB9898C">
                  <w:pPr>
                    <w:pStyle w:val="34"/>
                    <w:rPr>
                      <w:rFonts w:hint="default"/>
                      <w:color w:val="000000"/>
                      <w:lang w:val="en-US" w:eastAsia="zh-CN"/>
                    </w:rPr>
                  </w:pPr>
                  <w:r>
                    <w:rPr>
                      <w:rFonts w:hint="eastAsia"/>
                      <w:color w:val="000000"/>
                      <w:lang w:val="en-US" w:eastAsia="zh-CN"/>
                    </w:rPr>
                    <w:t>废润滑油</w:t>
                  </w:r>
                </w:p>
              </w:tc>
              <w:tc>
                <w:tcPr>
                  <w:tcW w:w="682" w:type="pct"/>
                  <w:noWrap w:val="0"/>
                  <w:vAlign w:val="center"/>
                </w:tcPr>
                <w:p w14:paraId="7A343DF4">
                  <w:pPr>
                    <w:pStyle w:val="34"/>
                    <w:rPr>
                      <w:rFonts w:hint="default" w:cs="Times New Roman"/>
                      <w:bCs/>
                      <w:color w:val="000000"/>
                      <w:kern w:val="2"/>
                      <w:sz w:val="21"/>
                      <w:szCs w:val="21"/>
                      <w:lang w:val="en-US" w:eastAsia="zh-CN" w:bidi="ar-SA"/>
                    </w:rPr>
                  </w:pPr>
                  <w:r>
                    <w:rPr>
                      <w:rFonts w:hint="eastAsia" w:cs="Times New Roman"/>
                      <w:bCs/>
                      <w:color w:val="000000"/>
                      <w:kern w:val="2"/>
                      <w:sz w:val="21"/>
                      <w:szCs w:val="21"/>
                      <w:lang w:val="en-US" w:eastAsia="zh-CN" w:bidi="ar-SA"/>
                    </w:rPr>
                    <w:t>S7</w:t>
                  </w:r>
                </w:p>
              </w:tc>
              <w:tc>
                <w:tcPr>
                  <w:tcW w:w="887" w:type="pct"/>
                  <w:noWrap w:val="0"/>
                  <w:vAlign w:val="center"/>
                </w:tcPr>
                <w:p w14:paraId="2FFED7C8">
                  <w:pPr>
                    <w:pStyle w:val="34"/>
                    <w:rPr>
                      <w:rFonts w:hint="eastAsia"/>
                      <w:color w:val="000000"/>
                      <w:lang w:val="en-US" w:eastAsia="zh-CN"/>
                    </w:rPr>
                  </w:pPr>
                  <w:r>
                    <w:rPr>
                      <w:rFonts w:hint="eastAsia"/>
                      <w:color w:val="000000"/>
                      <w:lang w:val="en-US" w:eastAsia="zh-CN"/>
                    </w:rPr>
                    <w:t>设备维护保养</w:t>
                  </w:r>
                </w:p>
              </w:tc>
              <w:tc>
                <w:tcPr>
                  <w:tcW w:w="2074" w:type="pct"/>
                  <w:vMerge w:val="continue"/>
                  <w:noWrap w:val="0"/>
                  <w:vAlign w:val="center"/>
                </w:tcPr>
                <w:p w14:paraId="10B73C45">
                  <w:pPr>
                    <w:pStyle w:val="34"/>
                    <w:rPr>
                      <w:rFonts w:hint="eastAsia"/>
                      <w:color w:val="000000"/>
                      <w:lang w:val="en-US" w:eastAsia="zh-CN"/>
                    </w:rPr>
                  </w:pPr>
                </w:p>
              </w:tc>
            </w:tr>
            <w:tr w14:paraId="67CFF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406" w:type="pct"/>
                  <w:vMerge w:val="continue"/>
                  <w:noWrap w:val="0"/>
                  <w:vAlign w:val="center"/>
                </w:tcPr>
                <w:p w14:paraId="62209F48">
                  <w:pPr>
                    <w:pStyle w:val="34"/>
                    <w:rPr>
                      <w:color w:val="000000"/>
                    </w:rPr>
                  </w:pPr>
                </w:p>
              </w:tc>
              <w:tc>
                <w:tcPr>
                  <w:tcW w:w="950" w:type="pct"/>
                  <w:noWrap w:val="0"/>
                  <w:vAlign w:val="center"/>
                </w:tcPr>
                <w:p w14:paraId="13C139E7">
                  <w:pPr>
                    <w:pStyle w:val="34"/>
                    <w:rPr>
                      <w:rFonts w:hint="default"/>
                      <w:color w:val="000000"/>
                      <w:lang w:val="en-US" w:eastAsia="zh-CN"/>
                    </w:rPr>
                  </w:pPr>
                  <w:r>
                    <w:rPr>
                      <w:rFonts w:hint="eastAsia"/>
                      <w:color w:val="000000"/>
                      <w:lang w:val="en-US" w:eastAsia="zh-CN"/>
                    </w:rPr>
                    <w:t>生活垃圾</w:t>
                  </w:r>
                </w:p>
              </w:tc>
              <w:tc>
                <w:tcPr>
                  <w:tcW w:w="682" w:type="pct"/>
                  <w:noWrap w:val="0"/>
                  <w:vAlign w:val="center"/>
                </w:tcPr>
                <w:p w14:paraId="429A9E4A">
                  <w:pPr>
                    <w:pStyle w:val="34"/>
                    <w:rPr>
                      <w:rFonts w:hint="default" w:cs="Times New Roman"/>
                      <w:bCs/>
                      <w:color w:val="000000"/>
                      <w:kern w:val="2"/>
                      <w:sz w:val="21"/>
                      <w:szCs w:val="21"/>
                      <w:lang w:val="en-US" w:eastAsia="zh-CN" w:bidi="ar-SA"/>
                    </w:rPr>
                  </w:pPr>
                  <w:r>
                    <w:rPr>
                      <w:rFonts w:hint="eastAsia" w:cs="Times New Roman"/>
                      <w:bCs/>
                      <w:color w:val="000000"/>
                      <w:kern w:val="2"/>
                      <w:sz w:val="21"/>
                      <w:szCs w:val="21"/>
                      <w:lang w:val="en-US" w:eastAsia="zh-CN" w:bidi="ar-SA"/>
                    </w:rPr>
                    <w:t>S8</w:t>
                  </w:r>
                </w:p>
              </w:tc>
              <w:tc>
                <w:tcPr>
                  <w:tcW w:w="887" w:type="pct"/>
                  <w:noWrap w:val="0"/>
                  <w:vAlign w:val="center"/>
                </w:tcPr>
                <w:p w14:paraId="4FFDF0D0">
                  <w:pPr>
                    <w:pStyle w:val="34"/>
                    <w:rPr>
                      <w:rFonts w:hint="default"/>
                      <w:color w:val="000000"/>
                      <w:lang w:val="en-US" w:eastAsia="zh-CN"/>
                    </w:rPr>
                  </w:pPr>
                  <w:r>
                    <w:rPr>
                      <w:rFonts w:hint="eastAsia"/>
                      <w:color w:val="000000"/>
                      <w:lang w:val="en-US" w:eastAsia="zh-CN"/>
                    </w:rPr>
                    <w:t>办公</w:t>
                  </w:r>
                </w:p>
              </w:tc>
              <w:tc>
                <w:tcPr>
                  <w:tcW w:w="2074" w:type="pct"/>
                  <w:noWrap w:val="0"/>
                  <w:vAlign w:val="center"/>
                </w:tcPr>
                <w:p w14:paraId="52B0F769">
                  <w:pPr>
                    <w:pStyle w:val="34"/>
                    <w:rPr>
                      <w:rFonts w:hint="default"/>
                      <w:color w:val="000000"/>
                      <w:lang w:val="en-US" w:eastAsia="zh-CN"/>
                    </w:rPr>
                  </w:pPr>
                  <w:r>
                    <w:rPr>
                      <w:rFonts w:hint="eastAsia"/>
                      <w:color w:val="000000"/>
                      <w:lang w:val="en-US" w:eastAsia="zh-CN"/>
                    </w:rPr>
                    <w:t>环卫部门清运</w:t>
                  </w:r>
                </w:p>
              </w:tc>
            </w:tr>
          </w:tbl>
          <w:p w14:paraId="1B4A95B4">
            <w:pPr>
              <w:pStyle w:val="42"/>
              <w:rPr>
                <w:rFonts w:hint="default" w:eastAsia="宋体" w:cs="Times New Roman" w:asciiTheme="minorHAnsi" w:hAnsiTheme="minorHAnsi"/>
                <w:b/>
                <w:bCs/>
                <w:snapToGrid w:val="0"/>
                <w:color w:val="000000" w:themeColor="text1"/>
                <w:kern w:val="2"/>
                <w:sz w:val="24"/>
                <w:szCs w:val="24"/>
                <w:highlight w:val="none"/>
                <w:lang w:val="en-US" w:eastAsia="en-US" w:bidi="ar-SA"/>
                <w14:textFill>
                  <w14:solidFill>
                    <w14:schemeClr w14:val="tx1"/>
                  </w14:solidFill>
                </w14:textFill>
              </w:rPr>
            </w:pPr>
            <w:r>
              <w:rPr>
                <w:rFonts w:hint="default" w:eastAsia="宋体" w:cs="Times New Roman" w:asciiTheme="minorHAnsi" w:hAnsiTheme="minorHAnsi"/>
                <w:b/>
                <w:bCs/>
                <w:snapToGrid w:val="0"/>
                <w:color w:val="000000" w:themeColor="text1"/>
                <w:kern w:val="2"/>
                <w:sz w:val="24"/>
                <w:szCs w:val="24"/>
                <w:highlight w:val="none"/>
                <w:lang w:val="en-US" w:eastAsia="en-US" w:bidi="ar-SA"/>
                <w14:textFill>
                  <w14:solidFill>
                    <w14:schemeClr w14:val="tx1"/>
                  </w14:solidFill>
                </w14:textFill>
              </w:rPr>
              <w:t>2.4 项目变动情况</w:t>
            </w:r>
          </w:p>
          <w:p w14:paraId="0DB9104D">
            <w:pPr>
              <w:pStyle w:val="21"/>
              <w:bidi w:val="0"/>
              <w:rPr>
                <w:rFonts w:hint="eastAsia" w:ascii="Times New Roman" w:hAnsi="Times New Roman" w:eastAsia="宋体" w:cs="Times New Roman"/>
                <w:b w:val="0"/>
                <w:bCs w:val="0"/>
                <w:color w:val="000000" w:themeColor="text1"/>
                <w:sz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lang w:val="en-US" w:eastAsia="en-US"/>
                <w14:textFill>
                  <w14:solidFill>
                    <w14:schemeClr w14:val="tx1"/>
                  </w14:solidFill>
                </w14:textFill>
              </w:rPr>
              <w:t>通过对照《污染影响类建设项目重大变动清单（试行）》，对本项目的变动逐项进行分析，与环评及批复内容相比未发生变化。因此，本项目实际建设的内容不构成重大变动，不需要重新报批环评文件，应纳入竣工环境保护验收管理</w:t>
            </w:r>
            <w:r>
              <w:rPr>
                <w:rFonts w:hint="eastAsia" w:ascii="Times New Roman" w:hAnsi="Times New Roman" w:eastAsia="宋体" w:cs="Times New Roman"/>
                <w:b w:val="0"/>
                <w:bCs w:val="0"/>
                <w:color w:val="000000" w:themeColor="text1"/>
                <w:sz w:val="24"/>
                <w:lang w:val="en-US" w:eastAsia="zh-CN"/>
                <w14:textFill>
                  <w14:solidFill>
                    <w14:schemeClr w14:val="tx1"/>
                  </w14:solidFill>
                </w14:textFill>
              </w:rPr>
              <w:t>。</w:t>
            </w:r>
          </w:p>
          <w:p w14:paraId="19101325">
            <w:pPr>
              <w:pStyle w:val="21"/>
              <w:bidi w:val="0"/>
              <w:ind w:left="0" w:leftChars="0" w:firstLine="0" w:firstLineChars="0"/>
              <w:jc w:val="both"/>
              <w:rPr>
                <w:rFonts w:hint="default"/>
                <w:b w:val="0"/>
                <w:bCs w:val="0"/>
                <w:color w:val="000000" w:themeColor="text1"/>
                <w:lang w:val="en-US" w:eastAsia="zh-CN"/>
                <w14:textFill>
                  <w14:solidFill>
                    <w14:schemeClr w14:val="tx1"/>
                  </w14:solidFill>
                </w14:textFill>
              </w:rPr>
            </w:pPr>
          </w:p>
        </w:tc>
      </w:tr>
    </w:tbl>
    <w:p w14:paraId="0027F084">
      <w:pPr>
        <w:pStyle w:val="21"/>
        <w:bidi w:val="0"/>
        <w:ind w:left="0" w:leftChars="0" w:firstLine="0" w:firstLineChars="0"/>
        <w:jc w:val="both"/>
        <w:rPr>
          <w:rFonts w:hint="eastAsia"/>
          <w:b/>
          <w:bCs/>
          <w:lang w:val="en-US" w:eastAsia="zh-CN"/>
        </w:rPr>
        <w:sectPr>
          <w:pgSz w:w="11906" w:h="16838"/>
          <w:pgMar w:top="1440" w:right="1800" w:bottom="1440" w:left="1800" w:header="851" w:footer="992" w:gutter="0"/>
          <w:cols w:space="425" w:num="1"/>
          <w:docGrid w:type="lines" w:linePitch="312" w:charSpace="0"/>
        </w:sectPr>
      </w:pPr>
    </w:p>
    <w:tbl>
      <w:tblPr>
        <w:tblStyle w:val="15"/>
        <w:tblW w:w="5745"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9785"/>
      </w:tblGrid>
      <w:tr w14:paraId="20D226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3571" w:hRule="atLeast"/>
          <w:jc w:val="center"/>
        </w:trPr>
        <w:tc>
          <w:tcPr>
            <w:tcW w:w="5000" w:type="pct"/>
            <w:noWrap w:val="0"/>
            <w:vAlign w:val="top"/>
          </w:tcPr>
          <w:p w14:paraId="55DC5D01">
            <w:pPr>
              <w:pStyle w:val="21"/>
              <w:bidi w:val="0"/>
              <w:ind w:left="0" w:leftChars="0" w:firstLine="0" w:firstLineChars="0"/>
              <w:jc w:val="both"/>
              <w:rPr>
                <w:rFonts w:hint="default"/>
                <w:b/>
                <w:bCs/>
                <w:color w:val="000000" w:themeColor="text1"/>
                <w:lang w:val="en-US" w:eastAsia="zh-CN"/>
                <w14:textFill>
                  <w14:solidFill>
                    <w14:schemeClr w14:val="tx1"/>
                  </w14:solidFill>
                </w14:textFill>
              </w:rPr>
            </w:pPr>
            <w:r>
              <w:rPr>
                <w:rFonts w:hint="eastAsia"/>
                <w:b/>
                <w:bCs/>
                <w:highlight w:val="none"/>
                <w:lang w:val="en-US" w:eastAsia="zh-CN"/>
              </w:rPr>
              <w:t>3.1</w:t>
            </w:r>
            <w:r>
              <w:rPr>
                <w:rFonts w:hint="default"/>
                <w:b/>
                <w:bCs/>
                <w:color w:val="000000" w:themeColor="text1"/>
                <w:highlight w:val="none"/>
                <w:lang w:val="en-US" w:eastAsia="zh-CN"/>
                <w14:textFill>
                  <w14:solidFill>
                    <w14:schemeClr w14:val="tx1"/>
                  </w14:solidFill>
                </w14:textFill>
              </w:rPr>
              <w:t xml:space="preserve"> </w:t>
            </w:r>
            <w:r>
              <w:rPr>
                <w:rFonts w:hint="default"/>
                <w:b/>
                <w:bCs/>
                <w:color w:val="000000" w:themeColor="text1"/>
                <w:lang w:val="en-US" w:eastAsia="zh-CN"/>
                <w14:textFill>
                  <w14:solidFill>
                    <w14:schemeClr w14:val="tx1"/>
                  </w14:solidFill>
                </w14:textFill>
              </w:rPr>
              <w:t>环保设施投资及“三同时”落实情况</w:t>
            </w:r>
          </w:p>
          <w:p w14:paraId="09DEF79E">
            <w:pPr>
              <w:pStyle w:val="21"/>
              <w:bidi w:val="0"/>
              <w:ind w:left="0" w:leftChars="0" w:firstLine="0" w:firstLineChars="0"/>
              <w:jc w:val="both"/>
              <w:rPr>
                <w:rFonts w:hint="default"/>
                <w:b/>
                <w:bCs/>
                <w:color w:val="000000" w:themeColor="text1"/>
                <w:lang w:val="en-US" w:eastAsia="zh-CN"/>
                <w14:textFill>
                  <w14:solidFill>
                    <w14:schemeClr w14:val="tx1"/>
                  </w14:solidFill>
                </w14:textFill>
              </w:rPr>
            </w:pPr>
            <w:r>
              <w:rPr>
                <w:rFonts w:hint="default"/>
                <w:b/>
                <w:bCs/>
                <w:color w:val="000000" w:themeColor="text1"/>
                <w:lang w:val="en-US" w:eastAsia="zh-CN"/>
                <w14:textFill>
                  <w14:solidFill>
                    <w14:schemeClr w14:val="tx1"/>
                  </w14:solidFill>
                </w14:textFill>
              </w:rPr>
              <w:t>3.</w:t>
            </w:r>
            <w:r>
              <w:rPr>
                <w:rFonts w:hint="eastAsia"/>
                <w:b/>
                <w:bCs/>
                <w:color w:val="000000" w:themeColor="text1"/>
                <w:lang w:val="en-US" w:eastAsia="zh-CN"/>
                <w14:textFill>
                  <w14:solidFill>
                    <w14:schemeClr w14:val="tx1"/>
                  </w14:solidFill>
                </w14:textFill>
              </w:rPr>
              <w:t>1</w:t>
            </w:r>
            <w:r>
              <w:rPr>
                <w:rFonts w:hint="default"/>
                <w:b/>
                <w:bCs/>
                <w:color w:val="000000" w:themeColor="text1"/>
                <w:lang w:val="en-US" w:eastAsia="zh-CN"/>
                <w14:textFill>
                  <w14:solidFill>
                    <w14:schemeClr w14:val="tx1"/>
                  </w14:solidFill>
                </w14:textFill>
              </w:rPr>
              <w:t>.1 环保设施投资</w:t>
            </w:r>
          </w:p>
          <w:p w14:paraId="0BA48255">
            <w:pPr>
              <w:pStyle w:val="21"/>
              <w:bidi w:val="0"/>
              <w:ind w:left="0" w:leftChars="0" w:firstLine="0" w:firstLineChars="0"/>
              <w:jc w:val="both"/>
              <w:rPr>
                <w:rFonts w:hint="eastAsia"/>
                <w:color w:val="auto"/>
                <w:sz w:val="24"/>
                <w:highlight w:val="none"/>
                <w:lang w:val="en-US" w:eastAsia="zh-CN"/>
              </w:rPr>
            </w:pPr>
            <w:r>
              <w:rPr>
                <w:rFonts w:hint="eastAsia"/>
                <w:color w:val="000000" w:themeColor="text1"/>
                <w:lang w:val="en-US" w:eastAsia="zh-CN"/>
                <w14:textFill>
                  <w14:solidFill>
                    <w14:schemeClr w14:val="tx1"/>
                  </w14:solidFill>
                </w14:textFill>
              </w:rPr>
              <w:t>项目实际投资</w:t>
            </w:r>
            <w:r>
              <w:rPr>
                <w:rFonts w:hint="eastAsia"/>
                <w:color w:val="auto"/>
                <w:sz w:val="24"/>
                <w:highlight w:val="none"/>
                <w:lang w:val="en-US" w:eastAsia="zh-CN"/>
              </w:rPr>
              <w:t>500万元，其中环保投资50万元，所占比例为百分之10。</w:t>
            </w:r>
          </w:p>
          <w:p w14:paraId="254084BE">
            <w:pPr>
              <w:pStyle w:val="21"/>
              <w:bidi w:val="0"/>
              <w:ind w:left="0" w:leftChars="0" w:firstLine="0" w:firstLineChars="0"/>
              <w:jc w:val="both"/>
              <w:rPr>
                <w:rFonts w:hint="default"/>
                <w:color w:val="auto"/>
                <w:sz w:val="24"/>
                <w:highlight w:val="none"/>
                <w:lang w:val="en-US" w:eastAsia="zh-CN"/>
              </w:rPr>
            </w:pPr>
            <w:r>
              <w:rPr>
                <w:rFonts w:hint="default"/>
                <w:color w:val="auto"/>
                <w:sz w:val="24"/>
                <w:highlight w:val="none"/>
                <w:lang w:val="en-US" w:eastAsia="zh-CN"/>
              </w:rPr>
              <w:t>3.</w:t>
            </w:r>
            <w:r>
              <w:rPr>
                <w:rFonts w:hint="eastAsia"/>
                <w:color w:val="auto"/>
                <w:sz w:val="24"/>
                <w:highlight w:val="none"/>
                <w:lang w:val="en-US" w:eastAsia="zh-CN"/>
              </w:rPr>
              <w:t>1</w:t>
            </w:r>
            <w:r>
              <w:rPr>
                <w:rFonts w:hint="default"/>
                <w:color w:val="auto"/>
                <w:sz w:val="24"/>
                <w:highlight w:val="none"/>
                <w:lang w:val="en-US" w:eastAsia="zh-CN"/>
              </w:rPr>
              <w:t>.2 环保设施“三同时”落实情况</w:t>
            </w:r>
          </w:p>
          <w:p w14:paraId="0ECC6562">
            <w:pPr>
              <w:pStyle w:val="21"/>
              <w:bidi w:val="0"/>
              <w:ind w:left="0" w:leftChars="0" w:firstLine="0" w:firstLineChars="0"/>
              <w:jc w:val="both"/>
              <w:rPr>
                <w:rFonts w:hint="default"/>
                <w:color w:val="auto"/>
                <w:sz w:val="24"/>
                <w:highlight w:val="none"/>
                <w:lang w:val="en-US" w:eastAsia="zh-CN"/>
              </w:rPr>
            </w:pPr>
            <w:r>
              <w:rPr>
                <w:rFonts w:hint="default"/>
                <w:color w:val="auto"/>
                <w:sz w:val="24"/>
                <w:highlight w:val="none"/>
                <w:lang w:val="en-US" w:eastAsia="zh-CN"/>
              </w:rPr>
              <w:t>环境影响报告表和重庆市</w:t>
            </w:r>
            <w:r>
              <w:rPr>
                <w:rFonts w:hint="eastAsia"/>
                <w:color w:val="auto"/>
                <w:sz w:val="24"/>
                <w:highlight w:val="none"/>
                <w:lang w:val="en-US" w:eastAsia="zh-CN"/>
              </w:rPr>
              <w:t>万州区</w:t>
            </w:r>
            <w:r>
              <w:rPr>
                <w:rFonts w:hint="default"/>
                <w:color w:val="auto"/>
                <w:sz w:val="24"/>
                <w:highlight w:val="none"/>
                <w:lang w:val="en-US" w:eastAsia="zh-CN"/>
              </w:rPr>
              <w:t>生态环境局</w:t>
            </w:r>
            <w:r>
              <w:rPr>
                <w:rFonts w:hint="eastAsia"/>
                <w:color w:val="auto"/>
                <w:sz w:val="24"/>
                <w:highlight w:val="none"/>
                <w:lang w:val="en-US" w:eastAsia="zh-CN"/>
              </w:rPr>
              <w:t>审</w:t>
            </w:r>
            <w:r>
              <w:rPr>
                <w:rFonts w:hint="default"/>
                <w:color w:val="auto"/>
                <w:sz w:val="24"/>
                <w:highlight w:val="none"/>
                <w:lang w:val="en-US" w:eastAsia="zh-CN"/>
              </w:rPr>
              <w:t>批意见提出的环保措施要求的“三同时”落实情况见表 3.5-1。</w:t>
            </w:r>
          </w:p>
          <w:tbl>
            <w:tblPr>
              <w:tblStyle w:val="1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57" w:type="dxa"/>
                <w:bottom w:w="0" w:type="dxa"/>
                <w:right w:w="57" w:type="dxa"/>
              </w:tblCellMar>
            </w:tblPr>
            <w:tblGrid>
              <w:gridCol w:w="908"/>
              <w:gridCol w:w="1278"/>
              <w:gridCol w:w="1288"/>
              <w:gridCol w:w="1783"/>
              <w:gridCol w:w="2211"/>
              <w:gridCol w:w="2081"/>
            </w:tblGrid>
            <w:tr w14:paraId="459240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0" w:hRule="atLeast"/>
                <w:jc w:val="center"/>
              </w:trPr>
              <w:tc>
                <w:tcPr>
                  <w:tcW w:w="966" w:type="dxa"/>
                  <w:tcBorders>
                    <w:tl2br w:val="single" w:color="auto" w:sz="4" w:space="0"/>
                  </w:tcBorders>
                  <w:noWrap w:val="0"/>
                  <w:vAlign w:val="center"/>
                </w:tcPr>
                <w:p w14:paraId="63E17BEC">
                  <w:pPr>
                    <w:autoSpaceDE w:val="0"/>
                    <w:autoSpaceDN w:val="0"/>
                    <w:adjustRightInd w:val="0"/>
                    <w:snapToGrid w:val="0"/>
                    <w:jc w:val="center"/>
                    <w:rPr>
                      <w:rFonts w:hint="eastAsia" w:ascii="宋体" w:hAnsi="宋体" w:eastAsia="宋体" w:cs="宋体"/>
                      <w:b/>
                      <w:bCs/>
                      <w:color w:val="000000"/>
                      <w:kern w:val="0"/>
                      <w:sz w:val="24"/>
                    </w:rPr>
                  </w:pPr>
                  <w:r>
                    <w:rPr>
                      <w:rFonts w:hint="eastAsia" w:ascii="宋体" w:hAnsi="宋体" w:eastAsia="宋体" w:cs="宋体"/>
                      <w:b/>
                      <w:bCs/>
                      <w:color w:val="000000"/>
                      <w:kern w:val="0"/>
                      <w:sz w:val="24"/>
                      <w:lang w:val="en-US" w:eastAsia="zh-CN"/>
                    </w:rPr>
                    <w:t xml:space="preserve">     </w:t>
                  </w:r>
                  <w:r>
                    <w:rPr>
                      <w:rFonts w:hint="eastAsia" w:ascii="宋体" w:hAnsi="宋体" w:eastAsia="宋体" w:cs="宋体"/>
                      <w:b/>
                      <w:bCs/>
                      <w:color w:val="000000"/>
                      <w:kern w:val="0"/>
                      <w:sz w:val="24"/>
                    </w:rPr>
                    <w:t>内容</w:t>
                  </w:r>
                </w:p>
                <w:p w14:paraId="2D053B5F">
                  <w:pPr>
                    <w:adjustRightInd w:val="0"/>
                    <w:snapToGrid w:val="0"/>
                    <w:jc w:val="both"/>
                    <w:rPr>
                      <w:rFonts w:hint="eastAsia" w:ascii="宋体" w:hAnsi="宋体" w:eastAsia="宋体" w:cs="宋体"/>
                      <w:color w:val="000000"/>
                      <w:szCs w:val="21"/>
                    </w:rPr>
                  </w:pPr>
                  <w:r>
                    <w:rPr>
                      <w:rFonts w:hint="eastAsia" w:ascii="宋体" w:hAnsi="宋体" w:eastAsia="宋体" w:cs="宋体"/>
                      <w:b/>
                      <w:bCs/>
                      <w:color w:val="000000"/>
                      <w:kern w:val="0"/>
                      <w:sz w:val="24"/>
                    </w:rPr>
                    <w:t>要素</w:t>
                  </w:r>
                </w:p>
              </w:tc>
              <w:tc>
                <w:tcPr>
                  <w:tcW w:w="1332" w:type="dxa"/>
                  <w:noWrap w:val="0"/>
                  <w:vAlign w:val="center"/>
                </w:tcPr>
                <w:p w14:paraId="415CF4F5">
                  <w:pPr>
                    <w:autoSpaceDE w:val="0"/>
                    <w:autoSpaceDN w:val="0"/>
                    <w:adjustRightInd w:val="0"/>
                    <w:snapToGrid w:val="0"/>
                    <w:jc w:val="center"/>
                    <w:rPr>
                      <w:rFonts w:hint="eastAsia" w:ascii="宋体" w:hAnsi="宋体" w:eastAsia="宋体" w:cs="宋体"/>
                      <w:b/>
                      <w:bCs/>
                      <w:color w:val="000000"/>
                      <w:kern w:val="0"/>
                      <w:sz w:val="24"/>
                    </w:rPr>
                  </w:pPr>
                  <w:r>
                    <w:rPr>
                      <w:rFonts w:hint="eastAsia" w:ascii="宋体" w:hAnsi="宋体" w:eastAsia="宋体" w:cs="宋体"/>
                      <w:b/>
                      <w:bCs/>
                      <w:color w:val="000000"/>
                      <w:kern w:val="0"/>
                      <w:sz w:val="24"/>
                    </w:rPr>
                    <w:t>排放口（编号、名称）/污染源</w:t>
                  </w:r>
                </w:p>
              </w:tc>
              <w:tc>
                <w:tcPr>
                  <w:tcW w:w="1332" w:type="dxa"/>
                  <w:noWrap w:val="0"/>
                  <w:vAlign w:val="center"/>
                </w:tcPr>
                <w:p w14:paraId="144FA2E9">
                  <w:pPr>
                    <w:autoSpaceDE w:val="0"/>
                    <w:autoSpaceDN w:val="0"/>
                    <w:adjustRightInd w:val="0"/>
                    <w:snapToGrid w:val="0"/>
                    <w:jc w:val="center"/>
                    <w:rPr>
                      <w:rFonts w:hint="eastAsia" w:ascii="宋体" w:hAnsi="宋体" w:eastAsia="宋体" w:cs="宋体"/>
                      <w:b/>
                      <w:bCs/>
                      <w:color w:val="000000"/>
                      <w:kern w:val="0"/>
                      <w:sz w:val="24"/>
                    </w:rPr>
                  </w:pPr>
                  <w:r>
                    <w:rPr>
                      <w:rFonts w:hint="eastAsia" w:ascii="宋体" w:hAnsi="宋体" w:eastAsia="宋体" w:cs="宋体"/>
                      <w:b/>
                      <w:bCs/>
                      <w:color w:val="000000"/>
                      <w:kern w:val="0"/>
                      <w:sz w:val="24"/>
                    </w:rPr>
                    <w:t>污染物</w:t>
                  </w:r>
                </w:p>
                <w:p w14:paraId="74125AEF">
                  <w:pPr>
                    <w:autoSpaceDE w:val="0"/>
                    <w:autoSpaceDN w:val="0"/>
                    <w:adjustRightInd w:val="0"/>
                    <w:snapToGrid w:val="0"/>
                    <w:jc w:val="center"/>
                    <w:rPr>
                      <w:rFonts w:hint="eastAsia" w:ascii="宋体" w:hAnsi="宋体" w:eastAsia="宋体" w:cs="宋体"/>
                      <w:b/>
                      <w:bCs/>
                      <w:color w:val="000000"/>
                      <w:kern w:val="0"/>
                      <w:sz w:val="24"/>
                    </w:rPr>
                  </w:pPr>
                  <w:r>
                    <w:rPr>
                      <w:rFonts w:hint="eastAsia" w:ascii="宋体" w:hAnsi="宋体" w:eastAsia="宋体" w:cs="宋体"/>
                      <w:b/>
                      <w:bCs/>
                      <w:color w:val="000000"/>
                      <w:kern w:val="0"/>
                      <w:sz w:val="24"/>
                    </w:rPr>
                    <w:t>项目</w:t>
                  </w:r>
                </w:p>
              </w:tc>
              <w:tc>
                <w:tcPr>
                  <w:tcW w:w="1830" w:type="dxa"/>
                  <w:noWrap w:val="0"/>
                  <w:vAlign w:val="center"/>
                </w:tcPr>
                <w:p w14:paraId="06F27E58">
                  <w:pPr>
                    <w:autoSpaceDE w:val="0"/>
                    <w:autoSpaceDN w:val="0"/>
                    <w:adjustRightInd w:val="0"/>
                    <w:snapToGrid w:val="0"/>
                    <w:jc w:val="center"/>
                    <w:rPr>
                      <w:rFonts w:hint="eastAsia" w:ascii="宋体" w:hAnsi="宋体" w:eastAsia="宋体" w:cs="宋体"/>
                      <w:b/>
                      <w:bCs/>
                      <w:color w:val="000000"/>
                      <w:kern w:val="0"/>
                      <w:sz w:val="24"/>
                    </w:rPr>
                  </w:pPr>
                  <w:r>
                    <w:rPr>
                      <w:rFonts w:hint="eastAsia" w:ascii="宋体" w:hAnsi="宋体" w:eastAsia="宋体" w:cs="宋体"/>
                      <w:b/>
                      <w:bCs/>
                      <w:color w:val="000000"/>
                      <w:kern w:val="0"/>
                      <w:sz w:val="24"/>
                    </w:rPr>
                    <w:t>环境保护措施</w:t>
                  </w:r>
                </w:p>
              </w:tc>
              <w:tc>
                <w:tcPr>
                  <w:tcW w:w="2216" w:type="dxa"/>
                  <w:noWrap w:val="0"/>
                  <w:vAlign w:val="center"/>
                </w:tcPr>
                <w:p w14:paraId="2EBB61FF">
                  <w:pPr>
                    <w:autoSpaceDE w:val="0"/>
                    <w:autoSpaceDN w:val="0"/>
                    <w:adjustRightInd w:val="0"/>
                    <w:snapToGrid w:val="0"/>
                    <w:jc w:val="center"/>
                    <w:rPr>
                      <w:rFonts w:hint="eastAsia" w:ascii="宋体" w:hAnsi="宋体" w:eastAsia="宋体" w:cs="宋体"/>
                      <w:b/>
                      <w:bCs/>
                      <w:color w:val="000000"/>
                      <w:kern w:val="0"/>
                      <w:sz w:val="24"/>
                    </w:rPr>
                  </w:pPr>
                  <w:r>
                    <w:rPr>
                      <w:rFonts w:hint="eastAsia" w:ascii="宋体" w:hAnsi="宋体" w:eastAsia="宋体" w:cs="宋体"/>
                      <w:b/>
                      <w:bCs/>
                      <w:color w:val="000000"/>
                      <w:kern w:val="0"/>
                      <w:sz w:val="24"/>
                    </w:rPr>
                    <w:t>执行标准</w:t>
                  </w:r>
                </w:p>
              </w:tc>
              <w:tc>
                <w:tcPr>
                  <w:tcW w:w="2216" w:type="dxa"/>
                  <w:noWrap w:val="0"/>
                  <w:vAlign w:val="center"/>
                </w:tcPr>
                <w:p w14:paraId="65E86A45">
                  <w:pPr>
                    <w:autoSpaceDE w:val="0"/>
                    <w:autoSpaceDN w:val="0"/>
                    <w:adjustRightInd w:val="0"/>
                    <w:snapToGrid w:val="0"/>
                    <w:jc w:val="center"/>
                    <w:rPr>
                      <w:rFonts w:hint="default" w:ascii="宋体" w:hAnsi="宋体" w:eastAsia="宋体" w:cs="宋体"/>
                      <w:b/>
                      <w:bCs/>
                      <w:color w:val="000000"/>
                      <w:kern w:val="0"/>
                      <w:sz w:val="24"/>
                      <w:lang w:val="en-US" w:eastAsia="zh-CN"/>
                    </w:rPr>
                  </w:pPr>
                  <w:r>
                    <w:rPr>
                      <w:rFonts w:hint="eastAsia" w:ascii="宋体" w:hAnsi="宋体" w:eastAsia="宋体" w:cs="宋体"/>
                      <w:b/>
                      <w:bCs/>
                      <w:color w:val="000000"/>
                      <w:kern w:val="0"/>
                      <w:sz w:val="24"/>
                      <w:lang w:val="en-US" w:eastAsia="zh-CN"/>
                    </w:rPr>
                    <w:t>与环评变动情况</w:t>
                  </w:r>
                </w:p>
              </w:tc>
            </w:tr>
            <w:tr w14:paraId="322954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0" w:hRule="atLeast"/>
                <w:jc w:val="center"/>
              </w:trPr>
              <w:tc>
                <w:tcPr>
                  <w:tcW w:w="966" w:type="dxa"/>
                  <w:vMerge w:val="restart"/>
                  <w:noWrap w:val="0"/>
                  <w:vAlign w:val="center"/>
                </w:tcPr>
                <w:p w14:paraId="58408387">
                  <w:pPr>
                    <w:autoSpaceDE w:val="0"/>
                    <w:autoSpaceDN w:val="0"/>
                    <w:adjustRightInd w:val="0"/>
                    <w:snapToGrid w:val="0"/>
                    <w:jc w:val="center"/>
                    <w:rPr>
                      <w:rFonts w:hint="eastAsia" w:ascii="宋体" w:hAnsi="宋体" w:eastAsia="宋体" w:cs="宋体"/>
                      <w:b/>
                      <w:bCs/>
                      <w:color w:val="000000"/>
                      <w:kern w:val="0"/>
                      <w:sz w:val="24"/>
                    </w:rPr>
                  </w:pPr>
                  <w:r>
                    <w:rPr>
                      <w:rFonts w:hint="eastAsia" w:ascii="宋体" w:hAnsi="宋体" w:eastAsia="宋体" w:cs="宋体"/>
                      <w:b/>
                      <w:bCs/>
                      <w:color w:val="000000"/>
                      <w:kern w:val="0"/>
                      <w:sz w:val="24"/>
                    </w:rPr>
                    <w:t>大气</w:t>
                  </w:r>
                </w:p>
                <w:p w14:paraId="0198A99F">
                  <w:pPr>
                    <w:autoSpaceDE w:val="0"/>
                    <w:autoSpaceDN w:val="0"/>
                    <w:adjustRightInd w:val="0"/>
                    <w:snapToGrid w:val="0"/>
                    <w:jc w:val="center"/>
                    <w:rPr>
                      <w:rFonts w:hint="eastAsia" w:ascii="宋体" w:hAnsi="宋体" w:eastAsia="宋体" w:cs="宋体"/>
                      <w:b/>
                      <w:bCs/>
                      <w:color w:val="000000"/>
                      <w:kern w:val="0"/>
                      <w:sz w:val="24"/>
                    </w:rPr>
                  </w:pPr>
                  <w:r>
                    <w:rPr>
                      <w:rFonts w:hint="eastAsia" w:ascii="宋体" w:hAnsi="宋体" w:eastAsia="宋体" w:cs="宋体"/>
                      <w:b/>
                      <w:bCs/>
                      <w:color w:val="000000"/>
                      <w:kern w:val="0"/>
                      <w:sz w:val="24"/>
                    </w:rPr>
                    <w:t>环境</w:t>
                  </w:r>
                </w:p>
              </w:tc>
              <w:tc>
                <w:tcPr>
                  <w:tcW w:w="1332" w:type="dxa"/>
                  <w:noWrap w:val="0"/>
                  <w:vAlign w:val="center"/>
                </w:tcPr>
                <w:p w14:paraId="0AEA4EF6">
                  <w:pPr>
                    <w:pStyle w:val="54"/>
                    <w:bidi w:val="0"/>
                    <w:rPr>
                      <w:rFonts w:hint="default" w:ascii="Times New Roman" w:hAnsi="Times New Roman" w:eastAsia="宋体"/>
                      <w:color w:val="000000"/>
                      <w:kern w:val="2"/>
                      <w:sz w:val="24"/>
                      <w:szCs w:val="24"/>
                      <w:lang w:val="en-US" w:eastAsia="zh-CN" w:bidi="ar-SA"/>
                    </w:rPr>
                  </w:pPr>
                  <w:r>
                    <w:rPr>
                      <w:rFonts w:hint="eastAsia"/>
                      <w:color w:val="000000"/>
                      <w:kern w:val="2"/>
                      <w:sz w:val="24"/>
                      <w:szCs w:val="24"/>
                      <w:lang w:val="en-US" w:eastAsia="zh-CN" w:bidi="ar-SA"/>
                    </w:rPr>
                    <w:t>焊接烟尘排气筒DA001</w:t>
                  </w:r>
                </w:p>
              </w:tc>
              <w:tc>
                <w:tcPr>
                  <w:tcW w:w="1332" w:type="dxa"/>
                  <w:noWrap w:val="0"/>
                  <w:vAlign w:val="center"/>
                </w:tcPr>
                <w:p w14:paraId="61B169E2">
                  <w:pPr>
                    <w:pStyle w:val="54"/>
                    <w:bidi w:val="0"/>
                    <w:rPr>
                      <w:rFonts w:hint="default" w:ascii="Times New Roman" w:hAnsi="Times New Roman" w:eastAsia="宋体"/>
                      <w:color w:val="000000"/>
                      <w:kern w:val="2"/>
                      <w:sz w:val="24"/>
                      <w:szCs w:val="24"/>
                      <w:lang w:val="en-US" w:eastAsia="zh-CN" w:bidi="ar-SA"/>
                    </w:rPr>
                  </w:pPr>
                  <w:r>
                    <w:rPr>
                      <w:rFonts w:hint="eastAsia"/>
                      <w:color w:val="000000"/>
                      <w:kern w:val="2"/>
                      <w:sz w:val="24"/>
                      <w:szCs w:val="24"/>
                      <w:lang w:val="en-US" w:eastAsia="zh-CN" w:bidi="ar-SA"/>
                    </w:rPr>
                    <w:t>颗粒物</w:t>
                  </w:r>
                </w:p>
              </w:tc>
              <w:tc>
                <w:tcPr>
                  <w:tcW w:w="1830" w:type="dxa"/>
                  <w:noWrap w:val="0"/>
                  <w:vAlign w:val="center"/>
                </w:tcPr>
                <w:p w14:paraId="5096D74B">
                  <w:pPr>
                    <w:pStyle w:val="34"/>
                    <w:bidi w:val="0"/>
                    <w:rPr>
                      <w:rFonts w:hint="default" w:ascii="Times New Roman" w:hAnsi="Times New Roman" w:eastAsia="宋体" w:cs="Times New Roman"/>
                      <w:bCs/>
                      <w:color w:val="000000"/>
                      <w:kern w:val="2"/>
                      <w:sz w:val="24"/>
                      <w:szCs w:val="24"/>
                      <w:highlight w:val="none"/>
                      <w:lang w:val="en-US" w:eastAsia="zh-CN" w:bidi="ar-SA"/>
                    </w:rPr>
                  </w:pPr>
                  <w:r>
                    <w:rPr>
                      <w:rFonts w:hint="eastAsia"/>
                      <w:color w:val="000000"/>
                      <w:sz w:val="24"/>
                      <w:szCs w:val="24"/>
                      <w:highlight w:val="none"/>
                      <w:lang w:val="en-US" w:eastAsia="zh-CN"/>
                    </w:rPr>
                    <w:t>焊接烟尘经集气罩收集后引至一套布袋除尘器处理，由15m高1#排气筒排放，风量5000m</w:t>
                  </w:r>
                  <w:r>
                    <w:rPr>
                      <w:rFonts w:hint="eastAsia"/>
                      <w:color w:val="000000"/>
                      <w:sz w:val="24"/>
                      <w:szCs w:val="24"/>
                      <w:highlight w:val="none"/>
                      <w:vertAlign w:val="superscript"/>
                      <w:lang w:val="en-US" w:eastAsia="zh-CN"/>
                    </w:rPr>
                    <w:t>3</w:t>
                  </w:r>
                  <w:r>
                    <w:rPr>
                      <w:rFonts w:hint="eastAsia"/>
                      <w:color w:val="000000"/>
                      <w:sz w:val="24"/>
                      <w:szCs w:val="24"/>
                      <w:highlight w:val="none"/>
                      <w:lang w:val="en-US" w:eastAsia="zh-CN"/>
                    </w:rPr>
                    <w:t>/h</w:t>
                  </w:r>
                </w:p>
              </w:tc>
              <w:tc>
                <w:tcPr>
                  <w:tcW w:w="2216" w:type="dxa"/>
                  <w:noWrap w:val="0"/>
                  <w:vAlign w:val="center"/>
                </w:tcPr>
                <w:p w14:paraId="2599CE2F">
                  <w:pPr>
                    <w:pStyle w:val="54"/>
                    <w:bidi w:val="0"/>
                    <w:rPr>
                      <w:rFonts w:ascii="Times New Roman" w:hAnsi="Times New Roman" w:eastAsia="宋体"/>
                      <w:color w:val="000000"/>
                      <w:kern w:val="2"/>
                      <w:sz w:val="24"/>
                      <w:szCs w:val="24"/>
                      <w:lang w:val="en-US" w:eastAsia="zh-CN" w:bidi="ar-SA"/>
                    </w:rPr>
                  </w:pPr>
                  <w:r>
                    <w:rPr>
                      <w:rFonts w:hint="eastAsia" w:ascii="Times New Roman" w:hAnsi="Times New Roman" w:eastAsia="宋体" w:cs="Times New Roman"/>
                      <w:color w:val="000000"/>
                      <w:sz w:val="24"/>
                      <w:szCs w:val="24"/>
                      <w:lang w:val="en-US" w:eastAsia="zh-CN"/>
                    </w:rPr>
                    <w:t>重庆市</w:t>
                  </w:r>
                  <w:r>
                    <w:rPr>
                      <w:rFonts w:hint="default" w:ascii="Times New Roman" w:hAnsi="Times New Roman" w:eastAsia="宋体" w:cs="Times New Roman"/>
                      <w:color w:val="000000"/>
                      <w:sz w:val="24"/>
                      <w:szCs w:val="24"/>
                      <w:lang w:val="en-US" w:eastAsia="zh-CN"/>
                    </w:rPr>
                    <w:t>《</w:t>
                  </w:r>
                  <w:r>
                    <w:rPr>
                      <w:rFonts w:hint="eastAsia" w:eastAsia="宋体" w:cs="Times New Roman"/>
                      <w:color w:val="000000"/>
                      <w:sz w:val="24"/>
                      <w:szCs w:val="24"/>
                      <w:lang w:val="en-US" w:eastAsia="zh-CN"/>
                    </w:rPr>
                    <w:t>大气污染物综合排放标准</w:t>
                  </w:r>
                  <w:r>
                    <w:rPr>
                      <w:rFonts w:hint="default" w:ascii="Times New Roman" w:hAnsi="Times New Roman" w:eastAsia="宋体" w:cs="Times New Roman"/>
                      <w:color w:val="000000"/>
                      <w:sz w:val="24"/>
                      <w:szCs w:val="24"/>
                      <w:lang w:val="en-US" w:eastAsia="zh-CN"/>
                    </w:rPr>
                    <w:t>》（DB 50/</w:t>
                  </w:r>
                  <w:r>
                    <w:rPr>
                      <w:rFonts w:hint="eastAsia" w:eastAsia="宋体" w:cs="Times New Roman"/>
                      <w:color w:val="000000"/>
                      <w:sz w:val="24"/>
                      <w:szCs w:val="24"/>
                      <w:lang w:val="en-US" w:eastAsia="zh-CN"/>
                    </w:rPr>
                    <w:t>418-2016</w:t>
                  </w:r>
                  <w:r>
                    <w:rPr>
                      <w:rFonts w:hint="default" w:ascii="Times New Roman" w:hAnsi="Times New Roman" w:eastAsia="宋体" w:cs="Times New Roman"/>
                      <w:color w:val="000000"/>
                      <w:sz w:val="24"/>
                      <w:szCs w:val="24"/>
                      <w:lang w:val="en-US" w:eastAsia="zh-CN"/>
                    </w:rPr>
                    <w:t>）</w:t>
                  </w:r>
                </w:p>
              </w:tc>
              <w:tc>
                <w:tcPr>
                  <w:tcW w:w="2216" w:type="dxa"/>
                  <w:noWrap w:val="0"/>
                  <w:vAlign w:val="center"/>
                </w:tcPr>
                <w:p w14:paraId="65791247">
                  <w:pPr>
                    <w:pStyle w:val="54"/>
                    <w:bidi w:val="0"/>
                    <w:rPr>
                      <w:rFonts w:hint="default" w:ascii="Times New Roman" w:hAnsi="Times New Roman" w:eastAsia="宋体" w:cs="Times New Roman"/>
                      <w:color w:val="000000"/>
                      <w:sz w:val="24"/>
                      <w:szCs w:val="24"/>
                      <w:lang w:val="en-US" w:eastAsia="zh-CN"/>
                    </w:rPr>
                  </w:pPr>
                  <w:r>
                    <w:rPr>
                      <w:rFonts w:hint="eastAsia" w:ascii="Times New Roman" w:hAnsi="Times New Roman" w:eastAsia="宋体" w:cs="Times New Roman"/>
                      <w:color w:val="000000"/>
                      <w:sz w:val="24"/>
                      <w:szCs w:val="24"/>
                      <w:lang w:val="en-US" w:eastAsia="zh-CN"/>
                    </w:rPr>
                    <w:t>无变动</w:t>
                  </w:r>
                </w:p>
              </w:tc>
            </w:tr>
            <w:tr w14:paraId="4CF04A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0" w:hRule="atLeast"/>
                <w:jc w:val="center"/>
              </w:trPr>
              <w:tc>
                <w:tcPr>
                  <w:tcW w:w="966" w:type="dxa"/>
                  <w:vMerge w:val="continue"/>
                  <w:noWrap w:val="0"/>
                  <w:vAlign w:val="center"/>
                </w:tcPr>
                <w:p w14:paraId="416674AD">
                  <w:pPr>
                    <w:autoSpaceDE w:val="0"/>
                    <w:autoSpaceDN w:val="0"/>
                    <w:adjustRightInd w:val="0"/>
                    <w:snapToGrid w:val="0"/>
                    <w:jc w:val="center"/>
                    <w:rPr>
                      <w:rFonts w:hint="eastAsia" w:ascii="宋体" w:hAnsi="宋体" w:eastAsia="宋体" w:cs="宋体"/>
                      <w:b/>
                      <w:bCs/>
                      <w:color w:val="000000"/>
                      <w:kern w:val="0"/>
                      <w:sz w:val="24"/>
                    </w:rPr>
                  </w:pPr>
                </w:p>
              </w:tc>
              <w:tc>
                <w:tcPr>
                  <w:tcW w:w="1332" w:type="dxa"/>
                  <w:noWrap w:val="0"/>
                  <w:vAlign w:val="center"/>
                </w:tcPr>
                <w:p w14:paraId="51976702">
                  <w:pPr>
                    <w:pStyle w:val="54"/>
                    <w:bidi w:val="0"/>
                    <w:rPr>
                      <w:rFonts w:hint="default"/>
                      <w:color w:val="000000"/>
                      <w:kern w:val="2"/>
                      <w:sz w:val="24"/>
                      <w:szCs w:val="24"/>
                      <w:lang w:val="en-US" w:eastAsia="zh-CN" w:bidi="ar-SA"/>
                    </w:rPr>
                  </w:pPr>
                  <w:r>
                    <w:rPr>
                      <w:rFonts w:hint="eastAsia"/>
                      <w:color w:val="000000"/>
                      <w:kern w:val="2"/>
                      <w:sz w:val="24"/>
                      <w:szCs w:val="24"/>
                      <w:lang w:val="en-US" w:eastAsia="zh-CN" w:bidi="ar-SA"/>
                    </w:rPr>
                    <w:t>喷涂废气排气筒DA002</w:t>
                  </w:r>
                </w:p>
              </w:tc>
              <w:tc>
                <w:tcPr>
                  <w:tcW w:w="1332" w:type="dxa"/>
                  <w:noWrap w:val="0"/>
                  <w:vAlign w:val="center"/>
                </w:tcPr>
                <w:p w14:paraId="02B77603">
                  <w:pPr>
                    <w:pStyle w:val="54"/>
                    <w:bidi w:val="0"/>
                    <w:rPr>
                      <w:rFonts w:hint="default"/>
                      <w:color w:val="000000"/>
                      <w:kern w:val="2"/>
                      <w:sz w:val="24"/>
                      <w:szCs w:val="24"/>
                      <w:lang w:val="en-US" w:eastAsia="zh-CN" w:bidi="ar-SA"/>
                    </w:rPr>
                  </w:pPr>
                  <w:r>
                    <w:rPr>
                      <w:rFonts w:hint="eastAsia"/>
                      <w:color w:val="000000"/>
                      <w:kern w:val="2"/>
                      <w:sz w:val="24"/>
                      <w:szCs w:val="24"/>
                      <w:lang w:val="en-US" w:eastAsia="zh-CN" w:bidi="ar-SA"/>
                    </w:rPr>
                    <w:t>颗粒物、非甲烷总烃、二甲苯</w:t>
                  </w:r>
                </w:p>
              </w:tc>
              <w:tc>
                <w:tcPr>
                  <w:tcW w:w="1830" w:type="dxa"/>
                  <w:noWrap w:val="0"/>
                  <w:vAlign w:val="center"/>
                </w:tcPr>
                <w:p w14:paraId="32665166">
                  <w:pPr>
                    <w:pStyle w:val="34"/>
                    <w:bidi w:val="0"/>
                    <w:rPr>
                      <w:rFonts w:hint="eastAsia" w:ascii="Times New Roman" w:hAnsi="Times New Roman" w:eastAsia="宋体" w:cs="Times New Roman"/>
                      <w:bCs/>
                      <w:color w:val="000000"/>
                      <w:kern w:val="2"/>
                      <w:sz w:val="24"/>
                      <w:szCs w:val="24"/>
                      <w:highlight w:val="none"/>
                      <w:lang w:val="en-US" w:eastAsia="zh-CN" w:bidi="ar-SA"/>
                    </w:rPr>
                  </w:pPr>
                  <w:r>
                    <w:rPr>
                      <w:rStyle w:val="68"/>
                      <w:rFonts w:hint="eastAsia"/>
                      <w:bCs/>
                      <w:color w:val="000000"/>
                      <w:sz w:val="24"/>
                      <w:szCs w:val="24"/>
                      <w:lang w:val="en-US" w:eastAsia="zh-CN"/>
                    </w:rPr>
                    <w:t>喷漆房和烘干房均密闭，采取负压抽风；喷漆房设置水帘装置，喷漆废气和调漆废气先经水帘预处理后再同烘干废气一起进入一套喷淋+干式过滤+二级活性炭吸附装置处理后通过15m高2#排气筒排放</w:t>
                  </w:r>
                  <w:r>
                    <w:rPr>
                      <w:rStyle w:val="70"/>
                      <w:rFonts w:hint="eastAsia"/>
                      <w:color w:val="000000"/>
                      <w:sz w:val="24"/>
                      <w:szCs w:val="24"/>
                      <w:lang w:val="en-US" w:eastAsia="zh-CN"/>
                    </w:rPr>
                    <w:t>，风量</w:t>
                  </w:r>
                  <w:r>
                    <w:rPr>
                      <w:rFonts w:hint="eastAsia"/>
                      <w:color w:val="000000"/>
                      <w:sz w:val="24"/>
                      <w:szCs w:val="24"/>
                      <w:highlight w:val="none"/>
                      <w:lang w:val="en-US" w:eastAsia="zh-CN"/>
                    </w:rPr>
                    <w:t>20000m</w:t>
                  </w:r>
                  <w:r>
                    <w:rPr>
                      <w:rFonts w:hint="eastAsia"/>
                      <w:color w:val="000000"/>
                      <w:sz w:val="24"/>
                      <w:szCs w:val="24"/>
                      <w:highlight w:val="none"/>
                      <w:vertAlign w:val="superscript"/>
                      <w:lang w:val="en-US" w:eastAsia="zh-CN"/>
                    </w:rPr>
                    <w:t>3</w:t>
                  </w:r>
                  <w:r>
                    <w:rPr>
                      <w:rFonts w:hint="eastAsia"/>
                      <w:color w:val="000000"/>
                      <w:sz w:val="24"/>
                      <w:szCs w:val="24"/>
                      <w:highlight w:val="none"/>
                      <w:lang w:val="en-US" w:eastAsia="zh-CN"/>
                    </w:rPr>
                    <w:t>/h</w:t>
                  </w:r>
                </w:p>
              </w:tc>
              <w:tc>
                <w:tcPr>
                  <w:tcW w:w="2216" w:type="dxa"/>
                  <w:noWrap w:val="0"/>
                  <w:vAlign w:val="center"/>
                </w:tcPr>
                <w:p w14:paraId="34347702">
                  <w:pPr>
                    <w:pStyle w:val="54"/>
                    <w:bidi w:val="0"/>
                    <w:rPr>
                      <w:rFonts w:hint="eastAsia" w:ascii="Times New Roman" w:hAnsi="Times New Roman" w:eastAsia="宋体" w:cs="Times New Roman"/>
                      <w:color w:val="000000"/>
                      <w:sz w:val="24"/>
                      <w:szCs w:val="24"/>
                      <w:lang w:val="en-US" w:eastAsia="zh-CN"/>
                    </w:rPr>
                  </w:pPr>
                  <w:r>
                    <w:rPr>
                      <w:rFonts w:hint="eastAsia" w:ascii="Times New Roman" w:hAnsi="Times New Roman" w:eastAsia="宋体" w:cs="Times New Roman"/>
                      <w:color w:val="000000"/>
                      <w:sz w:val="24"/>
                      <w:szCs w:val="24"/>
                      <w:lang w:val="en-US" w:eastAsia="zh-CN"/>
                    </w:rPr>
                    <w:t>重庆市</w:t>
                  </w:r>
                  <w:r>
                    <w:rPr>
                      <w:rFonts w:hint="default" w:ascii="Times New Roman" w:hAnsi="Times New Roman" w:eastAsia="宋体" w:cs="Times New Roman"/>
                      <w:color w:val="000000"/>
                      <w:sz w:val="24"/>
                      <w:szCs w:val="24"/>
                      <w:lang w:val="en-US" w:eastAsia="zh-CN"/>
                    </w:rPr>
                    <w:t>《</w:t>
                  </w:r>
                  <w:r>
                    <w:rPr>
                      <w:rFonts w:hint="eastAsia" w:eastAsia="宋体" w:cs="Times New Roman"/>
                      <w:color w:val="000000"/>
                      <w:sz w:val="24"/>
                      <w:szCs w:val="24"/>
                      <w:lang w:val="en-US" w:eastAsia="zh-CN"/>
                    </w:rPr>
                    <w:t>大气污染物综合排放标准</w:t>
                  </w:r>
                  <w:r>
                    <w:rPr>
                      <w:rFonts w:hint="default" w:ascii="Times New Roman" w:hAnsi="Times New Roman" w:eastAsia="宋体" w:cs="Times New Roman"/>
                      <w:color w:val="000000"/>
                      <w:sz w:val="24"/>
                      <w:szCs w:val="24"/>
                      <w:lang w:val="en-US" w:eastAsia="zh-CN"/>
                    </w:rPr>
                    <w:t>》（DB 50/</w:t>
                  </w:r>
                  <w:r>
                    <w:rPr>
                      <w:rFonts w:hint="eastAsia" w:eastAsia="宋体" w:cs="Times New Roman"/>
                      <w:color w:val="000000"/>
                      <w:sz w:val="24"/>
                      <w:szCs w:val="24"/>
                      <w:lang w:val="en-US" w:eastAsia="zh-CN"/>
                    </w:rPr>
                    <w:t>418-2016</w:t>
                  </w:r>
                  <w:r>
                    <w:rPr>
                      <w:rFonts w:hint="default" w:ascii="Times New Roman" w:hAnsi="Times New Roman" w:eastAsia="宋体" w:cs="Times New Roman"/>
                      <w:color w:val="000000"/>
                      <w:sz w:val="24"/>
                      <w:szCs w:val="24"/>
                      <w:lang w:val="en-US" w:eastAsia="zh-CN"/>
                    </w:rPr>
                    <w:t>）</w:t>
                  </w:r>
                </w:p>
              </w:tc>
              <w:tc>
                <w:tcPr>
                  <w:tcW w:w="2216" w:type="dxa"/>
                  <w:noWrap w:val="0"/>
                  <w:vAlign w:val="center"/>
                </w:tcPr>
                <w:p w14:paraId="6F91AEF2">
                  <w:pPr>
                    <w:pStyle w:val="54"/>
                    <w:bidi w:val="0"/>
                    <w:rPr>
                      <w:rFonts w:hint="eastAsia" w:ascii="Times New Roman" w:hAnsi="Times New Roman" w:eastAsia="宋体" w:cs="Times New Roman"/>
                      <w:color w:val="000000"/>
                      <w:sz w:val="24"/>
                      <w:szCs w:val="24"/>
                      <w:lang w:val="en-US" w:eastAsia="zh-CN"/>
                    </w:rPr>
                  </w:pPr>
                  <w:r>
                    <w:rPr>
                      <w:rFonts w:hint="eastAsia" w:ascii="Times New Roman" w:hAnsi="Times New Roman" w:eastAsia="宋体" w:cs="Times New Roman"/>
                      <w:color w:val="000000"/>
                      <w:sz w:val="24"/>
                      <w:szCs w:val="24"/>
                      <w:lang w:val="en-US" w:eastAsia="zh-CN"/>
                    </w:rPr>
                    <w:t>无变动</w:t>
                  </w:r>
                </w:p>
              </w:tc>
            </w:tr>
            <w:tr w14:paraId="6D066F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0" w:hRule="atLeast"/>
                <w:jc w:val="center"/>
              </w:trPr>
              <w:tc>
                <w:tcPr>
                  <w:tcW w:w="966" w:type="dxa"/>
                  <w:vMerge w:val="continue"/>
                  <w:noWrap w:val="0"/>
                  <w:vAlign w:val="center"/>
                </w:tcPr>
                <w:p w14:paraId="27439F9D">
                  <w:pPr>
                    <w:autoSpaceDE w:val="0"/>
                    <w:autoSpaceDN w:val="0"/>
                    <w:adjustRightInd w:val="0"/>
                    <w:snapToGrid w:val="0"/>
                    <w:jc w:val="center"/>
                    <w:rPr>
                      <w:rFonts w:hint="eastAsia" w:ascii="宋体" w:hAnsi="宋体" w:eastAsia="宋体" w:cs="宋体"/>
                      <w:b/>
                      <w:bCs/>
                      <w:color w:val="000000"/>
                      <w:kern w:val="0"/>
                      <w:sz w:val="24"/>
                    </w:rPr>
                  </w:pPr>
                </w:p>
              </w:tc>
              <w:tc>
                <w:tcPr>
                  <w:tcW w:w="1332" w:type="dxa"/>
                  <w:noWrap w:val="0"/>
                  <w:vAlign w:val="center"/>
                </w:tcPr>
                <w:p w14:paraId="48934EFC">
                  <w:pPr>
                    <w:pStyle w:val="54"/>
                    <w:bidi w:val="0"/>
                    <w:rPr>
                      <w:rFonts w:hint="default" w:ascii="Times New Roman" w:hAnsi="Times New Roman"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下料粉尘</w:t>
                  </w:r>
                </w:p>
              </w:tc>
              <w:tc>
                <w:tcPr>
                  <w:tcW w:w="1332" w:type="dxa"/>
                  <w:noWrap w:val="0"/>
                  <w:vAlign w:val="center"/>
                </w:tcPr>
                <w:p w14:paraId="2BEC74C6">
                  <w:pPr>
                    <w:pStyle w:val="54"/>
                    <w:bidi w:val="0"/>
                    <w:rPr>
                      <w:rFonts w:hint="default" w:ascii="Times New Roman" w:hAnsi="Times New Roman"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颗粒物</w:t>
                  </w:r>
                </w:p>
              </w:tc>
              <w:tc>
                <w:tcPr>
                  <w:tcW w:w="1830" w:type="dxa"/>
                  <w:noWrap w:val="0"/>
                  <w:vAlign w:val="center"/>
                </w:tcPr>
                <w:p w14:paraId="6C5BE112">
                  <w:pPr>
                    <w:pStyle w:val="54"/>
                    <w:bidi w:val="0"/>
                    <w:rPr>
                      <w:rStyle w:val="33"/>
                      <w:rFonts w:hint="default"/>
                      <w:color w:val="000000"/>
                      <w:lang w:val="en-US" w:eastAsia="zh-CN"/>
                    </w:rPr>
                  </w:pPr>
                  <w:r>
                    <w:rPr>
                      <w:rFonts w:hint="eastAsia"/>
                      <w:color w:val="000000"/>
                      <w:lang w:val="en-US" w:eastAsia="zh-CN"/>
                    </w:rPr>
                    <w:t>下料粉尘经过1台移动式布袋除尘器收集处理后无组织排放在车间内，加强车间地面清扫</w:t>
                  </w:r>
                </w:p>
              </w:tc>
              <w:tc>
                <w:tcPr>
                  <w:tcW w:w="2216" w:type="dxa"/>
                  <w:noWrap w:val="0"/>
                  <w:vAlign w:val="center"/>
                </w:tcPr>
                <w:p w14:paraId="468BDB76">
                  <w:pPr>
                    <w:pStyle w:val="54"/>
                    <w:bidi w:val="0"/>
                    <w:rPr>
                      <w:rFonts w:hint="eastAsia" w:ascii="Times New Roman" w:hAnsi="Times New Roman" w:eastAsia="宋体" w:cs="Times New Roman"/>
                      <w:color w:val="000000"/>
                      <w:sz w:val="24"/>
                      <w:szCs w:val="24"/>
                      <w:lang w:val="en-US" w:eastAsia="zh-CN"/>
                    </w:rPr>
                  </w:pPr>
                  <w:r>
                    <w:rPr>
                      <w:rFonts w:hint="eastAsia" w:ascii="Times New Roman" w:hAnsi="Times New Roman" w:eastAsia="宋体" w:cs="Times New Roman"/>
                      <w:color w:val="000000"/>
                      <w:sz w:val="24"/>
                      <w:szCs w:val="24"/>
                      <w:lang w:val="en-US" w:eastAsia="zh-CN"/>
                    </w:rPr>
                    <w:t>重庆市</w:t>
                  </w:r>
                  <w:r>
                    <w:rPr>
                      <w:rFonts w:hint="default" w:ascii="Times New Roman" w:hAnsi="Times New Roman" w:eastAsia="宋体" w:cs="Times New Roman"/>
                      <w:color w:val="000000"/>
                      <w:sz w:val="24"/>
                      <w:szCs w:val="24"/>
                      <w:lang w:val="en-US" w:eastAsia="zh-CN"/>
                    </w:rPr>
                    <w:t>《</w:t>
                  </w:r>
                  <w:r>
                    <w:rPr>
                      <w:rFonts w:hint="eastAsia" w:eastAsia="宋体" w:cs="Times New Roman"/>
                      <w:color w:val="000000"/>
                      <w:sz w:val="24"/>
                      <w:szCs w:val="24"/>
                      <w:lang w:val="en-US" w:eastAsia="zh-CN"/>
                    </w:rPr>
                    <w:t>大气污染物综合排放标准</w:t>
                  </w:r>
                  <w:r>
                    <w:rPr>
                      <w:rFonts w:hint="default" w:ascii="Times New Roman" w:hAnsi="Times New Roman" w:eastAsia="宋体" w:cs="Times New Roman"/>
                      <w:color w:val="000000"/>
                      <w:sz w:val="24"/>
                      <w:szCs w:val="24"/>
                      <w:lang w:val="en-US" w:eastAsia="zh-CN"/>
                    </w:rPr>
                    <w:t>》（DB 50/</w:t>
                  </w:r>
                  <w:r>
                    <w:rPr>
                      <w:rFonts w:hint="eastAsia" w:eastAsia="宋体" w:cs="Times New Roman"/>
                      <w:color w:val="000000"/>
                      <w:sz w:val="24"/>
                      <w:szCs w:val="24"/>
                      <w:lang w:val="en-US" w:eastAsia="zh-CN"/>
                    </w:rPr>
                    <w:t>418-2016</w:t>
                  </w:r>
                  <w:r>
                    <w:rPr>
                      <w:rFonts w:hint="default" w:ascii="Times New Roman" w:hAnsi="Times New Roman" w:eastAsia="宋体" w:cs="Times New Roman"/>
                      <w:color w:val="000000"/>
                      <w:sz w:val="24"/>
                      <w:szCs w:val="24"/>
                      <w:lang w:val="en-US" w:eastAsia="zh-CN"/>
                    </w:rPr>
                    <w:t>）</w:t>
                  </w:r>
                </w:p>
              </w:tc>
              <w:tc>
                <w:tcPr>
                  <w:tcW w:w="2216" w:type="dxa"/>
                  <w:noWrap w:val="0"/>
                  <w:vAlign w:val="center"/>
                </w:tcPr>
                <w:p w14:paraId="1EC514F5">
                  <w:pPr>
                    <w:bidi w:val="0"/>
                    <w:rPr>
                      <w:rFonts w:hint="eastAsia" w:ascii="Times New Roman" w:hAnsi="Times New Roman" w:eastAsia="宋体" w:cs="Times New Roman"/>
                      <w:color w:val="000000"/>
                      <w:sz w:val="24"/>
                      <w:szCs w:val="24"/>
                      <w:lang w:val="en-US" w:eastAsia="zh-CN"/>
                    </w:rPr>
                  </w:pPr>
                  <w:r>
                    <w:rPr>
                      <w:rFonts w:hint="eastAsia" w:ascii="Times New Roman" w:hAnsi="Times New Roman" w:eastAsia="宋体" w:cs="Times New Roman"/>
                      <w:color w:val="000000"/>
                      <w:sz w:val="24"/>
                      <w:szCs w:val="24"/>
                      <w:lang w:val="en-US" w:eastAsia="zh-CN"/>
                    </w:rPr>
                    <w:t>无变动</w:t>
                  </w:r>
                </w:p>
              </w:tc>
            </w:tr>
            <w:tr w14:paraId="75EC0C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0" w:hRule="atLeast"/>
                <w:jc w:val="center"/>
              </w:trPr>
              <w:tc>
                <w:tcPr>
                  <w:tcW w:w="966" w:type="dxa"/>
                  <w:vMerge w:val="continue"/>
                  <w:noWrap w:val="0"/>
                  <w:vAlign w:val="center"/>
                </w:tcPr>
                <w:p w14:paraId="05DEDEE8">
                  <w:pPr>
                    <w:autoSpaceDE w:val="0"/>
                    <w:autoSpaceDN w:val="0"/>
                    <w:adjustRightInd w:val="0"/>
                    <w:snapToGrid w:val="0"/>
                    <w:jc w:val="center"/>
                    <w:rPr>
                      <w:rFonts w:hint="eastAsia" w:ascii="宋体" w:hAnsi="宋体" w:eastAsia="宋体" w:cs="宋体"/>
                      <w:b/>
                      <w:bCs/>
                      <w:color w:val="000000"/>
                      <w:kern w:val="0"/>
                      <w:sz w:val="24"/>
                    </w:rPr>
                  </w:pPr>
                </w:p>
              </w:tc>
              <w:tc>
                <w:tcPr>
                  <w:tcW w:w="1332" w:type="dxa"/>
                  <w:noWrap w:val="0"/>
                  <w:vAlign w:val="center"/>
                </w:tcPr>
                <w:p w14:paraId="028488BD">
                  <w:pPr>
                    <w:pStyle w:val="54"/>
                    <w:bidi w:val="0"/>
                    <w:rPr>
                      <w:rFonts w:hint="default" w:cs="Times New Roman"/>
                      <w:color w:val="000000"/>
                      <w:kern w:val="2"/>
                      <w:sz w:val="24"/>
                      <w:szCs w:val="24"/>
                      <w:lang w:val="en-US" w:eastAsia="zh-CN" w:bidi="ar-SA"/>
                    </w:rPr>
                  </w:pPr>
                  <w:r>
                    <w:rPr>
                      <w:rFonts w:hint="eastAsia" w:cs="Times New Roman"/>
                      <w:color w:val="000000"/>
                      <w:kern w:val="2"/>
                      <w:sz w:val="24"/>
                      <w:szCs w:val="24"/>
                      <w:lang w:val="en-US" w:eastAsia="zh-CN" w:bidi="ar-SA"/>
                    </w:rPr>
                    <w:t>打磨粉尘</w:t>
                  </w:r>
                </w:p>
              </w:tc>
              <w:tc>
                <w:tcPr>
                  <w:tcW w:w="1332" w:type="dxa"/>
                  <w:noWrap w:val="0"/>
                  <w:vAlign w:val="center"/>
                </w:tcPr>
                <w:p w14:paraId="37113B26">
                  <w:pPr>
                    <w:pStyle w:val="54"/>
                    <w:bidi w:val="0"/>
                    <w:rPr>
                      <w:rFonts w:hint="eastAsia" w:cs="Times New Roman"/>
                      <w:color w:val="000000"/>
                      <w:kern w:val="2"/>
                      <w:sz w:val="24"/>
                      <w:szCs w:val="24"/>
                      <w:lang w:val="en-US" w:eastAsia="zh-CN" w:bidi="ar-SA"/>
                    </w:rPr>
                  </w:pPr>
                  <w:r>
                    <w:rPr>
                      <w:rFonts w:hint="eastAsia" w:cs="Times New Roman"/>
                      <w:color w:val="000000"/>
                      <w:kern w:val="2"/>
                      <w:sz w:val="24"/>
                      <w:szCs w:val="24"/>
                      <w:lang w:val="en-US" w:eastAsia="zh-CN" w:bidi="ar-SA"/>
                    </w:rPr>
                    <w:t>颗粒物</w:t>
                  </w:r>
                </w:p>
              </w:tc>
              <w:tc>
                <w:tcPr>
                  <w:tcW w:w="1830" w:type="dxa"/>
                  <w:noWrap w:val="0"/>
                  <w:vAlign w:val="center"/>
                </w:tcPr>
                <w:p w14:paraId="265D8B5C">
                  <w:pPr>
                    <w:pStyle w:val="54"/>
                    <w:bidi w:val="0"/>
                    <w:rPr>
                      <w:rFonts w:hint="eastAsia" w:ascii="Times New Roman" w:hAnsi="Times New Roman" w:eastAsia="宋体" w:cs="Times New Roman"/>
                      <w:color w:val="000000"/>
                      <w:kern w:val="2"/>
                      <w:sz w:val="24"/>
                      <w:szCs w:val="24"/>
                      <w:lang w:val="en-US" w:eastAsia="zh-CN" w:bidi="ar-SA"/>
                    </w:rPr>
                  </w:pPr>
                  <w:r>
                    <w:rPr>
                      <w:rFonts w:hint="eastAsia"/>
                      <w:color w:val="000000"/>
                      <w:lang w:val="en-US" w:eastAsia="zh-CN"/>
                    </w:rPr>
                    <w:t>打磨粉尘经过1台移动式布袋除尘器收集处理后无组织排放在车间内，加强车间地面清扫</w:t>
                  </w:r>
                </w:p>
              </w:tc>
              <w:tc>
                <w:tcPr>
                  <w:tcW w:w="2216" w:type="dxa"/>
                  <w:noWrap w:val="0"/>
                  <w:vAlign w:val="center"/>
                </w:tcPr>
                <w:p w14:paraId="21A3C353">
                  <w:pPr>
                    <w:pStyle w:val="54"/>
                    <w:bidi w:val="0"/>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sz w:val="24"/>
                      <w:szCs w:val="24"/>
                      <w:lang w:val="en-US" w:eastAsia="zh-CN"/>
                    </w:rPr>
                    <w:t>重庆市</w:t>
                  </w:r>
                  <w:r>
                    <w:rPr>
                      <w:rFonts w:hint="default" w:ascii="Times New Roman" w:hAnsi="Times New Roman" w:eastAsia="宋体" w:cs="Times New Roman"/>
                      <w:color w:val="000000"/>
                      <w:sz w:val="24"/>
                      <w:szCs w:val="24"/>
                      <w:lang w:val="en-US" w:eastAsia="zh-CN"/>
                    </w:rPr>
                    <w:t>《</w:t>
                  </w:r>
                  <w:r>
                    <w:rPr>
                      <w:rFonts w:hint="eastAsia" w:eastAsia="宋体" w:cs="Times New Roman"/>
                      <w:color w:val="000000"/>
                      <w:sz w:val="24"/>
                      <w:szCs w:val="24"/>
                      <w:lang w:val="en-US" w:eastAsia="zh-CN"/>
                    </w:rPr>
                    <w:t>大气污染物综合排放标准</w:t>
                  </w:r>
                  <w:r>
                    <w:rPr>
                      <w:rFonts w:hint="default" w:ascii="Times New Roman" w:hAnsi="Times New Roman" w:eastAsia="宋体" w:cs="Times New Roman"/>
                      <w:color w:val="000000"/>
                      <w:sz w:val="24"/>
                      <w:szCs w:val="24"/>
                      <w:lang w:val="en-US" w:eastAsia="zh-CN"/>
                    </w:rPr>
                    <w:t>》（DB 50/</w:t>
                  </w:r>
                  <w:r>
                    <w:rPr>
                      <w:rFonts w:hint="eastAsia" w:eastAsia="宋体" w:cs="Times New Roman"/>
                      <w:color w:val="000000"/>
                      <w:sz w:val="24"/>
                      <w:szCs w:val="24"/>
                      <w:lang w:val="en-US" w:eastAsia="zh-CN"/>
                    </w:rPr>
                    <w:t>418-2016</w:t>
                  </w:r>
                  <w:r>
                    <w:rPr>
                      <w:rFonts w:hint="default" w:ascii="Times New Roman" w:hAnsi="Times New Roman" w:eastAsia="宋体" w:cs="Times New Roman"/>
                      <w:color w:val="000000"/>
                      <w:sz w:val="24"/>
                      <w:szCs w:val="24"/>
                      <w:lang w:val="en-US" w:eastAsia="zh-CN"/>
                    </w:rPr>
                    <w:t>）</w:t>
                  </w:r>
                </w:p>
              </w:tc>
              <w:tc>
                <w:tcPr>
                  <w:tcW w:w="2216" w:type="dxa"/>
                  <w:noWrap w:val="0"/>
                  <w:vAlign w:val="center"/>
                </w:tcPr>
                <w:p w14:paraId="570E1E36">
                  <w:pPr>
                    <w:bidi w:val="0"/>
                    <w:rPr>
                      <w:rFonts w:hint="eastAsia" w:ascii="Times New Roman" w:hAnsi="Times New Roman" w:eastAsia="宋体" w:cs="Times New Roman"/>
                      <w:color w:val="000000"/>
                      <w:sz w:val="24"/>
                      <w:szCs w:val="24"/>
                      <w:lang w:val="en-US" w:eastAsia="zh-CN"/>
                    </w:rPr>
                  </w:pPr>
                  <w:r>
                    <w:rPr>
                      <w:rFonts w:hint="eastAsia" w:ascii="Times New Roman" w:hAnsi="Times New Roman" w:eastAsia="宋体" w:cs="Times New Roman"/>
                      <w:color w:val="000000"/>
                      <w:sz w:val="24"/>
                      <w:szCs w:val="24"/>
                      <w:lang w:val="en-US" w:eastAsia="zh-CN"/>
                    </w:rPr>
                    <w:t>无变动</w:t>
                  </w:r>
                </w:p>
              </w:tc>
            </w:tr>
            <w:tr w14:paraId="2EEEEE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0" w:hRule="atLeast"/>
                <w:jc w:val="center"/>
              </w:trPr>
              <w:tc>
                <w:tcPr>
                  <w:tcW w:w="966" w:type="dxa"/>
                  <w:vMerge w:val="continue"/>
                  <w:noWrap w:val="0"/>
                  <w:vAlign w:val="center"/>
                </w:tcPr>
                <w:p w14:paraId="3041A3F8">
                  <w:pPr>
                    <w:autoSpaceDE w:val="0"/>
                    <w:autoSpaceDN w:val="0"/>
                    <w:adjustRightInd w:val="0"/>
                    <w:snapToGrid w:val="0"/>
                    <w:jc w:val="center"/>
                    <w:rPr>
                      <w:rFonts w:hint="eastAsia" w:ascii="宋体" w:hAnsi="宋体" w:eastAsia="宋体" w:cs="宋体"/>
                      <w:b/>
                      <w:bCs/>
                      <w:color w:val="000000"/>
                      <w:kern w:val="0"/>
                      <w:sz w:val="24"/>
                    </w:rPr>
                  </w:pPr>
                </w:p>
              </w:tc>
              <w:tc>
                <w:tcPr>
                  <w:tcW w:w="1332" w:type="dxa"/>
                  <w:noWrap w:val="0"/>
                  <w:vAlign w:val="center"/>
                </w:tcPr>
                <w:p w14:paraId="56187F10">
                  <w:pPr>
                    <w:pStyle w:val="54"/>
                    <w:bidi w:val="0"/>
                    <w:rPr>
                      <w:rFonts w:hint="eastAsia" w:ascii="Times New Roman" w:hAnsi="Times New Roman" w:eastAsia="宋体" w:cs="Times New Roman"/>
                      <w:color w:val="000000"/>
                      <w:kern w:val="2"/>
                      <w:sz w:val="24"/>
                      <w:szCs w:val="24"/>
                      <w:lang w:val="en-US" w:eastAsia="zh-CN" w:bidi="ar-SA"/>
                    </w:rPr>
                  </w:pPr>
                  <w:r>
                    <w:rPr>
                      <w:rFonts w:hint="eastAsia"/>
                      <w:color w:val="000000"/>
                      <w:kern w:val="2"/>
                      <w:sz w:val="24"/>
                      <w:szCs w:val="24"/>
                      <w:lang w:val="en-US" w:eastAsia="zh-CN" w:bidi="ar-SA"/>
                    </w:rPr>
                    <w:t>厂界无组织</w:t>
                  </w:r>
                </w:p>
              </w:tc>
              <w:tc>
                <w:tcPr>
                  <w:tcW w:w="1332" w:type="dxa"/>
                  <w:noWrap w:val="0"/>
                  <w:vAlign w:val="center"/>
                </w:tcPr>
                <w:p w14:paraId="267DA8CD">
                  <w:pPr>
                    <w:pStyle w:val="54"/>
                    <w:bidi w:val="0"/>
                    <w:rPr>
                      <w:rFonts w:hint="eastAsia" w:ascii="Times New Roman" w:hAnsi="Times New Roman" w:eastAsia="宋体" w:cs="Times New Roman"/>
                      <w:color w:val="000000"/>
                      <w:kern w:val="2"/>
                      <w:sz w:val="24"/>
                      <w:szCs w:val="24"/>
                      <w:lang w:val="en-US" w:eastAsia="zh-CN" w:bidi="ar-SA"/>
                    </w:rPr>
                  </w:pPr>
                  <w:r>
                    <w:rPr>
                      <w:rFonts w:hint="eastAsia"/>
                      <w:color w:val="000000"/>
                      <w:kern w:val="2"/>
                      <w:sz w:val="24"/>
                      <w:szCs w:val="24"/>
                      <w:lang w:val="en-US" w:eastAsia="zh-CN" w:bidi="ar-SA"/>
                    </w:rPr>
                    <w:t>非甲烷总烃、二甲苯、颗粒物</w:t>
                  </w:r>
                </w:p>
              </w:tc>
              <w:tc>
                <w:tcPr>
                  <w:tcW w:w="1830" w:type="dxa"/>
                  <w:noWrap w:val="0"/>
                  <w:vAlign w:val="center"/>
                </w:tcPr>
                <w:p w14:paraId="4F98C475">
                  <w:pPr>
                    <w:pStyle w:val="54"/>
                    <w:bidi w:val="0"/>
                    <w:rPr>
                      <w:rFonts w:hint="eastAsia" w:ascii="Times New Roman" w:hAnsi="Times New Roman" w:eastAsia="宋体" w:cs="Times New Roman"/>
                      <w:color w:val="000000"/>
                      <w:kern w:val="2"/>
                      <w:sz w:val="24"/>
                      <w:szCs w:val="24"/>
                      <w:lang w:val="en-US" w:eastAsia="zh-CN" w:bidi="ar-SA"/>
                    </w:rPr>
                  </w:pPr>
                  <w:r>
                    <w:rPr>
                      <w:rStyle w:val="33"/>
                      <w:rFonts w:hint="eastAsia"/>
                      <w:color w:val="000000"/>
                      <w:lang w:val="en-US" w:eastAsia="zh-CN"/>
                    </w:rPr>
                    <w:t>提高收集效率，加强车间通风</w:t>
                  </w:r>
                </w:p>
              </w:tc>
              <w:tc>
                <w:tcPr>
                  <w:tcW w:w="2216" w:type="dxa"/>
                  <w:noWrap w:val="0"/>
                  <w:vAlign w:val="center"/>
                </w:tcPr>
                <w:p w14:paraId="6FE41C93">
                  <w:pPr>
                    <w:pStyle w:val="54"/>
                    <w:bidi w:val="0"/>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sz w:val="24"/>
                      <w:szCs w:val="24"/>
                      <w:lang w:val="en-US" w:eastAsia="zh-CN"/>
                    </w:rPr>
                    <w:t>重庆市</w:t>
                  </w:r>
                  <w:r>
                    <w:rPr>
                      <w:rFonts w:hint="default" w:ascii="Times New Roman" w:hAnsi="Times New Roman" w:eastAsia="宋体" w:cs="Times New Roman"/>
                      <w:color w:val="000000"/>
                      <w:sz w:val="24"/>
                      <w:szCs w:val="24"/>
                      <w:lang w:val="en-US" w:eastAsia="zh-CN"/>
                    </w:rPr>
                    <w:t>《</w:t>
                  </w:r>
                  <w:r>
                    <w:rPr>
                      <w:rFonts w:hint="eastAsia" w:eastAsia="宋体" w:cs="Times New Roman"/>
                      <w:color w:val="000000"/>
                      <w:sz w:val="24"/>
                      <w:szCs w:val="24"/>
                      <w:lang w:val="en-US" w:eastAsia="zh-CN"/>
                    </w:rPr>
                    <w:t>大气污染物综合排放标准</w:t>
                  </w:r>
                  <w:r>
                    <w:rPr>
                      <w:rFonts w:hint="default" w:ascii="Times New Roman" w:hAnsi="Times New Roman" w:eastAsia="宋体" w:cs="Times New Roman"/>
                      <w:color w:val="000000"/>
                      <w:sz w:val="24"/>
                      <w:szCs w:val="24"/>
                      <w:lang w:val="en-US" w:eastAsia="zh-CN"/>
                    </w:rPr>
                    <w:t>》（DB 50/</w:t>
                  </w:r>
                  <w:r>
                    <w:rPr>
                      <w:rFonts w:hint="eastAsia" w:eastAsia="宋体" w:cs="Times New Roman"/>
                      <w:color w:val="000000"/>
                      <w:sz w:val="24"/>
                      <w:szCs w:val="24"/>
                      <w:lang w:val="en-US" w:eastAsia="zh-CN"/>
                    </w:rPr>
                    <w:t>418-2016</w:t>
                  </w:r>
                  <w:r>
                    <w:rPr>
                      <w:rFonts w:hint="default" w:ascii="Times New Roman" w:hAnsi="Times New Roman" w:eastAsia="宋体" w:cs="Times New Roman"/>
                      <w:color w:val="000000"/>
                      <w:sz w:val="24"/>
                      <w:szCs w:val="24"/>
                      <w:lang w:val="en-US" w:eastAsia="zh-CN"/>
                    </w:rPr>
                    <w:t>）</w:t>
                  </w:r>
                </w:p>
              </w:tc>
              <w:tc>
                <w:tcPr>
                  <w:tcW w:w="2216" w:type="dxa"/>
                  <w:noWrap w:val="0"/>
                  <w:vAlign w:val="center"/>
                </w:tcPr>
                <w:p w14:paraId="28C6A887">
                  <w:pPr>
                    <w:bidi w:val="0"/>
                    <w:rPr>
                      <w:rFonts w:hint="eastAsia" w:ascii="Times New Roman" w:hAnsi="Times New Roman" w:eastAsia="宋体" w:cs="Times New Roman"/>
                      <w:color w:val="000000"/>
                      <w:sz w:val="24"/>
                      <w:szCs w:val="24"/>
                      <w:lang w:val="en-US" w:eastAsia="zh-CN"/>
                    </w:rPr>
                  </w:pPr>
                  <w:r>
                    <w:rPr>
                      <w:rFonts w:hint="eastAsia" w:ascii="Times New Roman" w:hAnsi="Times New Roman" w:eastAsia="宋体" w:cs="Times New Roman"/>
                      <w:color w:val="000000"/>
                      <w:sz w:val="24"/>
                      <w:szCs w:val="24"/>
                      <w:lang w:val="en-US" w:eastAsia="zh-CN"/>
                    </w:rPr>
                    <w:t>无变动</w:t>
                  </w:r>
                </w:p>
              </w:tc>
            </w:tr>
            <w:tr w14:paraId="534C48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0" w:hRule="atLeast"/>
                <w:jc w:val="center"/>
              </w:trPr>
              <w:tc>
                <w:tcPr>
                  <w:tcW w:w="966" w:type="dxa"/>
                  <w:vMerge w:val="restart"/>
                  <w:noWrap w:val="0"/>
                  <w:vAlign w:val="center"/>
                </w:tcPr>
                <w:p w14:paraId="2D6054E2">
                  <w:pPr>
                    <w:autoSpaceDE w:val="0"/>
                    <w:autoSpaceDN w:val="0"/>
                    <w:adjustRightInd w:val="0"/>
                    <w:snapToGrid w:val="0"/>
                    <w:jc w:val="center"/>
                    <w:rPr>
                      <w:rFonts w:hint="eastAsia" w:ascii="宋体" w:hAnsi="宋体" w:eastAsia="宋体" w:cs="宋体"/>
                      <w:b/>
                      <w:bCs/>
                      <w:color w:val="000000"/>
                      <w:kern w:val="0"/>
                      <w:sz w:val="24"/>
                    </w:rPr>
                  </w:pPr>
                  <w:r>
                    <w:rPr>
                      <w:rFonts w:hint="eastAsia" w:ascii="宋体" w:hAnsi="宋体" w:eastAsia="宋体" w:cs="宋体"/>
                      <w:b/>
                      <w:bCs/>
                      <w:color w:val="000000"/>
                      <w:kern w:val="0"/>
                      <w:sz w:val="24"/>
                    </w:rPr>
                    <w:t>地表水环境</w:t>
                  </w:r>
                </w:p>
              </w:tc>
              <w:tc>
                <w:tcPr>
                  <w:tcW w:w="1332" w:type="dxa"/>
                  <w:noWrap w:val="0"/>
                  <w:vAlign w:val="center"/>
                </w:tcPr>
                <w:p w14:paraId="1979E36F">
                  <w:pPr>
                    <w:pStyle w:val="54"/>
                    <w:bidi w:val="0"/>
                    <w:rPr>
                      <w:rFonts w:hint="default" w:eastAsia="宋体"/>
                      <w:color w:val="000000"/>
                      <w:lang w:val="en-US" w:eastAsia="zh-CN"/>
                    </w:rPr>
                  </w:pPr>
                  <w:r>
                    <w:rPr>
                      <w:rFonts w:hint="eastAsia"/>
                      <w:color w:val="000000"/>
                      <w:lang w:val="en-US" w:eastAsia="zh-CN"/>
                    </w:rPr>
                    <w:t>生活污水</w:t>
                  </w:r>
                </w:p>
              </w:tc>
              <w:tc>
                <w:tcPr>
                  <w:tcW w:w="1332" w:type="dxa"/>
                  <w:noWrap w:val="0"/>
                  <w:vAlign w:val="center"/>
                </w:tcPr>
                <w:p w14:paraId="0BFA91D3">
                  <w:pPr>
                    <w:pStyle w:val="54"/>
                    <w:bidi w:val="0"/>
                    <w:rPr>
                      <w:rFonts w:hint="default" w:eastAsia="宋体"/>
                      <w:color w:val="000000"/>
                      <w:lang w:val="en-US" w:eastAsia="zh-CN"/>
                    </w:rPr>
                  </w:pPr>
                  <w:r>
                    <w:rPr>
                      <w:rFonts w:hint="eastAsia"/>
                      <w:color w:val="000000"/>
                      <w:lang w:val="en-US" w:eastAsia="zh-CN"/>
                    </w:rPr>
                    <w:t>pH、</w:t>
                  </w:r>
                  <w:r>
                    <w:rPr>
                      <w:color w:val="000000"/>
                    </w:rPr>
                    <w:t>COD、BOD</w:t>
                  </w:r>
                  <w:r>
                    <w:rPr>
                      <w:color w:val="000000"/>
                      <w:vertAlign w:val="subscript"/>
                    </w:rPr>
                    <w:t>5</w:t>
                  </w:r>
                  <w:r>
                    <w:rPr>
                      <w:color w:val="000000"/>
                    </w:rPr>
                    <w:t>、SS、氨氮</w:t>
                  </w:r>
                  <w:r>
                    <w:rPr>
                      <w:rFonts w:hint="eastAsia"/>
                      <w:color w:val="000000"/>
                      <w:lang w:eastAsia="zh-CN"/>
                    </w:rPr>
                    <w:t>、</w:t>
                  </w:r>
                  <w:r>
                    <w:rPr>
                      <w:rFonts w:hint="eastAsia"/>
                      <w:color w:val="000000"/>
                      <w:lang w:val="en-US" w:eastAsia="zh-CN"/>
                    </w:rPr>
                    <w:t>TP</w:t>
                  </w:r>
                </w:p>
              </w:tc>
              <w:tc>
                <w:tcPr>
                  <w:tcW w:w="1830" w:type="dxa"/>
                  <w:noWrap w:val="0"/>
                  <w:vAlign w:val="center"/>
                </w:tcPr>
                <w:p w14:paraId="7C44A753">
                  <w:pPr>
                    <w:pStyle w:val="54"/>
                    <w:bidi w:val="0"/>
                    <w:rPr>
                      <w:rFonts w:hint="default"/>
                      <w:color w:val="000000"/>
                      <w:lang w:val="en-US" w:eastAsia="zh-CN"/>
                    </w:rPr>
                  </w:pPr>
                  <w:r>
                    <w:rPr>
                      <w:rFonts w:hint="eastAsia"/>
                      <w:color w:val="000000"/>
                      <w:highlight w:val="none"/>
                      <w:lang w:val="en-US" w:eastAsia="zh-CN"/>
                    </w:rPr>
                    <w:t>项目生活污水</w:t>
                  </w:r>
                  <w:r>
                    <w:rPr>
                      <w:rFonts w:hint="eastAsia"/>
                      <w:color w:val="000000"/>
                      <w:lang w:val="en-US" w:eastAsia="zh-CN"/>
                    </w:rPr>
                    <w:t>经厂区</w:t>
                  </w:r>
                  <w:r>
                    <w:rPr>
                      <w:rFonts w:hint="eastAsia"/>
                      <w:color w:val="000000"/>
                      <w:highlight w:val="none"/>
                      <w:lang w:val="en-US" w:eastAsia="zh-CN"/>
                    </w:rPr>
                    <w:t>生化池（20m</w:t>
                  </w:r>
                  <w:r>
                    <w:rPr>
                      <w:rFonts w:hint="eastAsia"/>
                      <w:color w:val="000000"/>
                      <w:highlight w:val="none"/>
                      <w:vertAlign w:val="superscript"/>
                      <w:lang w:val="en-US" w:eastAsia="zh-CN"/>
                    </w:rPr>
                    <w:t>3</w:t>
                  </w:r>
                  <w:r>
                    <w:rPr>
                      <w:rFonts w:hint="eastAsia"/>
                      <w:color w:val="000000"/>
                      <w:highlight w:val="none"/>
                      <w:lang w:val="en-US" w:eastAsia="zh-CN"/>
                    </w:rPr>
                    <w:t>/d</w:t>
                  </w:r>
                  <w:r>
                    <w:rPr>
                      <w:rFonts w:hint="eastAsia"/>
                      <w:color w:val="000000"/>
                      <w:lang w:val="en-US" w:eastAsia="zh-CN"/>
                    </w:rPr>
                    <w:t>）处理达标后排入九龙园污水处理厂</w:t>
                  </w:r>
                </w:p>
              </w:tc>
              <w:tc>
                <w:tcPr>
                  <w:tcW w:w="2216" w:type="dxa"/>
                  <w:noWrap w:val="0"/>
                  <w:vAlign w:val="center"/>
                </w:tcPr>
                <w:p w14:paraId="22B45A9A">
                  <w:pPr>
                    <w:pStyle w:val="54"/>
                    <w:bidi w:val="0"/>
                    <w:rPr>
                      <w:color w:val="000000"/>
                    </w:rPr>
                  </w:pPr>
                  <w:r>
                    <w:rPr>
                      <w:rFonts w:hint="eastAsia"/>
                      <w:color w:val="000000"/>
                      <w:lang w:val="en-US" w:eastAsia="zh-CN"/>
                    </w:rPr>
                    <w:t>《污水综合排放标准》（GB8978-1996）三级标准和九龙园污水处理厂纳管要求</w:t>
                  </w:r>
                </w:p>
              </w:tc>
              <w:tc>
                <w:tcPr>
                  <w:tcW w:w="2216" w:type="dxa"/>
                  <w:noWrap w:val="0"/>
                  <w:vAlign w:val="center"/>
                </w:tcPr>
                <w:p w14:paraId="1B8297C1">
                  <w:pPr>
                    <w:bidi w:val="0"/>
                    <w:rPr>
                      <w:rFonts w:hint="eastAsia"/>
                      <w:color w:val="000000"/>
                      <w:lang w:val="en-US" w:eastAsia="zh-CN"/>
                    </w:rPr>
                  </w:pPr>
                  <w:r>
                    <w:rPr>
                      <w:rFonts w:hint="eastAsia" w:ascii="Times New Roman" w:hAnsi="Times New Roman" w:eastAsia="宋体" w:cs="Times New Roman"/>
                      <w:color w:val="000000"/>
                      <w:sz w:val="24"/>
                      <w:szCs w:val="24"/>
                      <w:lang w:val="en-US" w:eastAsia="zh-CN"/>
                    </w:rPr>
                    <w:t>无变动</w:t>
                  </w:r>
                </w:p>
              </w:tc>
            </w:tr>
            <w:tr w14:paraId="4060D3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0" w:hRule="atLeast"/>
                <w:jc w:val="center"/>
              </w:trPr>
              <w:tc>
                <w:tcPr>
                  <w:tcW w:w="966" w:type="dxa"/>
                  <w:vMerge w:val="continue"/>
                  <w:noWrap w:val="0"/>
                  <w:vAlign w:val="center"/>
                </w:tcPr>
                <w:p w14:paraId="4807DA14">
                  <w:pPr>
                    <w:autoSpaceDE w:val="0"/>
                    <w:autoSpaceDN w:val="0"/>
                    <w:adjustRightInd w:val="0"/>
                    <w:snapToGrid w:val="0"/>
                    <w:jc w:val="center"/>
                    <w:rPr>
                      <w:rFonts w:hint="eastAsia" w:ascii="宋体" w:hAnsi="宋体" w:eastAsia="宋体" w:cs="宋体"/>
                      <w:b/>
                      <w:bCs/>
                      <w:color w:val="000000"/>
                      <w:kern w:val="0"/>
                      <w:sz w:val="24"/>
                    </w:rPr>
                  </w:pPr>
                </w:p>
              </w:tc>
              <w:tc>
                <w:tcPr>
                  <w:tcW w:w="2664" w:type="dxa"/>
                  <w:gridSpan w:val="2"/>
                  <w:noWrap w:val="0"/>
                  <w:vAlign w:val="center"/>
                </w:tcPr>
                <w:p w14:paraId="2D593F1D">
                  <w:pPr>
                    <w:pStyle w:val="54"/>
                    <w:bidi w:val="0"/>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eastAsia"/>
                      <w:color w:val="000000" w:themeColor="text1"/>
                      <w:lang w:val="en-US" w:eastAsia="zh-CN"/>
                      <w14:textFill>
                        <w14:solidFill>
                          <w14:schemeClr w14:val="tx1"/>
                        </w14:solidFill>
                      </w14:textFill>
                    </w:rPr>
                    <w:t>含漆废水</w:t>
                  </w:r>
                </w:p>
              </w:tc>
              <w:tc>
                <w:tcPr>
                  <w:tcW w:w="1830" w:type="dxa"/>
                  <w:noWrap w:val="0"/>
                  <w:vAlign w:val="center"/>
                </w:tcPr>
                <w:p w14:paraId="558BB4EC">
                  <w:pPr>
                    <w:pStyle w:val="54"/>
                    <w:bidi w:val="0"/>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eastAsia"/>
                      <w:color w:val="000000" w:themeColor="text1"/>
                      <w:highlight w:val="none"/>
                      <w:lang w:val="en-US" w:eastAsia="zh-CN"/>
                      <w14:textFill>
                        <w14:solidFill>
                          <w14:schemeClr w14:val="tx1"/>
                        </w14:solidFill>
                      </w14:textFill>
                    </w:rPr>
                    <w:t>项目水帘废水和喷淋废水作危废管理，定期交有资质单位处理，不外排</w:t>
                  </w:r>
                </w:p>
              </w:tc>
              <w:tc>
                <w:tcPr>
                  <w:tcW w:w="2216" w:type="dxa"/>
                  <w:noWrap w:val="0"/>
                  <w:vAlign w:val="center"/>
                </w:tcPr>
                <w:p w14:paraId="29782B4F">
                  <w:pPr>
                    <w:pStyle w:val="54"/>
                    <w:bidi w:val="0"/>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color w:val="000000" w:themeColor="text1"/>
                      <w14:textFill>
                        <w14:solidFill>
                          <w14:schemeClr w14:val="tx1"/>
                        </w14:solidFill>
                      </w14:textFill>
                    </w:rPr>
                    <w:t>《危险废物贮存污染控制标准》（</w:t>
                  </w:r>
                  <w:r>
                    <w:rPr>
                      <w:rFonts w:hint="eastAsia"/>
                      <w:color w:val="000000" w:themeColor="text1"/>
                      <w:lang w:eastAsia="zh-CN"/>
                      <w14:textFill>
                        <w14:solidFill>
                          <w14:schemeClr w14:val="tx1"/>
                        </w14:solidFill>
                      </w14:textFill>
                    </w:rPr>
                    <w:t>GB18597-2023</w:t>
                  </w:r>
                  <w:r>
                    <w:rPr>
                      <w:color w:val="000000" w:themeColor="text1"/>
                      <w14:textFill>
                        <w14:solidFill>
                          <w14:schemeClr w14:val="tx1"/>
                        </w14:solidFill>
                      </w14:textFill>
                    </w:rPr>
                    <w:t>）</w:t>
                  </w:r>
                  <w:r>
                    <w:rPr>
                      <w:rFonts w:hint="eastAsia"/>
                      <w:color w:val="000000" w:themeColor="text1"/>
                      <w:lang w:eastAsia="zh-CN"/>
                      <w14:textFill>
                        <w14:solidFill>
                          <w14:schemeClr w14:val="tx1"/>
                        </w14:solidFill>
                      </w14:textFill>
                    </w:rPr>
                    <w:t>、</w:t>
                  </w:r>
                  <w:r>
                    <w:rPr>
                      <w:color w:val="000000" w:themeColor="text1"/>
                      <w14:textFill>
                        <w14:solidFill>
                          <w14:schemeClr w14:val="tx1"/>
                        </w14:solidFill>
                      </w14:textFill>
                    </w:rPr>
                    <w:t>《危险废物转移管理办法》</w:t>
                  </w:r>
                </w:p>
              </w:tc>
              <w:tc>
                <w:tcPr>
                  <w:tcW w:w="2216" w:type="dxa"/>
                  <w:noWrap w:val="0"/>
                  <w:vAlign w:val="center"/>
                </w:tcPr>
                <w:p w14:paraId="1A3E4799">
                  <w:pPr>
                    <w:pStyle w:val="54"/>
                    <w:bidi w:val="0"/>
                    <w:rPr>
                      <w:color w:val="0000FF"/>
                    </w:rPr>
                  </w:pPr>
                </w:p>
              </w:tc>
            </w:tr>
            <w:tr w14:paraId="3F7625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0" w:hRule="atLeast"/>
                <w:jc w:val="center"/>
              </w:trPr>
              <w:tc>
                <w:tcPr>
                  <w:tcW w:w="966" w:type="dxa"/>
                  <w:noWrap w:val="0"/>
                  <w:vAlign w:val="center"/>
                </w:tcPr>
                <w:p w14:paraId="174D0411">
                  <w:pPr>
                    <w:autoSpaceDE w:val="0"/>
                    <w:autoSpaceDN w:val="0"/>
                    <w:adjustRightInd w:val="0"/>
                    <w:snapToGrid w:val="0"/>
                    <w:jc w:val="center"/>
                    <w:rPr>
                      <w:rFonts w:hint="eastAsia" w:ascii="宋体" w:hAnsi="宋体" w:eastAsia="宋体" w:cs="宋体"/>
                      <w:b/>
                      <w:bCs/>
                      <w:color w:val="000000"/>
                      <w:kern w:val="0"/>
                      <w:sz w:val="24"/>
                    </w:rPr>
                  </w:pPr>
                  <w:r>
                    <w:rPr>
                      <w:rFonts w:hint="eastAsia" w:ascii="宋体" w:hAnsi="宋体" w:eastAsia="宋体" w:cs="宋体"/>
                      <w:b/>
                      <w:bCs/>
                      <w:color w:val="000000"/>
                      <w:kern w:val="0"/>
                      <w:sz w:val="24"/>
                    </w:rPr>
                    <w:t>声环境</w:t>
                  </w:r>
                </w:p>
              </w:tc>
              <w:tc>
                <w:tcPr>
                  <w:tcW w:w="1332" w:type="dxa"/>
                  <w:noWrap w:val="0"/>
                  <w:vAlign w:val="center"/>
                </w:tcPr>
                <w:p w14:paraId="75480A7C">
                  <w:pPr>
                    <w:pStyle w:val="54"/>
                    <w:bidi w:val="0"/>
                    <w:rPr>
                      <w:rFonts w:hint="eastAsia" w:eastAsia="宋体"/>
                      <w:color w:val="000000"/>
                      <w:highlight w:val="none"/>
                      <w:lang w:val="en-US" w:eastAsia="zh-CN"/>
                    </w:rPr>
                  </w:pPr>
                  <w:r>
                    <w:rPr>
                      <w:rFonts w:hint="eastAsia"/>
                      <w:color w:val="000000"/>
                      <w:highlight w:val="none"/>
                      <w:lang w:val="en-US" w:eastAsia="zh-CN"/>
                    </w:rPr>
                    <w:t>生产设备等</w:t>
                  </w:r>
                </w:p>
              </w:tc>
              <w:tc>
                <w:tcPr>
                  <w:tcW w:w="1332" w:type="dxa"/>
                  <w:noWrap w:val="0"/>
                  <w:vAlign w:val="center"/>
                </w:tcPr>
                <w:p w14:paraId="1B78F352">
                  <w:pPr>
                    <w:pStyle w:val="54"/>
                    <w:bidi w:val="0"/>
                    <w:rPr>
                      <w:color w:val="000000"/>
                      <w:highlight w:val="none"/>
                    </w:rPr>
                  </w:pPr>
                  <w:r>
                    <w:rPr>
                      <w:color w:val="000000"/>
                      <w:highlight w:val="none"/>
                    </w:rPr>
                    <w:t>等效A 声级</w:t>
                  </w:r>
                </w:p>
              </w:tc>
              <w:tc>
                <w:tcPr>
                  <w:tcW w:w="1830" w:type="dxa"/>
                  <w:noWrap w:val="0"/>
                  <w:vAlign w:val="center"/>
                </w:tcPr>
                <w:p w14:paraId="318615D4">
                  <w:pPr>
                    <w:pStyle w:val="54"/>
                    <w:bidi w:val="0"/>
                    <w:rPr>
                      <w:rFonts w:hint="default" w:eastAsia="宋体"/>
                      <w:color w:val="000000"/>
                      <w:highlight w:val="none"/>
                      <w:lang w:val="en-US" w:eastAsia="zh-CN"/>
                    </w:rPr>
                  </w:pPr>
                  <w:r>
                    <w:rPr>
                      <w:color w:val="000000"/>
                      <w:highlight w:val="none"/>
                    </w:rPr>
                    <w:t>选用低噪设备、</w:t>
                  </w:r>
                  <w:r>
                    <w:rPr>
                      <w:rFonts w:hint="eastAsia"/>
                      <w:color w:val="000000"/>
                      <w:highlight w:val="none"/>
                      <w:lang w:val="en-US" w:eastAsia="zh-CN"/>
                    </w:rPr>
                    <w:t>采取基础减振等措施</w:t>
                  </w:r>
                </w:p>
              </w:tc>
              <w:tc>
                <w:tcPr>
                  <w:tcW w:w="2216" w:type="dxa"/>
                  <w:noWrap w:val="0"/>
                  <w:vAlign w:val="center"/>
                </w:tcPr>
                <w:p w14:paraId="51FCEC9F">
                  <w:pPr>
                    <w:pStyle w:val="54"/>
                    <w:bidi w:val="0"/>
                    <w:rPr>
                      <w:color w:val="000000"/>
                      <w:highlight w:val="none"/>
                    </w:rPr>
                  </w:pPr>
                  <w:r>
                    <w:rPr>
                      <w:color w:val="000000"/>
                      <w:highlight w:val="none"/>
                    </w:rPr>
                    <w:t>《工业企业厂界环境噪声排放标准》（GB12348-2008）中的</w:t>
                  </w:r>
                  <w:r>
                    <w:rPr>
                      <w:rFonts w:hint="eastAsia"/>
                      <w:color w:val="000000"/>
                      <w:highlight w:val="none"/>
                      <w:lang w:val="en-US" w:eastAsia="zh-CN"/>
                    </w:rPr>
                    <w:t>3</w:t>
                  </w:r>
                  <w:r>
                    <w:rPr>
                      <w:color w:val="000000"/>
                      <w:highlight w:val="none"/>
                    </w:rPr>
                    <w:t xml:space="preserve"> 类标准</w:t>
                  </w:r>
                </w:p>
              </w:tc>
              <w:tc>
                <w:tcPr>
                  <w:tcW w:w="2216" w:type="dxa"/>
                  <w:noWrap w:val="0"/>
                  <w:vAlign w:val="center"/>
                </w:tcPr>
                <w:p w14:paraId="6A9FC559">
                  <w:pPr>
                    <w:bidi w:val="0"/>
                    <w:rPr>
                      <w:color w:val="000000"/>
                      <w:highlight w:val="none"/>
                    </w:rPr>
                  </w:pPr>
                  <w:r>
                    <w:rPr>
                      <w:rFonts w:hint="eastAsia" w:ascii="Times New Roman" w:hAnsi="Times New Roman" w:eastAsia="宋体" w:cs="Times New Roman"/>
                      <w:color w:val="000000"/>
                      <w:sz w:val="24"/>
                      <w:szCs w:val="24"/>
                      <w:lang w:val="en-US" w:eastAsia="zh-CN"/>
                    </w:rPr>
                    <w:t>无变动</w:t>
                  </w:r>
                </w:p>
              </w:tc>
            </w:tr>
            <w:tr w14:paraId="234F52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0" w:hRule="atLeast"/>
                <w:jc w:val="center"/>
              </w:trPr>
              <w:tc>
                <w:tcPr>
                  <w:tcW w:w="966" w:type="dxa"/>
                  <w:vMerge w:val="restart"/>
                  <w:noWrap w:val="0"/>
                  <w:vAlign w:val="center"/>
                </w:tcPr>
                <w:p w14:paraId="0275D170">
                  <w:pPr>
                    <w:autoSpaceDE w:val="0"/>
                    <w:autoSpaceDN w:val="0"/>
                    <w:adjustRightInd w:val="0"/>
                    <w:snapToGrid w:val="0"/>
                    <w:jc w:val="center"/>
                    <w:rPr>
                      <w:rFonts w:hint="eastAsia" w:ascii="宋体" w:hAnsi="宋体" w:eastAsia="宋体" w:cs="宋体"/>
                      <w:b/>
                      <w:bCs/>
                      <w:color w:val="000000"/>
                      <w:kern w:val="0"/>
                      <w:sz w:val="24"/>
                    </w:rPr>
                  </w:pPr>
                  <w:r>
                    <w:rPr>
                      <w:rFonts w:hint="eastAsia" w:ascii="宋体" w:hAnsi="宋体" w:eastAsia="宋体" w:cs="宋体"/>
                      <w:b/>
                      <w:bCs/>
                      <w:color w:val="000000"/>
                      <w:kern w:val="0"/>
                      <w:sz w:val="24"/>
                    </w:rPr>
                    <w:t>固体</w:t>
                  </w:r>
                </w:p>
                <w:p w14:paraId="4D9ADFA4">
                  <w:pPr>
                    <w:autoSpaceDE w:val="0"/>
                    <w:autoSpaceDN w:val="0"/>
                    <w:adjustRightInd w:val="0"/>
                    <w:snapToGrid w:val="0"/>
                    <w:jc w:val="center"/>
                    <w:rPr>
                      <w:rFonts w:hint="eastAsia" w:ascii="宋体" w:hAnsi="宋体" w:eastAsia="宋体" w:cs="宋体"/>
                      <w:b/>
                      <w:bCs/>
                      <w:color w:val="000000"/>
                      <w:kern w:val="0"/>
                      <w:sz w:val="24"/>
                    </w:rPr>
                  </w:pPr>
                  <w:r>
                    <w:rPr>
                      <w:rFonts w:hint="eastAsia" w:ascii="宋体" w:hAnsi="宋体" w:eastAsia="宋体" w:cs="宋体"/>
                      <w:b/>
                      <w:bCs/>
                      <w:color w:val="000000"/>
                      <w:kern w:val="0"/>
                      <w:sz w:val="24"/>
                    </w:rPr>
                    <w:t>废物</w:t>
                  </w:r>
                </w:p>
              </w:tc>
              <w:tc>
                <w:tcPr>
                  <w:tcW w:w="1332" w:type="dxa"/>
                  <w:noWrap w:val="0"/>
                  <w:vAlign w:val="center"/>
                </w:tcPr>
                <w:p w14:paraId="07D7E1CA">
                  <w:pPr>
                    <w:pStyle w:val="54"/>
                    <w:bidi w:val="0"/>
                    <w:rPr>
                      <w:rFonts w:hint="default" w:ascii="Times New Roman" w:hAnsi="Times New Roman"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一般固废暂存间</w:t>
                  </w:r>
                </w:p>
              </w:tc>
              <w:tc>
                <w:tcPr>
                  <w:tcW w:w="1332" w:type="dxa"/>
                  <w:noWrap w:val="0"/>
                  <w:vAlign w:val="center"/>
                </w:tcPr>
                <w:p w14:paraId="6404069E">
                  <w:pPr>
                    <w:pStyle w:val="54"/>
                    <w:bidi w:val="0"/>
                    <w:rPr>
                      <w:rFonts w:hint="default" w:ascii="Times New Roman" w:hAnsi="Times New Roman"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一般固废</w:t>
                  </w:r>
                </w:p>
              </w:tc>
              <w:tc>
                <w:tcPr>
                  <w:tcW w:w="1830" w:type="dxa"/>
                  <w:noWrap w:val="0"/>
                  <w:vAlign w:val="center"/>
                </w:tcPr>
                <w:p w14:paraId="6230F76B">
                  <w:pPr>
                    <w:pStyle w:val="34"/>
                    <w:rPr>
                      <w:rFonts w:hint="default" w:ascii="Times New Roman" w:hAnsi="Times New Roman" w:eastAsia="宋体" w:cs="Times New Roman"/>
                      <w:color w:val="000000"/>
                      <w:kern w:val="2"/>
                      <w:sz w:val="24"/>
                      <w:szCs w:val="24"/>
                      <w:lang w:val="en-US" w:eastAsia="zh-CN" w:bidi="ar-SA"/>
                    </w:rPr>
                  </w:pPr>
                  <w:r>
                    <w:rPr>
                      <w:rFonts w:hint="eastAsia"/>
                      <w:color w:val="000000"/>
                      <w:sz w:val="24"/>
                      <w:szCs w:val="24"/>
                      <w:highlight w:val="none"/>
                      <w:lang w:val="en-US" w:eastAsia="zh-CN"/>
                    </w:rPr>
                    <w:t>一般固废暂存间（面积10m</w:t>
                  </w:r>
                  <w:r>
                    <w:rPr>
                      <w:rFonts w:hint="eastAsia"/>
                      <w:color w:val="000000"/>
                      <w:sz w:val="24"/>
                      <w:szCs w:val="24"/>
                      <w:highlight w:val="none"/>
                      <w:vertAlign w:val="superscript"/>
                      <w:lang w:val="en-US" w:eastAsia="zh-CN"/>
                    </w:rPr>
                    <w:t>2</w:t>
                  </w:r>
                  <w:r>
                    <w:rPr>
                      <w:rFonts w:hint="eastAsia"/>
                      <w:color w:val="000000"/>
                      <w:sz w:val="24"/>
                      <w:szCs w:val="24"/>
                      <w:highlight w:val="none"/>
                      <w:lang w:val="en-US" w:eastAsia="zh-CN"/>
                    </w:rPr>
                    <w:t>）位于厂房西南侧，一般固废经收集暂存后外售物资回收单位</w:t>
                  </w:r>
                </w:p>
              </w:tc>
              <w:tc>
                <w:tcPr>
                  <w:tcW w:w="2216" w:type="dxa"/>
                  <w:noWrap w:val="0"/>
                  <w:vAlign w:val="center"/>
                </w:tcPr>
                <w:p w14:paraId="5A21FC9D">
                  <w:pPr>
                    <w:pStyle w:val="54"/>
                    <w:bidi w:val="0"/>
                    <w:rPr>
                      <w:rFonts w:ascii="Times New Roman" w:hAnsi="Times New Roman" w:eastAsia="宋体" w:cs="Times New Roman"/>
                      <w:color w:val="000000"/>
                      <w:kern w:val="2"/>
                      <w:sz w:val="24"/>
                      <w:szCs w:val="24"/>
                      <w:lang w:val="en-US" w:eastAsia="zh-CN" w:bidi="ar-SA"/>
                    </w:rPr>
                  </w:pPr>
                  <w:r>
                    <w:rPr>
                      <w:rFonts w:hint="default"/>
                      <w:color w:val="000000"/>
                      <w:lang w:val="en-US" w:eastAsia="zh-CN"/>
                    </w:rPr>
                    <w:t>贮存过程应满足相应防渗漏、防雨淋、防扬尘等环境保护要求</w:t>
                  </w:r>
                  <w:r>
                    <w:rPr>
                      <w:rFonts w:hint="eastAsia"/>
                      <w:color w:val="000000"/>
                      <w:lang w:val="en-US" w:eastAsia="zh-CN"/>
                    </w:rPr>
                    <w:t>，并</w:t>
                  </w:r>
                  <w:r>
                    <w:rPr>
                      <w:rFonts w:hint="default"/>
                      <w:color w:val="000000"/>
                      <w:lang w:val="en-US" w:eastAsia="zh-CN"/>
                    </w:rPr>
                    <w:t>设置清晰、完整的一般工业固体废物标志牌等</w:t>
                  </w:r>
                </w:p>
              </w:tc>
              <w:tc>
                <w:tcPr>
                  <w:tcW w:w="2216" w:type="dxa"/>
                  <w:noWrap w:val="0"/>
                  <w:vAlign w:val="center"/>
                </w:tcPr>
                <w:p w14:paraId="7E76C063">
                  <w:pPr>
                    <w:bidi w:val="0"/>
                    <w:rPr>
                      <w:rFonts w:hint="default"/>
                      <w:color w:val="000000"/>
                      <w:lang w:val="en-US" w:eastAsia="zh-CN"/>
                    </w:rPr>
                  </w:pPr>
                  <w:r>
                    <w:rPr>
                      <w:rFonts w:hint="eastAsia" w:ascii="Times New Roman" w:hAnsi="Times New Roman" w:eastAsia="宋体" w:cs="Times New Roman"/>
                      <w:color w:val="000000"/>
                      <w:sz w:val="24"/>
                      <w:szCs w:val="24"/>
                      <w:lang w:val="en-US" w:eastAsia="zh-CN"/>
                    </w:rPr>
                    <w:t>无变动</w:t>
                  </w:r>
                </w:p>
              </w:tc>
            </w:tr>
            <w:tr w14:paraId="700AE0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0" w:hRule="atLeast"/>
                <w:jc w:val="center"/>
              </w:trPr>
              <w:tc>
                <w:tcPr>
                  <w:tcW w:w="966" w:type="dxa"/>
                  <w:vMerge w:val="continue"/>
                  <w:noWrap w:val="0"/>
                  <w:vAlign w:val="center"/>
                </w:tcPr>
                <w:p w14:paraId="64D2384D">
                  <w:pPr>
                    <w:autoSpaceDE w:val="0"/>
                    <w:autoSpaceDN w:val="0"/>
                    <w:adjustRightInd w:val="0"/>
                    <w:snapToGrid w:val="0"/>
                    <w:jc w:val="center"/>
                    <w:rPr>
                      <w:rFonts w:hint="eastAsia" w:ascii="宋体" w:hAnsi="宋体" w:eastAsia="宋体" w:cs="宋体"/>
                      <w:b/>
                      <w:bCs/>
                      <w:color w:val="000000"/>
                      <w:kern w:val="0"/>
                      <w:sz w:val="24"/>
                    </w:rPr>
                  </w:pPr>
                </w:p>
              </w:tc>
              <w:tc>
                <w:tcPr>
                  <w:tcW w:w="1332" w:type="dxa"/>
                  <w:noWrap w:val="0"/>
                  <w:vAlign w:val="center"/>
                </w:tcPr>
                <w:p w14:paraId="53BDE8BE">
                  <w:pPr>
                    <w:pStyle w:val="54"/>
                    <w:bidi w:val="0"/>
                    <w:rPr>
                      <w:rFonts w:hint="eastAsia" w:ascii="Times New Roman" w:hAnsi="Times New Roman" w:eastAsia="宋体" w:cs="Times New Roman"/>
                      <w:color w:val="000000"/>
                      <w:kern w:val="2"/>
                      <w:sz w:val="24"/>
                      <w:szCs w:val="24"/>
                      <w:lang w:val="en-US" w:eastAsia="zh-CN" w:bidi="ar-SA"/>
                    </w:rPr>
                  </w:pPr>
                  <w:r>
                    <w:rPr>
                      <w:rFonts w:hint="eastAsia"/>
                      <w:color w:val="000000"/>
                      <w:lang w:val="en-US" w:eastAsia="zh-CN"/>
                    </w:rPr>
                    <w:t>危险废物贮存库</w:t>
                  </w:r>
                </w:p>
              </w:tc>
              <w:tc>
                <w:tcPr>
                  <w:tcW w:w="1332" w:type="dxa"/>
                  <w:noWrap w:val="0"/>
                  <w:vAlign w:val="center"/>
                </w:tcPr>
                <w:p w14:paraId="65F1899A">
                  <w:pPr>
                    <w:pStyle w:val="54"/>
                    <w:bidi w:val="0"/>
                    <w:rPr>
                      <w:rFonts w:hint="eastAsia" w:ascii="Times New Roman" w:hAnsi="Times New Roman" w:eastAsia="宋体" w:cs="Times New Roman"/>
                      <w:color w:val="000000"/>
                      <w:kern w:val="2"/>
                      <w:sz w:val="24"/>
                      <w:szCs w:val="24"/>
                      <w:lang w:val="en-US" w:eastAsia="zh-CN" w:bidi="ar-SA"/>
                    </w:rPr>
                  </w:pPr>
                  <w:r>
                    <w:rPr>
                      <w:rFonts w:hint="eastAsia"/>
                      <w:color w:val="000000"/>
                      <w:lang w:val="en-US" w:eastAsia="zh-CN"/>
                    </w:rPr>
                    <w:t>危险废物</w:t>
                  </w:r>
                </w:p>
              </w:tc>
              <w:tc>
                <w:tcPr>
                  <w:tcW w:w="1830" w:type="dxa"/>
                  <w:noWrap w:val="0"/>
                  <w:vAlign w:val="center"/>
                </w:tcPr>
                <w:p w14:paraId="7DD76C6C">
                  <w:pPr>
                    <w:pStyle w:val="34"/>
                    <w:rPr>
                      <w:rFonts w:hint="eastAsia" w:ascii="Times New Roman" w:hAnsi="Times New Roman" w:eastAsia="宋体" w:cs="Times New Roman"/>
                      <w:color w:val="000000"/>
                      <w:kern w:val="2"/>
                      <w:sz w:val="24"/>
                      <w:szCs w:val="24"/>
                      <w:lang w:val="en-US" w:eastAsia="zh-CN" w:bidi="ar-SA"/>
                    </w:rPr>
                  </w:pPr>
                  <w:r>
                    <w:rPr>
                      <w:rFonts w:hint="eastAsia"/>
                      <w:color w:val="000000"/>
                      <w:sz w:val="24"/>
                      <w:szCs w:val="24"/>
                      <w:highlight w:val="none"/>
                      <w:lang w:val="en-US" w:eastAsia="zh-CN"/>
                    </w:rPr>
                    <w:t>危险废物贮存库（面积10m</w:t>
                  </w:r>
                  <w:r>
                    <w:rPr>
                      <w:rFonts w:hint="eastAsia"/>
                      <w:color w:val="000000"/>
                      <w:sz w:val="24"/>
                      <w:szCs w:val="24"/>
                      <w:highlight w:val="none"/>
                      <w:vertAlign w:val="superscript"/>
                      <w:lang w:val="en-US" w:eastAsia="zh-CN"/>
                    </w:rPr>
                    <w:t>2</w:t>
                  </w:r>
                  <w:r>
                    <w:rPr>
                      <w:rFonts w:hint="eastAsia"/>
                      <w:color w:val="000000"/>
                      <w:sz w:val="24"/>
                      <w:szCs w:val="24"/>
                      <w:highlight w:val="none"/>
                      <w:lang w:val="en-US" w:eastAsia="zh-CN"/>
                    </w:rPr>
                    <w:t>）位于厂房东北侧，危险废物经分类收集暂存后交有危废处置资质单位处理</w:t>
                  </w:r>
                </w:p>
              </w:tc>
              <w:tc>
                <w:tcPr>
                  <w:tcW w:w="2216" w:type="dxa"/>
                  <w:noWrap w:val="0"/>
                  <w:vAlign w:val="center"/>
                </w:tcPr>
                <w:p w14:paraId="42988CC4">
                  <w:pPr>
                    <w:pStyle w:val="54"/>
                    <w:bidi w:val="0"/>
                    <w:rPr>
                      <w:rFonts w:ascii="Times New Roman" w:hAnsi="Times New Roman" w:eastAsia="宋体" w:cs="Times New Roman"/>
                      <w:color w:val="000000"/>
                      <w:kern w:val="2"/>
                      <w:sz w:val="24"/>
                      <w:szCs w:val="24"/>
                      <w:lang w:val="en-US" w:eastAsia="zh-CN" w:bidi="ar-SA"/>
                    </w:rPr>
                  </w:pPr>
                  <w:r>
                    <w:rPr>
                      <w:color w:val="000000"/>
                    </w:rPr>
                    <w:t>危险废物暂存执行《危险废物贮存污染控制标准》（</w:t>
                  </w:r>
                  <w:r>
                    <w:rPr>
                      <w:rFonts w:hint="eastAsia"/>
                      <w:color w:val="000000"/>
                      <w:lang w:eastAsia="zh-CN"/>
                    </w:rPr>
                    <w:t>GB18597-2023</w:t>
                  </w:r>
                  <w:r>
                    <w:rPr>
                      <w:color w:val="000000"/>
                    </w:rPr>
                    <w:t>）</w:t>
                  </w:r>
                  <w:r>
                    <w:rPr>
                      <w:rFonts w:hint="eastAsia"/>
                      <w:color w:val="000000"/>
                      <w:lang w:eastAsia="zh-CN"/>
                    </w:rPr>
                    <w:t>，</w:t>
                  </w:r>
                  <w:r>
                    <w:rPr>
                      <w:color w:val="000000"/>
                    </w:rPr>
                    <w:t>危险废物转移执行《危险废物转移管理办法》中相关要求</w:t>
                  </w:r>
                </w:p>
              </w:tc>
              <w:tc>
                <w:tcPr>
                  <w:tcW w:w="2216" w:type="dxa"/>
                  <w:noWrap w:val="0"/>
                  <w:vAlign w:val="center"/>
                </w:tcPr>
                <w:p w14:paraId="24C56BD8">
                  <w:pPr>
                    <w:bidi w:val="0"/>
                    <w:rPr>
                      <w:color w:val="000000"/>
                    </w:rPr>
                  </w:pPr>
                  <w:r>
                    <w:rPr>
                      <w:rFonts w:hint="eastAsia" w:ascii="Times New Roman" w:hAnsi="Times New Roman" w:eastAsia="宋体" w:cs="Times New Roman"/>
                      <w:color w:val="000000"/>
                      <w:sz w:val="24"/>
                      <w:szCs w:val="24"/>
                      <w:lang w:val="en-US" w:eastAsia="zh-CN"/>
                    </w:rPr>
                    <w:t>无变动</w:t>
                  </w:r>
                </w:p>
              </w:tc>
            </w:tr>
            <w:tr w14:paraId="6ADDB7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433" w:hRule="atLeast"/>
                <w:jc w:val="center"/>
              </w:trPr>
              <w:tc>
                <w:tcPr>
                  <w:tcW w:w="966" w:type="dxa"/>
                  <w:noWrap w:val="0"/>
                  <w:vAlign w:val="center"/>
                </w:tcPr>
                <w:p w14:paraId="18DCEFC0">
                  <w:pPr>
                    <w:autoSpaceDE w:val="0"/>
                    <w:autoSpaceDN w:val="0"/>
                    <w:adjustRightInd w:val="0"/>
                    <w:snapToGrid w:val="0"/>
                    <w:jc w:val="center"/>
                    <w:rPr>
                      <w:rFonts w:hint="eastAsia" w:ascii="宋体" w:hAnsi="宋体" w:eastAsia="宋体" w:cs="宋体"/>
                      <w:b/>
                      <w:bCs/>
                      <w:color w:val="000000"/>
                      <w:kern w:val="0"/>
                      <w:sz w:val="24"/>
                    </w:rPr>
                  </w:pPr>
                  <w:r>
                    <w:rPr>
                      <w:rFonts w:hint="eastAsia" w:ascii="宋体" w:hAnsi="宋体" w:eastAsia="宋体" w:cs="宋体"/>
                      <w:b/>
                      <w:bCs/>
                      <w:color w:val="000000"/>
                      <w:kern w:val="0"/>
                      <w:sz w:val="24"/>
                    </w:rPr>
                    <w:t>电磁</w:t>
                  </w:r>
                </w:p>
                <w:p w14:paraId="5CF53A5E">
                  <w:pPr>
                    <w:autoSpaceDE w:val="0"/>
                    <w:autoSpaceDN w:val="0"/>
                    <w:adjustRightInd w:val="0"/>
                    <w:snapToGrid w:val="0"/>
                    <w:jc w:val="center"/>
                    <w:rPr>
                      <w:rFonts w:hint="eastAsia" w:ascii="宋体" w:hAnsi="宋体" w:eastAsia="宋体" w:cs="宋体"/>
                      <w:b/>
                      <w:bCs/>
                      <w:color w:val="000000"/>
                      <w:kern w:val="0"/>
                      <w:sz w:val="24"/>
                    </w:rPr>
                  </w:pPr>
                  <w:r>
                    <w:rPr>
                      <w:rFonts w:hint="eastAsia" w:ascii="宋体" w:hAnsi="宋体" w:eastAsia="宋体" w:cs="宋体"/>
                      <w:b/>
                      <w:bCs/>
                      <w:color w:val="000000"/>
                      <w:kern w:val="0"/>
                      <w:sz w:val="24"/>
                    </w:rPr>
                    <w:t>辐射</w:t>
                  </w:r>
                </w:p>
              </w:tc>
              <w:tc>
                <w:tcPr>
                  <w:tcW w:w="6710" w:type="dxa"/>
                  <w:gridSpan w:val="4"/>
                  <w:noWrap w:val="0"/>
                  <w:vAlign w:val="center"/>
                </w:tcPr>
                <w:p w14:paraId="5F0C0139">
                  <w:pPr>
                    <w:pStyle w:val="54"/>
                    <w:bidi w:val="0"/>
                    <w:rPr>
                      <w:rFonts w:hint="eastAsia" w:eastAsia="宋体"/>
                      <w:color w:val="000000"/>
                      <w:lang w:val="en-US" w:eastAsia="zh-CN"/>
                    </w:rPr>
                  </w:pPr>
                  <w:r>
                    <w:rPr>
                      <w:rFonts w:hint="eastAsia"/>
                      <w:color w:val="000000"/>
                      <w:lang w:val="en-US" w:eastAsia="zh-CN"/>
                    </w:rPr>
                    <w:t>不涉及</w:t>
                  </w:r>
                </w:p>
              </w:tc>
              <w:tc>
                <w:tcPr>
                  <w:tcW w:w="2216" w:type="dxa"/>
                  <w:noWrap w:val="0"/>
                  <w:vAlign w:val="center"/>
                </w:tcPr>
                <w:p w14:paraId="6C773168">
                  <w:pPr>
                    <w:pStyle w:val="54"/>
                    <w:bidi w:val="0"/>
                    <w:rPr>
                      <w:rFonts w:hint="eastAsia"/>
                      <w:color w:val="000000"/>
                      <w:lang w:val="en-US" w:eastAsia="zh-CN"/>
                    </w:rPr>
                  </w:pPr>
                  <w:r>
                    <w:rPr>
                      <w:rFonts w:hint="eastAsia" w:ascii="Times New Roman" w:hAnsi="Times New Roman" w:eastAsia="宋体" w:cs="Times New Roman"/>
                      <w:color w:val="000000"/>
                      <w:sz w:val="24"/>
                      <w:szCs w:val="24"/>
                      <w:lang w:val="en-US" w:eastAsia="zh-CN"/>
                    </w:rPr>
                    <w:t>无变动</w:t>
                  </w:r>
                </w:p>
              </w:tc>
            </w:tr>
            <w:tr w14:paraId="6D3EB7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586" w:hRule="atLeast"/>
                <w:jc w:val="center"/>
              </w:trPr>
              <w:tc>
                <w:tcPr>
                  <w:tcW w:w="966" w:type="dxa"/>
                  <w:noWrap w:val="0"/>
                  <w:vAlign w:val="center"/>
                </w:tcPr>
                <w:p w14:paraId="5BEEEF68">
                  <w:pPr>
                    <w:autoSpaceDE w:val="0"/>
                    <w:autoSpaceDN w:val="0"/>
                    <w:adjustRightInd w:val="0"/>
                    <w:snapToGrid w:val="0"/>
                    <w:jc w:val="center"/>
                    <w:rPr>
                      <w:rFonts w:hint="eastAsia" w:ascii="宋体" w:hAnsi="宋体" w:eastAsia="宋体" w:cs="宋体"/>
                      <w:b/>
                      <w:bCs/>
                      <w:color w:val="000000"/>
                      <w:kern w:val="0"/>
                      <w:sz w:val="24"/>
                    </w:rPr>
                  </w:pPr>
                  <w:r>
                    <w:rPr>
                      <w:rFonts w:hint="eastAsia" w:ascii="宋体" w:hAnsi="宋体" w:eastAsia="宋体" w:cs="宋体"/>
                      <w:b/>
                      <w:bCs/>
                      <w:color w:val="000000"/>
                      <w:kern w:val="0"/>
                      <w:sz w:val="24"/>
                    </w:rPr>
                    <w:t>土壤及地下水污染防治措施</w:t>
                  </w:r>
                </w:p>
              </w:tc>
              <w:tc>
                <w:tcPr>
                  <w:tcW w:w="6710" w:type="dxa"/>
                  <w:gridSpan w:val="4"/>
                  <w:noWrap w:val="0"/>
                  <w:vAlign w:val="center"/>
                </w:tcPr>
                <w:p w14:paraId="61325708">
                  <w:pPr>
                    <w:pStyle w:val="54"/>
                    <w:bidi w:val="0"/>
                    <w:rPr>
                      <w:rFonts w:hint="eastAsia" w:eastAsia="宋体"/>
                      <w:color w:val="000000"/>
                      <w:lang w:eastAsia="zh-CN"/>
                    </w:rPr>
                  </w:pPr>
                  <w:r>
                    <w:rPr>
                      <w:rFonts w:hint="eastAsia"/>
                      <w:color w:val="000000"/>
                    </w:rPr>
                    <w:t>项目采取分区防渗，</w:t>
                  </w:r>
                  <w:r>
                    <w:rPr>
                      <w:rFonts w:hint="eastAsia"/>
                      <w:color w:val="000000"/>
                      <w:lang w:eastAsia="zh-CN"/>
                    </w:rPr>
                    <w:t>危险废物贮存库、</w:t>
                  </w:r>
                  <w:r>
                    <w:rPr>
                      <w:rFonts w:hint="eastAsia"/>
                      <w:color w:val="000000"/>
                      <w:lang w:val="en-US" w:eastAsia="zh-CN"/>
                    </w:rPr>
                    <w:t>漆料间、喷漆区、喷淋塔</w:t>
                  </w:r>
                  <w:r>
                    <w:rPr>
                      <w:rFonts w:hint="eastAsia"/>
                      <w:color w:val="000000"/>
                    </w:rPr>
                    <w:t>均</w:t>
                  </w:r>
                  <w:r>
                    <w:rPr>
                      <w:rFonts w:hint="eastAsia"/>
                      <w:color w:val="000000"/>
                      <w:lang w:val="en-US" w:eastAsia="zh-CN"/>
                    </w:rPr>
                    <w:t>设置为</w:t>
                  </w:r>
                  <w:r>
                    <w:rPr>
                      <w:rFonts w:hint="eastAsia"/>
                      <w:color w:val="000000"/>
                    </w:rPr>
                    <w:t>重点防渗区</w:t>
                  </w:r>
                  <w:r>
                    <w:rPr>
                      <w:rFonts w:hint="eastAsia"/>
                      <w:color w:val="000000"/>
                      <w:lang w:eastAsia="zh-CN"/>
                    </w:rPr>
                    <w:t>，</w:t>
                  </w:r>
                  <w:r>
                    <w:rPr>
                      <w:rFonts w:hint="eastAsia"/>
                      <w:color w:val="000000"/>
                      <w:lang w:val="en-US" w:eastAsia="zh-CN"/>
                    </w:rPr>
                    <w:t>其他区域为一般防渗区</w:t>
                  </w:r>
                  <w:r>
                    <w:rPr>
                      <w:rFonts w:hint="eastAsia"/>
                      <w:color w:val="000000"/>
                      <w:lang w:eastAsia="zh-CN"/>
                    </w:rPr>
                    <w:t>。</w:t>
                  </w:r>
                  <w:r>
                    <w:rPr>
                      <w:rFonts w:hint="eastAsia"/>
                      <w:color w:val="000000"/>
                      <w:lang w:val="en-US" w:eastAsia="zh-CN"/>
                    </w:rPr>
                    <w:t>重点防渗区按规定采取防腐防渗措施，油漆、润滑油等液态辅料应采用不易破损的密闭包装桶存放，未使用状态下应关紧包装桶盖；漆渣、含漆废水、废润滑油采用加盖桶装并置于托盘内；漆料间和危险废物贮存库设置门堤、环形沟和收集池；喷淋塔区域应设置围堤。</w:t>
                  </w:r>
                </w:p>
              </w:tc>
              <w:tc>
                <w:tcPr>
                  <w:tcW w:w="2216" w:type="dxa"/>
                  <w:noWrap w:val="0"/>
                  <w:vAlign w:val="center"/>
                </w:tcPr>
                <w:p w14:paraId="3F0AAFA1">
                  <w:pPr>
                    <w:pStyle w:val="54"/>
                    <w:bidi w:val="0"/>
                    <w:rPr>
                      <w:rFonts w:hint="eastAsia"/>
                      <w:color w:val="000000"/>
                    </w:rPr>
                  </w:pPr>
                  <w:r>
                    <w:rPr>
                      <w:rFonts w:hint="eastAsia" w:ascii="Times New Roman" w:hAnsi="Times New Roman" w:eastAsia="宋体" w:cs="Times New Roman"/>
                      <w:color w:val="000000"/>
                      <w:sz w:val="24"/>
                      <w:szCs w:val="24"/>
                      <w:lang w:val="en-US" w:eastAsia="zh-CN"/>
                    </w:rPr>
                    <w:t>无变动</w:t>
                  </w:r>
                </w:p>
              </w:tc>
            </w:tr>
            <w:tr w14:paraId="249D13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0" w:hRule="atLeast"/>
                <w:jc w:val="center"/>
              </w:trPr>
              <w:tc>
                <w:tcPr>
                  <w:tcW w:w="966" w:type="dxa"/>
                  <w:noWrap w:val="0"/>
                  <w:vAlign w:val="center"/>
                </w:tcPr>
                <w:p w14:paraId="73DA4D19">
                  <w:pPr>
                    <w:autoSpaceDE w:val="0"/>
                    <w:autoSpaceDN w:val="0"/>
                    <w:adjustRightInd w:val="0"/>
                    <w:snapToGrid w:val="0"/>
                    <w:jc w:val="center"/>
                    <w:rPr>
                      <w:rFonts w:hint="eastAsia" w:ascii="宋体" w:hAnsi="宋体" w:eastAsia="宋体" w:cs="宋体"/>
                      <w:b/>
                      <w:bCs/>
                      <w:color w:val="000000"/>
                      <w:kern w:val="0"/>
                      <w:sz w:val="24"/>
                    </w:rPr>
                  </w:pPr>
                  <w:r>
                    <w:rPr>
                      <w:rFonts w:hint="eastAsia" w:ascii="宋体" w:hAnsi="宋体" w:eastAsia="宋体" w:cs="宋体"/>
                      <w:b/>
                      <w:bCs/>
                      <w:color w:val="000000"/>
                      <w:kern w:val="0"/>
                      <w:sz w:val="24"/>
                    </w:rPr>
                    <w:t>生态保护措施</w:t>
                  </w:r>
                </w:p>
              </w:tc>
              <w:tc>
                <w:tcPr>
                  <w:tcW w:w="6710" w:type="dxa"/>
                  <w:gridSpan w:val="4"/>
                  <w:noWrap w:val="0"/>
                  <w:vAlign w:val="center"/>
                </w:tcPr>
                <w:p w14:paraId="19FF4752">
                  <w:pPr>
                    <w:pStyle w:val="54"/>
                    <w:bidi w:val="0"/>
                    <w:rPr>
                      <w:color w:val="000000"/>
                    </w:rPr>
                  </w:pPr>
                  <w:r>
                    <w:rPr>
                      <w:color w:val="000000"/>
                    </w:rPr>
                    <w:t>不涉及</w:t>
                  </w:r>
                </w:p>
              </w:tc>
              <w:tc>
                <w:tcPr>
                  <w:tcW w:w="2216" w:type="dxa"/>
                  <w:noWrap w:val="0"/>
                  <w:vAlign w:val="center"/>
                </w:tcPr>
                <w:p w14:paraId="067ABBFF">
                  <w:pPr>
                    <w:pStyle w:val="54"/>
                    <w:bidi w:val="0"/>
                    <w:rPr>
                      <w:color w:val="000000"/>
                    </w:rPr>
                  </w:pPr>
                  <w:r>
                    <w:rPr>
                      <w:rFonts w:hint="eastAsia" w:ascii="Times New Roman" w:hAnsi="Times New Roman" w:eastAsia="宋体" w:cs="Times New Roman"/>
                      <w:color w:val="000000"/>
                      <w:sz w:val="24"/>
                      <w:szCs w:val="24"/>
                      <w:lang w:val="en-US" w:eastAsia="zh-CN"/>
                    </w:rPr>
                    <w:t>无变动</w:t>
                  </w:r>
                </w:p>
              </w:tc>
            </w:tr>
            <w:tr w14:paraId="3A249E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0" w:hRule="atLeast"/>
                <w:jc w:val="center"/>
              </w:trPr>
              <w:tc>
                <w:tcPr>
                  <w:tcW w:w="966" w:type="dxa"/>
                  <w:noWrap w:val="0"/>
                  <w:vAlign w:val="center"/>
                </w:tcPr>
                <w:p w14:paraId="7D92EBDD">
                  <w:pPr>
                    <w:autoSpaceDE w:val="0"/>
                    <w:autoSpaceDN w:val="0"/>
                    <w:adjustRightInd w:val="0"/>
                    <w:snapToGrid w:val="0"/>
                    <w:jc w:val="center"/>
                    <w:rPr>
                      <w:rFonts w:hint="eastAsia" w:ascii="宋体" w:hAnsi="宋体" w:eastAsia="宋体" w:cs="宋体"/>
                      <w:b/>
                      <w:bCs/>
                      <w:color w:val="000000"/>
                      <w:kern w:val="0"/>
                      <w:sz w:val="24"/>
                    </w:rPr>
                  </w:pPr>
                  <w:r>
                    <w:rPr>
                      <w:rFonts w:hint="eastAsia" w:ascii="宋体" w:hAnsi="宋体" w:eastAsia="宋体" w:cs="宋体"/>
                      <w:b/>
                      <w:bCs/>
                      <w:color w:val="000000"/>
                      <w:kern w:val="0"/>
                      <w:sz w:val="24"/>
                    </w:rPr>
                    <w:t>环境风险防范措施</w:t>
                  </w:r>
                </w:p>
              </w:tc>
              <w:tc>
                <w:tcPr>
                  <w:tcW w:w="6710" w:type="dxa"/>
                  <w:gridSpan w:val="4"/>
                  <w:noWrap w:val="0"/>
                  <w:vAlign w:val="center"/>
                </w:tcPr>
                <w:p w14:paraId="4F92B8EB">
                  <w:pPr>
                    <w:pStyle w:val="21"/>
                    <w:bidi w:val="0"/>
                    <w:rPr>
                      <w:rFonts w:hint="default"/>
                      <w:color w:val="000000"/>
                    </w:rPr>
                  </w:pPr>
                  <w:r>
                    <w:rPr>
                      <w:rFonts w:hint="eastAsia"/>
                      <w:color w:val="000000"/>
                      <w:lang w:val="en-US" w:eastAsia="zh-CN"/>
                    </w:rPr>
                    <w:t>项目</w:t>
                  </w:r>
                  <w:r>
                    <w:rPr>
                      <w:rFonts w:hint="default"/>
                      <w:color w:val="000000"/>
                      <w:lang w:val="en-US" w:eastAsia="zh-CN"/>
                    </w:rPr>
                    <w:t>设置专门管理人员，负责对</w:t>
                  </w:r>
                  <w:r>
                    <w:rPr>
                      <w:rFonts w:hint="eastAsia"/>
                      <w:color w:val="000000"/>
                      <w:lang w:val="en-US" w:eastAsia="zh-CN"/>
                    </w:rPr>
                    <w:t>危险废物贮存库和漆料间</w:t>
                  </w:r>
                  <w:r>
                    <w:rPr>
                      <w:rFonts w:hint="default"/>
                      <w:color w:val="000000"/>
                      <w:lang w:val="en-US" w:eastAsia="zh-CN"/>
                    </w:rPr>
                    <w:t>进行管理，发现破损立即采取措施清理更换。</w:t>
                  </w:r>
                  <w:r>
                    <w:rPr>
                      <w:rFonts w:hint="eastAsia"/>
                      <w:color w:val="000000"/>
                      <w:lang w:val="en-US" w:eastAsia="zh-CN"/>
                    </w:rPr>
                    <w:t>项目危险废物贮存库、漆料间采取重点防腐防渗措施，漆渣、含漆废水、废润滑油等采用密闭桶装，各液态辅料采用不易破损的密闭包装桶存放</w:t>
                  </w:r>
                  <w:r>
                    <w:rPr>
                      <w:rFonts w:hint="default"/>
                      <w:color w:val="000000"/>
                    </w:rPr>
                    <w:t>。</w:t>
                  </w:r>
                </w:p>
                <w:p w14:paraId="1299B0AF">
                  <w:pPr>
                    <w:pStyle w:val="21"/>
                    <w:bidi w:val="0"/>
                    <w:rPr>
                      <w:color w:val="000000"/>
                    </w:rPr>
                  </w:pPr>
                  <w:r>
                    <w:rPr>
                      <w:rFonts w:hint="eastAsia"/>
                      <w:color w:val="000000"/>
                      <w:lang w:val="en-US" w:eastAsia="zh-CN"/>
                    </w:rPr>
                    <w:t>（</w:t>
                  </w:r>
                  <w:r>
                    <w:rPr>
                      <w:rFonts w:hint="default"/>
                      <w:color w:val="000000"/>
                      <w:lang w:val="en-US" w:eastAsia="zh-CN"/>
                    </w:rPr>
                    <w:t>1</w:t>
                  </w:r>
                  <w:r>
                    <w:rPr>
                      <w:rFonts w:hint="eastAsia"/>
                      <w:color w:val="000000"/>
                      <w:lang w:val="en-US" w:eastAsia="zh-CN"/>
                    </w:rPr>
                    <w:t xml:space="preserve">）强化安全生产及环境保护意识教育，加强操作人员上岗前的培训，使职工掌握生产技能和安全防护知识； </w:t>
                  </w:r>
                </w:p>
                <w:p w14:paraId="5738AE27">
                  <w:pPr>
                    <w:pStyle w:val="21"/>
                    <w:bidi w:val="0"/>
                    <w:rPr>
                      <w:color w:val="000000"/>
                    </w:rPr>
                  </w:pPr>
                  <w:r>
                    <w:rPr>
                      <w:rFonts w:hint="eastAsia"/>
                      <w:color w:val="000000"/>
                      <w:lang w:val="en-US" w:eastAsia="zh-CN"/>
                    </w:rPr>
                    <w:t>（</w:t>
                  </w:r>
                  <w:r>
                    <w:rPr>
                      <w:rFonts w:hint="default"/>
                      <w:color w:val="000000"/>
                      <w:lang w:val="en-US" w:eastAsia="zh-CN"/>
                    </w:rPr>
                    <w:t>2</w:t>
                  </w:r>
                  <w:r>
                    <w:rPr>
                      <w:rFonts w:hint="eastAsia"/>
                      <w:color w:val="000000"/>
                      <w:lang w:val="en-US" w:eastAsia="zh-CN"/>
                    </w:rPr>
                    <w:t xml:space="preserve">）设置专用库房（漆料间）、危险废物贮存库，液体危险废物使用专用容器盛装并配套泄漏收集托盘和备用物料转移空桶； </w:t>
                  </w:r>
                </w:p>
                <w:p w14:paraId="6A12CE33">
                  <w:pPr>
                    <w:pStyle w:val="21"/>
                    <w:bidi w:val="0"/>
                    <w:rPr>
                      <w:color w:val="000000"/>
                    </w:rPr>
                  </w:pPr>
                  <w:r>
                    <w:rPr>
                      <w:rFonts w:hint="eastAsia"/>
                      <w:color w:val="000000"/>
                      <w:lang w:val="en-US" w:eastAsia="zh-CN"/>
                    </w:rPr>
                    <w:t>（</w:t>
                  </w:r>
                  <w:r>
                    <w:rPr>
                      <w:rFonts w:hint="default"/>
                      <w:color w:val="000000"/>
                      <w:lang w:val="en-US" w:eastAsia="zh-CN"/>
                    </w:rPr>
                    <w:t>3</w:t>
                  </w:r>
                  <w:r>
                    <w:rPr>
                      <w:rFonts w:hint="eastAsia"/>
                      <w:color w:val="000000"/>
                      <w:lang w:val="en-US" w:eastAsia="zh-CN"/>
                    </w:rPr>
                    <w:t>）专用库房（漆料间）、危险废物贮存库地面作硬化防渗处理，设置不锈钢托盘，油类等危险物质放置于托盘上，危险废物贮存库设置围堰；</w:t>
                  </w:r>
                </w:p>
                <w:p w14:paraId="73A96E56">
                  <w:pPr>
                    <w:pStyle w:val="21"/>
                    <w:bidi w:val="0"/>
                    <w:rPr>
                      <w:rFonts w:hint="eastAsia" w:eastAsia="宋体"/>
                      <w:color w:val="000000"/>
                      <w:lang w:val="en-US" w:eastAsia="zh-CN"/>
                    </w:rPr>
                  </w:pPr>
                  <w:r>
                    <w:rPr>
                      <w:rFonts w:hint="eastAsia"/>
                      <w:color w:val="000000"/>
                      <w:lang w:eastAsia="zh-CN"/>
                    </w:rPr>
                    <w:t>（</w:t>
                  </w:r>
                  <w:r>
                    <w:rPr>
                      <w:rFonts w:hint="eastAsia"/>
                      <w:color w:val="000000"/>
                      <w:lang w:val="en-US" w:eastAsia="zh-CN"/>
                    </w:rPr>
                    <w:t>4</w:t>
                  </w:r>
                  <w:r>
                    <w:rPr>
                      <w:rFonts w:hint="eastAsia"/>
                      <w:color w:val="000000"/>
                      <w:lang w:eastAsia="zh-CN"/>
                    </w:rPr>
                    <w:t>）</w:t>
                  </w:r>
                  <w:r>
                    <w:rPr>
                      <w:rFonts w:hint="eastAsia"/>
                      <w:color w:val="000000"/>
                      <w:lang w:val="en-US" w:eastAsia="zh-CN"/>
                    </w:rPr>
                    <w:t>漆料间、危险废物贮存库设置禁止烟火标识，配备灭火器和消防沙。</w:t>
                  </w:r>
                </w:p>
              </w:tc>
              <w:tc>
                <w:tcPr>
                  <w:tcW w:w="2216" w:type="dxa"/>
                  <w:noWrap w:val="0"/>
                  <w:vAlign w:val="center"/>
                </w:tcPr>
                <w:p w14:paraId="08B4565A">
                  <w:pPr>
                    <w:pStyle w:val="21"/>
                    <w:bidi w:val="0"/>
                    <w:rPr>
                      <w:rFonts w:hint="eastAsia"/>
                      <w:color w:val="000000"/>
                      <w:lang w:eastAsia="zh-CN"/>
                    </w:rPr>
                  </w:pPr>
                  <w:r>
                    <w:rPr>
                      <w:rFonts w:hint="eastAsia" w:ascii="Times New Roman" w:hAnsi="Times New Roman" w:eastAsia="宋体" w:cs="Times New Roman"/>
                      <w:color w:val="000000"/>
                      <w:sz w:val="24"/>
                      <w:szCs w:val="24"/>
                      <w:lang w:val="en-US" w:eastAsia="zh-CN"/>
                    </w:rPr>
                    <w:t>无变动</w:t>
                  </w:r>
                </w:p>
              </w:tc>
            </w:tr>
            <w:tr w14:paraId="259167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0" w:hRule="atLeast"/>
                <w:jc w:val="center"/>
              </w:trPr>
              <w:tc>
                <w:tcPr>
                  <w:tcW w:w="966" w:type="dxa"/>
                  <w:noWrap w:val="0"/>
                  <w:vAlign w:val="center"/>
                </w:tcPr>
                <w:p w14:paraId="4ED49992">
                  <w:pPr>
                    <w:autoSpaceDE w:val="0"/>
                    <w:autoSpaceDN w:val="0"/>
                    <w:adjustRightInd w:val="0"/>
                    <w:snapToGrid w:val="0"/>
                    <w:jc w:val="center"/>
                    <w:rPr>
                      <w:rFonts w:hint="eastAsia" w:ascii="宋体" w:hAnsi="宋体" w:eastAsia="宋体" w:cs="宋体"/>
                      <w:b/>
                      <w:bCs/>
                      <w:color w:val="000000"/>
                      <w:kern w:val="0"/>
                      <w:sz w:val="24"/>
                    </w:rPr>
                  </w:pPr>
                  <w:r>
                    <w:rPr>
                      <w:rFonts w:hint="eastAsia" w:ascii="宋体" w:hAnsi="宋体" w:eastAsia="宋体" w:cs="宋体"/>
                      <w:b/>
                      <w:bCs/>
                      <w:color w:val="000000"/>
                      <w:kern w:val="0"/>
                      <w:sz w:val="24"/>
                    </w:rPr>
                    <w:t>其他环境管理要求</w:t>
                  </w:r>
                </w:p>
              </w:tc>
              <w:tc>
                <w:tcPr>
                  <w:tcW w:w="6710" w:type="dxa"/>
                  <w:gridSpan w:val="4"/>
                  <w:noWrap w:val="0"/>
                  <w:vAlign w:val="center"/>
                </w:tcPr>
                <w:p w14:paraId="21EFD36E">
                  <w:pPr>
                    <w:pStyle w:val="21"/>
                    <w:bidi w:val="0"/>
                    <w:rPr>
                      <w:rFonts w:hint="default"/>
                      <w:color w:val="000000"/>
                    </w:rPr>
                  </w:pPr>
                  <w:r>
                    <w:rPr>
                      <w:rFonts w:hint="default"/>
                      <w:color w:val="000000"/>
                    </w:rPr>
                    <w:t>企业设有1名</w:t>
                  </w:r>
                  <w:r>
                    <w:rPr>
                      <w:rFonts w:hint="eastAsia"/>
                      <w:color w:val="000000"/>
                      <w:lang w:val="en-US" w:eastAsia="zh-CN"/>
                    </w:rPr>
                    <w:t>兼职</w:t>
                  </w:r>
                  <w:r>
                    <w:rPr>
                      <w:rFonts w:hint="default"/>
                      <w:color w:val="000000"/>
                    </w:rPr>
                    <w:t>环境管理员，主要承担项目的环保管理、污染治理、污染源监测、环保规划、环保宣传、对外协调环保工作等。运营期环境管理计划如下：</w:t>
                  </w:r>
                </w:p>
                <w:p w14:paraId="330F86CB">
                  <w:pPr>
                    <w:pStyle w:val="21"/>
                    <w:bidi w:val="0"/>
                    <w:rPr>
                      <w:color w:val="000000"/>
                    </w:rPr>
                  </w:pPr>
                  <w:r>
                    <w:rPr>
                      <w:color w:val="000000"/>
                    </w:rPr>
                    <w:t>（1）建立完善的环境管理机构，确定各部门及岗位的环境保护目标和可量化的指标。借以促进全体员工参与到环境保护工作之中。</w:t>
                  </w:r>
                </w:p>
                <w:p w14:paraId="78C12B1C">
                  <w:pPr>
                    <w:pStyle w:val="21"/>
                    <w:bidi w:val="0"/>
                    <w:rPr>
                      <w:color w:val="000000"/>
                    </w:rPr>
                  </w:pPr>
                  <w:r>
                    <w:rPr>
                      <w:color w:val="000000"/>
                    </w:rPr>
                    <w:t>（2）明确环保专职人员的工作职责，制定并督促执行相应的环境保护规章制度。如岗位责任制、操作规程、安全制度、环境设施管理规定等，对员工进行定期和不定期的环境保护知识培训，</w:t>
                  </w:r>
                  <w:r>
                    <w:rPr>
                      <w:rFonts w:hint="eastAsia"/>
                      <w:color w:val="000000"/>
                      <w:lang w:eastAsia="zh-CN"/>
                    </w:rPr>
                    <w:t>增强</w:t>
                  </w:r>
                  <w:r>
                    <w:rPr>
                      <w:color w:val="000000"/>
                    </w:rPr>
                    <w:t>职工的环境保护意识，保证环境管理和环保工作顺利进行。</w:t>
                  </w:r>
                </w:p>
                <w:p w14:paraId="69B406A9">
                  <w:pPr>
                    <w:pStyle w:val="21"/>
                    <w:bidi w:val="0"/>
                    <w:rPr>
                      <w:color w:val="000000"/>
                    </w:rPr>
                  </w:pPr>
                  <w:r>
                    <w:rPr>
                      <w:color w:val="000000"/>
                    </w:rPr>
                    <w:t>（3）落实好项目的环保设计方案，</w:t>
                  </w:r>
                  <w:r>
                    <w:rPr>
                      <w:rFonts w:hint="eastAsia"/>
                      <w:color w:val="000000"/>
                      <w:lang w:eastAsia="zh-CN"/>
                    </w:rPr>
                    <w:t>增加</w:t>
                  </w:r>
                  <w:r>
                    <w:rPr>
                      <w:color w:val="000000"/>
                    </w:rPr>
                    <w:t>环保投入，切实按照设计要求实施，确保环保设施的建设，使环保工程达到预期效果。</w:t>
                  </w:r>
                </w:p>
                <w:p w14:paraId="4D22B301">
                  <w:pPr>
                    <w:pStyle w:val="21"/>
                    <w:bidi w:val="0"/>
                    <w:rPr>
                      <w:rFonts w:hint="default"/>
                      <w:color w:val="000000"/>
                    </w:rPr>
                  </w:pPr>
                  <w:r>
                    <w:rPr>
                      <w:color w:val="000000"/>
                    </w:rPr>
                    <w:t>（</w:t>
                  </w:r>
                  <w:r>
                    <w:rPr>
                      <w:rFonts w:hint="eastAsia"/>
                      <w:color w:val="000000"/>
                      <w:lang w:val="en-US" w:eastAsia="zh-CN"/>
                    </w:rPr>
                    <w:t>4</w:t>
                  </w:r>
                  <w:r>
                    <w:rPr>
                      <w:color w:val="000000"/>
                    </w:rPr>
                    <w:t>）建立污染源档案，落实环境管理台账记录的责任单位和责任人，明确工作职责，并对环境管理台账的真实性、完整性和规范性负责</w:t>
                  </w:r>
                  <w:r>
                    <w:rPr>
                      <w:rFonts w:hint="default"/>
                      <w:color w:val="000000"/>
                    </w:rPr>
                    <w:t>。</w:t>
                  </w:r>
                </w:p>
                <w:p w14:paraId="611A9CEC">
                  <w:pPr>
                    <w:pStyle w:val="21"/>
                    <w:bidi w:val="0"/>
                    <w:rPr>
                      <w:rFonts w:hint="eastAsia"/>
                      <w:color w:val="000000"/>
                      <w:lang w:eastAsia="zh-CN"/>
                    </w:rPr>
                  </w:pPr>
                  <w:r>
                    <w:rPr>
                      <w:rFonts w:hint="eastAsia"/>
                      <w:color w:val="000000"/>
                      <w:lang w:eastAsia="zh-CN"/>
                    </w:rPr>
                    <w:t>（</w:t>
                  </w:r>
                  <w:r>
                    <w:rPr>
                      <w:rFonts w:hint="eastAsia"/>
                      <w:color w:val="000000"/>
                      <w:lang w:val="en-US" w:eastAsia="zh-CN"/>
                    </w:rPr>
                    <w:t>5</w:t>
                  </w:r>
                  <w:r>
                    <w:rPr>
                      <w:rFonts w:hint="eastAsia"/>
                      <w:color w:val="000000"/>
                      <w:lang w:eastAsia="zh-CN"/>
                    </w:rPr>
                    <w:t>）排污口设置要求</w:t>
                  </w:r>
                </w:p>
                <w:p w14:paraId="21C4D544">
                  <w:pPr>
                    <w:pStyle w:val="21"/>
                    <w:bidi w:val="0"/>
                    <w:rPr>
                      <w:rFonts w:hint="default"/>
                      <w:color w:val="000000"/>
                      <w:lang w:val="en-US" w:eastAsia="zh-CN"/>
                    </w:rPr>
                  </w:pPr>
                  <w:r>
                    <w:rPr>
                      <w:rFonts w:hint="eastAsia"/>
                      <w:color w:val="000000"/>
                      <w:lang w:val="en-US" w:eastAsia="zh-CN"/>
                    </w:rPr>
                    <w:t>各排污口严格按照《</w:t>
                  </w:r>
                  <w:r>
                    <w:rPr>
                      <w:rFonts w:hint="eastAsia"/>
                      <w:color w:val="000000"/>
                    </w:rPr>
                    <w:t>重庆市环境保护局关于印发重庆市排污口规范化清理整治实施方案的通知</w:t>
                  </w:r>
                  <w:r>
                    <w:rPr>
                      <w:rFonts w:hint="eastAsia"/>
                      <w:color w:val="000000"/>
                      <w:lang w:val="en-US" w:eastAsia="zh-CN"/>
                    </w:rPr>
                    <w:t>》（</w:t>
                  </w:r>
                  <w:r>
                    <w:rPr>
                      <w:rFonts w:hint="eastAsia"/>
                      <w:color w:val="000000"/>
                    </w:rPr>
                    <w:t>渝环发〔</w:t>
                  </w:r>
                  <w:r>
                    <w:rPr>
                      <w:color w:val="000000"/>
                    </w:rPr>
                    <w:t>2012</w:t>
                  </w:r>
                  <w:r>
                    <w:rPr>
                      <w:rFonts w:hint="eastAsia"/>
                      <w:color w:val="000000"/>
                    </w:rPr>
                    <w:t>〕</w:t>
                  </w:r>
                  <w:r>
                    <w:rPr>
                      <w:color w:val="000000"/>
                    </w:rPr>
                    <w:t>26</w:t>
                  </w:r>
                  <w:r>
                    <w:rPr>
                      <w:rFonts w:hint="eastAsia"/>
                      <w:color w:val="000000"/>
                    </w:rPr>
                    <w:t>号</w:t>
                  </w:r>
                  <w:r>
                    <w:rPr>
                      <w:rFonts w:hint="eastAsia"/>
                      <w:color w:val="000000"/>
                      <w:lang w:val="en-US" w:eastAsia="zh-CN"/>
                    </w:rPr>
                    <w:t>）等相关要求、规范设置。</w:t>
                  </w:r>
                </w:p>
                <w:p w14:paraId="6CE0AB9C">
                  <w:pPr>
                    <w:pStyle w:val="21"/>
                    <w:bidi w:val="0"/>
                    <w:rPr>
                      <w:rFonts w:hint="eastAsia"/>
                      <w:color w:val="000000"/>
                      <w:lang w:val="en-US" w:eastAsia="zh-CN"/>
                    </w:rPr>
                  </w:pPr>
                  <w:r>
                    <w:rPr>
                      <w:rFonts w:hint="eastAsia"/>
                      <w:color w:val="000000"/>
                      <w:lang w:val="en-US" w:eastAsia="zh-CN"/>
                    </w:rPr>
                    <w:t>（6）排污许可管理</w:t>
                  </w:r>
                </w:p>
                <w:p w14:paraId="21634343">
                  <w:pPr>
                    <w:pStyle w:val="21"/>
                    <w:bidi w:val="0"/>
                    <w:rPr>
                      <w:rFonts w:hint="eastAsia"/>
                      <w:color w:val="000000"/>
                      <w:lang w:eastAsia="zh-CN"/>
                    </w:rPr>
                  </w:pPr>
                  <w:r>
                    <w:rPr>
                      <w:rFonts w:hint="eastAsia" w:eastAsia="宋体"/>
                      <w:color w:val="000000" w:themeColor="text1"/>
                      <w:lang w:val="en-US" w:eastAsia="zh-CN"/>
                      <w14:textFill>
                        <w14:solidFill>
                          <w14:schemeClr w14:val="tx1"/>
                        </w14:solidFill>
                      </w14:textFill>
                    </w:rPr>
                    <w:t>项目</w:t>
                  </w:r>
                  <w:r>
                    <w:rPr>
                      <w:rFonts w:hint="eastAsia"/>
                      <w:color w:val="000000" w:themeColor="text1"/>
                      <w:lang w:val="en-US" w:eastAsia="zh-CN"/>
                      <w14:textFill>
                        <w14:solidFill>
                          <w14:schemeClr w14:val="tx1"/>
                        </w14:solidFill>
                      </w14:textFill>
                    </w:rPr>
                    <w:t>属于金属工艺品制造</w:t>
                  </w:r>
                  <w:r>
                    <w:rPr>
                      <w:rFonts w:hint="eastAsia" w:eastAsia="宋体"/>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根据《固定污染源排污许可分类管理名录》（2019年版），项目属于登记管理类别。</w:t>
                  </w:r>
                  <w:r>
                    <w:rPr>
                      <w:rFonts w:hint="eastAsia"/>
                      <w:color w:val="000000" w:themeColor="text1"/>
                      <w:lang w:eastAsia="zh-CN"/>
                      <w14:textFill>
                        <w14:solidFill>
                          <w14:schemeClr w14:val="tx1"/>
                        </w14:solidFill>
                      </w14:textFill>
                    </w:rPr>
                    <w:t>根据</w:t>
                  </w:r>
                  <w:r>
                    <w:rPr>
                      <w:rFonts w:hint="eastAsia"/>
                      <w:color w:val="000000"/>
                      <w:lang w:eastAsia="zh-CN"/>
                    </w:rPr>
                    <w:t>《重庆市生态环境局办公室关于印发环评与排污许可统一受理、同步办理试点工作实施方案的通知》（渝环办〔2021〕276号），企业排污许可应与环评同步办理。</w:t>
                  </w:r>
                </w:p>
                <w:p w14:paraId="434D9980">
                  <w:pPr>
                    <w:pStyle w:val="21"/>
                    <w:bidi w:val="0"/>
                    <w:ind w:left="0" w:leftChars="0" w:firstLine="0" w:firstLineChars="0"/>
                    <w:rPr>
                      <w:rFonts w:hint="eastAsia"/>
                      <w:color w:val="000000"/>
                      <w:lang w:val="en-US" w:eastAsia="zh-CN"/>
                    </w:rPr>
                  </w:pPr>
                </w:p>
              </w:tc>
              <w:tc>
                <w:tcPr>
                  <w:tcW w:w="2216" w:type="dxa"/>
                  <w:noWrap w:val="0"/>
                  <w:vAlign w:val="center"/>
                </w:tcPr>
                <w:p w14:paraId="4BA37C10">
                  <w:pPr>
                    <w:pStyle w:val="21"/>
                    <w:bidi w:val="0"/>
                    <w:ind w:left="0" w:leftChars="0" w:firstLine="0" w:firstLineChars="0"/>
                    <w:rPr>
                      <w:rFonts w:hint="eastAsia"/>
                      <w:color w:val="000000"/>
                      <w:lang w:val="en-US" w:eastAsia="zh-CN"/>
                    </w:rPr>
                  </w:pPr>
                  <w:r>
                    <w:rPr>
                      <w:rFonts w:hint="eastAsia" w:ascii="Times New Roman" w:hAnsi="Times New Roman" w:eastAsia="宋体" w:cs="Times New Roman"/>
                      <w:color w:val="000000"/>
                      <w:sz w:val="24"/>
                      <w:szCs w:val="24"/>
                      <w:lang w:val="en-US" w:eastAsia="zh-CN"/>
                    </w:rPr>
                    <w:t>无变动</w:t>
                  </w:r>
                </w:p>
              </w:tc>
            </w:tr>
          </w:tbl>
          <w:p w14:paraId="13EC246A">
            <w:pPr>
              <w:pStyle w:val="21"/>
              <w:bidi w:val="0"/>
              <w:ind w:left="0" w:leftChars="0" w:firstLine="480" w:firstLineChars="200"/>
              <w:jc w:val="both"/>
              <w:rPr>
                <w:rFonts w:hint="default"/>
                <w:color w:val="auto"/>
                <w:sz w:val="24"/>
                <w:highlight w:val="none"/>
                <w:lang w:val="en-US" w:eastAsia="zh-CN"/>
              </w:rPr>
            </w:pPr>
            <w:r>
              <w:rPr>
                <w:rFonts w:hint="default"/>
                <w:color w:val="auto"/>
                <w:sz w:val="24"/>
                <w:highlight w:val="none"/>
                <w:lang w:val="en-US" w:eastAsia="zh-CN"/>
              </w:rPr>
              <w:t>由上表可以看出，环境影响报告表和审批意见提出的环保措施要求已在</w:t>
            </w:r>
            <w:r>
              <w:rPr>
                <w:rFonts w:hint="eastAsia"/>
                <w:color w:val="auto"/>
                <w:sz w:val="24"/>
                <w:highlight w:val="none"/>
                <w:lang w:val="en-US" w:eastAsia="zh-CN"/>
              </w:rPr>
              <w:t>已建设的</w:t>
            </w:r>
            <w:r>
              <w:rPr>
                <w:rFonts w:hint="default"/>
                <w:color w:val="auto"/>
                <w:sz w:val="24"/>
                <w:highlight w:val="none"/>
                <w:lang w:val="en-US" w:eastAsia="zh-CN"/>
              </w:rPr>
              <w:t>工程实</w:t>
            </w:r>
          </w:p>
          <w:p w14:paraId="221DD90B">
            <w:pPr>
              <w:pStyle w:val="21"/>
              <w:bidi w:val="0"/>
              <w:ind w:left="0" w:leftChars="0" w:firstLine="0" w:firstLineChars="0"/>
              <w:jc w:val="both"/>
              <w:rPr>
                <w:rFonts w:hint="default"/>
                <w:color w:val="auto"/>
                <w:sz w:val="24"/>
                <w:highlight w:val="none"/>
                <w:lang w:val="en-US" w:eastAsia="zh-CN"/>
              </w:rPr>
            </w:pPr>
            <w:r>
              <w:rPr>
                <w:rFonts w:hint="default"/>
                <w:color w:val="auto"/>
                <w:sz w:val="24"/>
                <w:highlight w:val="none"/>
                <w:lang w:val="en-US" w:eastAsia="zh-CN"/>
              </w:rPr>
              <w:t>际中得到落实。</w:t>
            </w:r>
          </w:p>
        </w:tc>
      </w:tr>
    </w:tbl>
    <w:p w14:paraId="5D9A9249">
      <w:pPr>
        <w:pStyle w:val="10"/>
        <w:widowControl w:val="0"/>
        <w:numPr>
          <w:ilvl w:val="0"/>
          <w:numId w:val="0"/>
        </w:numPr>
        <w:jc w:val="both"/>
      </w:pPr>
    </w:p>
    <w:tbl>
      <w:tblPr>
        <w:tblStyle w:val="15"/>
        <w:tblW w:w="5745"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9785"/>
      </w:tblGrid>
      <w:tr w14:paraId="71B6AC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3571" w:hRule="atLeast"/>
          <w:jc w:val="center"/>
        </w:trPr>
        <w:tc>
          <w:tcPr>
            <w:tcW w:w="5000" w:type="pct"/>
            <w:noWrap w:val="0"/>
            <w:vAlign w:val="top"/>
          </w:tcPr>
          <w:p w14:paraId="4F0F31D3">
            <w:pPr>
              <w:pStyle w:val="21"/>
              <w:bidi w:val="0"/>
              <w:ind w:left="0" w:leftChars="0" w:firstLine="0" w:firstLineChars="0"/>
              <w:jc w:val="both"/>
              <w:rPr>
                <w:rFonts w:hint="default"/>
                <w:b/>
                <w:bCs/>
                <w:color w:val="auto"/>
                <w:sz w:val="24"/>
                <w:highlight w:val="none"/>
                <w:lang w:val="en-US" w:eastAsia="zh-CN"/>
              </w:rPr>
            </w:pPr>
            <w:r>
              <w:rPr>
                <w:rFonts w:hint="default"/>
                <w:b/>
                <w:bCs/>
                <w:color w:val="auto"/>
                <w:sz w:val="24"/>
                <w:highlight w:val="none"/>
                <w:lang w:val="en-US" w:eastAsia="zh-CN"/>
              </w:rPr>
              <w:t>4.1 建设项目环境影响报告表主要结论（摘录）</w:t>
            </w:r>
          </w:p>
          <w:p w14:paraId="36B08FC9">
            <w:pPr>
              <w:pStyle w:val="21"/>
              <w:bidi w:val="0"/>
              <w:ind w:left="0" w:leftChars="0" w:firstLine="0" w:firstLineChars="0"/>
              <w:jc w:val="both"/>
              <w:rPr>
                <w:rFonts w:hint="eastAsia"/>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重庆立标标识制作有限公司</w:t>
            </w:r>
            <w:r>
              <w:rPr>
                <w:rFonts w:hint="eastAsia"/>
                <w:color w:val="000000" w:themeColor="text1"/>
                <w14:textFill>
                  <w14:solidFill>
                    <w14:schemeClr w14:val="tx1"/>
                  </w14:solidFill>
                </w14:textFill>
              </w:rPr>
              <w:t>:</w:t>
            </w:r>
          </w:p>
          <w:p w14:paraId="3CA822F3">
            <w:pPr>
              <w:pStyle w:val="21"/>
              <w:bidi w:val="0"/>
              <w:ind w:left="0" w:leftChars="0" w:firstLine="480" w:firstLineChars="200"/>
              <w:jc w:val="both"/>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你单位报送的重庆立标标识标牌制造项目(项目代码:2404-500101-04-01-454858)环评文件以及相关报批申请材料收悉。该项目位于万州经开区九龙园，租赁重庆市州勤机械制造有限责任公司厂房面积约1600平方米，建设1条标识标牌制造生产线，建成后年产各类标识标牌200套。经审查，符合建设项目环境影响评价文件告知承诺审批的相关要求。</w:t>
            </w:r>
          </w:p>
          <w:p w14:paraId="0039A997">
            <w:pPr>
              <w:pStyle w:val="21"/>
              <w:bidi w:val="0"/>
              <w:ind w:left="0" w:leftChars="0" w:firstLine="0" w:firstLineChars="0"/>
              <w:jc w:val="both"/>
              <w:rPr>
                <w:rFonts w:hint="default"/>
                <w:b/>
                <w:bCs/>
                <w:color w:val="auto"/>
                <w:sz w:val="24"/>
                <w:highlight w:val="none"/>
                <w:lang w:val="en-US" w:eastAsia="zh-CN"/>
              </w:rPr>
            </w:pPr>
            <w:r>
              <w:rPr>
                <w:rFonts w:hint="default"/>
                <w:b/>
                <w:bCs/>
                <w:color w:val="auto"/>
                <w:sz w:val="24"/>
                <w:highlight w:val="none"/>
                <w:lang w:val="en-US" w:eastAsia="zh-CN"/>
              </w:rPr>
              <w:t>4.2 环境保护行政主管部门的批复意见（摘录）</w:t>
            </w:r>
          </w:p>
          <w:p w14:paraId="7B39DB1F">
            <w:pPr>
              <w:pStyle w:val="21"/>
              <w:numPr>
                <w:ilvl w:val="0"/>
                <w:numId w:val="0"/>
              </w:numPr>
              <w:bidi w:val="0"/>
              <w:ind w:leftChars="200" w:firstLine="480" w:firstLineChars="200"/>
              <w:jc w:val="both"/>
              <w:rPr>
                <w:rFonts w:hint="default"/>
                <w:color w:val="auto"/>
                <w:sz w:val="24"/>
                <w:highlight w:val="none"/>
                <w:lang w:val="en-US" w:eastAsia="zh-CN"/>
              </w:rPr>
            </w:pPr>
            <w:r>
              <w:rPr>
                <w:rFonts w:hint="default"/>
                <w:color w:val="auto"/>
                <w:sz w:val="24"/>
                <w:highlight w:val="none"/>
                <w:lang w:val="en-US" w:eastAsia="zh-CN"/>
              </w:rPr>
              <w:t>根据重庆东驰环保工程有限公司编制的《重庆立标标识制作有限公司重庆立标标识标牌制造项目环境影响报告表》对该项目开展环境影响评价的结论，在全面落实报告表提出的各项防治生态影响和环境污染措施、防范环境风险措施和你单位承诺的前提下，工程建设对环境的不利影响能够得到缓解和控制。我局原则同意该项目环境影响报告表结论以及拟采取的环境保护措施。</w:t>
            </w:r>
          </w:p>
          <w:p w14:paraId="5EF23A4E">
            <w:pPr>
              <w:pStyle w:val="21"/>
              <w:numPr>
                <w:ilvl w:val="0"/>
                <w:numId w:val="0"/>
              </w:numPr>
              <w:bidi w:val="0"/>
              <w:ind w:leftChars="200" w:firstLine="480" w:firstLineChars="200"/>
              <w:jc w:val="both"/>
              <w:rPr>
                <w:rFonts w:hint="default"/>
                <w:color w:val="auto"/>
                <w:sz w:val="24"/>
                <w:highlight w:val="none"/>
                <w:lang w:val="en-US" w:eastAsia="zh-CN"/>
              </w:rPr>
            </w:pPr>
            <w:r>
              <w:rPr>
                <w:rFonts w:hint="default"/>
                <w:color w:val="auto"/>
                <w:sz w:val="24"/>
                <w:highlight w:val="none"/>
                <w:lang w:val="en-US" w:eastAsia="zh-CN"/>
              </w:rPr>
              <w:t>你单位应当严格落实该项目环境影响报告表提出的防治生态影响和环境污染措施及防范环境风险措施，严格执行配套建设的环保设施与主体工程同时设计、同时施工、同时投产的环保“三同时”制度。项目环保投资纳入工程投资概算并予以落实。项目竣工后，应按照《建设项目竣工环境保护验收暂行办法》等规定开展环境保护验收，编制验收报告并依法向社会公开验收报告，公示期满5个工作日内，登录全国建设项目竣工环境保护验收信息平台，填报验收等相关信息。</w:t>
            </w:r>
          </w:p>
          <w:p w14:paraId="7909DE19">
            <w:pPr>
              <w:pStyle w:val="21"/>
              <w:numPr>
                <w:ilvl w:val="0"/>
                <w:numId w:val="0"/>
              </w:numPr>
              <w:bidi w:val="0"/>
              <w:ind w:leftChars="200" w:firstLine="480" w:firstLineChars="200"/>
              <w:jc w:val="both"/>
              <w:rPr>
                <w:rFonts w:hint="default"/>
                <w:color w:val="auto"/>
                <w:sz w:val="24"/>
                <w:highlight w:val="none"/>
                <w:lang w:val="en-US" w:eastAsia="zh-CN"/>
              </w:rPr>
            </w:pPr>
            <w:r>
              <w:rPr>
                <w:rFonts w:hint="default"/>
                <w:color w:val="auto"/>
                <w:sz w:val="24"/>
                <w:highlight w:val="none"/>
                <w:lang w:val="en-US" w:eastAsia="zh-CN"/>
              </w:rPr>
              <w:t>项目的性质、规模、地点、采用的生产工艺或者防治污染措施发生重大变动的，你单位应当重新报批该项目的环境影响评价文件。项目的环保日常监督管理由万州经开区应急环保局和万州区生态环境保护综合行政执法支队按照有关职责实施。此批准书生效时间为公示期满之日起自行生效(受理和拟审批决定同步公示，共计十个工作日)。生态环境行政主管部门如发现存在不符合告知承诺制情形、环评文件存在重大质量问题的或其他不能审批的情形，依法撤销审批决定，造成的一切法律后果和经济损失均由你单位承担。</w:t>
            </w:r>
          </w:p>
        </w:tc>
      </w:tr>
      <w:tr w14:paraId="6001DC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3571" w:hRule="atLeast"/>
          <w:jc w:val="center"/>
        </w:trPr>
        <w:tc>
          <w:tcPr>
            <w:tcW w:w="5000" w:type="pct"/>
            <w:noWrap w:val="0"/>
            <w:vAlign w:val="top"/>
          </w:tcPr>
          <w:p w14:paraId="13EB763F">
            <w:pPr>
              <w:pStyle w:val="21"/>
              <w:numPr>
                <w:ilvl w:val="0"/>
                <w:numId w:val="0"/>
              </w:numPr>
              <w:bidi w:val="0"/>
              <w:jc w:val="both"/>
              <w:rPr>
                <w:rFonts w:hint="eastAsia"/>
                <w:color w:val="auto"/>
                <w:sz w:val="24"/>
                <w:highlight w:val="none"/>
                <w:lang w:val="en-US" w:eastAsia="zh-CN"/>
              </w:rPr>
            </w:pPr>
          </w:p>
        </w:tc>
      </w:tr>
    </w:tbl>
    <w:p w14:paraId="6FE51721">
      <w:pPr>
        <w:pStyle w:val="10"/>
        <w:widowControl w:val="0"/>
        <w:numPr>
          <w:ilvl w:val="0"/>
          <w:numId w:val="0"/>
        </w:numPr>
        <w:jc w:val="both"/>
      </w:pPr>
    </w:p>
    <w:tbl>
      <w:tblPr>
        <w:tblStyle w:val="15"/>
        <w:tblW w:w="5745"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0536"/>
      </w:tblGrid>
      <w:tr w14:paraId="48BB17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3571" w:hRule="atLeast"/>
          <w:jc w:val="center"/>
        </w:trPr>
        <w:tc>
          <w:tcPr>
            <w:tcW w:w="5000" w:type="pct"/>
            <w:noWrap w:val="0"/>
            <w:vAlign w:val="top"/>
          </w:tcPr>
          <w:p w14:paraId="73AC5A0E">
            <w:pPr>
              <w:pStyle w:val="21"/>
              <w:bidi w:val="0"/>
              <w:ind w:left="0" w:leftChars="0" w:firstLine="482" w:firstLineChars="200"/>
              <w:jc w:val="both"/>
              <w:rPr>
                <w:rFonts w:hint="default"/>
                <w:b/>
                <w:bCs/>
                <w:color w:val="auto"/>
                <w:sz w:val="24"/>
                <w:highlight w:val="none"/>
                <w:lang w:val="en-US" w:eastAsia="zh-CN"/>
              </w:rPr>
            </w:pPr>
            <w:r>
              <w:rPr>
                <w:rFonts w:hint="default"/>
                <w:b/>
                <w:bCs/>
                <w:color w:val="auto"/>
                <w:sz w:val="24"/>
                <w:highlight w:val="none"/>
                <w:lang w:val="en-US" w:eastAsia="zh-CN"/>
              </w:rPr>
              <w:t>5 验收监测质量保证及质量控制</w:t>
            </w:r>
          </w:p>
          <w:p w14:paraId="4AC19BB9">
            <w:pPr>
              <w:pStyle w:val="21"/>
              <w:bidi w:val="0"/>
              <w:ind w:left="0" w:leftChars="0" w:firstLine="482" w:firstLineChars="200"/>
              <w:jc w:val="both"/>
              <w:rPr>
                <w:rFonts w:hint="default"/>
                <w:b/>
                <w:bCs/>
                <w:color w:val="auto"/>
                <w:sz w:val="24"/>
                <w:highlight w:val="none"/>
                <w:lang w:val="en-US" w:eastAsia="zh-CN"/>
              </w:rPr>
            </w:pPr>
            <w:r>
              <w:rPr>
                <w:rFonts w:hint="default"/>
                <w:b/>
                <w:bCs/>
                <w:color w:val="auto"/>
                <w:sz w:val="24"/>
                <w:highlight w:val="none"/>
                <w:lang w:val="en-US" w:eastAsia="zh-CN"/>
              </w:rPr>
              <w:t>5.1 监测分析方法</w:t>
            </w:r>
          </w:p>
          <w:p w14:paraId="18D98CA4">
            <w:pPr>
              <w:pStyle w:val="21"/>
              <w:bidi w:val="0"/>
              <w:ind w:left="0" w:leftChars="0" w:firstLine="480" w:firstLineChars="200"/>
              <w:jc w:val="both"/>
              <w:rPr>
                <w:rFonts w:hint="default"/>
                <w:color w:val="auto"/>
                <w:sz w:val="24"/>
                <w:highlight w:val="none"/>
                <w:lang w:val="en-US" w:eastAsia="zh-CN"/>
              </w:rPr>
            </w:pPr>
            <w:r>
              <w:rPr>
                <w:rFonts w:hint="default"/>
                <w:color w:val="auto"/>
                <w:sz w:val="24"/>
                <w:highlight w:val="none"/>
                <w:lang w:val="en-US" w:eastAsia="zh-CN"/>
              </w:rPr>
              <w:t>按国家污染物排放标准和环境质量标准要求，优先选用国家环境监测分析方法标准方法；对国内目前尚未建立标准分析方法的污染物，可参考使用国内（外）现行的标准分析方法。分析方法应能满足评价标准要求。</w:t>
            </w:r>
          </w:p>
          <w:p w14:paraId="74FC685A">
            <w:pPr>
              <w:pStyle w:val="21"/>
              <w:bidi w:val="0"/>
              <w:ind w:left="0" w:leftChars="0" w:firstLine="480" w:firstLineChars="200"/>
              <w:jc w:val="both"/>
              <w:rPr>
                <w:rFonts w:hint="default"/>
                <w:color w:val="auto"/>
                <w:sz w:val="24"/>
                <w:highlight w:val="none"/>
                <w:lang w:val="en-US" w:eastAsia="zh-CN"/>
              </w:rPr>
            </w:pPr>
            <w:r>
              <w:rPr>
                <w:rFonts w:hint="default"/>
                <w:color w:val="auto"/>
                <w:sz w:val="24"/>
                <w:highlight w:val="none"/>
                <w:lang w:val="en-US" w:eastAsia="zh-CN"/>
              </w:rPr>
              <w:t>本项</w:t>
            </w:r>
            <w:r>
              <w:rPr>
                <w:rFonts w:hint="eastAsia"/>
                <w:color w:val="auto"/>
                <w:sz w:val="24"/>
                <w:highlight w:val="none"/>
                <w:lang w:val="en-US" w:eastAsia="zh-CN"/>
              </w:rPr>
              <w:t>监测</w:t>
            </w:r>
            <w:r>
              <w:rPr>
                <w:rFonts w:hint="default"/>
                <w:color w:val="auto"/>
                <w:sz w:val="24"/>
                <w:highlight w:val="none"/>
                <w:lang w:val="en-US" w:eastAsia="zh-CN"/>
              </w:rPr>
              <w:t>测方法依据及仪器见表 5。</w:t>
            </w:r>
          </w:p>
          <w:p w14:paraId="2EAE7288">
            <w:pPr>
              <w:pStyle w:val="21"/>
              <w:bidi w:val="0"/>
              <w:ind w:left="0" w:leftChars="0" w:firstLine="480" w:firstLineChars="200"/>
              <w:jc w:val="both"/>
              <w:rPr>
                <w:rFonts w:hint="default"/>
                <w:color w:val="auto"/>
                <w:sz w:val="24"/>
                <w:highlight w:val="none"/>
                <w:lang w:val="en-US" w:eastAsia="zh-CN"/>
              </w:rPr>
            </w:pPr>
            <w:r>
              <w:rPr>
                <w:rFonts w:hint="eastAsia"/>
                <w:color w:val="auto"/>
                <w:sz w:val="24"/>
                <w:highlight w:val="none"/>
                <w:lang w:val="en-US" w:eastAsia="zh-CN"/>
              </w:rPr>
              <w:t xml:space="preserve">                                   </w:t>
            </w:r>
            <w:r>
              <w:rPr>
                <w:rFonts w:hint="default"/>
                <w:color w:val="auto"/>
                <w:sz w:val="24"/>
                <w:highlight w:val="none"/>
                <w:lang w:val="en-US" w:eastAsia="zh-CN"/>
              </w:rPr>
              <w:t>表 5</w:t>
            </w:r>
          </w:p>
          <w:p w14:paraId="20434876">
            <w:pPr>
              <w:pStyle w:val="21"/>
              <w:bidi w:val="0"/>
              <w:ind w:left="0" w:leftChars="0" w:firstLine="0" w:firstLineChars="0"/>
              <w:jc w:val="both"/>
              <w:rPr>
                <w:rFonts w:hint="default"/>
                <w:color w:val="auto"/>
                <w:sz w:val="24"/>
                <w:highlight w:val="none"/>
                <w:lang w:val="en-US" w:eastAsia="zh-CN"/>
              </w:rPr>
            </w:pPr>
            <w:r>
              <w:drawing>
                <wp:inline distT="0" distB="0" distL="114300" distR="114300">
                  <wp:extent cx="6508750" cy="1841500"/>
                  <wp:effectExtent l="0" t="0" r="6350" b="6350"/>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pic:cNvPicPr>
                        </pic:nvPicPr>
                        <pic:blipFill>
                          <a:blip r:embed="rId5"/>
                          <a:stretch>
                            <a:fillRect/>
                          </a:stretch>
                        </pic:blipFill>
                        <pic:spPr>
                          <a:xfrm>
                            <a:off x="0" y="0"/>
                            <a:ext cx="6508750" cy="1841500"/>
                          </a:xfrm>
                          <a:prstGeom prst="rect">
                            <a:avLst/>
                          </a:prstGeom>
                          <a:noFill/>
                          <a:ln>
                            <a:noFill/>
                          </a:ln>
                        </pic:spPr>
                      </pic:pic>
                    </a:graphicData>
                  </a:graphic>
                </wp:inline>
              </w:drawing>
            </w:r>
            <w:bookmarkStart w:id="10" w:name="_GoBack"/>
            <w:bookmarkEnd w:id="10"/>
          </w:p>
          <w:p w14:paraId="4787F1AA">
            <w:pPr>
              <w:pStyle w:val="21"/>
              <w:bidi w:val="0"/>
              <w:ind w:left="0" w:leftChars="0" w:firstLine="0" w:firstLineChars="0"/>
              <w:jc w:val="both"/>
              <w:rPr>
                <w:rFonts w:hint="default"/>
                <w:color w:val="auto"/>
                <w:sz w:val="24"/>
                <w:highlight w:val="none"/>
                <w:lang w:val="en-US" w:eastAsia="zh-CN"/>
              </w:rPr>
            </w:pPr>
            <w:r>
              <w:drawing>
                <wp:inline distT="0" distB="0" distL="114300" distR="114300">
                  <wp:extent cx="6537960" cy="5172075"/>
                  <wp:effectExtent l="0" t="0" r="15240"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a:stretch>
                            <a:fillRect/>
                          </a:stretch>
                        </pic:blipFill>
                        <pic:spPr>
                          <a:xfrm>
                            <a:off x="0" y="0"/>
                            <a:ext cx="6537960" cy="5172075"/>
                          </a:xfrm>
                          <a:prstGeom prst="rect">
                            <a:avLst/>
                          </a:prstGeom>
                          <a:noFill/>
                          <a:ln>
                            <a:noFill/>
                          </a:ln>
                        </pic:spPr>
                      </pic:pic>
                    </a:graphicData>
                  </a:graphic>
                </wp:inline>
              </w:drawing>
            </w:r>
          </w:p>
          <w:p w14:paraId="52E81F61">
            <w:pPr>
              <w:pStyle w:val="21"/>
              <w:bidi w:val="0"/>
              <w:ind w:left="0" w:leftChars="0" w:firstLine="0" w:firstLineChars="0"/>
              <w:rPr>
                <w:rFonts w:hint="eastAsia" w:ascii="Times New Roman" w:hAnsi="Times New Roman" w:eastAsia="宋体" w:cs="Times New Roman"/>
                <w:b/>
                <w:bCs/>
                <w:color w:val="000000" w:themeColor="text1"/>
                <w:sz w:val="24"/>
                <w:lang w:val="en-US" w:eastAsia="zh-CN"/>
                <w14:textFill>
                  <w14:solidFill>
                    <w14:schemeClr w14:val="tx1"/>
                  </w14:solidFill>
                </w14:textFill>
              </w:rPr>
            </w:pPr>
            <w:r>
              <w:rPr>
                <w:rFonts w:hint="eastAsia" w:ascii="Times New Roman" w:hAnsi="Times New Roman" w:eastAsia="宋体" w:cs="Times New Roman"/>
                <w:b/>
                <w:bCs/>
                <w:color w:val="000000" w:themeColor="text1"/>
                <w:sz w:val="24"/>
                <w:lang w:val="en-US" w:eastAsia="zh-CN"/>
                <w14:textFill>
                  <w14:solidFill>
                    <w14:schemeClr w14:val="tx1"/>
                  </w14:solidFill>
                </w14:textFill>
              </w:rPr>
              <w:t>5.2 监测</w:t>
            </w:r>
            <w:r>
              <w:rPr>
                <w:rFonts w:hint="eastAsia" w:cs="Times New Roman"/>
                <w:b/>
                <w:bCs/>
                <w:color w:val="000000" w:themeColor="text1"/>
                <w:sz w:val="24"/>
                <w:lang w:val="en-US" w:eastAsia="zh-CN"/>
                <w14:textFill>
                  <w14:solidFill>
                    <w14:schemeClr w14:val="tx1"/>
                  </w14:solidFill>
                </w14:textFill>
              </w:rPr>
              <w:t>时间</w:t>
            </w:r>
          </w:p>
          <w:tbl>
            <w:tblPr>
              <w:tblStyle w:val="15"/>
              <w:tblW w:w="9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81"/>
              <w:gridCol w:w="7177"/>
            </w:tblGrid>
            <w:tr w14:paraId="1053C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2781" w:type="dxa"/>
                  <w:noWrap w:val="0"/>
                  <w:vAlign w:val="center"/>
                </w:tcPr>
                <w:p w14:paraId="35C4D348">
                  <w:pPr>
                    <w:jc w:val="center"/>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采样日期</w:t>
                  </w:r>
                </w:p>
              </w:tc>
              <w:tc>
                <w:tcPr>
                  <w:tcW w:w="7177" w:type="dxa"/>
                  <w:noWrap w:val="0"/>
                  <w:vAlign w:val="center"/>
                </w:tcPr>
                <w:p w14:paraId="30E5D1C4">
                  <w:pPr>
                    <w:jc w:val="center"/>
                    <w:rPr>
                      <w:rFonts w:hint="default" w:ascii="Times New Roman" w:hAnsi="Times New Roman" w:cs="Times New Roman"/>
                      <w:color w:val="auto"/>
                      <w:sz w:val="24"/>
                      <w:szCs w:val="24"/>
                    </w:rPr>
                  </w:pPr>
                  <w:r>
                    <w:rPr>
                      <w:rFonts w:hint="default" w:ascii="Times New Roman" w:hAnsi="Times New Roman" w:cs="Times New Roman"/>
                      <w:color w:val="auto"/>
                      <w:sz w:val="24"/>
                      <w:lang w:val="en-US" w:eastAsia="zh-CN"/>
                    </w:rPr>
                    <w:t>202</w:t>
                  </w:r>
                  <w:r>
                    <w:rPr>
                      <w:rFonts w:hint="eastAsia" w:ascii="Times New Roman" w:hAnsi="Times New Roman" w:cs="Times New Roman"/>
                      <w:color w:val="auto"/>
                      <w:sz w:val="24"/>
                      <w:lang w:val="en-US" w:eastAsia="zh-CN"/>
                    </w:rPr>
                    <w:t>6</w:t>
                  </w:r>
                  <w:r>
                    <w:rPr>
                      <w:rFonts w:hint="default" w:ascii="Times New Roman" w:hAnsi="Times New Roman" w:cs="Times New Roman"/>
                      <w:color w:val="auto"/>
                      <w:sz w:val="24"/>
                      <w:lang w:val="en-US" w:eastAsia="zh-CN"/>
                    </w:rPr>
                    <w:t>年</w:t>
                  </w:r>
                  <w:r>
                    <w:rPr>
                      <w:rFonts w:hint="eastAsia" w:ascii="Times New Roman" w:hAnsi="Times New Roman" w:cs="Times New Roman"/>
                      <w:color w:val="auto"/>
                      <w:sz w:val="24"/>
                      <w:lang w:val="en-US" w:eastAsia="zh-CN"/>
                    </w:rPr>
                    <w:t>5</w:t>
                  </w:r>
                  <w:r>
                    <w:rPr>
                      <w:rFonts w:hint="default" w:ascii="Times New Roman" w:hAnsi="Times New Roman" w:cs="Times New Roman"/>
                      <w:color w:val="auto"/>
                      <w:sz w:val="24"/>
                      <w:lang w:val="en-US" w:eastAsia="zh-CN"/>
                    </w:rPr>
                    <w:t>月</w:t>
                  </w:r>
                  <w:r>
                    <w:rPr>
                      <w:rFonts w:hint="eastAsia" w:ascii="Times New Roman" w:hAnsi="Times New Roman" w:cs="Times New Roman"/>
                      <w:color w:val="auto"/>
                      <w:sz w:val="24"/>
                      <w:lang w:val="en-US" w:eastAsia="zh-CN"/>
                    </w:rPr>
                    <w:t>10-5月11</w:t>
                  </w:r>
                  <w:r>
                    <w:rPr>
                      <w:rFonts w:hint="default" w:ascii="Times New Roman" w:hAnsi="Times New Roman" w:cs="Times New Roman"/>
                      <w:color w:val="auto"/>
                      <w:sz w:val="24"/>
                      <w:lang w:val="en-US" w:eastAsia="zh-CN"/>
                    </w:rPr>
                    <w:t>日</w:t>
                  </w:r>
                </w:p>
              </w:tc>
            </w:tr>
          </w:tbl>
          <w:p w14:paraId="728585F1">
            <w:pPr>
              <w:pStyle w:val="21"/>
              <w:bidi w:val="0"/>
              <w:ind w:left="0" w:leftChars="0" w:firstLine="0" w:firstLineChars="0"/>
              <w:rPr>
                <w:rFonts w:hint="default" w:ascii="Times New Roman" w:hAnsi="Times New Roman" w:eastAsia="宋体" w:cs="Times New Roman"/>
                <w:b/>
                <w:bCs/>
                <w:color w:val="000000" w:themeColor="text1"/>
                <w:sz w:val="24"/>
                <w:lang w:val="en-US" w:eastAsia="zh-CN"/>
                <w14:textFill>
                  <w14:solidFill>
                    <w14:schemeClr w14:val="tx1"/>
                  </w14:solidFill>
                </w14:textFill>
              </w:rPr>
            </w:pPr>
            <w:r>
              <w:rPr>
                <w:rFonts w:hint="default" w:ascii="Times New Roman" w:hAnsi="Times New Roman" w:eastAsia="宋体" w:cs="Times New Roman"/>
                <w:b/>
                <w:bCs/>
                <w:color w:val="000000" w:themeColor="text1"/>
                <w:sz w:val="24"/>
                <w:lang w:val="en-US" w:eastAsia="zh-CN"/>
                <w14:textFill>
                  <w14:solidFill>
                    <w14:schemeClr w14:val="tx1"/>
                  </w14:solidFill>
                </w14:textFill>
              </w:rPr>
              <w:t>5.3 质量保证和质量控制</w:t>
            </w:r>
          </w:p>
          <w:p w14:paraId="78DEEEE8">
            <w:pPr>
              <w:pStyle w:val="21"/>
              <w:bidi w:val="0"/>
              <w:ind w:left="0" w:leftChars="0" w:firstLine="480" w:firstLineChars="200"/>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监测过程中的质量保证措施按国家环境保护总局颁发的《环境监测质量管理规定》和《环境监测质量管理技术导则》（HJ630-2011）的要求进行，实施全过程质量保证。保证了监测过程中生产工况负荷满足验收监测技术规范要求和各监测点位布置的科学性和可比性；监测分析方法采用国家有关部门颁布的标准（或推荐）分析方法，监测人员经过考核并持有合格证书；监测数据实行了三级审核制度。</w:t>
            </w:r>
          </w:p>
          <w:p w14:paraId="72EA39A4">
            <w:pPr>
              <w:pStyle w:val="21"/>
              <w:bidi w:val="0"/>
              <w:ind w:left="0" w:leftChars="0" w:firstLine="480" w:firstLineChars="200"/>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1、监测分析方法采用国家和行业标准分析方法，监测人员经过持证上岗考核并持有合格证书，所用监测仪器设备状态正常且均在有效检定周期内。</w:t>
            </w:r>
          </w:p>
          <w:p w14:paraId="463CE996">
            <w:pPr>
              <w:pStyle w:val="21"/>
              <w:bidi w:val="0"/>
              <w:ind w:left="0" w:leftChars="0" w:firstLine="480" w:firstLineChars="200"/>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2、采样期间保证在生产工况稳定，生产负荷达 75%以上；采样前后对采样仪器及设备进行校准和检查，气态样品现场测试前，有证标准物质校准，并按照国家标准、技术规范和质量保证的要求进行全过程质量控制。</w:t>
            </w:r>
          </w:p>
          <w:p w14:paraId="64B77ED0">
            <w:pPr>
              <w:pStyle w:val="21"/>
              <w:bidi w:val="0"/>
              <w:ind w:left="0" w:leftChars="0" w:firstLine="480" w:firstLineChars="200"/>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3、在监测期间，样品采集、运输、保存均按照环境保护部发布的《环境监测质量管理技术导则》（HJ630-2011）的要求进行。</w:t>
            </w:r>
          </w:p>
          <w:p w14:paraId="55D83611">
            <w:pPr>
              <w:pStyle w:val="21"/>
              <w:bidi w:val="0"/>
              <w:ind w:left="0" w:leftChars="0" w:firstLine="480" w:firstLineChars="200"/>
              <w:rPr>
                <w:rFonts w:hint="default"/>
                <w:color w:val="auto"/>
                <w:sz w:val="24"/>
                <w:highlight w:val="none"/>
                <w:lang w:val="en-US" w:eastAsia="zh-CN"/>
              </w:rPr>
            </w:pPr>
            <w:r>
              <w:rPr>
                <w:rFonts w:hint="default" w:ascii="Times New Roman" w:hAnsi="Times New Roman" w:eastAsia="宋体" w:cs="Times New Roman"/>
                <w:color w:val="000000" w:themeColor="text1"/>
                <w:sz w:val="24"/>
                <w:lang w:val="en-US" w:eastAsia="zh-CN"/>
                <w14:textFill>
                  <w14:solidFill>
                    <w14:schemeClr w14:val="tx1"/>
                  </w14:solidFill>
                </w14:textFill>
              </w:rPr>
              <w:t>4、水样的采集、运输、保存、实验室分析和数据计算的全过程均按《环境水质监测质量保证手册》（第四版）的要求进行。采样过程中应采集一定比例的平行样；实验室分析过程一般应使用标准物质、采用空白试验、平行样测定、加标回收率测定等，并对质控数据分析，附质控数据分析表。</w:t>
            </w:r>
          </w:p>
        </w:tc>
      </w:tr>
    </w:tbl>
    <w:p w14:paraId="0BC49603">
      <w:pPr>
        <w:pStyle w:val="10"/>
        <w:widowControl w:val="0"/>
        <w:numPr>
          <w:ilvl w:val="0"/>
          <w:numId w:val="0"/>
        </w:numPr>
        <w:jc w:val="both"/>
      </w:pPr>
    </w:p>
    <w:tbl>
      <w:tblPr>
        <w:tblStyle w:val="15"/>
        <w:tblW w:w="5745"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1016"/>
      </w:tblGrid>
      <w:tr w14:paraId="50FA2B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3571" w:hRule="atLeast"/>
          <w:jc w:val="center"/>
        </w:trPr>
        <w:tc>
          <w:tcPr>
            <w:tcW w:w="5000" w:type="pct"/>
            <w:noWrap w:val="0"/>
            <w:vAlign w:val="top"/>
          </w:tcPr>
          <w:p w14:paraId="0686642C">
            <w:pPr>
              <w:pStyle w:val="21"/>
              <w:bidi w:val="0"/>
              <w:ind w:left="0" w:leftChars="0" w:firstLine="0" w:firstLineChars="0"/>
              <w:jc w:val="both"/>
              <w:rPr>
                <w:rFonts w:hint="default"/>
                <w:b/>
                <w:bCs/>
                <w:color w:val="auto"/>
                <w:sz w:val="24"/>
                <w:highlight w:val="none"/>
                <w:lang w:val="en-US" w:eastAsia="zh-CN"/>
              </w:rPr>
            </w:pPr>
            <w:r>
              <w:rPr>
                <w:rFonts w:hint="eastAsia"/>
                <w:b/>
                <w:bCs/>
                <w:color w:val="auto"/>
                <w:sz w:val="24"/>
                <w:highlight w:val="none"/>
                <w:lang w:val="en-US" w:eastAsia="zh-CN"/>
              </w:rPr>
              <w:t>6.</w:t>
            </w:r>
            <w:r>
              <w:rPr>
                <w:rFonts w:hint="default"/>
                <w:b/>
                <w:bCs/>
                <w:color w:val="auto"/>
                <w:sz w:val="24"/>
                <w:highlight w:val="none"/>
                <w:lang w:val="en-US" w:eastAsia="zh-CN"/>
              </w:rPr>
              <w:t>验收监测内容</w:t>
            </w:r>
          </w:p>
          <w:p w14:paraId="753B4B38">
            <w:pPr>
              <w:pStyle w:val="21"/>
              <w:bidi w:val="0"/>
              <w:ind w:left="0" w:leftChars="0" w:firstLine="0" w:firstLineChars="0"/>
              <w:jc w:val="both"/>
              <w:rPr>
                <w:rFonts w:hint="eastAsia" w:eastAsia="仿宋" w:cs="仿宋"/>
                <w:color w:val="000000" w:themeColor="text1"/>
                <w:sz w:val="28"/>
                <w:szCs w:val="28"/>
                <w14:textFill>
                  <w14:solidFill>
                    <w14:schemeClr w14:val="tx1"/>
                  </w14:solidFill>
                </w14:textFill>
              </w:rPr>
            </w:pPr>
            <w:r>
              <w:rPr>
                <w:rFonts w:hint="default"/>
                <w:b/>
                <w:bCs/>
                <w:color w:val="auto"/>
                <w:sz w:val="24"/>
                <w:highlight w:val="none"/>
                <w:lang w:val="en-US" w:eastAsia="zh-CN"/>
              </w:rPr>
              <w:t>验收监测内容如下：</w:t>
            </w:r>
          </w:p>
          <w:p w14:paraId="217175F9">
            <w:pPr>
              <w:pStyle w:val="7"/>
              <w:spacing w:line="360" w:lineRule="auto"/>
              <w:ind w:firstLine="240" w:firstLineChars="100"/>
              <w:rPr>
                <w:rFonts w:hint="eastAsia" w:eastAsia="仿宋" w:cs="仿宋"/>
                <w:color w:val="000000" w:themeColor="text1"/>
                <w:sz w:val="28"/>
                <w:szCs w:val="28"/>
                <w14:textFill>
                  <w14:solidFill>
                    <w14:schemeClr w14:val="tx1"/>
                  </w14:solidFill>
                </w14:textFill>
              </w:rPr>
            </w:pPr>
            <w:r>
              <w:drawing>
                <wp:inline distT="0" distB="0" distL="114300" distR="114300">
                  <wp:extent cx="6718935" cy="4254500"/>
                  <wp:effectExtent l="0" t="0" r="5715" b="12700"/>
                  <wp:docPr id="1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
                          <pic:cNvPicPr>
                            <a:picLocks noChangeAspect="1"/>
                          </pic:cNvPicPr>
                        </pic:nvPicPr>
                        <pic:blipFill>
                          <a:blip r:embed="rId7"/>
                          <a:stretch>
                            <a:fillRect/>
                          </a:stretch>
                        </pic:blipFill>
                        <pic:spPr>
                          <a:xfrm>
                            <a:off x="0" y="0"/>
                            <a:ext cx="6718935" cy="4254500"/>
                          </a:xfrm>
                          <a:prstGeom prst="rect">
                            <a:avLst/>
                          </a:prstGeom>
                          <a:noFill/>
                          <a:ln>
                            <a:noFill/>
                          </a:ln>
                        </pic:spPr>
                      </pic:pic>
                    </a:graphicData>
                  </a:graphic>
                </wp:inline>
              </w:drawing>
            </w:r>
          </w:p>
          <w:p w14:paraId="478B90D2">
            <w:pPr>
              <w:pStyle w:val="7"/>
              <w:spacing w:line="360" w:lineRule="auto"/>
              <w:ind w:firstLine="280" w:firstLineChars="100"/>
              <w:rPr>
                <w:rFonts w:hint="eastAsia" w:eastAsia="仿宋" w:cs="仿宋"/>
                <w:color w:val="000000" w:themeColor="text1"/>
                <w:sz w:val="28"/>
                <w:szCs w:val="28"/>
                <w14:textFill>
                  <w14:solidFill>
                    <w14:schemeClr w14:val="tx1"/>
                  </w14:solidFill>
                </w14:textFill>
              </w:rPr>
            </w:pPr>
          </w:p>
          <w:p w14:paraId="5A931E6D">
            <w:pPr>
              <w:pStyle w:val="7"/>
              <w:spacing w:line="360" w:lineRule="auto"/>
              <w:ind w:firstLine="280" w:firstLineChars="100"/>
              <w:rPr>
                <w:rFonts w:hint="eastAsia" w:eastAsia="仿宋" w:cs="仿宋"/>
                <w:color w:val="000000" w:themeColor="text1"/>
                <w:sz w:val="28"/>
                <w:szCs w:val="28"/>
                <w14:textFill>
                  <w14:solidFill>
                    <w14:schemeClr w14:val="tx1"/>
                  </w14:solidFill>
                </w14:textFill>
              </w:rPr>
            </w:pPr>
          </w:p>
          <w:p w14:paraId="03A7C387">
            <w:pPr>
              <w:pStyle w:val="7"/>
              <w:spacing w:line="360" w:lineRule="auto"/>
              <w:ind w:firstLine="280" w:firstLineChars="100"/>
              <w:rPr>
                <w:rFonts w:hint="eastAsia" w:eastAsia="仿宋" w:cs="仿宋"/>
                <w:color w:val="000000" w:themeColor="text1"/>
                <w:sz w:val="28"/>
                <w:szCs w:val="28"/>
                <w14:textFill>
                  <w14:solidFill>
                    <w14:schemeClr w14:val="tx1"/>
                  </w14:solidFill>
                </w14:textFill>
              </w:rPr>
            </w:pPr>
          </w:p>
          <w:p w14:paraId="210B102D">
            <w:pPr>
              <w:pStyle w:val="7"/>
              <w:spacing w:line="360" w:lineRule="auto"/>
              <w:ind w:firstLine="280" w:firstLineChars="100"/>
              <w:rPr>
                <w:rFonts w:hint="eastAsia" w:eastAsia="仿宋" w:cs="仿宋"/>
                <w:color w:val="000000" w:themeColor="text1"/>
                <w:sz w:val="28"/>
                <w:szCs w:val="28"/>
                <w14:textFill>
                  <w14:solidFill>
                    <w14:schemeClr w14:val="tx1"/>
                  </w14:solidFill>
                </w14:textFill>
              </w:rPr>
            </w:pPr>
          </w:p>
          <w:p w14:paraId="3EA6A13A">
            <w:pPr>
              <w:pStyle w:val="7"/>
              <w:spacing w:line="360" w:lineRule="auto"/>
              <w:ind w:firstLine="280" w:firstLineChars="100"/>
              <w:rPr>
                <w:rFonts w:hint="eastAsia" w:eastAsia="仿宋" w:cs="仿宋"/>
                <w:color w:val="000000" w:themeColor="text1"/>
                <w:sz w:val="28"/>
                <w:szCs w:val="28"/>
                <w14:textFill>
                  <w14:solidFill>
                    <w14:schemeClr w14:val="tx1"/>
                  </w14:solidFill>
                </w14:textFill>
              </w:rPr>
            </w:pPr>
          </w:p>
          <w:p w14:paraId="2740C982">
            <w:pPr>
              <w:pStyle w:val="7"/>
              <w:spacing w:line="360" w:lineRule="auto"/>
              <w:ind w:firstLine="280" w:firstLineChars="100"/>
              <w:rPr>
                <w:rFonts w:hint="eastAsia" w:eastAsia="仿宋" w:cs="仿宋"/>
                <w:color w:val="000000" w:themeColor="text1"/>
                <w:sz w:val="28"/>
                <w:szCs w:val="28"/>
                <w14:textFill>
                  <w14:solidFill>
                    <w14:schemeClr w14:val="tx1"/>
                  </w14:solidFill>
                </w14:textFill>
              </w:rPr>
            </w:pPr>
          </w:p>
          <w:p w14:paraId="27C78BD9">
            <w:pPr>
              <w:pStyle w:val="7"/>
              <w:spacing w:line="360" w:lineRule="auto"/>
              <w:ind w:firstLine="280" w:firstLineChars="100"/>
              <w:rPr>
                <w:rFonts w:hint="eastAsia" w:eastAsia="仿宋" w:cs="仿宋"/>
                <w:color w:val="000000" w:themeColor="text1"/>
                <w:sz w:val="28"/>
                <w:szCs w:val="28"/>
                <w14:textFill>
                  <w14:solidFill>
                    <w14:schemeClr w14:val="tx1"/>
                  </w14:solidFill>
                </w14:textFill>
              </w:rPr>
            </w:pPr>
          </w:p>
          <w:p w14:paraId="4BDD3BEA">
            <w:pPr>
              <w:pStyle w:val="7"/>
              <w:spacing w:line="360" w:lineRule="auto"/>
              <w:ind w:firstLine="280" w:firstLineChars="100"/>
              <w:rPr>
                <w:rFonts w:hint="eastAsia" w:eastAsia="仿宋" w:cs="仿宋"/>
                <w:color w:val="000000" w:themeColor="text1"/>
                <w:sz w:val="28"/>
                <w:szCs w:val="28"/>
                <w14:textFill>
                  <w14:solidFill>
                    <w14:schemeClr w14:val="tx1"/>
                  </w14:solidFill>
                </w14:textFill>
              </w:rPr>
            </w:pPr>
          </w:p>
          <w:p w14:paraId="275F5623">
            <w:pPr>
              <w:pStyle w:val="7"/>
              <w:spacing w:line="360" w:lineRule="auto"/>
              <w:ind w:firstLine="280" w:firstLineChars="100"/>
              <w:rPr>
                <w:rFonts w:hint="eastAsia" w:eastAsia="仿宋" w:cs="仿宋"/>
                <w:color w:val="000000" w:themeColor="text1"/>
                <w:sz w:val="28"/>
                <w:szCs w:val="28"/>
                <w14:textFill>
                  <w14:solidFill>
                    <w14:schemeClr w14:val="tx1"/>
                  </w14:solidFill>
                </w14:textFill>
              </w:rPr>
            </w:pPr>
          </w:p>
          <w:p w14:paraId="5163623E">
            <w:pPr>
              <w:pStyle w:val="7"/>
              <w:spacing w:line="360" w:lineRule="auto"/>
              <w:ind w:firstLine="280" w:firstLineChars="100"/>
              <w:rPr>
                <w:sz w:val="18"/>
              </w:rPr>
            </w:pPr>
            <w:r>
              <w:rPr>
                <w:rFonts w:hint="eastAsia" w:eastAsia="仿宋" w:cs="仿宋"/>
                <w:color w:val="000000" w:themeColor="text1"/>
                <w:sz w:val="28"/>
                <w:szCs w:val="28"/>
                <w14:textFill>
                  <w14:solidFill>
                    <w14:schemeClr w14:val="tx1"/>
                  </w14:solidFill>
                </w14:textFill>
              </w:rPr>
              <w:t>监测布点示意图：</w:t>
            </w:r>
          </w:p>
          <w:p w14:paraId="40FCE6D1">
            <w:pPr>
              <w:pStyle w:val="7"/>
              <w:spacing w:line="360" w:lineRule="auto"/>
              <w:jc w:val="both"/>
            </w:pPr>
            <w:r>
              <w:drawing>
                <wp:inline distT="0" distB="0" distL="114300" distR="114300">
                  <wp:extent cx="6403975" cy="6961505"/>
                  <wp:effectExtent l="0" t="0" r="15875" b="10795"/>
                  <wp:docPr id="1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5"/>
                          <pic:cNvPicPr>
                            <a:picLocks noChangeAspect="1"/>
                          </pic:cNvPicPr>
                        </pic:nvPicPr>
                        <pic:blipFill>
                          <a:blip r:embed="rId8"/>
                          <a:stretch>
                            <a:fillRect/>
                          </a:stretch>
                        </pic:blipFill>
                        <pic:spPr>
                          <a:xfrm>
                            <a:off x="0" y="0"/>
                            <a:ext cx="6403975" cy="6961505"/>
                          </a:xfrm>
                          <a:prstGeom prst="rect">
                            <a:avLst/>
                          </a:prstGeom>
                          <a:noFill/>
                          <a:ln>
                            <a:noFill/>
                          </a:ln>
                        </pic:spPr>
                      </pic:pic>
                    </a:graphicData>
                  </a:graphic>
                </wp:inline>
              </w:drawing>
            </w:r>
          </w:p>
          <w:p w14:paraId="305225D7">
            <w:r>
              <w:drawing>
                <wp:inline distT="0" distB="0" distL="114300" distR="114300">
                  <wp:extent cx="6554470" cy="4001770"/>
                  <wp:effectExtent l="0" t="0" r="17780" b="17780"/>
                  <wp:docPr id="1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6"/>
                          <pic:cNvPicPr>
                            <a:picLocks noChangeAspect="1"/>
                          </pic:cNvPicPr>
                        </pic:nvPicPr>
                        <pic:blipFill>
                          <a:blip r:embed="rId9"/>
                          <a:stretch>
                            <a:fillRect/>
                          </a:stretch>
                        </pic:blipFill>
                        <pic:spPr>
                          <a:xfrm>
                            <a:off x="0" y="0"/>
                            <a:ext cx="6554470" cy="4001770"/>
                          </a:xfrm>
                          <a:prstGeom prst="rect">
                            <a:avLst/>
                          </a:prstGeom>
                          <a:noFill/>
                          <a:ln>
                            <a:noFill/>
                          </a:ln>
                        </pic:spPr>
                      </pic:pic>
                    </a:graphicData>
                  </a:graphic>
                </wp:inline>
              </w:drawing>
            </w:r>
          </w:p>
          <w:p w14:paraId="47F6C403">
            <w:pPr>
              <w:pStyle w:val="7"/>
              <w:spacing w:line="360" w:lineRule="auto"/>
              <w:ind w:firstLine="180" w:firstLineChars="100"/>
              <w:jc w:val="center"/>
              <w:rPr>
                <w:sz w:val="18"/>
              </w:rPr>
            </w:pPr>
          </w:p>
          <w:p w14:paraId="3C8B672E">
            <w:pPr>
              <w:pStyle w:val="7"/>
              <w:spacing w:line="360" w:lineRule="auto"/>
              <w:ind w:firstLine="180" w:firstLineChars="100"/>
              <w:jc w:val="center"/>
              <w:rPr>
                <w:rFonts w:hint="eastAsia"/>
                <w:sz w:val="18"/>
                <w:lang w:eastAsia="zh-CN"/>
              </w:rPr>
            </w:pPr>
          </w:p>
          <w:p w14:paraId="772B8765">
            <w:pPr>
              <w:pStyle w:val="21"/>
              <w:bidi w:val="0"/>
              <w:ind w:left="0" w:leftChars="0" w:firstLine="0" w:firstLineChars="0"/>
              <w:jc w:val="both"/>
              <w:rPr>
                <w:rFonts w:hint="default"/>
                <w:lang w:val="en-US" w:eastAsia="zh-CN"/>
              </w:rPr>
            </w:pPr>
          </w:p>
        </w:tc>
      </w:tr>
    </w:tbl>
    <w:p w14:paraId="70C64A88">
      <w:pPr>
        <w:pStyle w:val="10"/>
        <w:widowControl w:val="0"/>
        <w:numPr>
          <w:ilvl w:val="0"/>
          <w:numId w:val="0"/>
        </w:numPr>
        <w:jc w:val="both"/>
      </w:pPr>
    </w:p>
    <w:tbl>
      <w:tblPr>
        <w:tblStyle w:val="15"/>
        <w:tblW w:w="5745"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0266"/>
      </w:tblGrid>
      <w:tr w14:paraId="1A74CC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3571" w:hRule="atLeast"/>
          <w:jc w:val="center"/>
        </w:trPr>
        <w:tc>
          <w:tcPr>
            <w:tcW w:w="5000" w:type="pct"/>
            <w:noWrap w:val="0"/>
            <w:vAlign w:val="top"/>
          </w:tcPr>
          <w:p w14:paraId="14889E16">
            <w:pPr>
              <w:pStyle w:val="21"/>
              <w:bidi w:val="0"/>
              <w:ind w:left="0" w:leftChars="0" w:firstLine="0" w:firstLineChars="0"/>
              <w:jc w:val="both"/>
              <w:rPr>
                <w:rFonts w:hint="default"/>
                <w:b/>
                <w:bCs/>
                <w:color w:val="auto"/>
                <w:sz w:val="24"/>
                <w:highlight w:val="none"/>
                <w:lang w:val="en-US" w:eastAsia="zh-CN"/>
              </w:rPr>
            </w:pPr>
            <w:r>
              <w:rPr>
                <w:rFonts w:hint="default"/>
                <w:b/>
                <w:bCs/>
                <w:color w:val="auto"/>
                <w:sz w:val="24"/>
                <w:highlight w:val="none"/>
                <w:lang w:val="en-US" w:eastAsia="zh-CN"/>
              </w:rPr>
              <w:t>7.1 验收监测期间生产工况记录</w:t>
            </w:r>
          </w:p>
          <w:p w14:paraId="7E352D25">
            <w:pPr>
              <w:pStyle w:val="21"/>
              <w:bidi w:val="0"/>
              <w:ind w:left="0" w:leftChars="0" w:firstLine="480" w:firstLineChars="200"/>
              <w:jc w:val="both"/>
              <w:rPr>
                <w:rFonts w:hint="default"/>
                <w:color w:val="auto"/>
                <w:sz w:val="24"/>
                <w:highlight w:val="none"/>
                <w:lang w:val="en-US" w:eastAsia="zh-CN"/>
              </w:rPr>
            </w:pPr>
            <w:r>
              <w:rPr>
                <w:rFonts w:hint="default"/>
                <w:color w:val="auto"/>
                <w:sz w:val="24"/>
                <w:highlight w:val="none"/>
                <w:lang w:val="en-US" w:eastAsia="zh-CN"/>
              </w:rPr>
              <w:t>监测期间，环保设施与主体工程运行较为稳定，满足验收要求。</w:t>
            </w:r>
          </w:p>
          <w:p w14:paraId="2DC527C0">
            <w:pPr>
              <w:pStyle w:val="21"/>
              <w:bidi w:val="0"/>
              <w:ind w:left="0" w:leftChars="0" w:firstLine="0" w:firstLineChars="0"/>
              <w:jc w:val="both"/>
              <w:rPr>
                <w:rFonts w:hint="default"/>
                <w:b/>
                <w:bCs/>
                <w:color w:val="auto"/>
                <w:sz w:val="24"/>
                <w:highlight w:val="none"/>
                <w:lang w:val="en-US" w:eastAsia="zh-CN"/>
              </w:rPr>
            </w:pPr>
            <w:r>
              <w:rPr>
                <w:rFonts w:hint="default"/>
                <w:b/>
                <w:bCs/>
                <w:color w:val="auto"/>
                <w:sz w:val="24"/>
                <w:highlight w:val="none"/>
                <w:lang w:val="en-US" w:eastAsia="zh-CN"/>
              </w:rPr>
              <w:t>7.2   验收监测结果</w:t>
            </w:r>
          </w:p>
          <w:p w14:paraId="4CCEB90A">
            <w:pPr>
              <w:spacing w:after="0" w:line="440" w:lineRule="exact"/>
              <w:ind w:firstLine="482" w:firstLineChars="200"/>
              <w:rPr>
                <w:rFonts w:hint="eastAsia" w:ascii="Times New Roman" w:hAnsi="宋体" w:eastAsia="宋体"/>
                <w:sz w:val="24"/>
                <w:szCs w:val="24"/>
              </w:rPr>
            </w:pPr>
            <w:r>
              <w:rPr>
                <w:rFonts w:hint="eastAsia"/>
                <w:b/>
                <w:bCs/>
                <w:color w:val="auto"/>
                <w:sz w:val="24"/>
                <w:highlight w:val="none"/>
                <w:lang w:val="en-US" w:eastAsia="zh-CN"/>
              </w:rPr>
              <w:t>7.2.1</w:t>
            </w:r>
            <w:r>
              <w:rPr>
                <w:rFonts w:hint="eastAsia"/>
                <w:color w:val="auto"/>
                <w:sz w:val="24"/>
                <w:highlight w:val="none"/>
                <w:lang w:val="en-US" w:eastAsia="zh-CN"/>
              </w:rPr>
              <w:t>根</w:t>
            </w:r>
            <w:r>
              <w:rPr>
                <w:rFonts w:hint="eastAsia" w:ascii="Times New Roman" w:hAnsi="Times New Roman" w:eastAsia="宋体" w:cstheme="minorBidi"/>
                <w:color w:val="auto"/>
                <w:kern w:val="2"/>
                <w:sz w:val="24"/>
                <w:szCs w:val="24"/>
                <w:highlight w:val="none"/>
                <w:lang w:val="en-US" w:eastAsia="zh-CN" w:bidi="ar-SA"/>
              </w:rPr>
              <w:t>据CQGH2025CF0289监测报告，根据下表数据可知，</w:t>
            </w:r>
            <w:r>
              <w:rPr>
                <w:rFonts w:hint="default" w:ascii="Times New Roman" w:hAnsi="Times New Roman" w:eastAsia="宋体" w:cstheme="minorBidi"/>
                <w:color w:val="auto"/>
                <w:kern w:val="2"/>
                <w:sz w:val="24"/>
                <w:szCs w:val="24"/>
                <w:highlight w:val="none"/>
                <w:lang w:val="en-US" w:eastAsia="zh-CN" w:bidi="ar-SA"/>
              </w:rPr>
              <w:t>验收监测期间，</w:t>
            </w:r>
            <w:r>
              <w:rPr>
                <w:rFonts w:hint="eastAsia" w:ascii="Times New Roman" w:hAnsi="Times New Roman" w:eastAsia="宋体" w:cstheme="minorBidi"/>
                <w:color w:val="auto"/>
                <w:kern w:val="2"/>
                <w:sz w:val="24"/>
                <w:szCs w:val="24"/>
                <w:highlight w:val="none"/>
                <w:lang w:val="en-US" w:eastAsia="zh-CN" w:bidi="ar-SA"/>
              </w:rPr>
              <w:t>重庆立标标识制作有限公司废水W1（厂区生化池排</w:t>
            </w:r>
            <w:r>
              <w:rPr>
                <w:rFonts w:hint="eastAsia" w:ascii="Times New Roman" w:hAnsi="宋体" w:eastAsia="宋体"/>
                <w:sz w:val="24"/>
                <w:szCs w:val="24"/>
                <w:lang w:val="en-US" w:eastAsia="zh-CN"/>
              </w:rPr>
              <w:t>放口）</w:t>
            </w:r>
            <w:r>
              <w:rPr>
                <w:rFonts w:ascii="Times New Roman" w:hAnsi="宋体" w:eastAsia="宋体"/>
                <w:sz w:val="24"/>
                <w:szCs w:val="24"/>
              </w:rPr>
              <w:t>pH</w:t>
            </w:r>
            <w:r>
              <w:rPr>
                <w:rFonts w:hint="eastAsia" w:ascii="Times New Roman" w:hAnsi="宋体" w:eastAsia="宋体"/>
                <w:sz w:val="24"/>
                <w:szCs w:val="24"/>
              </w:rPr>
              <w:t>值、BOD</w:t>
            </w:r>
            <w:r>
              <w:rPr>
                <w:rFonts w:hint="eastAsia" w:ascii="Times New Roman" w:hAnsi="宋体" w:eastAsia="宋体"/>
                <w:sz w:val="24"/>
                <w:szCs w:val="24"/>
                <w:vertAlign w:val="subscript"/>
              </w:rPr>
              <w:t>5</w:t>
            </w:r>
            <w:r>
              <w:rPr>
                <w:rFonts w:hint="eastAsia" w:ascii="Times New Roman" w:hAnsi="宋体" w:eastAsia="宋体"/>
                <w:sz w:val="24"/>
                <w:szCs w:val="24"/>
              </w:rPr>
              <w:t>、COD、氨氮、SS、总磷、排放浓度能够满足</w:t>
            </w:r>
            <w:r>
              <w:rPr>
                <w:rFonts w:ascii="Times New Roman" w:hAnsi="宋体" w:eastAsia="宋体"/>
                <w:bCs/>
                <w:sz w:val="24"/>
                <w:szCs w:val="24"/>
              </w:rPr>
              <w:t>《</w:t>
            </w:r>
            <w:r>
              <w:rPr>
                <w:rFonts w:hint="eastAsia" w:ascii="Times New Roman" w:hAnsi="宋体" w:eastAsia="宋体"/>
                <w:bCs/>
                <w:sz w:val="24"/>
                <w:szCs w:val="24"/>
                <w:lang w:eastAsia="zh-CN"/>
              </w:rPr>
              <w:t>污水综合排放</w:t>
            </w:r>
            <w:r>
              <w:rPr>
                <w:rFonts w:ascii="Times New Roman" w:hAnsi="宋体" w:eastAsia="宋体"/>
                <w:bCs/>
                <w:sz w:val="24"/>
                <w:szCs w:val="24"/>
              </w:rPr>
              <w:t>标准》（GB</w:t>
            </w:r>
            <w:r>
              <w:rPr>
                <w:rFonts w:hint="eastAsia" w:ascii="Times New Roman" w:hAnsi="宋体" w:eastAsia="宋体"/>
                <w:bCs/>
                <w:sz w:val="24"/>
                <w:szCs w:val="24"/>
                <w:lang w:val="en-US" w:eastAsia="zh-CN"/>
              </w:rPr>
              <w:t>8978-1996</w:t>
            </w:r>
            <w:r>
              <w:rPr>
                <w:rFonts w:ascii="Times New Roman" w:hAnsi="宋体" w:eastAsia="宋体"/>
                <w:bCs/>
                <w:sz w:val="24"/>
                <w:szCs w:val="24"/>
              </w:rPr>
              <w:t>）</w:t>
            </w:r>
            <w:r>
              <w:rPr>
                <w:rFonts w:hint="eastAsia" w:ascii="Times New Roman" w:hAnsi="宋体" w:eastAsia="宋体"/>
                <w:bCs/>
                <w:sz w:val="24"/>
                <w:szCs w:val="24"/>
              </w:rPr>
              <w:t>表</w:t>
            </w:r>
            <w:r>
              <w:rPr>
                <w:rFonts w:hint="eastAsia" w:ascii="Times New Roman" w:hAnsi="宋体" w:eastAsia="宋体"/>
                <w:bCs/>
                <w:sz w:val="24"/>
                <w:szCs w:val="24"/>
                <w:lang w:val="en-US" w:eastAsia="zh-CN"/>
              </w:rPr>
              <w:t>4中三级标准限值</w:t>
            </w:r>
            <w:r>
              <w:rPr>
                <w:rFonts w:hint="eastAsia" w:ascii="Times New Roman" w:hAnsi="宋体" w:eastAsia="宋体"/>
                <w:sz w:val="24"/>
                <w:szCs w:val="24"/>
              </w:rPr>
              <w:t>。</w:t>
            </w:r>
          </w:p>
          <w:p w14:paraId="3508D4F7">
            <w:pPr>
              <w:pStyle w:val="21"/>
              <w:bidi w:val="0"/>
              <w:ind w:left="0" w:leftChars="0" w:firstLine="480" w:firstLineChars="200"/>
              <w:jc w:val="both"/>
              <w:rPr>
                <w:rFonts w:hint="eastAsia"/>
                <w:color w:val="auto"/>
                <w:sz w:val="24"/>
                <w:highlight w:val="none"/>
                <w:lang w:val="en-US" w:eastAsia="zh-CN"/>
              </w:rPr>
            </w:pPr>
            <w:r>
              <w:drawing>
                <wp:inline distT="0" distB="0" distL="114300" distR="114300">
                  <wp:extent cx="6104890" cy="6749415"/>
                  <wp:effectExtent l="0" t="0" r="10160" b="13335"/>
                  <wp:docPr id="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7"/>
                          <pic:cNvPicPr>
                            <a:picLocks noChangeAspect="1"/>
                          </pic:cNvPicPr>
                        </pic:nvPicPr>
                        <pic:blipFill>
                          <a:blip r:embed="rId10"/>
                          <a:stretch>
                            <a:fillRect/>
                          </a:stretch>
                        </pic:blipFill>
                        <pic:spPr>
                          <a:xfrm>
                            <a:off x="0" y="0"/>
                            <a:ext cx="6104890" cy="6749415"/>
                          </a:xfrm>
                          <a:prstGeom prst="rect">
                            <a:avLst/>
                          </a:prstGeom>
                          <a:noFill/>
                          <a:ln>
                            <a:noFill/>
                          </a:ln>
                        </pic:spPr>
                      </pic:pic>
                    </a:graphicData>
                  </a:graphic>
                </wp:inline>
              </w:drawing>
            </w:r>
          </w:p>
          <w:p w14:paraId="6C0D29FE">
            <w:pPr>
              <w:pStyle w:val="21"/>
              <w:bidi w:val="0"/>
              <w:ind w:left="0" w:leftChars="0" w:firstLine="0" w:firstLineChars="0"/>
              <w:jc w:val="both"/>
              <w:rPr>
                <w:rFonts w:hint="eastAsia"/>
                <w:color w:val="auto"/>
                <w:sz w:val="24"/>
                <w:highlight w:val="none"/>
                <w:lang w:val="en-US" w:eastAsia="zh-CN"/>
              </w:rPr>
            </w:pPr>
          </w:p>
          <w:p w14:paraId="38B2CC67">
            <w:pPr>
              <w:pStyle w:val="21"/>
              <w:bidi w:val="0"/>
              <w:ind w:left="0" w:leftChars="0" w:firstLine="480" w:firstLineChars="200"/>
              <w:jc w:val="center"/>
              <w:rPr>
                <w:rFonts w:hint="eastAsia"/>
                <w:color w:val="auto"/>
                <w:sz w:val="24"/>
                <w:highlight w:val="none"/>
                <w:lang w:val="en-US" w:eastAsia="zh-CN"/>
              </w:rPr>
            </w:pPr>
            <w:r>
              <w:drawing>
                <wp:inline distT="0" distB="0" distL="114300" distR="114300">
                  <wp:extent cx="6012180" cy="8083550"/>
                  <wp:effectExtent l="0" t="0" r="7620" b="12700"/>
                  <wp:docPr id="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8"/>
                          <pic:cNvPicPr>
                            <a:picLocks noChangeAspect="1"/>
                          </pic:cNvPicPr>
                        </pic:nvPicPr>
                        <pic:blipFill>
                          <a:blip r:embed="rId11"/>
                          <a:stretch>
                            <a:fillRect/>
                          </a:stretch>
                        </pic:blipFill>
                        <pic:spPr>
                          <a:xfrm>
                            <a:off x="0" y="0"/>
                            <a:ext cx="6012180" cy="8083550"/>
                          </a:xfrm>
                          <a:prstGeom prst="rect">
                            <a:avLst/>
                          </a:prstGeom>
                          <a:noFill/>
                          <a:ln>
                            <a:noFill/>
                          </a:ln>
                        </pic:spPr>
                      </pic:pic>
                    </a:graphicData>
                  </a:graphic>
                </wp:inline>
              </w:drawing>
            </w:r>
          </w:p>
          <w:p w14:paraId="31838D78">
            <w:pPr>
              <w:pStyle w:val="21"/>
              <w:bidi w:val="0"/>
              <w:ind w:left="0" w:leftChars="0" w:firstLine="480" w:firstLineChars="200"/>
              <w:jc w:val="center"/>
              <w:rPr>
                <w:rFonts w:hint="eastAsia"/>
                <w:color w:val="auto"/>
                <w:sz w:val="24"/>
                <w:highlight w:val="none"/>
                <w:lang w:val="en-US" w:eastAsia="zh-CN"/>
              </w:rPr>
            </w:pPr>
          </w:p>
          <w:p w14:paraId="26046483">
            <w:pPr>
              <w:pStyle w:val="21"/>
              <w:bidi w:val="0"/>
              <w:jc w:val="both"/>
              <w:rPr>
                <w:rFonts w:hint="default"/>
                <w:color w:val="auto"/>
                <w:sz w:val="24"/>
                <w:highlight w:val="none"/>
                <w:lang w:val="en-US" w:eastAsia="zh-CN"/>
              </w:rPr>
            </w:pPr>
            <w:r>
              <w:rPr>
                <w:rFonts w:hint="eastAsia"/>
                <w:b/>
                <w:bCs/>
                <w:color w:val="auto"/>
                <w:sz w:val="24"/>
                <w:highlight w:val="none"/>
                <w:lang w:val="en-US" w:eastAsia="zh-CN"/>
              </w:rPr>
              <w:t>7.2.2</w:t>
            </w:r>
            <w:r>
              <w:rPr>
                <w:rFonts w:hint="eastAsia"/>
                <w:color w:val="auto"/>
                <w:sz w:val="24"/>
                <w:highlight w:val="none"/>
                <w:lang w:val="en-US" w:eastAsia="zh-CN"/>
              </w:rPr>
              <w:t>根据下表数据</w:t>
            </w:r>
            <w:r>
              <w:rPr>
                <w:rFonts w:hint="eastAsia" w:ascii="Times New Roman" w:hAnsi="宋体" w:eastAsia="宋体"/>
                <w:sz w:val="24"/>
                <w:szCs w:val="24"/>
              </w:rPr>
              <w:t>可知，</w:t>
            </w:r>
            <w:r>
              <w:rPr>
                <w:rFonts w:hint="eastAsia" w:ascii="Times New Roman" w:hAnsi="宋体" w:eastAsia="宋体"/>
                <w:sz w:val="24"/>
                <w:szCs w:val="24"/>
              </w:rPr>
              <w:t>验收监测期间</w:t>
            </w:r>
            <w:r>
              <w:rPr>
                <w:rFonts w:hint="eastAsia" w:ascii="Times New Roman" w:hAnsi="Times New Roman" w:eastAsia="宋体"/>
                <w:color w:val="000000"/>
                <w:sz w:val="24"/>
                <w:szCs w:val="24"/>
                <w:lang w:eastAsia="zh-CN"/>
              </w:rPr>
              <w:t>重庆立标标识制作有限公司</w:t>
            </w:r>
            <w:r>
              <w:rPr>
                <w:rFonts w:hint="eastAsia" w:ascii="Times New Roman" w:hAnsi="宋体" w:eastAsia="宋体"/>
                <w:sz w:val="24"/>
                <w:szCs w:val="24"/>
              </w:rPr>
              <w:t>有组织排放废气中</w:t>
            </w:r>
            <w:r>
              <w:rPr>
                <w:rFonts w:hint="eastAsia" w:ascii="Times New Roman" w:hAnsi="宋体" w:eastAsia="宋体"/>
                <w:sz w:val="24"/>
                <w:szCs w:val="24"/>
                <w:lang w:val="en-US" w:eastAsia="zh-CN"/>
              </w:rPr>
              <w:t>G1（焊接烟尘排气筒）</w:t>
            </w:r>
            <w:r>
              <w:rPr>
                <w:rFonts w:hint="eastAsia" w:ascii="Times New Roman" w:hAnsi="宋体" w:eastAsia="宋体"/>
                <w:sz w:val="24"/>
                <w:szCs w:val="24"/>
              </w:rPr>
              <w:t>排放浓度监测结果符合</w:t>
            </w:r>
            <w:r>
              <w:rPr>
                <w:rFonts w:ascii="Times New Roman" w:hAnsi="宋体" w:eastAsia="宋体"/>
                <w:sz w:val="24"/>
                <w:szCs w:val="24"/>
              </w:rPr>
              <w:t>《</w:t>
            </w:r>
            <w:r>
              <w:rPr>
                <w:rFonts w:hint="eastAsia" w:ascii="Times New Roman" w:hAnsi="宋体" w:eastAsia="宋体"/>
                <w:sz w:val="24"/>
                <w:szCs w:val="24"/>
                <w:lang w:eastAsia="zh-CN"/>
              </w:rPr>
              <w:t>大气</w:t>
            </w:r>
            <w:r>
              <w:rPr>
                <w:rFonts w:hint="eastAsia" w:ascii="Times New Roman" w:hAnsi="宋体" w:eastAsia="宋体"/>
                <w:sz w:val="24"/>
                <w:szCs w:val="24"/>
              </w:rPr>
              <w:t>污染物</w:t>
            </w:r>
            <w:r>
              <w:rPr>
                <w:rFonts w:hint="eastAsia" w:ascii="Times New Roman" w:hAnsi="宋体" w:eastAsia="宋体"/>
                <w:sz w:val="24"/>
                <w:szCs w:val="24"/>
                <w:lang w:eastAsia="zh-CN"/>
              </w:rPr>
              <w:t>综合</w:t>
            </w:r>
            <w:r>
              <w:rPr>
                <w:rFonts w:hint="eastAsia" w:ascii="Times New Roman" w:hAnsi="宋体" w:eastAsia="宋体"/>
                <w:sz w:val="24"/>
                <w:szCs w:val="24"/>
              </w:rPr>
              <w:t>排放标准</w:t>
            </w:r>
            <w:r>
              <w:rPr>
                <w:rFonts w:ascii="Times New Roman" w:hAnsi="宋体" w:eastAsia="宋体"/>
                <w:sz w:val="24"/>
                <w:szCs w:val="24"/>
              </w:rPr>
              <w:t>》（</w:t>
            </w:r>
            <w:r>
              <w:rPr>
                <w:rFonts w:hint="eastAsia" w:ascii="Times New Roman" w:hAnsi="宋体" w:eastAsia="宋体"/>
                <w:sz w:val="24"/>
                <w:szCs w:val="24"/>
              </w:rPr>
              <w:t>DB50/</w:t>
            </w:r>
            <w:r>
              <w:rPr>
                <w:rFonts w:hint="eastAsia" w:ascii="Times New Roman" w:hAnsi="宋体" w:eastAsia="宋体"/>
                <w:sz w:val="24"/>
                <w:szCs w:val="24"/>
                <w:lang w:val="en-US" w:eastAsia="zh-CN"/>
              </w:rPr>
              <w:t>418</w:t>
            </w:r>
            <w:r>
              <w:rPr>
                <w:rFonts w:ascii="Times New Roman" w:hAnsi="宋体" w:eastAsia="宋体"/>
                <w:sz w:val="24"/>
                <w:szCs w:val="24"/>
              </w:rPr>
              <w:t>-2</w:t>
            </w:r>
            <w:r>
              <w:rPr>
                <w:rFonts w:hint="eastAsia" w:ascii="Times New Roman" w:hAnsi="宋体" w:eastAsia="宋体"/>
                <w:sz w:val="24"/>
                <w:szCs w:val="24"/>
              </w:rPr>
              <w:t>016</w:t>
            </w:r>
            <w:r>
              <w:rPr>
                <w:rFonts w:ascii="Times New Roman" w:hAnsi="宋体" w:eastAsia="宋体"/>
                <w:sz w:val="24"/>
                <w:szCs w:val="24"/>
              </w:rPr>
              <w:t>）</w:t>
            </w:r>
            <w:r>
              <w:rPr>
                <w:rFonts w:hint="eastAsia" w:ascii="Times New Roman" w:hAnsi="宋体" w:eastAsia="宋体"/>
                <w:sz w:val="24"/>
                <w:szCs w:val="24"/>
              </w:rPr>
              <w:t>表1</w:t>
            </w:r>
            <w:r>
              <w:rPr>
                <w:rFonts w:hint="eastAsia" w:ascii="Times New Roman" w:hAnsi="宋体" w:eastAsia="宋体"/>
                <w:sz w:val="24"/>
                <w:szCs w:val="24"/>
                <w:lang w:eastAsia="zh-CN"/>
              </w:rPr>
              <w:t>中标准</w:t>
            </w:r>
            <w:r>
              <w:rPr>
                <w:rFonts w:hint="eastAsia" w:ascii="Times New Roman" w:hAnsi="宋体" w:eastAsia="宋体"/>
                <w:sz w:val="24"/>
                <w:szCs w:val="24"/>
              </w:rPr>
              <w:t>限值。</w:t>
            </w:r>
          </w:p>
          <w:p w14:paraId="0E9714C4">
            <w:pPr>
              <w:pStyle w:val="21"/>
              <w:bidi w:val="0"/>
              <w:jc w:val="both"/>
              <w:rPr>
                <w:rFonts w:hint="eastAsia"/>
                <w:color w:val="auto"/>
                <w:sz w:val="24"/>
                <w:highlight w:val="none"/>
                <w:lang w:val="en-US" w:eastAsia="zh-CN"/>
              </w:rPr>
            </w:pPr>
            <w:r>
              <w:drawing>
                <wp:inline distT="0" distB="0" distL="114300" distR="114300">
                  <wp:extent cx="6096635" cy="7731760"/>
                  <wp:effectExtent l="0" t="0" r="18415" b="2540"/>
                  <wp:docPr id="1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9"/>
                          <pic:cNvPicPr>
                            <a:picLocks noChangeAspect="1"/>
                          </pic:cNvPicPr>
                        </pic:nvPicPr>
                        <pic:blipFill>
                          <a:blip r:embed="rId12"/>
                          <a:stretch>
                            <a:fillRect/>
                          </a:stretch>
                        </pic:blipFill>
                        <pic:spPr>
                          <a:xfrm>
                            <a:off x="0" y="0"/>
                            <a:ext cx="6096635" cy="7731760"/>
                          </a:xfrm>
                          <a:prstGeom prst="rect">
                            <a:avLst/>
                          </a:prstGeom>
                          <a:noFill/>
                          <a:ln>
                            <a:noFill/>
                          </a:ln>
                        </pic:spPr>
                      </pic:pic>
                    </a:graphicData>
                  </a:graphic>
                </wp:inline>
              </w:drawing>
            </w:r>
          </w:p>
          <w:p w14:paraId="6E500D31">
            <w:pPr>
              <w:pStyle w:val="21"/>
              <w:bidi w:val="0"/>
              <w:ind w:left="0" w:leftChars="0" w:firstLine="482" w:firstLineChars="200"/>
              <w:jc w:val="both"/>
              <w:rPr>
                <w:rFonts w:hint="eastAsia"/>
                <w:color w:val="auto"/>
                <w:sz w:val="24"/>
                <w:highlight w:val="none"/>
                <w:lang w:val="en-US" w:eastAsia="zh-CN"/>
              </w:rPr>
            </w:pPr>
            <w:r>
              <w:rPr>
                <w:rFonts w:hint="eastAsia"/>
                <w:b/>
                <w:bCs/>
                <w:color w:val="auto"/>
                <w:sz w:val="24"/>
                <w:highlight w:val="none"/>
                <w:lang w:val="en-US" w:eastAsia="zh-CN"/>
              </w:rPr>
              <w:t>7.2.3</w:t>
            </w:r>
            <w:r>
              <w:rPr>
                <w:rFonts w:hint="eastAsia"/>
                <w:color w:val="auto"/>
                <w:sz w:val="24"/>
                <w:highlight w:val="none"/>
                <w:lang w:val="en-US" w:eastAsia="zh-CN"/>
              </w:rPr>
              <w:t>根据下表数据</w:t>
            </w:r>
            <w:r>
              <w:rPr>
                <w:rFonts w:hint="eastAsia" w:ascii="Times New Roman" w:hAnsi="宋体" w:eastAsia="宋体"/>
                <w:sz w:val="24"/>
                <w:szCs w:val="24"/>
              </w:rPr>
              <w:t>可知，验收监测期间</w:t>
            </w:r>
            <w:r>
              <w:rPr>
                <w:rFonts w:hint="eastAsia" w:ascii="Times New Roman" w:hAnsi="Times New Roman" w:eastAsia="宋体"/>
                <w:color w:val="000000"/>
                <w:sz w:val="24"/>
                <w:szCs w:val="24"/>
                <w:lang w:eastAsia="zh-CN"/>
              </w:rPr>
              <w:t>重庆立标标识制作有限公司</w:t>
            </w:r>
            <w:r>
              <w:rPr>
                <w:rFonts w:hint="eastAsia" w:ascii="Times New Roman" w:hAnsi="宋体" w:eastAsia="宋体"/>
                <w:sz w:val="24"/>
                <w:szCs w:val="24"/>
              </w:rPr>
              <w:t>有组织排放废气中</w:t>
            </w:r>
            <w:r>
              <w:rPr>
                <w:rFonts w:hint="eastAsia" w:ascii="Times New Roman" w:hAnsi="宋体" w:eastAsia="宋体"/>
                <w:sz w:val="24"/>
                <w:szCs w:val="24"/>
                <w:lang w:val="en-US" w:eastAsia="zh-CN"/>
              </w:rPr>
              <w:t>G</w:t>
            </w:r>
            <w:r>
              <w:rPr>
                <w:rFonts w:hint="eastAsia" w:hAnsi="宋体"/>
                <w:sz w:val="24"/>
                <w:szCs w:val="24"/>
                <w:lang w:val="en-US" w:eastAsia="zh-CN"/>
              </w:rPr>
              <w:t>2</w:t>
            </w:r>
            <w:r>
              <w:rPr>
                <w:rFonts w:hint="eastAsia" w:ascii="Times New Roman" w:hAnsi="宋体" w:eastAsia="宋体"/>
                <w:sz w:val="24"/>
                <w:szCs w:val="24"/>
                <w:lang w:val="en-US" w:eastAsia="zh-CN"/>
              </w:rPr>
              <w:t>（</w:t>
            </w:r>
            <w:r>
              <w:rPr>
                <w:rFonts w:hint="eastAsia" w:hAnsi="宋体"/>
                <w:sz w:val="24"/>
                <w:szCs w:val="24"/>
                <w:lang w:val="en-US" w:eastAsia="zh-CN"/>
              </w:rPr>
              <w:t>喷涂废气</w:t>
            </w:r>
            <w:r>
              <w:rPr>
                <w:rFonts w:hint="eastAsia" w:ascii="Times New Roman" w:hAnsi="宋体" w:eastAsia="宋体"/>
                <w:sz w:val="24"/>
                <w:szCs w:val="24"/>
                <w:lang w:val="en-US" w:eastAsia="zh-CN"/>
              </w:rPr>
              <w:t>排气筒）</w:t>
            </w:r>
            <w:r>
              <w:rPr>
                <w:rFonts w:hint="eastAsia" w:ascii="Times New Roman" w:hAnsi="宋体" w:eastAsia="宋体"/>
                <w:sz w:val="24"/>
                <w:szCs w:val="24"/>
              </w:rPr>
              <w:t>排放浓度监测结果符合</w:t>
            </w:r>
            <w:r>
              <w:rPr>
                <w:rFonts w:ascii="Times New Roman" w:hAnsi="宋体" w:eastAsia="宋体"/>
                <w:sz w:val="24"/>
                <w:szCs w:val="24"/>
              </w:rPr>
              <w:t>《</w:t>
            </w:r>
            <w:r>
              <w:rPr>
                <w:rFonts w:hint="eastAsia" w:ascii="Times New Roman" w:hAnsi="宋体" w:eastAsia="宋体"/>
                <w:sz w:val="24"/>
                <w:szCs w:val="24"/>
                <w:lang w:eastAsia="zh-CN"/>
              </w:rPr>
              <w:t>大气</w:t>
            </w:r>
            <w:r>
              <w:rPr>
                <w:rFonts w:hint="eastAsia" w:ascii="Times New Roman" w:hAnsi="宋体" w:eastAsia="宋体"/>
                <w:sz w:val="24"/>
                <w:szCs w:val="24"/>
              </w:rPr>
              <w:t>污染物</w:t>
            </w:r>
            <w:r>
              <w:rPr>
                <w:rFonts w:hint="eastAsia" w:ascii="Times New Roman" w:hAnsi="宋体" w:eastAsia="宋体"/>
                <w:sz w:val="24"/>
                <w:szCs w:val="24"/>
                <w:lang w:eastAsia="zh-CN"/>
              </w:rPr>
              <w:t>综合</w:t>
            </w:r>
            <w:r>
              <w:rPr>
                <w:rFonts w:hint="eastAsia" w:ascii="Times New Roman" w:hAnsi="宋体" w:eastAsia="宋体"/>
                <w:sz w:val="24"/>
                <w:szCs w:val="24"/>
              </w:rPr>
              <w:t>排放标准</w:t>
            </w:r>
            <w:r>
              <w:rPr>
                <w:rFonts w:ascii="Times New Roman" w:hAnsi="宋体" w:eastAsia="宋体"/>
                <w:sz w:val="24"/>
                <w:szCs w:val="24"/>
              </w:rPr>
              <w:t>》（</w:t>
            </w:r>
            <w:r>
              <w:rPr>
                <w:rFonts w:hint="eastAsia" w:ascii="Times New Roman" w:hAnsi="宋体" w:eastAsia="宋体"/>
                <w:sz w:val="24"/>
                <w:szCs w:val="24"/>
              </w:rPr>
              <w:t>DB50/</w:t>
            </w:r>
            <w:r>
              <w:rPr>
                <w:rFonts w:hint="eastAsia" w:ascii="Times New Roman" w:hAnsi="宋体" w:eastAsia="宋体"/>
                <w:sz w:val="24"/>
                <w:szCs w:val="24"/>
                <w:lang w:val="en-US" w:eastAsia="zh-CN"/>
              </w:rPr>
              <w:t>418</w:t>
            </w:r>
            <w:r>
              <w:rPr>
                <w:rFonts w:ascii="Times New Roman" w:hAnsi="宋体" w:eastAsia="宋体"/>
                <w:sz w:val="24"/>
                <w:szCs w:val="24"/>
              </w:rPr>
              <w:t>-2</w:t>
            </w:r>
            <w:r>
              <w:rPr>
                <w:rFonts w:hint="eastAsia" w:ascii="Times New Roman" w:hAnsi="宋体" w:eastAsia="宋体"/>
                <w:sz w:val="24"/>
                <w:szCs w:val="24"/>
              </w:rPr>
              <w:t>016</w:t>
            </w:r>
            <w:r>
              <w:rPr>
                <w:rFonts w:ascii="Times New Roman" w:hAnsi="宋体" w:eastAsia="宋体"/>
                <w:sz w:val="24"/>
                <w:szCs w:val="24"/>
              </w:rPr>
              <w:t>）</w:t>
            </w:r>
            <w:r>
              <w:rPr>
                <w:rFonts w:hint="eastAsia" w:ascii="Times New Roman" w:hAnsi="宋体" w:eastAsia="宋体"/>
                <w:sz w:val="24"/>
                <w:szCs w:val="24"/>
              </w:rPr>
              <w:t>表1</w:t>
            </w:r>
            <w:r>
              <w:rPr>
                <w:rFonts w:hint="eastAsia" w:ascii="Times New Roman" w:hAnsi="宋体" w:eastAsia="宋体"/>
                <w:sz w:val="24"/>
                <w:szCs w:val="24"/>
                <w:lang w:eastAsia="zh-CN"/>
              </w:rPr>
              <w:t>中标准</w:t>
            </w:r>
            <w:r>
              <w:rPr>
                <w:rFonts w:hint="eastAsia" w:ascii="Times New Roman" w:hAnsi="宋体" w:eastAsia="宋体"/>
                <w:sz w:val="24"/>
                <w:szCs w:val="24"/>
              </w:rPr>
              <w:t>限值。</w:t>
            </w:r>
          </w:p>
          <w:p w14:paraId="3C3E29DD">
            <w:pPr>
              <w:pStyle w:val="21"/>
              <w:bidi w:val="0"/>
              <w:ind w:left="0" w:leftChars="0" w:firstLine="0" w:firstLineChars="0"/>
              <w:jc w:val="both"/>
              <w:rPr>
                <w:rFonts w:hint="eastAsia"/>
                <w:color w:val="auto"/>
                <w:sz w:val="24"/>
                <w:highlight w:val="none"/>
                <w:lang w:val="en-US" w:eastAsia="zh-CN"/>
              </w:rPr>
            </w:pPr>
            <w:r>
              <w:drawing>
                <wp:inline distT="0" distB="0" distL="114300" distR="114300">
                  <wp:extent cx="6337300" cy="7539990"/>
                  <wp:effectExtent l="0" t="0" r="6350" b="3810"/>
                  <wp:docPr id="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0"/>
                          <pic:cNvPicPr>
                            <a:picLocks noChangeAspect="1"/>
                          </pic:cNvPicPr>
                        </pic:nvPicPr>
                        <pic:blipFill>
                          <a:blip r:embed="rId13"/>
                          <a:stretch>
                            <a:fillRect/>
                          </a:stretch>
                        </pic:blipFill>
                        <pic:spPr>
                          <a:xfrm>
                            <a:off x="0" y="0"/>
                            <a:ext cx="6337300" cy="7539990"/>
                          </a:xfrm>
                          <a:prstGeom prst="rect">
                            <a:avLst/>
                          </a:prstGeom>
                          <a:noFill/>
                          <a:ln>
                            <a:noFill/>
                          </a:ln>
                        </pic:spPr>
                      </pic:pic>
                    </a:graphicData>
                  </a:graphic>
                </wp:inline>
              </w:drawing>
            </w:r>
          </w:p>
          <w:p w14:paraId="7029102F">
            <w:pPr>
              <w:pStyle w:val="21"/>
              <w:bidi w:val="0"/>
              <w:ind w:left="0" w:leftChars="0" w:firstLine="482" w:firstLineChars="200"/>
              <w:jc w:val="both"/>
              <w:rPr>
                <w:rFonts w:hint="default"/>
                <w:color w:val="auto"/>
                <w:sz w:val="24"/>
                <w:highlight w:val="none"/>
                <w:lang w:val="en-US" w:eastAsia="zh-CN"/>
              </w:rPr>
            </w:pPr>
            <w:r>
              <w:rPr>
                <w:rFonts w:hint="eastAsia"/>
                <w:b/>
                <w:bCs/>
                <w:color w:val="auto"/>
                <w:sz w:val="24"/>
                <w:highlight w:val="none"/>
                <w:lang w:val="en-US" w:eastAsia="zh-CN"/>
              </w:rPr>
              <w:t>7.2.4</w:t>
            </w:r>
            <w:r>
              <w:rPr>
                <w:rFonts w:hint="eastAsia"/>
                <w:color w:val="auto"/>
                <w:sz w:val="24"/>
                <w:highlight w:val="none"/>
                <w:lang w:val="en-US" w:eastAsia="zh-CN"/>
              </w:rPr>
              <w:t>根据下表数据</w:t>
            </w:r>
            <w:r>
              <w:rPr>
                <w:rFonts w:hint="eastAsia" w:ascii="Times New Roman" w:hAnsi="宋体" w:eastAsia="宋体"/>
                <w:sz w:val="24"/>
                <w:szCs w:val="24"/>
              </w:rPr>
              <w:t>可知，验收监测期间</w:t>
            </w:r>
            <w:r>
              <w:rPr>
                <w:rFonts w:hint="eastAsia" w:ascii="Times New Roman" w:hAnsi="Times New Roman" w:eastAsia="宋体"/>
                <w:color w:val="000000"/>
                <w:sz w:val="24"/>
                <w:szCs w:val="24"/>
                <w:lang w:eastAsia="zh-CN"/>
              </w:rPr>
              <w:t>重庆立标标识制作有限公司</w:t>
            </w:r>
            <w:r>
              <w:rPr>
                <w:rFonts w:hint="eastAsia"/>
                <w:color w:val="000000"/>
                <w:sz w:val="24"/>
                <w:szCs w:val="24"/>
                <w:lang w:eastAsia="zh-CN"/>
              </w:rPr>
              <w:t>无</w:t>
            </w:r>
            <w:r>
              <w:rPr>
                <w:rFonts w:hint="eastAsia" w:ascii="Times New Roman" w:hAnsi="宋体" w:eastAsia="宋体"/>
                <w:sz w:val="24"/>
                <w:szCs w:val="24"/>
              </w:rPr>
              <w:t>组织排放废气中</w:t>
            </w:r>
            <w:r>
              <w:rPr>
                <w:rFonts w:hint="eastAsia" w:hAnsi="宋体"/>
                <w:sz w:val="24"/>
                <w:szCs w:val="24"/>
                <w:lang w:val="en-US" w:eastAsia="zh-CN"/>
              </w:rPr>
              <w:t>J1/J2</w:t>
            </w:r>
            <w:r>
              <w:rPr>
                <w:rFonts w:hint="eastAsia" w:ascii="Times New Roman" w:hAnsi="宋体" w:eastAsia="宋体"/>
                <w:sz w:val="24"/>
                <w:szCs w:val="24"/>
              </w:rPr>
              <w:t>排放浓度监测结果符合</w:t>
            </w:r>
            <w:r>
              <w:rPr>
                <w:rFonts w:ascii="Times New Roman" w:hAnsi="宋体" w:eastAsia="宋体"/>
                <w:sz w:val="24"/>
                <w:szCs w:val="24"/>
              </w:rPr>
              <w:t>《</w:t>
            </w:r>
            <w:r>
              <w:rPr>
                <w:rFonts w:hint="eastAsia" w:ascii="Times New Roman" w:hAnsi="宋体" w:eastAsia="宋体"/>
                <w:sz w:val="24"/>
                <w:szCs w:val="24"/>
                <w:lang w:eastAsia="zh-CN"/>
              </w:rPr>
              <w:t>大气</w:t>
            </w:r>
            <w:r>
              <w:rPr>
                <w:rFonts w:hint="eastAsia" w:ascii="Times New Roman" w:hAnsi="宋体" w:eastAsia="宋体"/>
                <w:sz w:val="24"/>
                <w:szCs w:val="24"/>
              </w:rPr>
              <w:t>污染物</w:t>
            </w:r>
            <w:r>
              <w:rPr>
                <w:rFonts w:hint="eastAsia" w:ascii="Times New Roman" w:hAnsi="宋体" w:eastAsia="宋体"/>
                <w:sz w:val="24"/>
                <w:szCs w:val="24"/>
                <w:lang w:eastAsia="zh-CN"/>
              </w:rPr>
              <w:t>综合</w:t>
            </w:r>
            <w:r>
              <w:rPr>
                <w:rFonts w:hint="eastAsia" w:ascii="Times New Roman" w:hAnsi="宋体" w:eastAsia="宋体"/>
                <w:sz w:val="24"/>
                <w:szCs w:val="24"/>
              </w:rPr>
              <w:t>排放标准</w:t>
            </w:r>
            <w:r>
              <w:rPr>
                <w:rFonts w:ascii="Times New Roman" w:hAnsi="宋体" w:eastAsia="宋体"/>
                <w:sz w:val="24"/>
                <w:szCs w:val="24"/>
              </w:rPr>
              <w:t>》（</w:t>
            </w:r>
            <w:r>
              <w:rPr>
                <w:rFonts w:hint="eastAsia" w:ascii="Times New Roman" w:hAnsi="宋体" w:eastAsia="宋体"/>
                <w:sz w:val="24"/>
                <w:szCs w:val="24"/>
              </w:rPr>
              <w:t>DB50/</w:t>
            </w:r>
            <w:r>
              <w:rPr>
                <w:rFonts w:hint="eastAsia" w:ascii="Times New Roman" w:hAnsi="宋体" w:eastAsia="宋体"/>
                <w:sz w:val="24"/>
                <w:szCs w:val="24"/>
                <w:lang w:val="en-US" w:eastAsia="zh-CN"/>
              </w:rPr>
              <w:t>418</w:t>
            </w:r>
            <w:r>
              <w:rPr>
                <w:rFonts w:ascii="Times New Roman" w:hAnsi="宋体" w:eastAsia="宋体"/>
                <w:sz w:val="24"/>
                <w:szCs w:val="24"/>
              </w:rPr>
              <w:t>-2</w:t>
            </w:r>
            <w:r>
              <w:rPr>
                <w:rFonts w:hint="eastAsia" w:ascii="Times New Roman" w:hAnsi="宋体" w:eastAsia="宋体"/>
                <w:sz w:val="24"/>
                <w:szCs w:val="24"/>
              </w:rPr>
              <w:t>016</w:t>
            </w:r>
            <w:r>
              <w:rPr>
                <w:rFonts w:ascii="Times New Roman" w:hAnsi="宋体" w:eastAsia="宋体"/>
                <w:sz w:val="24"/>
                <w:szCs w:val="24"/>
              </w:rPr>
              <w:t>）</w:t>
            </w:r>
            <w:r>
              <w:rPr>
                <w:rFonts w:hint="eastAsia" w:ascii="Times New Roman" w:hAnsi="宋体" w:eastAsia="宋体"/>
                <w:sz w:val="24"/>
                <w:szCs w:val="24"/>
              </w:rPr>
              <w:t>表1</w:t>
            </w:r>
            <w:r>
              <w:rPr>
                <w:rFonts w:hint="eastAsia" w:ascii="Times New Roman" w:hAnsi="宋体" w:eastAsia="宋体"/>
                <w:sz w:val="24"/>
                <w:szCs w:val="24"/>
                <w:lang w:eastAsia="zh-CN"/>
              </w:rPr>
              <w:t>中标准</w:t>
            </w:r>
            <w:r>
              <w:rPr>
                <w:rFonts w:hint="eastAsia" w:ascii="Times New Roman" w:hAnsi="宋体" w:eastAsia="宋体"/>
                <w:sz w:val="24"/>
                <w:szCs w:val="24"/>
              </w:rPr>
              <w:t>限值。</w:t>
            </w:r>
          </w:p>
          <w:p w14:paraId="0ED1CADA">
            <w:pPr>
              <w:pStyle w:val="21"/>
              <w:bidi w:val="0"/>
              <w:ind w:left="0" w:leftChars="0" w:firstLine="0" w:firstLineChars="0"/>
              <w:jc w:val="left"/>
              <w:rPr>
                <w:rFonts w:hint="default"/>
                <w:color w:val="auto"/>
                <w:sz w:val="24"/>
                <w:highlight w:val="none"/>
                <w:lang w:val="en-US" w:eastAsia="zh-CN"/>
              </w:rPr>
            </w:pPr>
            <w:r>
              <w:drawing>
                <wp:inline distT="0" distB="0" distL="114300" distR="114300">
                  <wp:extent cx="7547610" cy="5841365"/>
                  <wp:effectExtent l="0" t="0" r="6985" b="1524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4"/>
                          <a:stretch>
                            <a:fillRect/>
                          </a:stretch>
                        </pic:blipFill>
                        <pic:spPr>
                          <a:xfrm rot="16200000">
                            <a:off x="0" y="0"/>
                            <a:ext cx="7547610" cy="5841365"/>
                          </a:xfrm>
                          <a:prstGeom prst="rect">
                            <a:avLst/>
                          </a:prstGeom>
                          <a:noFill/>
                          <a:ln>
                            <a:noFill/>
                          </a:ln>
                        </pic:spPr>
                      </pic:pic>
                    </a:graphicData>
                  </a:graphic>
                </wp:inline>
              </w:drawing>
            </w:r>
            <w:r>
              <w:drawing>
                <wp:inline distT="0" distB="0" distL="114300" distR="114300">
                  <wp:extent cx="7451725" cy="2865120"/>
                  <wp:effectExtent l="0" t="0" r="11430" b="1587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15"/>
                          <a:stretch>
                            <a:fillRect/>
                          </a:stretch>
                        </pic:blipFill>
                        <pic:spPr>
                          <a:xfrm rot="16200000">
                            <a:off x="0" y="0"/>
                            <a:ext cx="7451725" cy="2865120"/>
                          </a:xfrm>
                          <a:prstGeom prst="rect">
                            <a:avLst/>
                          </a:prstGeom>
                          <a:noFill/>
                          <a:ln>
                            <a:noFill/>
                          </a:ln>
                        </pic:spPr>
                      </pic:pic>
                    </a:graphicData>
                  </a:graphic>
                </wp:inline>
              </w:drawing>
            </w:r>
          </w:p>
          <w:p w14:paraId="71C64D31">
            <w:pPr>
              <w:pStyle w:val="21"/>
              <w:bidi w:val="0"/>
              <w:ind w:left="0" w:leftChars="0" w:firstLine="482" w:firstLineChars="200"/>
              <w:jc w:val="both"/>
              <w:rPr>
                <w:rFonts w:hint="default"/>
                <w:color w:val="auto"/>
                <w:sz w:val="24"/>
                <w:highlight w:val="none"/>
                <w:lang w:val="en-US" w:eastAsia="zh-CN"/>
              </w:rPr>
            </w:pPr>
            <w:r>
              <w:rPr>
                <w:rFonts w:hint="eastAsia"/>
                <w:b/>
                <w:bCs/>
                <w:color w:val="auto"/>
                <w:sz w:val="24"/>
                <w:highlight w:val="none"/>
                <w:lang w:val="en-US" w:eastAsia="zh-CN"/>
              </w:rPr>
              <w:t>7.2.5</w:t>
            </w:r>
            <w:r>
              <w:rPr>
                <w:rFonts w:hint="eastAsia"/>
                <w:color w:val="auto"/>
                <w:sz w:val="24"/>
                <w:highlight w:val="none"/>
                <w:lang w:val="en-US" w:eastAsia="zh-CN"/>
              </w:rPr>
              <w:t>根据下表数据</w:t>
            </w:r>
            <w:r>
              <w:rPr>
                <w:rFonts w:hint="eastAsia" w:ascii="Times New Roman" w:hAnsi="宋体" w:eastAsia="宋体"/>
                <w:sz w:val="24"/>
                <w:szCs w:val="24"/>
              </w:rPr>
              <w:t>可知，验收监测期间</w:t>
            </w:r>
            <w:r>
              <w:rPr>
                <w:rFonts w:hint="eastAsia" w:ascii="Times New Roman" w:hAnsi="Times New Roman" w:eastAsia="宋体"/>
                <w:color w:val="000000"/>
                <w:sz w:val="24"/>
                <w:szCs w:val="24"/>
                <w:lang w:eastAsia="zh-CN"/>
              </w:rPr>
              <w:t>重庆立标标识制作有限公司</w:t>
            </w:r>
            <w:r>
              <w:rPr>
                <w:rFonts w:ascii="Times New Roman" w:hAnsi="宋体" w:eastAsia="宋体"/>
                <w:sz w:val="24"/>
                <w:szCs w:val="24"/>
              </w:rPr>
              <w:t>厂界噪声监测</w:t>
            </w:r>
            <w:r>
              <w:rPr>
                <w:rFonts w:hint="eastAsia" w:hAnsi="宋体"/>
                <w:sz w:val="24"/>
                <w:szCs w:val="24"/>
                <w:lang w:val="en-US" w:eastAsia="zh-CN"/>
              </w:rPr>
              <w:t>N1/N2</w:t>
            </w:r>
            <w:r>
              <w:rPr>
                <w:rFonts w:hint="eastAsia" w:ascii="Times New Roman" w:hAnsi="宋体" w:eastAsia="宋体"/>
                <w:color w:val="000000"/>
                <w:spacing w:val="-4"/>
                <w:sz w:val="24"/>
                <w:szCs w:val="24"/>
              </w:rPr>
              <w:t>厂界</w:t>
            </w:r>
            <w:r>
              <w:rPr>
                <w:rFonts w:hint="eastAsia" w:ascii="Times New Roman" w:hAnsi="宋体" w:eastAsia="宋体"/>
                <w:spacing w:val="-4"/>
                <w:sz w:val="24"/>
                <w:szCs w:val="24"/>
              </w:rPr>
              <w:t>昼、夜间噪声均</w:t>
            </w:r>
            <w:r>
              <w:rPr>
                <w:rFonts w:ascii="Times New Roman" w:hAnsi="宋体" w:eastAsia="宋体"/>
                <w:spacing w:val="-4"/>
                <w:sz w:val="24"/>
                <w:szCs w:val="24"/>
              </w:rPr>
              <w:t>符合《工业企业厂界环境噪声排放标准》</w:t>
            </w:r>
            <w:r>
              <w:rPr>
                <w:rFonts w:ascii="Times New Roman" w:hAnsi="Times New Roman" w:eastAsia="宋体"/>
                <w:color w:val="000000"/>
                <w:sz w:val="21"/>
                <w:szCs w:val="21"/>
              </w:rPr>
              <w:t>(GB 12348-2008)</w:t>
            </w:r>
            <w:r>
              <w:rPr>
                <w:rFonts w:hint="eastAsia" w:ascii="Times New Roman" w:hAnsi="Times New Roman" w:eastAsia="宋体"/>
                <w:color w:val="000000"/>
                <w:sz w:val="21"/>
                <w:szCs w:val="21"/>
                <w:lang w:eastAsia="zh-CN"/>
              </w:rPr>
              <w:t>表</w:t>
            </w:r>
            <w:r>
              <w:rPr>
                <w:rFonts w:hint="eastAsia" w:ascii="Times New Roman" w:hAnsi="Times New Roman" w:eastAsia="宋体"/>
                <w:color w:val="000000"/>
                <w:sz w:val="21"/>
                <w:szCs w:val="21"/>
                <w:lang w:val="en-US" w:eastAsia="zh-CN"/>
              </w:rPr>
              <w:t>1中3类区标准限值</w:t>
            </w:r>
            <w:r>
              <w:rPr>
                <w:rFonts w:hint="eastAsia" w:ascii="Times New Roman" w:hAnsi="宋体" w:eastAsia="宋体"/>
                <w:sz w:val="24"/>
                <w:szCs w:val="24"/>
              </w:rPr>
              <w:t>。</w:t>
            </w:r>
          </w:p>
          <w:p w14:paraId="7ADCC268">
            <w:pPr>
              <w:pStyle w:val="21"/>
              <w:bidi w:val="0"/>
              <w:ind w:left="0" w:leftChars="0" w:firstLine="0" w:firstLineChars="0"/>
              <w:jc w:val="left"/>
              <w:rPr>
                <w:rFonts w:hint="default"/>
                <w:color w:val="auto"/>
                <w:sz w:val="24"/>
                <w:highlight w:val="none"/>
                <w:lang w:val="en-US" w:eastAsia="zh-CN"/>
              </w:rPr>
            </w:pPr>
          </w:p>
          <w:p w14:paraId="7E791EE3">
            <w:pPr>
              <w:pStyle w:val="21"/>
              <w:bidi w:val="0"/>
              <w:ind w:left="0" w:leftChars="0" w:firstLine="0" w:firstLineChars="0"/>
              <w:jc w:val="left"/>
              <w:rPr>
                <w:rFonts w:hint="default"/>
                <w:color w:val="auto"/>
                <w:sz w:val="24"/>
                <w:highlight w:val="none"/>
                <w:lang w:val="en-US" w:eastAsia="zh-CN"/>
              </w:rPr>
            </w:pPr>
            <w:r>
              <w:drawing>
                <wp:inline distT="0" distB="0" distL="114300" distR="114300">
                  <wp:extent cx="5743575" cy="3609975"/>
                  <wp:effectExtent l="0" t="0" r="9525" b="9525"/>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16"/>
                          <a:stretch>
                            <a:fillRect/>
                          </a:stretch>
                        </pic:blipFill>
                        <pic:spPr>
                          <a:xfrm>
                            <a:off x="0" y="0"/>
                            <a:ext cx="5743575" cy="3609975"/>
                          </a:xfrm>
                          <a:prstGeom prst="rect">
                            <a:avLst/>
                          </a:prstGeom>
                          <a:noFill/>
                          <a:ln>
                            <a:noFill/>
                          </a:ln>
                        </pic:spPr>
                      </pic:pic>
                    </a:graphicData>
                  </a:graphic>
                </wp:inline>
              </w:drawing>
            </w:r>
          </w:p>
          <w:p w14:paraId="4873B798">
            <w:pPr>
              <w:pStyle w:val="21"/>
              <w:ind w:left="0" w:leftChars="0" w:firstLine="723" w:firstLineChars="300"/>
              <w:rPr>
                <w:rFonts w:hint="default"/>
                <w:b/>
                <w:bCs/>
                <w:color w:val="000000" w:themeColor="text1"/>
                <w:highlight w:val="none"/>
                <w:lang w:val="en-US" w:eastAsia="zh-CN"/>
                <w14:textFill>
                  <w14:solidFill>
                    <w14:schemeClr w14:val="tx1"/>
                  </w14:solidFill>
                </w14:textFill>
              </w:rPr>
            </w:pPr>
            <w:r>
              <w:rPr>
                <w:rFonts w:hint="default"/>
                <w:b/>
                <w:bCs/>
                <w:color w:val="000000" w:themeColor="text1"/>
                <w:highlight w:val="none"/>
                <w:lang w:val="en-US" w:eastAsia="zh-CN"/>
                <w14:textFill>
                  <w14:solidFill>
                    <w14:schemeClr w14:val="tx1"/>
                  </w14:solidFill>
                </w14:textFill>
              </w:rPr>
              <w:t>7.2.</w:t>
            </w:r>
            <w:r>
              <w:rPr>
                <w:rFonts w:hint="eastAsia"/>
                <w:b/>
                <w:bCs/>
                <w:color w:val="000000" w:themeColor="text1"/>
                <w:highlight w:val="none"/>
                <w:lang w:val="en-US" w:eastAsia="zh-CN"/>
                <w14:textFill>
                  <w14:solidFill>
                    <w14:schemeClr w14:val="tx1"/>
                  </w14:solidFill>
                </w14:textFill>
              </w:rPr>
              <w:t>6</w:t>
            </w:r>
            <w:r>
              <w:rPr>
                <w:rFonts w:hint="default"/>
                <w:b/>
                <w:bCs/>
                <w:color w:val="000000" w:themeColor="text1"/>
                <w:highlight w:val="none"/>
                <w:lang w:val="en-US" w:eastAsia="zh-CN"/>
                <w14:textFill>
                  <w14:solidFill>
                    <w14:schemeClr w14:val="tx1"/>
                  </w14:solidFill>
                </w14:textFill>
              </w:rPr>
              <w:t>污染物排放总量</w:t>
            </w:r>
          </w:p>
          <w:p w14:paraId="0263F302">
            <w:pPr>
              <w:pStyle w:val="21"/>
              <w:ind w:firstLine="480"/>
            </w:pPr>
            <w:r>
              <w:rPr>
                <w:color w:val="auto"/>
                <w:highlight w:val="none"/>
              </w:rPr>
              <w:t>项目建成后排放的重点污染物的量</w:t>
            </w:r>
            <w:r>
              <w:rPr>
                <w:rFonts w:hint="eastAsia"/>
                <w:color w:val="auto"/>
                <w:highlight w:val="none"/>
                <w:lang w:val="en-US" w:eastAsia="zh-CN"/>
              </w:rPr>
              <w:t>如下：</w:t>
            </w:r>
          </w:p>
          <w:p w14:paraId="54FE517F">
            <w:pPr>
              <w:pStyle w:val="21"/>
              <w:ind w:firstLine="480"/>
              <w:rPr>
                <w:color w:val="000000"/>
                <w:highlight w:val="none"/>
              </w:rPr>
            </w:pPr>
            <w:r>
              <w:rPr>
                <w:rFonts w:hint="eastAsia"/>
                <w:color w:val="000000"/>
                <w:highlight w:val="none"/>
                <w:lang w:val="en-US" w:eastAsia="zh-CN"/>
              </w:rPr>
              <w:t>废水排入环境的量：</w:t>
            </w:r>
            <w:r>
              <w:rPr>
                <w:color w:val="000000"/>
                <w:highlight w:val="none"/>
              </w:rPr>
              <w:t>COD</w:t>
            </w:r>
            <w:r>
              <w:rPr>
                <w:rFonts w:hint="eastAsia"/>
                <w:color w:val="000000"/>
                <w:highlight w:val="none"/>
                <w:lang w:val="en-US" w:eastAsia="zh-CN"/>
              </w:rPr>
              <w:t>为0.0108</w:t>
            </w:r>
            <w:r>
              <w:rPr>
                <w:color w:val="000000"/>
                <w:highlight w:val="none"/>
              </w:rPr>
              <w:t>t/a、氨氮</w:t>
            </w:r>
            <w:r>
              <w:rPr>
                <w:rFonts w:hint="eastAsia"/>
                <w:color w:val="000000"/>
                <w:highlight w:val="none"/>
                <w:lang w:val="en-US" w:eastAsia="zh-CN"/>
              </w:rPr>
              <w:t>为0.0014</w:t>
            </w:r>
            <w:r>
              <w:rPr>
                <w:color w:val="000000"/>
                <w:highlight w:val="none"/>
              </w:rPr>
              <w:t>t/a</w:t>
            </w:r>
            <w:r>
              <w:rPr>
                <w:rFonts w:hint="eastAsia"/>
                <w:color w:val="000000"/>
                <w:highlight w:val="none"/>
                <w:lang w:eastAsia="zh-CN"/>
              </w:rPr>
              <w:t>、</w:t>
            </w:r>
            <w:r>
              <w:rPr>
                <w:rFonts w:hint="eastAsia"/>
                <w:color w:val="000000"/>
                <w:highlight w:val="none"/>
                <w:lang w:val="en-US" w:eastAsia="zh-CN"/>
              </w:rPr>
              <w:t>TP为0.0001t/a</w:t>
            </w:r>
            <w:r>
              <w:rPr>
                <w:color w:val="000000"/>
                <w:highlight w:val="none"/>
              </w:rPr>
              <w:t>；</w:t>
            </w:r>
          </w:p>
          <w:p w14:paraId="206A5763">
            <w:pPr>
              <w:pStyle w:val="21"/>
              <w:ind w:firstLine="480"/>
              <w:rPr>
                <w:rFonts w:hint="default" w:eastAsia="宋体"/>
                <w:color w:val="000000"/>
                <w:highlight w:val="none"/>
                <w:lang w:val="en-US" w:eastAsia="zh-CN"/>
              </w:rPr>
            </w:pPr>
            <w:r>
              <w:rPr>
                <w:rFonts w:hint="eastAsia"/>
                <w:color w:val="000000"/>
                <w:highlight w:val="none"/>
                <w:lang w:val="en-US" w:eastAsia="zh-CN"/>
              </w:rPr>
              <w:t>废气：非甲烷总烃为0.4472t/a、二甲苯为0.1166t/a、颗粒物为0.1154t/a。</w:t>
            </w:r>
          </w:p>
          <w:p w14:paraId="4B691E80">
            <w:pPr>
              <w:pStyle w:val="21"/>
              <w:ind w:left="0" w:leftChars="0" w:firstLine="723" w:firstLineChars="300"/>
              <w:rPr>
                <w:rFonts w:hint="default"/>
                <w:b/>
                <w:bCs/>
                <w:color w:val="000000" w:themeColor="text1"/>
                <w:highlight w:val="none"/>
                <w:lang w:val="en-US" w:eastAsia="zh-CN"/>
                <w14:textFill>
                  <w14:solidFill>
                    <w14:schemeClr w14:val="tx1"/>
                  </w14:solidFill>
                </w14:textFill>
              </w:rPr>
            </w:pPr>
            <w:r>
              <w:rPr>
                <w:rFonts w:hint="default"/>
                <w:b/>
                <w:bCs/>
                <w:color w:val="000000" w:themeColor="text1"/>
                <w:highlight w:val="none"/>
                <w:lang w:val="en-US" w:eastAsia="zh-CN"/>
                <w14:textFill>
                  <w14:solidFill>
                    <w14:schemeClr w14:val="tx1"/>
                  </w14:solidFill>
                </w14:textFill>
              </w:rPr>
              <w:t>7.2.</w:t>
            </w:r>
            <w:r>
              <w:rPr>
                <w:rFonts w:hint="eastAsia"/>
                <w:b/>
                <w:bCs/>
                <w:color w:val="000000" w:themeColor="text1"/>
                <w:highlight w:val="none"/>
                <w:lang w:val="en-US" w:eastAsia="zh-CN"/>
                <w14:textFill>
                  <w14:solidFill>
                    <w14:schemeClr w14:val="tx1"/>
                  </w14:solidFill>
                </w14:textFill>
              </w:rPr>
              <w:t>7</w:t>
            </w:r>
            <w:r>
              <w:rPr>
                <w:rFonts w:hint="default"/>
                <w:b/>
                <w:bCs/>
                <w:color w:val="000000" w:themeColor="text1"/>
                <w:highlight w:val="none"/>
                <w:lang w:val="en-US" w:eastAsia="zh-CN"/>
                <w14:textFill>
                  <w14:solidFill>
                    <w14:schemeClr w14:val="tx1"/>
                  </w14:solidFill>
                </w14:textFill>
              </w:rPr>
              <w:t>监测结论</w:t>
            </w:r>
          </w:p>
          <w:p w14:paraId="7D0693B8">
            <w:pPr>
              <w:pStyle w:val="21"/>
              <w:ind w:firstLine="960" w:firstLineChars="40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重庆立标标识制作有限公司重庆立标标识标牌制造项目</w:t>
            </w:r>
            <w:r>
              <w:rPr>
                <w:rFonts w:hint="default" w:ascii="Times New Roman" w:hAnsi="Times New Roman" w:cs="Times New Roman"/>
                <w:color w:val="auto"/>
                <w:sz w:val="24"/>
                <w:lang w:val="en-US" w:eastAsia="zh-CN"/>
              </w:rPr>
              <w:t>202</w:t>
            </w:r>
            <w:r>
              <w:rPr>
                <w:rFonts w:hint="eastAsia" w:cs="Times New Roman"/>
                <w:color w:val="auto"/>
                <w:sz w:val="24"/>
                <w:lang w:val="en-US" w:eastAsia="zh-CN"/>
              </w:rPr>
              <w:t>6</w:t>
            </w:r>
            <w:r>
              <w:rPr>
                <w:rFonts w:hint="default" w:ascii="Times New Roman" w:hAnsi="Times New Roman" w:cs="Times New Roman"/>
                <w:color w:val="auto"/>
                <w:sz w:val="24"/>
                <w:lang w:val="en-US" w:eastAsia="zh-CN"/>
              </w:rPr>
              <w:t>年</w:t>
            </w:r>
            <w:r>
              <w:rPr>
                <w:rFonts w:hint="eastAsia" w:cs="Times New Roman"/>
                <w:color w:val="auto"/>
                <w:sz w:val="24"/>
                <w:lang w:val="en-US" w:eastAsia="zh-CN"/>
              </w:rPr>
              <w:t>5</w:t>
            </w:r>
            <w:r>
              <w:rPr>
                <w:rFonts w:hint="default" w:ascii="Times New Roman" w:hAnsi="Times New Roman" w:cs="Times New Roman"/>
                <w:color w:val="auto"/>
                <w:sz w:val="24"/>
                <w:lang w:val="en-US" w:eastAsia="zh-CN"/>
              </w:rPr>
              <w:t>月</w:t>
            </w:r>
            <w:r>
              <w:rPr>
                <w:rFonts w:hint="eastAsia" w:cs="Times New Roman"/>
                <w:color w:val="auto"/>
                <w:sz w:val="24"/>
                <w:lang w:val="en-US" w:eastAsia="zh-CN"/>
              </w:rPr>
              <w:t>10</w:t>
            </w:r>
            <w:r>
              <w:rPr>
                <w:rFonts w:hint="eastAsia" w:ascii="Times New Roman" w:hAnsi="Times New Roman" w:cs="Times New Roman"/>
                <w:color w:val="auto"/>
                <w:sz w:val="24"/>
                <w:lang w:val="en-US" w:eastAsia="zh-CN"/>
              </w:rPr>
              <w:t>-</w:t>
            </w:r>
            <w:r>
              <w:rPr>
                <w:rFonts w:hint="eastAsia" w:cs="Times New Roman"/>
                <w:color w:val="auto"/>
                <w:sz w:val="24"/>
                <w:lang w:val="en-US" w:eastAsia="zh-CN"/>
              </w:rPr>
              <w:t>5月11</w:t>
            </w:r>
            <w:r>
              <w:rPr>
                <w:rFonts w:hint="default" w:ascii="Times New Roman" w:hAnsi="Times New Roman" w:cs="Times New Roman"/>
                <w:color w:val="auto"/>
                <w:sz w:val="24"/>
                <w:lang w:val="en-US" w:eastAsia="zh-CN"/>
              </w:rPr>
              <w:t>日</w:t>
            </w:r>
            <w:r>
              <w:rPr>
                <w:rFonts w:hint="default"/>
                <w:color w:val="000000" w:themeColor="text1"/>
                <w:highlight w:val="none"/>
                <w:lang w:val="en-US" w:eastAsia="zh-CN"/>
                <w14:textFill>
                  <w14:solidFill>
                    <w14:schemeClr w14:val="tx1"/>
                  </w14:solidFill>
                </w14:textFill>
              </w:rPr>
              <w:t>废气</w:t>
            </w:r>
            <w:r>
              <w:rPr>
                <w:rFonts w:hint="eastAsia"/>
                <w:color w:val="000000" w:themeColor="text1"/>
                <w:highlight w:val="none"/>
                <w:lang w:val="en-US" w:eastAsia="zh-CN"/>
                <w14:textFill>
                  <w14:solidFill>
                    <w14:schemeClr w14:val="tx1"/>
                  </w14:solidFill>
                </w14:textFill>
              </w:rPr>
              <w:t>、</w:t>
            </w:r>
            <w:r>
              <w:rPr>
                <w:rFonts w:hint="default"/>
                <w:color w:val="000000" w:themeColor="text1"/>
                <w:highlight w:val="none"/>
                <w:lang w:val="en-US" w:eastAsia="zh-CN"/>
                <w14:textFill>
                  <w14:solidFill>
                    <w14:schemeClr w14:val="tx1"/>
                  </w14:solidFill>
                </w14:textFill>
              </w:rPr>
              <w:t>噪声检测结果符合排放标准要求。</w:t>
            </w:r>
          </w:p>
          <w:p w14:paraId="7B32A54C">
            <w:pPr>
              <w:pStyle w:val="21"/>
              <w:bidi w:val="0"/>
              <w:ind w:left="0" w:leftChars="0" w:firstLine="720" w:firstLineChars="300"/>
              <w:jc w:val="left"/>
              <w:rPr>
                <w:rFonts w:hint="default"/>
                <w:color w:val="auto"/>
                <w:sz w:val="24"/>
                <w:highlight w:val="none"/>
                <w:lang w:val="en-US" w:eastAsia="zh-CN"/>
              </w:rPr>
            </w:pPr>
            <w:r>
              <w:rPr>
                <w:rFonts w:hint="default"/>
                <w:color w:val="auto"/>
                <w:sz w:val="24"/>
                <w:highlight w:val="none"/>
                <w:lang w:val="en-US" w:eastAsia="zh-CN"/>
              </w:rPr>
              <w:t>总量：总量满足环评及批复要求。</w:t>
            </w:r>
          </w:p>
          <w:p w14:paraId="1D0F4DAD">
            <w:pPr>
              <w:pStyle w:val="21"/>
              <w:numPr>
                <w:ilvl w:val="0"/>
                <w:numId w:val="0"/>
              </w:numPr>
              <w:bidi w:val="0"/>
              <w:ind w:leftChars="0"/>
              <w:jc w:val="left"/>
              <w:rPr>
                <w:rFonts w:hint="default"/>
                <w:b/>
                <w:bCs/>
                <w:color w:val="auto"/>
                <w:sz w:val="24"/>
                <w:highlight w:val="none"/>
                <w:lang w:val="en-US" w:eastAsia="zh-CN"/>
              </w:rPr>
            </w:pPr>
            <w:r>
              <w:rPr>
                <w:rFonts w:hint="eastAsia"/>
                <w:b/>
                <w:bCs/>
                <w:color w:val="auto"/>
                <w:sz w:val="24"/>
                <w:highlight w:val="none"/>
                <w:lang w:val="en-US" w:eastAsia="zh-CN"/>
              </w:rPr>
              <w:t xml:space="preserve">       </w:t>
            </w:r>
            <w:r>
              <w:rPr>
                <w:rFonts w:hint="default"/>
                <w:b/>
                <w:bCs/>
                <w:color w:val="000000" w:themeColor="text1"/>
                <w:highlight w:val="none"/>
                <w:lang w:val="en-US" w:eastAsia="zh-CN"/>
                <w14:textFill>
                  <w14:solidFill>
                    <w14:schemeClr w14:val="tx1"/>
                  </w14:solidFill>
                </w14:textFill>
              </w:rPr>
              <w:t>7.</w:t>
            </w:r>
            <w:r>
              <w:rPr>
                <w:rFonts w:hint="default"/>
                <w:b/>
                <w:bCs/>
                <w:color w:val="auto"/>
                <w:sz w:val="24"/>
                <w:highlight w:val="none"/>
                <w:lang w:val="en-US" w:eastAsia="zh-CN"/>
              </w:rPr>
              <w:t>3 环境质量</w:t>
            </w:r>
          </w:p>
          <w:p w14:paraId="5DA91313">
            <w:pPr>
              <w:pStyle w:val="21"/>
              <w:ind w:left="718" w:leftChars="342" w:firstLine="240" w:firstLineChars="100"/>
              <w:rPr>
                <w:rFonts w:hint="default"/>
                <w:color w:val="auto"/>
                <w:sz w:val="24"/>
                <w:highlight w:val="none"/>
                <w:lang w:val="en-US" w:eastAsia="zh-CN"/>
              </w:rPr>
            </w:pPr>
            <w:r>
              <w:rPr>
                <w:rFonts w:hint="eastAsia"/>
                <w:color w:val="auto"/>
              </w:rPr>
              <w:t>根据</w:t>
            </w:r>
            <w:r>
              <w:rPr>
                <w:rFonts w:hint="eastAsia"/>
                <w:color w:val="auto"/>
                <w:lang w:val="en-US" w:eastAsia="zh-CN"/>
              </w:rPr>
              <w:t>环境质量现状</w:t>
            </w:r>
            <w:r>
              <w:rPr>
                <w:rFonts w:hint="eastAsia"/>
                <w:color w:val="auto"/>
              </w:rPr>
              <w:t>监测结果可知，项目所在区域环境空气具有一定的容量。项目</w:t>
            </w:r>
            <w:r>
              <w:rPr>
                <w:rFonts w:hint="eastAsia"/>
                <w:color w:val="auto"/>
                <w:lang w:val="en-US" w:eastAsia="zh-CN"/>
              </w:rPr>
              <w:t>废气经过配套的废气治理设备理后能够达标排放</w:t>
            </w:r>
            <w:r>
              <w:rPr>
                <w:rFonts w:hint="eastAsia"/>
                <w:color w:val="auto"/>
                <w:lang w:eastAsia="zh-CN"/>
              </w:rPr>
              <w:t>，</w:t>
            </w:r>
            <w:r>
              <w:rPr>
                <w:rFonts w:hint="eastAsia"/>
                <w:color w:val="auto"/>
                <w:lang w:val="en-US" w:eastAsia="zh-CN"/>
              </w:rPr>
              <w:t>排放浓度低，排放量少</w:t>
            </w:r>
            <w:r>
              <w:rPr>
                <w:rFonts w:hint="eastAsia"/>
                <w:color w:val="auto"/>
                <w:lang w:eastAsia="zh-CN"/>
              </w:rPr>
              <w:t>，</w:t>
            </w:r>
            <w:r>
              <w:rPr>
                <w:rFonts w:hint="eastAsia"/>
                <w:color w:val="auto"/>
                <w:lang w:val="en-US" w:eastAsia="zh-CN"/>
              </w:rPr>
              <w:t>对外环境影响小</w:t>
            </w:r>
            <w:r>
              <w:rPr>
                <w:rFonts w:hint="eastAsia"/>
                <w:color w:val="auto"/>
              </w:rPr>
              <w:t>。同时项目加强了废气收集措施</w:t>
            </w:r>
            <w:r>
              <w:rPr>
                <w:rFonts w:hint="eastAsia"/>
                <w:color w:val="auto"/>
                <w:lang w:eastAsia="zh-CN"/>
              </w:rPr>
              <w:t>，</w:t>
            </w:r>
            <w:r>
              <w:rPr>
                <w:rFonts w:hint="eastAsia"/>
                <w:color w:val="auto"/>
                <w:lang w:val="en-US" w:eastAsia="zh-CN"/>
              </w:rPr>
              <w:t>减少</w:t>
            </w:r>
            <w:r>
              <w:rPr>
                <w:rFonts w:hint="eastAsia"/>
                <w:color w:val="auto"/>
              </w:rPr>
              <w:t>无组织排放量，对周边环境影响较小。</w:t>
            </w:r>
          </w:p>
        </w:tc>
      </w:tr>
    </w:tbl>
    <w:p w14:paraId="5647EEC2">
      <w:pPr>
        <w:pStyle w:val="10"/>
        <w:widowControl w:val="0"/>
        <w:numPr>
          <w:ilvl w:val="0"/>
          <w:numId w:val="0"/>
        </w:numPr>
        <w:jc w:val="both"/>
      </w:pPr>
    </w:p>
    <w:tbl>
      <w:tblPr>
        <w:tblStyle w:val="15"/>
        <w:tblW w:w="5745"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9785"/>
      </w:tblGrid>
      <w:tr w14:paraId="368AEE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3571" w:hRule="atLeast"/>
          <w:jc w:val="center"/>
        </w:trPr>
        <w:tc>
          <w:tcPr>
            <w:tcW w:w="5000" w:type="pct"/>
            <w:noWrap w:val="0"/>
            <w:vAlign w:val="top"/>
          </w:tcPr>
          <w:p w14:paraId="69D98329">
            <w:pPr>
              <w:keepNext w:val="0"/>
              <w:keepLines w:val="0"/>
              <w:pageBreakBefore w:val="0"/>
              <w:widowControl w:val="0"/>
              <w:kinsoku/>
              <w:wordWrap/>
              <w:overflowPunct/>
              <w:topLinePunct w:val="0"/>
              <w:bidi w:val="0"/>
              <w:spacing w:line="360" w:lineRule="auto"/>
              <w:rPr>
                <w:rFonts w:hint="default" w:ascii="Times New Roman" w:hAnsi="Times New Roman" w:eastAsia="宋体" w:cstheme="minorBidi"/>
                <w:b/>
                <w:bCs/>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heme="minorBidi"/>
                <w:b/>
                <w:bCs/>
                <w:color w:val="000000" w:themeColor="text1"/>
                <w:kern w:val="2"/>
                <w:sz w:val="24"/>
                <w:szCs w:val="24"/>
                <w:highlight w:val="none"/>
                <w:lang w:val="en-US" w:eastAsia="zh-CN" w:bidi="ar-SA"/>
                <w14:textFill>
                  <w14:solidFill>
                    <w14:schemeClr w14:val="tx1"/>
                  </w14:solidFill>
                </w14:textFill>
              </w:rPr>
              <w:t>8 验收监测结论</w:t>
            </w:r>
          </w:p>
          <w:p w14:paraId="3E7BCD78">
            <w:pPr>
              <w:keepNext w:val="0"/>
              <w:keepLines w:val="0"/>
              <w:pageBreakBefore w:val="0"/>
              <w:widowControl w:val="0"/>
              <w:kinsoku/>
              <w:wordWrap/>
              <w:overflowPunct/>
              <w:topLinePunct w:val="0"/>
              <w:bidi w:val="0"/>
              <w:spacing w:line="360" w:lineRule="auto"/>
              <w:rPr>
                <w:rFonts w:hint="default" w:ascii="Times New Roman" w:hAnsi="Times New Roman" w:eastAsia="宋体" w:cstheme="minorBidi"/>
                <w:b/>
                <w:bCs/>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heme="minorBidi"/>
                <w:b/>
                <w:bCs/>
                <w:color w:val="000000" w:themeColor="text1"/>
                <w:kern w:val="2"/>
                <w:sz w:val="24"/>
                <w:szCs w:val="24"/>
                <w:highlight w:val="none"/>
                <w:lang w:val="en-US" w:eastAsia="zh-CN" w:bidi="ar-SA"/>
                <w14:textFill>
                  <w14:solidFill>
                    <w14:schemeClr w14:val="tx1"/>
                  </w14:solidFill>
                </w14:textFill>
              </w:rPr>
              <w:t>8.1项目概况</w:t>
            </w:r>
          </w:p>
          <w:p w14:paraId="6052A696">
            <w:pPr>
              <w:keepNext w:val="0"/>
              <w:keepLines w:val="0"/>
              <w:pageBreakBefore w:val="0"/>
              <w:widowControl w:val="0"/>
              <w:kinsoku/>
              <w:wordWrap/>
              <w:overflowPunct/>
              <w:topLinePunct w:val="0"/>
              <w:bidi w:val="0"/>
              <w:spacing w:line="360" w:lineRule="auto"/>
              <w:rPr>
                <w:rFonts w:hint="default" w:ascii="Times New Roman" w:hAnsi="Times New Roman" w:eastAsia="宋体" w:cstheme="minorBidi"/>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heme="minorBidi"/>
                <w:color w:val="000000" w:themeColor="text1"/>
                <w:kern w:val="2"/>
                <w:sz w:val="24"/>
                <w:szCs w:val="24"/>
                <w:highlight w:val="none"/>
                <w:lang w:val="en-US" w:eastAsia="zh-CN" w:bidi="ar-SA"/>
                <w14:textFill>
                  <w14:solidFill>
                    <w14:schemeClr w14:val="tx1"/>
                  </w14:solidFill>
                </w14:textFill>
              </w:rPr>
              <w:t>8.1.1建设地点、主要建设内容及规模</w:t>
            </w:r>
          </w:p>
          <w:p w14:paraId="798A6EA3">
            <w:pPr>
              <w:pStyle w:val="21"/>
              <w:bidi w:val="0"/>
              <w:ind w:left="0" w:leftChars="0" w:firstLine="480" w:firstLineChars="200"/>
              <w:jc w:val="both"/>
              <w:rPr>
                <w:rFonts w:hint="default" w:ascii="Times New Roman" w:hAnsi="Times New Roman" w:eastAsia="宋体" w:cstheme="minorBidi"/>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heme="minorBidi"/>
                <w:color w:val="000000" w:themeColor="text1"/>
                <w:kern w:val="2"/>
                <w:sz w:val="24"/>
                <w:szCs w:val="24"/>
                <w:highlight w:val="none"/>
                <w:lang w:val="en-US" w:eastAsia="zh-CN" w:bidi="ar-SA"/>
                <w14:textFill>
                  <w14:solidFill>
                    <w14:schemeClr w14:val="tx1"/>
                  </w14:solidFill>
                </w14:textFill>
              </w:rPr>
              <w:t>环评及批复核定的建设内容及规模：</w:t>
            </w:r>
          </w:p>
          <w:p w14:paraId="2145FFD5">
            <w:pPr>
              <w:pStyle w:val="21"/>
              <w:ind w:firstLine="480"/>
              <w:rPr>
                <w:rFonts w:hint="default"/>
                <w:color w:val="000000"/>
                <w:lang w:val="en-US"/>
              </w:rPr>
            </w:pPr>
            <w:r>
              <w:rPr>
                <w:rFonts w:hint="eastAsia"/>
                <w:color w:val="000000"/>
              </w:rPr>
              <w:t>项目</w:t>
            </w:r>
            <w:r>
              <w:rPr>
                <w:rFonts w:hint="eastAsia"/>
                <w:color w:val="000000"/>
                <w:highlight w:val="none"/>
                <w:lang w:val="en-US" w:eastAsia="zh-CN"/>
              </w:rPr>
              <w:t>总投资500</w:t>
            </w:r>
            <w:r>
              <w:rPr>
                <w:rFonts w:hint="eastAsia"/>
                <w:color w:val="000000"/>
                <w:highlight w:val="none"/>
              </w:rPr>
              <w:t>万</w:t>
            </w:r>
            <w:r>
              <w:rPr>
                <w:rFonts w:hint="eastAsia"/>
                <w:color w:val="000000"/>
                <w:highlight w:val="none"/>
                <w:lang w:val="en-US" w:eastAsia="zh-CN"/>
              </w:rPr>
              <w:t>元</w:t>
            </w:r>
            <w:r>
              <w:rPr>
                <w:rFonts w:hint="eastAsia"/>
                <w:color w:val="000000"/>
                <w:highlight w:val="none"/>
                <w:lang w:eastAsia="zh-CN"/>
              </w:rPr>
              <w:t>，</w:t>
            </w:r>
            <w:r>
              <w:rPr>
                <w:rFonts w:hint="eastAsia"/>
                <w:color w:val="000000"/>
                <w:highlight w:val="none"/>
                <w:lang w:val="en-US" w:eastAsia="zh-CN"/>
              </w:rPr>
              <w:t>其中环保投资50万元，</w:t>
            </w:r>
            <w:r>
              <w:rPr>
                <w:color w:val="000000"/>
              </w:rPr>
              <w:t>项目</w:t>
            </w:r>
            <w:r>
              <w:rPr>
                <w:rFonts w:hint="eastAsia"/>
                <w:color w:val="000000"/>
                <w:lang w:val="en-US" w:eastAsia="zh-CN"/>
              </w:rPr>
              <w:t>租赁重庆市州勤机械制造有限责任公司位于万州经开区九龙园的已建厂房进行生产，厂房高约9m，租赁面积约1600m</w:t>
            </w:r>
            <w:r>
              <w:rPr>
                <w:rFonts w:hint="eastAsia"/>
                <w:color w:val="000000"/>
                <w:vertAlign w:val="superscript"/>
                <w:lang w:val="en-US" w:eastAsia="zh-CN"/>
              </w:rPr>
              <w:t>2</w:t>
            </w:r>
            <w:r>
              <w:rPr>
                <w:rFonts w:hint="eastAsia"/>
                <w:color w:val="000000"/>
                <w:lang w:val="en-US" w:eastAsia="zh-CN"/>
              </w:rPr>
              <w:t>。项目在租赁厂房内建设1条标识标牌制作生产线，建成后年产各类标识标牌200套。</w:t>
            </w:r>
          </w:p>
          <w:p w14:paraId="5FF08A65">
            <w:pPr>
              <w:pStyle w:val="21"/>
              <w:bidi w:val="0"/>
              <w:rPr>
                <w:rFonts w:hint="eastAsia"/>
                <w:color w:val="000000"/>
                <w:lang w:val="en-US" w:eastAsia="zh-CN"/>
              </w:rPr>
            </w:pPr>
            <w:r>
              <w:rPr>
                <w:rFonts w:hint="eastAsia"/>
                <w:color w:val="000000"/>
                <w:lang w:val="en-US" w:eastAsia="zh-CN"/>
              </w:rPr>
              <w:t>劳动定员及工作制度：</w:t>
            </w:r>
            <w:r>
              <w:rPr>
                <w:rFonts w:hint="eastAsia"/>
                <w:color w:val="000000"/>
              </w:rPr>
              <w:t>员工</w:t>
            </w:r>
            <w:r>
              <w:rPr>
                <w:rFonts w:hint="eastAsia"/>
                <w:color w:val="000000"/>
                <w:lang w:val="en-US" w:eastAsia="zh-CN"/>
              </w:rPr>
              <w:t>10人，</w:t>
            </w:r>
            <w:r>
              <w:rPr>
                <w:color w:val="000000"/>
              </w:rPr>
              <w:t>年生产天数为</w:t>
            </w:r>
            <w:r>
              <w:rPr>
                <w:rFonts w:hint="eastAsia"/>
                <w:color w:val="000000"/>
                <w:lang w:val="en-US" w:eastAsia="zh-CN"/>
              </w:rPr>
              <w:t>30</w:t>
            </w:r>
            <w:r>
              <w:rPr>
                <w:rFonts w:hint="eastAsia"/>
                <w:color w:val="000000"/>
              </w:rPr>
              <w:t>0</w:t>
            </w:r>
            <w:r>
              <w:rPr>
                <w:color w:val="000000"/>
              </w:rPr>
              <w:t>天，每天实行</w:t>
            </w:r>
            <w:r>
              <w:rPr>
                <w:rFonts w:hint="eastAsia"/>
                <w:color w:val="000000"/>
                <w:lang w:val="en-US" w:eastAsia="zh-CN"/>
              </w:rPr>
              <w:t>1</w:t>
            </w:r>
            <w:r>
              <w:rPr>
                <w:color w:val="000000"/>
              </w:rPr>
              <w:t>班制，每班工作8小时</w:t>
            </w:r>
            <w:r>
              <w:rPr>
                <w:rFonts w:hint="eastAsia"/>
                <w:color w:val="000000"/>
                <w:lang w:eastAsia="zh-CN"/>
              </w:rPr>
              <w:t>，</w:t>
            </w:r>
            <w:r>
              <w:rPr>
                <w:rFonts w:hint="eastAsia"/>
                <w:color w:val="000000"/>
                <w:lang w:val="en-US" w:eastAsia="zh-CN"/>
              </w:rPr>
              <w:t>夜间不生产</w:t>
            </w:r>
            <w:r>
              <w:rPr>
                <w:rFonts w:hint="eastAsia"/>
                <w:color w:val="000000"/>
                <w:lang w:eastAsia="zh-CN"/>
              </w:rPr>
              <w:t>。</w:t>
            </w:r>
          </w:p>
          <w:p w14:paraId="43B305C6">
            <w:pPr>
              <w:pStyle w:val="21"/>
              <w:bidi w:val="0"/>
              <w:rPr>
                <w:rFonts w:hint="eastAsia" w:ascii="Times New Roman" w:hAnsi="Times New Roman" w:eastAsia="宋体"/>
                <w:b w:val="0"/>
                <w:bCs w:val="0"/>
                <w:color w:val="000000" w:themeColor="text1"/>
                <w:lang w:val="en-US" w:eastAsia="zh-CN"/>
                <w14:textFill>
                  <w14:solidFill>
                    <w14:schemeClr w14:val="tx1"/>
                  </w14:solidFill>
                </w14:textFill>
              </w:rPr>
            </w:pPr>
            <w:r>
              <w:rPr>
                <w:rFonts w:hint="default" w:ascii="Times New Roman" w:hAnsi="Times New Roman" w:eastAsia="宋体"/>
                <w:b w:val="0"/>
                <w:bCs w:val="0"/>
                <w:color w:val="000000" w:themeColor="text1"/>
                <w:lang w:val="en-US"/>
                <w14:textFill>
                  <w14:solidFill>
                    <w14:schemeClr w14:val="tx1"/>
                  </w14:solidFill>
                </w14:textFill>
              </w:rPr>
              <w:t>实际验收内容</w:t>
            </w:r>
            <w:r>
              <w:rPr>
                <w:rFonts w:hint="eastAsia" w:ascii="Times New Roman" w:hAnsi="Times New Roman" w:eastAsia="宋体"/>
                <w:b w:val="0"/>
                <w:bCs w:val="0"/>
                <w:color w:val="000000" w:themeColor="text1"/>
                <w:lang w:val="en-US" w:eastAsia="zh-CN"/>
                <w14:textFill>
                  <w14:solidFill>
                    <w14:schemeClr w14:val="tx1"/>
                  </w14:solidFill>
                </w14:textFill>
              </w:rPr>
              <w:t>：</w:t>
            </w:r>
          </w:p>
          <w:p w14:paraId="7B00EF3E">
            <w:pPr>
              <w:pStyle w:val="21"/>
              <w:ind w:firstLine="480"/>
              <w:rPr>
                <w:rFonts w:hint="default"/>
                <w:color w:val="000000"/>
                <w:lang w:val="en-US"/>
              </w:rPr>
            </w:pPr>
            <w:r>
              <w:rPr>
                <w:rFonts w:hint="eastAsia"/>
                <w:color w:val="000000"/>
              </w:rPr>
              <w:t>项目</w:t>
            </w:r>
            <w:r>
              <w:rPr>
                <w:rFonts w:hint="eastAsia"/>
                <w:color w:val="000000"/>
                <w:highlight w:val="none"/>
                <w:lang w:val="en-US" w:eastAsia="zh-CN"/>
              </w:rPr>
              <w:t>总投资500</w:t>
            </w:r>
            <w:r>
              <w:rPr>
                <w:rFonts w:hint="eastAsia"/>
                <w:color w:val="000000"/>
                <w:highlight w:val="none"/>
              </w:rPr>
              <w:t>万</w:t>
            </w:r>
            <w:r>
              <w:rPr>
                <w:rFonts w:hint="eastAsia"/>
                <w:color w:val="000000"/>
                <w:highlight w:val="none"/>
                <w:lang w:val="en-US" w:eastAsia="zh-CN"/>
              </w:rPr>
              <w:t>元</w:t>
            </w:r>
            <w:r>
              <w:rPr>
                <w:rFonts w:hint="eastAsia"/>
                <w:color w:val="000000"/>
                <w:highlight w:val="none"/>
                <w:lang w:eastAsia="zh-CN"/>
              </w:rPr>
              <w:t>，</w:t>
            </w:r>
            <w:r>
              <w:rPr>
                <w:rFonts w:hint="eastAsia"/>
                <w:color w:val="000000"/>
                <w:highlight w:val="none"/>
                <w:lang w:val="en-US" w:eastAsia="zh-CN"/>
              </w:rPr>
              <w:t>其中环保投资50万元，</w:t>
            </w:r>
            <w:r>
              <w:rPr>
                <w:color w:val="000000"/>
              </w:rPr>
              <w:t>项目</w:t>
            </w:r>
            <w:r>
              <w:rPr>
                <w:rFonts w:hint="eastAsia"/>
                <w:color w:val="000000"/>
                <w:lang w:val="en-US" w:eastAsia="zh-CN"/>
              </w:rPr>
              <w:t>租赁重庆市州勤机械制造有限责任公司位于万州经开区九龙园的已建厂房进行生产，厂房高约9m，租赁面积约1600m</w:t>
            </w:r>
            <w:r>
              <w:rPr>
                <w:rFonts w:hint="eastAsia"/>
                <w:color w:val="000000"/>
                <w:vertAlign w:val="superscript"/>
                <w:lang w:val="en-US" w:eastAsia="zh-CN"/>
              </w:rPr>
              <w:t>2</w:t>
            </w:r>
            <w:r>
              <w:rPr>
                <w:rFonts w:hint="eastAsia"/>
                <w:color w:val="000000"/>
                <w:lang w:val="en-US" w:eastAsia="zh-CN"/>
              </w:rPr>
              <w:t>。项目在租赁厂房内建设1条标识标牌制作生产线，建成后年产各类标识标牌200套。</w:t>
            </w:r>
          </w:p>
          <w:p w14:paraId="0DE1AF96">
            <w:pPr>
              <w:pStyle w:val="21"/>
              <w:bidi w:val="0"/>
              <w:rPr>
                <w:rFonts w:hint="eastAsia"/>
                <w:color w:val="000000"/>
                <w:lang w:val="en-US" w:eastAsia="zh-CN"/>
              </w:rPr>
            </w:pPr>
            <w:r>
              <w:rPr>
                <w:rFonts w:hint="eastAsia"/>
                <w:color w:val="000000"/>
                <w:lang w:val="en-US" w:eastAsia="zh-CN"/>
              </w:rPr>
              <w:t>劳动定员及工作制度：</w:t>
            </w:r>
            <w:r>
              <w:rPr>
                <w:rFonts w:hint="eastAsia"/>
                <w:color w:val="000000"/>
              </w:rPr>
              <w:t>员工</w:t>
            </w:r>
            <w:r>
              <w:rPr>
                <w:rFonts w:hint="eastAsia"/>
                <w:color w:val="000000"/>
                <w:lang w:val="en-US" w:eastAsia="zh-CN"/>
              </w:rPr>
              <w:t>10人，</w:t>
            </w:r>
            <w:r>
              <w:rPr>
                <w:color w:val="000000"/>
              </w:rPr>
              <w:t>年生产天数为</w:t>
            </w:r>
            <w:r>
              <w:rPr>
                <w:rFonts w:hint="eastAsia"/>
                <w:color w:val="000000"/>
                <w:lang w:val="en-US" w:eastAsia="zh-CN"/>
              </w:rPr>
              <w:t>30</w:t>
            </w:r>
            <w:r>
              <w:rPr>
                <w:rFonts w:hint="eastAsia"/>
                <w:color w:val="000000"/>
              </w:rPr>
              <w:t>0</w:t>
            </w:r>
            <w:r>
              <w:rPr>
                <w:color w:val="000000"/>
              </w:rPr>
              <w:t>天，每天实行</w:t>
            </w:r>
            <w:r>
              <w:rPr>
                <w:rFonts w:hint="eastAsia"/>
                <w:color w:val="000000"/>
                <w:lang w:val="en-US" w:eastAsia="zh-CN"/>
              </w:rPr>
              <w:t>1</w:t>
            </w:r>
            <w:r>
              <w:rPr>
                <w:color w:val="000000"/>
              </w:rPr>
              <w:t>班制，每班工作8小时</w:t>
            </w:r>
            <w:r>
              <w:rPr>
                <w:rFonts w:hint="eastAsia"/>
                <w:color w:val="000000"/>
                <w:lang w:eastAsia="zh-CN"/>
              </w:rPr>
              <w:t>，</w:t>
            </w:r>
            <w:r>
              <w:rPr>
                <w:rFonts w:hint="eastAsia"/>
                <w:color w:val="000000"/>
                <w:lang w:val="en-US" w:eastAsia="zh-CN"/>
              </w:rPr>
              <w:t>夜间不生产</w:t>
            </w:r>
            <w:r>
              <w:rPr>
                <w:rFonts w:hint="eastAsia"/>
                <w:color w:val="000000"/>
                <w:lang w:eastAsia="zh-CN"/>
              </w:rPr>
              <w:t>。</w:t>
            </w:r>
          </w:p>
          <w:p w14:paraId="24698F22">
            <w:pPr>
              <w:keepNext w:val="0"/>
              <w:keepLines w:val="0"/>
              <w:pageBreakBefore w:val="0"/>
              <w:widowControl w:val="0"/>
              <w:kinsoku/>
              <w:wordWrap/>
              <w:overflowPunct/>
              <w:topLinePunct w:val="0"/>
              <w:bidi w:val="0"/>
              <w:adjustRightInd w:val="0"/>
              <w:spacing w:line="360" w:lineRule="auto"/>
              <w:rPr>
                <w:rFonts w:hint="default" w:ascii="Times New Roman" w:hAnsi="Times New Roman" w:eastAsia="宋体" w:cstheme="minorBidi"/>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heme="minorBidi"/>
                <w:b w:val="0"/>
                <w:bCs w:val="0"/>
                <w:color w:val="000000" w:themeColor="text1"/>
                <w:kern w:val="2"/>
                <w:sz w:val="24"/>
                <w:szCs w:val="24"/>
                <w:lang w:val="en-US" w:eastAsia="zh-CN" w:bidi="ar-SA"/>
                <w14:textFill>
                  <w14:solidFill>
                    <w14:schemeClr w14:val="tx1"/>
                  </w14:solidFill>
                </w14:textFill>
              </w:rPr>
              <w:t>8.1.2项目建设过程及环保审批情况</w:t>
            </w:r>
          </w:p>
          <w:p w14:paraId="5DD69D98">
            <w:pPr>
              <w:pStyle w:val="22"/>
              <w:ind w:firstLine="0" w:firstLineChars="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（1</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20</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2</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4</w:t>
            </w:r>
            <w:r>
              <w:rPr>
                <w:rFonts w:hint="default" w:ascii="Times New Roman" w:hAnsi="Times New Roman" w:eastAsia="宋体" w:cs="Times New Roman"/>
                <w:color w:val="000000" w:themeColor="text1"/>
                <w:sz w:val="24"/>
                <w:szCs w:val="24"/>
                <w:highlight w:val="none"/>
                <w14:textFill>
                  <w14:solidFill>
                    <w14:schemeClr w14:val="tx1"/>
                  </w14:solidFill>
                </w14:textFill>
              </w:rPr>
              <w:t>年</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10</w:t>
            </w:r>
            <w:r>
              <w:rPr>
                <w:rFonts w:hint="default" w:ascii="Times New Roman" w:hAnsi="Times New Roman" w:eastAsia="宋体" w:cs="Times New Roman"/>
                <w:color w:val="000000" w:themeColor="text1"/>
                <w:sz w:val="24"/>
                <w:szCs w:val="24"/>
                <w:highlight w:val="none"/>
                <w14:textFill>
                  <w14:solidFill>
                    <w14:schemeClr w14:val="tx1"/>
                  </w14:solidFill>
                </w14:textFill>
              </w:rPr>
              <w:t>月，</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重庆东驰环保工程有限公司</w:t>
            </w:r>
            <w:r>
              <w:rPr>
                <w:rFonts w:hint="default" w:ascii="Times New Roman" w:hAnsi="Times New Roman" w:eastAsia="宋体" w:cs="Times New Roman"/>
                <w:color w:val="000000" w:themeColor="text1"/>
                <w:sz w:val="24"/>
                <w:szCs w:val="24"/>
                <w:highlight w:val="none"/>
                <w14:textFill>
                  <w14:solidFill>
                    <w14:schemeClr w14:val="tx1"/>
                  </w14:solidFill>
                </w14:textFill>
              </w:rPr>
              <w:t>编制完成了《</w:t>
            </w:r>
            <w: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t>重庆立标标识制作有限公司</w:t>
            </w:r>
            <w:r>
              <w:rPr>
                <w:rFonts w:hint="eastAsia" w:eastAsia="宋体"/>
                <w:color w:val="000000" w:themeColor="text1"/>
                <w:lang w:eastAsia="zh-CN"/>
                <w14:textFill>
                  <w14:solidFill>
                    <w14:schemeClr w14:val="tx1"/>
                  </w14:solidFill>
                </w14:textFill>
              </w:rPr>
              <w:t>重庆立标标识标牌制造项目</w:t>
            </w:r>
            <w:r>
              <w:rPr>
                <w:rFonts w:hint="default" w:ascii="Times New Roman" w:hAnsi="Times New Roman" w:eastAsia="宋体" w:cs="Times New Roman"/>
                <w:color w:val="000000" w:themeColor="text1"/>
                <w:sz w:val="24"/>
                <w:szCs w:val="24"/>
                <w:highlight w:val="none"/>
                <w14:textFill>
                  <w14:solidFill>
                    <w14:schemeClr w14:val="tx1"/>
                  </w14:solidFill>
                </w14:textFill>
              </w:rPr>
              <w:t>环境影响报告</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表</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p>
          <w:p w14:paraId="61A97A95">
            <w:pPr>
              <w:pStyle w:val="22"/>
              <w:ind w:firstLine="0" w:firstLineChars="0"/>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（2）</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20</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24</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年</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10</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月</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18</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日，重庆市</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万州区生态环境局</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下达了《重庆市建设项目环境影响评价文件批准书》（</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渝(万州)环准〔202</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4</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48号）</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，同意本项目建设；</w:t>
            </w:r>
          </w:p>
          <w:p w14:paraId="6F299CB1">
            <w:pPr>
              <w:pStyle w:val="22"/>
              <w:ind w:firstLine="0" w:firstLineChars="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（3）20</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2</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6</w:t>
            </w:r>
            <w:r>
              <w:rPr>
                <w:rFonts w:hint="default" w:ascii="Times New Roman" w:hAnsi="Times New Roman" w:eastAsia="宋体" w:cs="Times New Roman"/>
                <w:color w:val="000000" w:themeColor="text1"/>
                <w:sz w:val="24"/>
                <w:szCs w:val="24"/>
                <w:highlight w:val="none"/>
                <w14:textFill>
                  <w14:solidFill>
                    <w14:schemeClr w14:val="tx1"/>
                  </w14:solidFill>
                </w14:textFill>
              </w:rPr>
              <w:t>年</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1</w:t>
            </w:r>
            <w:r>
              <w:rPr>
                <w:rFonts w:hint="default" w:ascii="Times New Roman" w:hAnsi="Times New Roman" w:eastAsia="宋体" w:cs="Times New Roman"/>
                <w:color w:val="000000" w:themeColor="text1"/>
                <w:sz w:val="24"/>
                <w:szCs w:val="24"/>
                <w:highlight w:val="none"/>
                <w14:textFill>
                  <w14:solidFill>
                    <w14:schemeClr w14:val="tx1"/>
                  </w14:solidFill>
                </w14:textFill>
              </w:rPr>
              <w:t>月本项目开工建设，</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4月</w:t>
            </w:r>
            <w:r>
              <w:rPr>
                <w:rFonts w:hint="default" w:ascii="Times New Roman" w:hAnsi="Times New Roman" w:eastAsia="宋体" w:cs="Times New Roman"/>
                <w:color w:val="000000" w:themeColor="text1"/>
                <w:sz w:val="24"/>
                <w:szCs w:val="24"/>
                <w:highlight w:val="none"/>
                <w14:textFill>
                  <w14:solidFill>
                    <w14:schemeClr w14:val="tx1"/>
                  </w14:solidFill>
                </w14:textFill>
              </w:rPr>
              <w:t>建设完成进行调试；</w:t>
            </w:r>
          </w:p>
          <w:p w14:paraId="1D0DBA6D">
            <w:pPr>
              <w:keepNext w:val="0"/>
              <w:keepLines w:val="0"/>
              <w:widowControl/>
              <w:suppressLineNumbers w:val="0"/>
              <w:jc w:val="left"/>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（4）</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202</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年</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12月23日</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取得了固定污染源排污</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许可证</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证书</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编</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号</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r>
              <w:rPr>
                <w:rFonts w:hint="eastAsia" w:ascii="Times New Roman" w:hAnsi="Times New Roman" w:eastAsia="微软雅黑" w:cs="Times New Roman"/>
                <w:color w:val="000000" w:themeColor="text1"/>
                <w:kern w:val="0"/>
                <w:sz w:val="24"/>
                <w:szCs w:val="24"/>
                <w:lang w:val="en-US" w:eastAsia="zh-CN" w:bidi="ar"/>
                <w14:textFill>
                  <w14:solidFill>
                    <w14:schemeClr w14:val="tx1"/>
                  </w14:solidFill>
                </w14:textFill>
              </w:rPr>
              <w:t>91500101MA5U6PRU12001W</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p>
          <w:p w14:paraId="49B935BA">
            <w:pPr>
              <w:keepNext w:val="0"/>
              <w:keepLines w:val="0"/>
              <w:pageBreakBefore w:val="0"/>
              <w:widowControl w:val="0"/>
              <w:numPr>
                <w:ilvl w:val="0"/>
                <w:numId w:val="0"/>
              </w:numPr>
              <w:kinsoku/>
              <w:wordWrap/>
              <w:overflowPunct/>
              <w:topLinePunct w:val="0"/>
              <w:bidi w:val="0"/>
              <w:adjustRightInd w:val="0"/>
              <w:spacing w:line="360" w:lineRule="auto"/>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（5）</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2026年</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5</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月</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10</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日~</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11</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日，重庆国环环境监测有限公司</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对该单位排放的废气、废水、噪声进行采样监测。</w:t>
            </w:r>
          </w:p>
          <w:p w14:paraId="57C19CC3">
            <w:pPr>
              <w:keepNext w:val="0"/>
              <w:keepLines w:val="0"/>
              <w:pageBreakBefore w:val="0"/>
              <w:widowControl w:val="0"/>
              <w:numPr>
                <w:ilvl w:val="0"/>
                <w:numId w:val="0"/>
              </w:numPr>
              <w:kinsoku/>
              <w:wordWrap/>
              <w:overflowPunct/>
              <w:topLinePunct w:val="0"/>
              <w:bidi w:val="0"/>
              <w:adjustRightInd w:val="0"/>
              <w:spacing w:line="360" w:lineRule="auto"/>
              <w:rPr>
                <w:rFonts w:hint="default" w:ascii="Times New Roman" w:hAnsi="Times New Roman" w:cs="Times New Roman"/>
                <w:color w:val="auto"/>
                <w:sz w:val="24"/>
                <w:lang w:val="en-US" w:eastAsia="zh-CN"/>
              </w:rPr>
            </w:pPr>
            <w:r>
              <w:rPr>
                <w:rFonts w:hint="default" w:ascii="Times New Roman" w:hAnsi="Times New Roman" w:cs="Times New Roman"/>
                <w:color w:val="auto"/>
                <w:sz w:val="24"/>
                <w:lang w:val="en-US" w:eastAsia="zh-CN"/>
              </w:rPr>
              <w:t>8.1.3验收范围</w:t>
            </w:r>
          </w:p>
          <w:p w14:paraId="269C1B74">
            <w:pPr>
              <w:keepNext w:val="0"/>
              <w:keepLines w:val="0"/>
              <w:pageBreakBefore w:val="0"/>
              <w:widowControl w:val="0"/>
              <w:numPr>
                <w:ilvl w:val="0"/>
                <w:numId w:val="0"/>
              </w:numPr>
              <w:kinsoku/>
              <w:wordWrap/>
              <w:overflowPunct/>
              <w:topLinePunct w:val="0"/>
              <w:bidi w:val="0"/>
              <w:adjustRightInd w:val="0"/>
              <w:spacing w:line="360" w:lineRule="auto"/>
              <w:rPr>
                <w:rFonts w:hint="default" w:ascii="Times New Roman" w:hAnsi="Times New Roman" w:cs="Times New Roman"/>
                <w:color w:val="auto"/>
                <w:sz w:val="24"/>
                <w:lang w:val="en-GB" w:eastAsia="zh-CN"/>
              </w:rPr>
            </w:pPr>
            <w:r>
              <w:rPr>
                <w:rFonts w:hint="eastAsia" w:ascii="Times New Roman" w:hAnsi="Times New Roman" w:cs="Times New Roman"/>
                <w:color w:val="auto"/>
                <w:sz w:val="24"/>
                <w:lang w:val="en-US" w:eastAsia="zh-CN"/>
              </w:rPr>
              <w:t>本次对重庆立标标识制作有限公司“重庆立标标识标牌制造项目”的所有环评内容</w:t>
            </w:r>
            <w:r>
              <w:rPr>
                <w:rFonts w:hint="eastAsia" w:ascii="Times New Roman" w:hAnsi="Times New Roman" w:cs="Times New Roman"/>
                <w:color w:val="auto"/>
                <w:sz w:val="24"/>
                <w:lang w:val="en-GB" w:eastAsia="zh-CN"/>
              </w:rPr>
              <w:t>进行验收</w:t>
            </w:r>
            <w:r>
              <w:rPr>
                <w:rFonts w:hint="default" w:ascii="Times New Roman" w:hAnsi="Times New Roman" w:cs="Times New Roman"/>
                <w:color w:val="auto"/>
                <w:sz w:val="24"/>
                <w:lang w:val="en-GB" w:eastAsia="zh-CN"/>
              </w:rPr>
              <w:t xml:space="preserve">。   </w:t>
            </w:r>
          </w:p>
          <w:p w14:paraId="415650EA">
            <w:pPr>
              <w:keepNext w:val="0"/>
              <w:keepLines w:val="0"/>
              <w:pageBreakBefore w:val="0"/>
              <w:widowControl w:val="0"/>
              <w:numPr>
                <w:ilvl w:val="0"/>
                <w:numId w:val="0"/>
              </w:numPr>
              <w:kinsoku/>
              <w:wordWrap/>
              <w:overflowPunct/>
              <w:topLinePunct w:val="0"/>
              <w:bidi w:val="0"/>
              <w:adjustRightInd w:val="0"/>
              <w:spacing w:line="360" w:lineRule="auto"/>
              <w:rPr>
                <w:rFonts w:hint="default" w:ascii="Times New Roman" w:hAnsi="Times New Roman" w:cs="Times New Roman"/>
                <w:b/>
                <w:bCs/>
                <w:color w:val="auto"/>
                <w:sz w:val="24"/>
                <w:lang w:val="en-US" w:eastAsia="zh-CN"/>
              </w:rPr>
            </w:pPr>
            <w:r>
              <w:rPr>
                <w:rFonts w:hint="default" w:ascii="Times New Roman" w:hAnsi="Times New Roman" w:cs="Times New Roman"/>
                <w:b/>
                <w:bCs/>
                <w:color w:val="auto"/>
                <w:sz w:val="24"/>
                <w:lang w:val="en-US" w:eastAsia="zh-CN"/>
              </w:rPr>
              <w:t xml:space="preserve">8.2工程变动情况  </w:t>
            </w:r>
          </w:p>
          <w:p w14:paraId="750F3C82">
            <w:pPr>
              <w:pStyle w:val="7"/>
              <w:keepNext w:val="0"/>
              <w:keepLines w:val="0"/>
              <w:pageBreakBefore w:val="0"/>
              <w:widowControl w:val="0"/>
              <w:kinsoku/>
              <w:wordWrap/>
              <w:overflowPunct/>
              <w:topLinePunct w:val="0"/>
              <w:bidi w:val="0"/>
              <w:adjustRightInd w:val="0"/>
              <w:spacing w:after="0" w:line="360" w:lineRule="auto"/>
              <w:ind w:firstLine="480"/>
              <w:rPr>
                <w:rFonts w:hint="default" w:ascii="Times New Roman" w:hAnsi="Times New Roman" w:cs="Times New Roman"/>
                <w:color w:val="auto"/>
                <w:szCs w:val="21"/>
                <w:lang w:val="en-US" w:eastAsia="zh-CN"/>
              </w:rPr>
            </w:pPr>
            <w:r>
              <w:rPr>
                <w:rFonts w:hint="eastAsia" w:ascii="Times New Roman" w:hAnsi="Times New Roman" w:eastAsia="宋体" w:cs="Times New Roman"/>
                <w:color w:val="auto"/>
                <w:kern w:val="2"/>
                <w:sz w:val="24"/>
                <w:szCs w:val="24"/>
                <w:lang w:val="en-US" w:eastAsia="zh-CN" w:bidi="ar-SA"/>
              </w:rPr>
              <w:t>通过对照《污染影响类建设项目重大变动清单（试行）》，对本项目变动逐项进行分析，</w:t>
            </w:r>
            <w:r>
              <w:rPr>
                <w:rFonts w:hint="default" w:ascii="Times New Roman" w:hAnsi="Times New Roman" w:eastAsia="宋体" w:cs="Times New Roman"/>
                <w:color w:val="auto"/>
                <w:kern w:val="2"/>
                <w:sz w:val="24"/>
                <w:szCs w:val="24"/>
                <w:lang w:val="en-US" w:eastAsia="zh-CN" w:bidi="ar-SA"/>
              </w:rPr>
              <w:t>与环评及批复内容相比</w:t>
            </w:r>
            <w:r>
              <w:rPr>
                <w:rFonts w:hint="eastAsia" w:ascii="Times New Roman" w:hAnsi="Times New Roman" w:eastAsia="宋体" w:cs="Times New Roman"/>
                <w:color w:val="auto"/>
                <w:kern w:val="2"/>
                <w:sz w:val="24"/>
                <w:szCs w:val="24"/>
                <w:lang w:val="en-US" w:eastAsia="zh-CN" w:bidi="ar-SA"/>
              </w:rPr>
              <w:t>未发生变化。因此，本项目实际建设的内容不构成重大变动，不需要重新报批环评文件，应纳入竣工环境保护验收管理</w:t>
            </w:r>
            <w:r>
              <w:rPr>
                <w:rFonts w:hint="default" w:ascii="Times New Roman" w:hAnsi="Times New Roman" w:cs="Times New Roman"/>
                <w:color w:val="auto"/>
                <w:szCs w:val="21"/>
                <w:lang w:val="en-US" w:eastAsia="zh-CN"/>
              </w:rPr>
              <w:t>。</w:t>
            </w:r>
          </w:p>
          <w:p w14:paraId="4604E8A1">
            <w:pPr>
              <w:keepNext w:val="0"/>
              <w:keepLines w:val="0"/>
              <w:pageBreakBefore w:val="0"/>
              <w:widowControl w:val="0"/>
              <w:kinsoku/>
              <w:wordWrap/>
              <w:overflowPunct/>
              <w:topLinePunct w:val="0"/>
              <w:bidi w:val="0"/>
              <w:spacing w:line="360" w:lineRule="auto"/>
              <w:rPr>
                <w:rFonts w:hint="default" w:ascii="Times New Roman" w:hAnsi="Times New Roman" w:eastAsia="宋体" w:cs="Times New Roman"/>
                <w:b/>
                <w:bCs/>
                <w:color w:val="auto"/>
                <w:kern w:val="2"/>
                <w:sz w:val="24"/>
                <w:szCs w:val="24"/>
                <w:lang w:val="en-US" w:eastAsia="zh-CN" w:bidi="ar-SA"/>
              </w:rPr>
            </w:pPr>
            <w:r>
              <w:rPr>
                <w:rFonts w:hint="default" w:ascii="Times New Roman" w:hAnsi="Times New Roman" w:eastAsia="宋体" w:cs="Times New Roman"/>
                <w:b/>
                <w:bCs/>
                <w:color w:val="auto"/>
                <w:kern w:val="2"/>
                <w:sz w:val="24"/>
                <w:szCs w:val="24"/>
                <w:lang w:val="en-US" w:eastAsia="zh-CN" w:bidi="ar-SA"/>
              </w:rPr>
              <w:t>8.3环保设施落实情况</w:t>
            </w:r>
          </w:p>
          <w:p w14:paraId="238A37ED">
            <w:pPr>
              <w:keepNext w:val="0"/>
              <w:keepLines w:val="0"/>
              <w:pageBreakBefore w:val="0"/>
              <w:widowControl w:val="0"/>
              <w:kinsoku/>
              <w:wordWrap/>
              <w:overflowPunct/>
              <w:topLinePunct w:val="0"/>
              <w:bidi w:val="0"/>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（1）废水</w:t>
            </w:r>
          </w:p>
          <w:p w14:paraId="185300AD">
            <w:pPr>
              <w:keepNext w:val="0"/>
              <w:keepLines w:val="0"/>
              <w:pageBreakBefore w:val="0"/>
              <w:widowControl w:val="0"/>
              <w:kinsoku/>
              <w:wordWrap/>
              <w:overflowPunct/>
              <w:topLinePunct w:val="0"/>
              <w:bidi w:val="0"/>
              <w:spacing w:line="360" w:lineRule="auto"/>
              <w:ind w:firstLine="420" w:firstLineChars="200"/>
              <w:rPr>
                <w:rFonts w:hint="eastAsia"/>
                <w:color w:val="000000"/>
                <w:lang w:val="en-US" w:eastAsia="zh-CN"/>
              </w:rPr>
            </w:pPr>
            <w:r>
              <w:rPr>
                <w:rFonts w:hint="eastAsia"/>
                <w:color w:val="000000"/>
                <w:highlight w:val="none"/>
                <w:lang w:val="en-US" w:eastAsia="zh-CN"/>
              </w:rPr>
              <w:t>项目生活污水</w:t>
            </w:r>
            <w:r>
              <w:rPr>
                <w:rFonts w:hint="eastAsia"/>
                <w:color w:val="000000"/>
                <w:lang w:val="en-US" w:eastAsia="zh-CN"/>
              </w:rPr>
              <w:t>依托厂区</w:t>
            </w:r>
            <w:r>
              <w:rPr>
                <w:rFonts w:hint="eastAsia"/>
                <w:color w:val="000000"/>
                <w:highlight w:val="none"/>
                <w:lang w:val="en-US" w:eastAsia="zh-CN"/>
              </w:rPr>
              <w:t>生化池（20m</w:t>
            </w:r>
            <w:r>
              <w:rPr>
                <w:rFonts w:hint="eastAsia"/>
                <w:color w:val="000000"/>
                <w:highlight w:val="none"/>
                <w:vertAlign w:val="superscript"/>
                <w:lang w:val="en-US" w:eastAsia="zh-CN"/>
              </w:rPr>
              <w:t>3</w:t>
            </w:r>
            <w:r>
              <w:rPr>
                <w:rFonts w:hint="eastAsia"/>
                <w:color w:val="000000"/>
                <w:highlight w:val="none"/>
                <w:lang w:val="en-US" w:eastAsia="zh-CN"/>
              </w:rPr>
              <w:t>/d）</w:t>
            </w:r>
            <w:r>
              <w:rPr>
                <w:rFonts w:hint="eastAsia"/>
                <w:color w:val="000000"/>
                <w:lang w:val="en-US" w:eastAsia="zh-CN"/>
              </w:rPr>
              <w:t>处理达《污水综合排放标准》（GB8978-1996）三级标准和九龙园污水处理厂纳管要求后排入九龙园污水处理厂处理达《化工园区主要水污染物排放标准》（DB50/457-2012）后</w:t>
            </w:r>
            <w:r>
              <w:rPr>
                <w:color w:val="000000"/>
                <w:lang w:val="en-US" w:eastAsia="zh-CN"/>
              </w:rPr>
              <w:t>排放至</w:t>
            </w:r>
            <w:r>
              <w:rPr>
                <w:rFonts w:hint="eastAsia"/>
                <w:color w:val="000000"/>
                <w:lang w:val="en-US" w:eastAsia="zh-CN"/>
              </w:rPr>
              <w:t>龙宝河</w:t>
            </w:r>
          </w:p>
          <w:p w14:paraId="765D389A">
            <w:pPr>
              <w:keepNext w:val="0"/>
              <w:keepLines w:val="0"/>
              <w:pageBreakBefore w:val="0"/>
              <w:widowControl w:val="0"/>
              <w:kinsoku/>
              <w:wordWrap/>
              <w:overflowPunct/>
              <w:topLinePunct w:val="0"/>
              <w:bidi w:val="0"/>
              <w:spacing w:line="360" w:lineRule="auto"/>
              <w:ind w:firstLine="480" w:firstLineChars="200"/>
              <w:rPr>
                <w:rFonts w:hint="default" w:ascii="Times New Roman" w:hAnsi="Times New Roman" w:cs="Times New Roman"/>
                <w:bCs/>
                <w:color w:val="000000" w:themeColor="text1"/>
                <w:kern w:val="0"/>
                <w:sz w:val="24"/>
                <w14:textFill>
                  <w14:solidFill>
                    <w14:schemeClr w14:val="tx1"/>
                  </w14:solidFill>
                </w14:textFill>
              </w:rPr>
            </w:pPr>
            <w:r>
              <w:rPr>
                <w:rFonts w:hint="default" w:ascii="Times New Roman" w:hAnsi="Times New Roman" w:cs="Times New Roman"/>
                <w:bCs/>
                <w:color w:val="000000" w:themeColor="text1"/>
                <w:kern w:val="0"/>
                <w:sz w:val="24"/>
                <w14:textFill>
                  <w14:solidFill>
                    <w14:schemeClr w14:val="tx1"/>
                  </w14:solidFill>
                </w14:textFill>
              </w:rPr>
              <w:t>（2）废气</w:t>
            </w:r>
          </w:p>
          <w:p w14:paraId="006A8B26">
            <w:pPr>
              <w:keepNext w:val="0"/>
              <w:keepLines w:val="0"/>
              <w:pageBreakBefore w:val="0"/>
              <w:widowControl w:val="0"/>
              <w:kinsoku/>
              <w:wordWrap/>
              <w:overflowPunct/>
              <w:topLinePunct w:val="0"/>
              <w:bidi w:val="0"/>
              <w:spacing w:line="360" w:lineRule="auto"/>
              <w:ind w:firstLine="420" w:firstLineChars="200"/>
              <w:rPr>
                <w:rFonts w:hint="eastAsia"/>
                <w:color w:val="000000"/>
                <w:lang w:val="en-US" w:eastAsia="zh-CN"/>
              </w:rPr>
            </w:pPr>
            <w:r>
              <w:rPr>
                <w:rFonts w:hint="eastAsia"/>
                <w:color w:val="000000"/>
                <w:lang w:val="en-US" w:eastAsia="zh-CN"/>
              </w:rPr>
              <w:t>下料粉尘和打磨粉尘均经过移动式布袋除尘器收集处理后无组织排放在车间内，加强车间地面清扫</w:t>
            </w:r>
          </w:p>
          <w:p w14:paraId="3B2BF663">
            <w:pPr>
              <w:keepNext w:val="0"/>
              <w:keepLines w:val="0"/>
              <w:pageBreakBefore w:val="0"/>
              <w:widowControl w:val="0"/>
              <w:kinsoku/>
              <w:wordWrap/>
              <w:overflowPunct/>
              <w:topLinePunct w:val="0"/>
              <w:bidi w:val="0"/>
              <w:spacing w:line="360" w:lineRule="auto"/>
              <w:ind w:firstLine="420" w:firstLineChars="200"/>
              <w:rPr>
                <w:rFonts w:hint="eastAsia"/>
                <w:color w:val="000000"/>
                <w:highlight w:val="none"/>
                <w:lang w:val="en-US" w:eastAsia="zh-CN"/>
              </w:rPr>
            </w:pPr>
            <w:r>
              <w:rPr>
                <w:rFonts w:hint="eastAsia"/>
                <w:color w:val="000000"/>
                <w:highlight w:val="none"/>
                <w:lang w:val="en-US" w:eastAsia="zh-CN"/>
              </w:rPr>
              <w:t>焊接烟尘经集气罩收集后引至一套布袋除尘器处理，由15m高1#排气筒排放，风量5000m</w:t>
            </w:r>
            <w:r>
              <w:rPr>
                <w:rFonts w:hint="eastAsia"/>
                <w:color w:val="000000"/>
                <w:highlight w:val="none"/>
                <w:vertAlign w:val="superscript"/>
                <w:lang w:val="en-US" w:eastAsia="zh-CN"/>
              </w:rPr>
              <w:t>3</w:t>
            </w:r>
            <w:r>
              <w:rPr>
                <w:rFonts w:hint="eastAsia"/>
                <w:color w:val="000000"/>
                <w:highlight w:val="none"/>
                <w:lang w:val="en-US" w:eastAsia="zh-CN"/>
              </w:rPr>
              <w:t>/h。</w:t>
            </w:r>
          </w:p>
          <w:p w14:paraId="000270C1">
            <w:pPr>
              <w:keepNext w:val="0"/>
              <w:keepLines w:val="0"/>
              <w:pageBreakBefore w:val="0"/>
              <w:widowControl w:val="0"/>
              <w:kinsoku/>
              <w:wordWrap/>
              <w:overflowPunct/>
              <w:topLinePunct w:val="0"/>
              <w:bidi w:val="0"/>
              <w:spacing w:line="360" w:lineRule="auto"/>
              <w:ind w:firstLine="420" w:firstLineChars="200"/>
              <w:rPr>
                <w:rFonts w:hint="eastAsia"/>
                <w:color w:val="000000"/>
                <w:highlight w:val="none"/>
                <w:lang w:val="en-US" w:eastAsia="zh-CN"/>
              </w:rPr>
            </w:pPr>
            <w:r>
              <w:rPr>
                <w:rStyle w:val="68"/>
                <w:rFonts w:hint="eastAsia"/>
                <w:bCs/>
                <w:color w:val="000000"/>
                <w:lang w:val="en-US" w:eastAsia="zh-CN"/>
              </w:rPr>
              <w:t>喷漆房设置水帘装置，喷漆废气和调漆废气先经水帘预处理后再同烘干废气一起进入一套喷淋+干式过滤+二级活性炭吸附装置处理后通过15m高2#排气筒排放</w:t>
            </w:r>
            <w:r>
              <w:rPr>
                <w:rFonts w:hint="eastAsia"/>
                <w:color w:val="000000"/>
                <w:highlight w:val="none"/>
                <w:lang w:val="en-US" w:eastAsia="zh-CN"/>
              </w:rPr>
              <w:t>，风量20000m</w:t>
            </w:r>
            <w:r>
              <w:rPr>
                <w:rFonts w:hint="eastAsia"/>
                <w:color w:val="000000"/>
                <w:highlight w:val="none"/>
                <w:vertAlign w:val="superscript"/>
                <w:lang w:val="en-US" w:eastAsia="zh-CN"/>
              </w:rPr>
              <w:t>3</w:t>
            </w:r>
            <w:r>
              <w:rPr>
                <w:rFonts w:hint="eastAsia"/>
                <w:color w:val="000000"/>
                <w:highlight w:val="none"/>
                <w:lang w:val="en-US" w:eastAsia="zh-CN"/>
              </w:rPr>
              <w:t>/h。</w:t>
            </w:r>
          </w:p>
          <w:p w14:paraId="2131F4D7">
            <w:pPr>
              <w:keepNext w:val="0"/>
              <w:keepLines w:val="0"/>
              <w:pageBreakBefore w:val="0"/>
              <w:widowControl w:val="0"/>
              <w:kinsoku/>
              <w:wordWrap/>
              <w:overflowPunct/>
              <w:topLinePunct w:val="0"/>
              <w:bidi w:val="0"/>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（3）噪声</w:t>
            </w:r>
          </w:p>
          <w:p w14:paraId="2AA8D09A">
            <w:pPr>
              <w:keepNext w:val="0"/>
              <w:keepLines w:val="0"/>
              <w:pageBreakBefore w:val="0"/>
              <w:widowControl w:val="0"/>
              <w:kinsoku/>
              <w:wordWrap/>
              <w:overflowPunct/>
              <w:topLinePunct w:val="0"/>
              <w:bidi w:val="0"/>
              <w:spacing w:line="360" w:lineRule="auto"/>
              <w:ind w:firstLine="420" w:firstLineChars="200"/>
              <w:rPr>
                <w:rFonts w:hint="eastAsia"/>
                <w:color w:val="auto"/>
              </w:rPr>
            </w:pPr>
            <w:r>
              <w:rPr>
                <w:rFonts w:hint="eastAsia"/>
                <w:color w:val="auto"/>
              </w:rPr>
              <w:t>采取墙体隔声、基础减震等隔声降噪措施</w:t>
            </w:r>
          </w:p>
          <w:p w14:paraId="6A0063DF">
            <w:pPr>
              <w:keepNext w:val="0"/>
              <w:keepLines w:val="0"/>
              <w:pageBreakBefore w:val="0"/>
              <w:widowControl w:val="0"/>
              <w:numPr>
                <w:ilvl w:val="0"/>
                <w:numId w:val="3"/>
              </w:numPr>
              <w:kinsoku/>
              <w:wordWrap/>
              <w:overflowPunct/>
              <w:topLinePunct w:val="0"/>
              <w:bidi w:val="0"/>
              <w:spacing w:line="360" w:lineRule="auto"/>
              <w:ind w:left="-300" w:leftChars="0" w:firstLine="480" w:firstLineChars="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固体废物</w:t>
            </w:r>
          </w:p>
          <w:p w14:paraId="1A3B9BB9">
            <w:pPr>
              <w:pStyle w:val="7"/>
              <w:ind w:firstLine="480" w:firstLineChars="200"/>
              <w:rPr>
                <w:rFonts w:hint="eastAsia"/>
                <w:color w:val="auto"/>
              </w:rPr>
            </w:pPr>
            <w:r>
              <w:rPr>
                <w:rFonts w:hint="eastAsia" w:hAnsi="宋体"/>
                <w:iCs/>
                <w:color w:val="auto"/>
              </w:rPr>
              <w:t>生活垃圾经垃圾桶收集后，</w:t>
            </w:r>
            <w:r>
              <w:rPr>
                <w:rFonts w:hint="eastAsia"/>
                <w:color w:val="auto"/>
              </w:rPr>
              <w:t>交市政环卫部门清运。</w:t>
            </w:r>
          </w:p>
          <w:p w14:paraId="74273FC3">
            <w:pPr>
              <w:pStyle w:val="21"/>
              <w:bidi w:val="0"/>
              <w:rPr>
                <w:rFonts w:hint="eastAsia"/>
                <w:color w:val="000000"/>
                <w:highlight w:val="none"/>
                <w:lang w:val="en-US" w:eastAsia="zh-CN"/>
              </w:rPr>
            </w:pPr>
            <w:r>
              <w:rPr>
                <w:rFonts w:hint="eastAsia"/>
                <w:color w:val="000000"/>
                <w:highlight w:val="none"/>
                <w:lang w:val="en-US" w:eastAsia="zh-CN"/>
              </w:rPr>
              <w:t>一般固废暂存间（面积10m</w:t>
            </w:r>
            <w:r>
              <w:rPr>
                <w:rFonts w:hint="eastAsia"/>
                <w:color w:val="000000"/>
                <w:highlight w:val="none"/>
                <w:vertAlign w:val="superscript"/>
                <w:lang w:val="en-US" w:eastAsia="zh-CN"/>
              </w:rPr>
              <w:t>2</w:t>
            </w:r>
            <w:r>
              <w:rPr>
                <w:rFonts w:hint="eastAsia"/>
                <w:color w:val="000000"/>
                <w:highlight w:val="none"/>
                <w:lang w:val="en-US" w:eastAsia="zh-CN"/>
              </w:rPr>
              <w:t>）位于厂房西南侧，一般固废经收集暂存后外售物资回收单位。</w:t>
            </w:r>
          </w:p>
          <w:p w14:paraId="0FBC608E">
            <w:pPr>
              <w:pStyle w:val="21"/>
              <w:bidi w:val="0"/>
              <w:rPr>
                <w:rFonts w:hint="eastAsia"/>
                <w:color w:val="000000"/>
                <w:highlight w:val="none"/>
                <w:lang w:val="en-US" w:eastAsia="zh-CN"/>
              </w:rPr>
            </w:pPr>
            <w:r>
              <w:rPr>
                <w:rFonts w:hint="eastAsia"/>
                <w:color w:val="000000"/>
                <w:highlight w:val="none"/>
                <w:lang w:val="en-US" w:eastAsia="zh-CN"/>
              </w:rPr>
              <w:t>危险废物贮存库（面积10m</w:t>
            </w:r>
            <w:r>
              <w:rPr>
                <w:rFonts w:hint="eastAsia"/>
                <w:color w:val="000000"/>
                <w:highlight w:val="none"/>
                <w:vertAlign w:val="superscript"/>
                <w:lang w:val="en-US" w:eastAsia="zh-CN"/>
              </w:rPr>
              <w:t>2</w:t>
            </w:r>
            <w:r>
              <w:rPr>
                <w:rFonts w:hint="eastAsia"/>
                <w:color w:val="000000"/>
                <w:highlight w:val="none"/>
                <w:lang w:val="en-US" w:eastAsia="zh-CN"/>
              </w:rPr>
              <w:t>）位于厂房东北侧，危险废物经分类收集暂存后交有危废处置资质单位处理。</w:t>
            </w:r>
          </w:p>
          <w:p w14:paraId="1A365903">
            <w:pPr>
              <w:pStyle w:val="21"/>
              <w:bidi w:val="0"/>
              <w:rPr>
                <w:rFonts w:hint="default" w:ascii="Times New Roman" w:hAnsi="Times New Roman" w:eastAsia="宋体" w:cs="Times New Roman"/>
                <w:bCs/>
                <w:i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Cs/>
                <w:iCs/>
                <w:color w:val="000000" w:themeColor="text1"/>
                <w:sz w:val="21"/>
                <w:szCs w:val="21"/>
                <w:lang w:val="en-US" w:eastAsia="zh-CN"/>
                <w14:textFill>
                  <w14:solidFill>
                    <w14:schemeClr w14:val="tx1"/>
                  </w14:solidFill>
                </w14:textFill>
              </w:rPr>
              <w:t>8.4验收监测结果</w:t>
            </w:r>
          </w:p>
          <w:p w14:paraId="0CE38B67">
            <w:pPr>
              <w:keepNext w:val="0"/>
              <w:keepLines w:val="0"/>
              <w:pageBreakBefore w:val="0"/>
              <w:widowControl w:val="0"/>
              <w:numPr>
                <w:ilvl w:val="0"/>
                <w:numId w:val="4"/>
              </w:numPr>
              <w:kinsoku/>
              <w:wordWrap/>
              <w:overflowPunct/>
              <w:topLinePunct w:val="0"/>
              <w:bidi w:val="0"/>
              <w:adjustRightInd w:val="0"/>
              <w:spacing w:line="360" w:lineRule="auto"/>
              <w:ind w:firstLine="420" w:firstLineChars="200"/>
              <w:rPr>
                <w:rFonts w:hint="eastAsia" w:ascii="Times New Roman" w:hAnsi="Times New Roman" w:eastAsia="宋体" w:cs="Times New Roman"/>
                <w:bCs/>
                <w:i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iCs/>
                <w:color w:val="000000" w:themeColor="text1"/>
                <w:sz w:val="21"/>
                <w:szCs w:val="21"/>
                <w:lang w:val="en-US" w:eastAsia="zh-CN"/>
                <w14:textFill>
                  <w14:solidFill>
                    <w14:schemeClr w14:val="tx1"/>
                  </w14:solidFill>
                </w14:textFill>
              </w:rPr>
              <w:t>废气：</w:t>
            </w:r>
          </w:p>
          <w:p w14:paraId="0DF2554B">
            <w:pPr>
              <w:pStyle w:val="21"/>
              <w:bidi w:val="0"/>
              <w:rPr>
                <w:rFonts w:hint="eastAsia" w:ascii="Times New Roman" w:hAnsi="Times New Roman" w:eastAsia="宋体"/>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验收监测期间</w:t>
            </w:r>
            <w:r>
              <w:rPr>
                <w:rFonts w:hint="eastAsia" w:ascii="Times New Roman" w:hAnsi="Times New Roman" w:eastAsia="宋体" w:cs="Times New Roman"/>
                <w:color w:val="000000" w:themeColor="text1"/>
                <w:sz w:val="24"/>
                <w:lang w:eastAsia="zh-CN"/>
                <w14:textFill>
                  <w14:solidFill>
                    <w14:schemeClr w14:val="tx1"/>
                  </w14:solidFill>
                </w14:textFill>
              </w:rPr>
              <w:t>，</w:t>
            </w:r>
            <w:r>
              <w:rPr>
                <w:rFonts w:hint="eastAsia" w:ascii="Times New Roman" w:hAnsi="Times New Roman" w:eastAsia="宋体" w:cs="Times New Roman"/>
                <w:color w:val="000000" w:themeColor="text1"/>
                <w:sz w:val="24"/>
                <w:lang w:val="en-US" w:eastAsia="zh-CN"/>
                <w14:textFill>
                  <w14:solidFill>
                    <w14:schemeClr w14:val="tx1"/>
                  </w14:solidFill>
                </w14:textFill>
              </w:rPr>
              <w:t>废气排放</w:t>
            </w:r>
            <w:r>
              <w:rPr>
                <w:rFonts w:hint="eastAsia" w:ascii="Times New Roman" w:hAnsi="Times New Roman" w:eastAsia="宋体"/>
                <w:color w:val="000000" w:themeColor="text1"/>
                <w:sz w:val="24"/>
                <w:szCs w:val="24"/>
                <w:highlight w:val="none"/>
                <w:lang w:val="en-US" w:eastAsia="zh-CN"/>
                <w14:textFill>
                  <w14:solidFill>
                    <w14:schemeClr w14:val="tx1"/>
                  </w14:solidFill>
                </w14:textFill>
              </w:rPr>
              <w:t>满足排放标准要求。</w:t>
            </w:r>
          </w:p>
          <w:p w14:paraId="12D77A7D">
            <w:pPr>
              <w:keepNext w:val="0"/>
              <w:keepLines w:val="0"/>
              <w:pageBreakBefore w:val="0"/>
              <w:widowControl w:val="0"/>
              <w:numPr>
                <w:ilvl w:val="0"/>
                <w:numId w:val="4"/>
              </w:numPr>
              <w:kinsoku/>
              <w:wordWrap/>
              <w:overflowPunct/>
              <w:topLinePunct w:val="0"/>
              <w:bidi w:val="0"/>
              <w:adjustRightInd w:val="0"/>
              <w:spacing w:line="360" w:lineRule="auto"/>
              <w:ind w:firstLine="420" w:firstLineChars="200"/>
              <w:rPr>
                <w:rFonts w:hint="eastAsia" w:ascii="Times New Roman" w:hAnsi="Times New Roman" w:eastAsia="宋体" w:cs="Times New Roman"/>
                <w:bCs/>
                <w:i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iCs/>
                <w:color w:val="000000" w:themeColor="text1"/>
                <w:sz w:val="21"/>
                <w:szCs w:val="21"/>
                <w:lang w:val="en-US" w:eastAsia="zh-CN"/>
                <w14:textFill>
                  <w14:solidFill>
                    <w14:schemeClr w14:val="tx1"/>
                  </w14:solidFill>
                </w14:textFill>
              </w:rPr>
              <w:t>废水：</w:t>
            </w:r>
          </w:p>
          <w:p w14:paraId="799B469E">
            <w:pPr>
              <w:pStyle w:val="21"/>
              <w:bidi w:val="0"/>
              <w:ind w:firstLine="720" w:firstLineChars="300"/>
              <w:rPr>
                <w:rFonts w:hint="eastAsia" w:ascii="Times New Roman" w:hAnsi="Times New Roman" w:eastAsia="宋体"/>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验收监测期间</w:t>
            </w:r>
            <w:r>
              <w:rPr>
                <w:rFonts w:hint="eastAsia" w:ascii="Times New Roman" w:hAnsi="Times New Roman" w:eastAsia="宋体" w:cs="Times New Roman"/>
                <w:color w:val="000000" w:themeColor="text1"/>
                <w:sz w:val="24"/>
                <w:lang w:eastAsia="zh-CN"/>
                <w14:textFill>
                  <w14:solidFill>
                    <w14:schemeClr w14:val="tx1"/>
                  </w14:solidFill>
                </w14:textFill>
              </w:rPr>
              <w:t>，</w:t>
            </w:r>
            <w:r>
              <w:rPr>
                <w:rFonts w:hint="eastAsia" w:ascii="Times New Roman" w:hAnsi="Times New Roman" w:eastAsia="宋体" w:cs="Times New Roman"/>
                <w:color w:val="000000" w:themeColor="text1"/>
                <w:sz w:val="24"/>
                <w:lang w:val="en-US" w:eastAsia="zh-CN"/>
                <w14:textFill>
                  <w14:solidFill>
                    <w14:schemeClr w14:val="tx1"/>
                  </w14:solidFill>
                </w14:textFill>
              </w:rPr>
              <w:t>废水排放</w:t>
            </w:r>
            <w:r>
              <w:rPr>
                <w:rFonts w:hint="eastAsia" w:ascii="Times New Roman" w:hAnsi="Times New Roman" w:eastAsia="宋体"/>
                <w:color w:val="000000" w:themeColor="text1"/>
                <w:sz w:val="24"/>
                <w:szCs w:val="24"/>
                <w:highlight w:val="none"/>
                <w:lang w:val="en-US" w:eastAsia="zh-CN"/>
                <w14:textFill>
                  <w14:solidFill>
                    <w14:schemeClr w14:val="tx1"/>
                  </w14:solidFill>
                </w14:textFill>
              </w:rPr>
              <w:t>满足排放标准要求。</w:t>
            </w:r>
          </w:p>
          <w:p w14:paraId="23530168">
            <w:pPr>
              <w:keepNext w:val="0"/>
              <w:keepLines w:val="0"/>
              <w:pageBreakBefore w:val="0"/>
              <w:widowControl w:val="0"/>
              <w:kinsoku/>
              <w:wordWrap/>
              <w:overflowPunct/>
              <w:topLinePunct w:val="0"/>
              <w:bidi w:val="0"/>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w:t>
            </w:r>
            <w:r>
              <w:rPr>
                <w:rFonts w:hint="eastAsia" w:cs="Times New Roman"/>
                <w:color w:val="000000" w:themeColor="text1"/>
                <w:sz w:val="24"/>
                <w:lang w:val="en-US" w:eastAsia="zh-CN"/>
                <w14:textFill>
                  <w14:solidFill>
                    <w14:schemeClr w14:val="tx1"/>
                  </w14:solidFill>
                </w14:textFill>
              </w:rPr>
              <w:t>3</w:t>
            </w:r>
            <w:r>
              <w:rPr>
                <w:rFonts w:hint="default" w:ascii="Times New Roman" w:hAnsi="Times New Roman" w:cs="Times New Roman"/>
                <w:color w:val="000000" w:themeColor="text1"/>
                <w:sz w:val="24"/>
                <w14:textFill>
                  <w14:solidFill>
                    <w14:schemeClr w14:val="tx1"/>
                  </w14:solidFill>
                </w14:textFill>
              </w:rPr>
              <w:t>）噪声</w:t>
            </w:r>
          </w:p>
          <w:p w14:paraId="0BF4B14A">
            <w:pPr>
              <w:spacing w:line="460" w:lineRule="atLeast"/>
              <w:ind w:firstLine="482"/>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验收监测期间，厂界噪声满足《工业企业厂界环境噪声排放标准》（GB12348-2008）</w:t>
            </w:r>
            <w:r>
              <w:rPr>
                <w:rFonts w:hint="eastAsia" w:cs="Times New Roman"/>
                <w:color w:val="000000" w:themeColor="text1"/>
                <w:sz w:val="24"/>
                <w:lang w:val="en-US" w:eastAsia="zh-CN"/>
                <w14:textFill>
                  <w14:solidFill>
                    <w14:schemeClr w14:val="tx1"/>
                  </w14:solidFill>
                </w14:textFill>
              </w:rPr>
              <w:t>3类标准。</w:t>
            </w:r>
          </w:p>
          <w:p w14:paraId="40C4DD66">
            <w:pPr>
              <w:keepNext w:val="0"/>
              <w:keepLines w:val="0"/>
              <w:pageBreakBefore w:val="0"/>
              <w:widowControl w:val="0"/>
              <w:kinsoku/>
              <w:wordWrap/>
              <w:overflowPunct/>
              <w:topLinePunct w:val="0"/>
              <w:bidi w:val="0"/>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w:t>
            </w:r>
            <w:r>
              <w:rPr>
                <w:rFonts w:hint="eastAsia" w:ascii="Times New Roman" w:hAnsi="Times New Roman" w:cs="Times New Roman"/>
                <w:color w:val="000000" w:themeColor="text1"/>
                <w:sz w:val="24"/>
                <w:lang w:val="en-US" w:eastAsia="zh-CN"/>
                <w14:textFill>
                  <w14:solidFill>
                    <w14:schemeClr w14:val="tx1"/>
                  </w14:solidFill>
                </w14:textFill>
              </w:rPr>
              <w:t>4</w:t>
            </w:r>
            <w:r>
              <w:rPr>
                <w:rFonts w:hint="default" w:ascii="Times New Roman" w:hAnsi="Times New Roman" w:cs="Times New Roman"/>
                <w:color w:val="000000" w:themeColor="text1"/>
                <w:sz w:val="24"/>
                <w14:textFill>
                  <w14:solidFill>
                    <w14:schemeClr w14:val="tx1"/>
                  </w14:solidFill>
                </w14:textFill>
              </w:rPr>
              <w:t>）总量</w:t>
            </w:r>
          </w:p>
          <w:p w14:paraId="590B2B32">
            <w:pPr>
              <w:numPr>
                <w:ilvl w:val="0"/>
                <w:numId w:val="0"/>
              </w:numPr>
              <w:spacing w:line="460" w:lineRule="atLeast"/>
              <w:ind w:leftChars="0" w:firstLine="480" w:firstLineChars="200"/>
              <w:rPr>
                <w:rFonts w:hint="default"/>
                <w:color w:val="000000" w:themeColor="text1"/>
                <w:lang w:val="en-US" w:eastAsia="zh-CN"/>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总量满足环评及批复要求。</w:t>
            </w:r>
          </w:p>
          <w:p w14:paraId="1103E4D8">
            <w:pPr>
              <w:numPr>
                <w:ilvl w:val="0"/>
                <w:numId w:val="0"/>
              </w:numPr>
              <w:spacing w:line="460" w:lineRule="atLeast"/>
              <w:rPr>
                <w:rFonts w:hint="default" w:ascii="Times New Roman" w:hAnsi="Times New Roman" w:cs="Times New Roman"/>
                <w:b/>
                <w:bCs/>
                <w:color w:val="000000" w:themeColor="text1"/>
                <w:sz w:val="24"/>
                <w:lang w:eastAsia="zh-CN"/>
                <w14:textFill>
                  <w14:solidFill>
                    <w14:schemeClr w14:val="tx1"/>
                  </w14:solidFill>
                </w14:textFill>
              </w:rPr>
            </w:pPr>
            <w:bookmarkStart w:id="6" w:name="_Toc18636_WPSOffice_Level2"/>
            <w:bookmarkStart w:id="7" w:name="_Toc24463"/>
            <w:bookmarkStart w:id="8" w:name="_Toc24064"/>
            <w:bookmarkStart w:id="9" w:name="_Toc505585989"/>
            <w:r>
              <w:rPr>
                <w:rFonts w:hint="default" w:ascii="Times New Roman" w:hAnsi="Times New Roman" w:cs="Times New Roman"/>
                <w:b/>
                <w:bCs/>
                <w:color w:val="000000" w:themeColor="text1"/>
                <w:sz w:val="24"/>
                <w:lang w:eastAsia="zh-CN"/>
                <w14:textFill>
                  <w14:solidFill>
                    <w14:schemeClr w14:val="tx1"/>
                  </w14:solidFill>
                </w14:textFill>
              </w:rPr>
              <w:t>8.5工程建设对环境的影响</w:t>
            </w:r>
            <w:bookmarkEnd w:id="6"/>
            <w:bookmarkEnd w:id="7"/>
            <w:bookmarkEnd w:id="8"/>
            <w:bookmarkEnd w:id="9"/>
          </w:p>
          <w:p w14:paraId="74C0AE11">
            <w:pPr>
              <w:pStyle w:val="21"/>
              <w:bidi w:val="0"/>
              <w:rPr>
                <w:rFonts w:hint="default"/>
                <w:color w:val="000000"/>
                <w:lang w:val="en-US"/>
              </w:rPr>
            </w:pPr>
            <w:r>
              <w:rPr>
                <w:rFonts w:hint="eastAsia"/>
                <w:color w:val="000000"/>
                <w:lang w:val="en-US" w:eastAsia="zh-CN"/>
              </w:rPr>
              <w:t>项目租赁已建成厂房，施工期主要是进行设备安装调试及简单装修。项目位于工业园区内，周边无居住、学校、医院等敏感点，施工时间短、影响小。</w:t>
            </w:r>
          </w:p>
          <w:p w14:paraId="32630F91">
            <w:pPr>
              <w:numPr>
                <w:ilvl w:val="0"/>
                <w:numId w:val="0"/>
              </w:numPr>
              <w:spacing w:line="460" w:lineRule="atLeast"/>
              <w:rPr>
                <w:rFonts w:hint="default" w:ascii="Times New Roman" w:hAnsi="Times New Roman" w:cs="Times New Roman"/>
                <w:b/>
                <w:bCs/>
                <w:color w:val="000000" w:themeColor="text1"/>
                <w:sz w:val="24"/>
                <w:lang w:eastAsia="zh-CN"/>
                <w14:textFill>
                  <w14:solidFill>
                    <w14:schemeClr w14:val="tx1"/>
                  </w14:solidFill>
                </w14:textFill>
              </w:rPr>
            </w:pPr>
            <w:r>
              <w:rPr>
                <w:rFonts w:hint="default" w:ascii="Times New Roman" w:hAnsi="Times New Roman" w:cs="Times New Roman"/>
                <w:b/>
                <w:bCs/>
                <w:color w:val="000000" w:themeColor="text1"/>
                <w:sz w:val="24"/>
                <w:lang w:eastAsia="zh-CN"/>
                <w14:textFill>
                  <w14:solidFill>
                    <w14:schemeClr w14:val="tx1"/>
                  </w14:solidFill>
                </w14:textFill>
              </w:rPr>
              <w:t>8.6结论</w:t>
            </w:r>
          </w:p>
          <w:p w14:paraId="6ED0D7AF">
            <w:pPr>
              <w:numPr>
                <w:ilvl w:val="0"/>
                <w:numId w:val="0"/>
              </w:numPr>
              <w:spacing w:line="460" w:lineRule="atLeast"/>
              <w:ind w:leftChars="0" w:firstLine="480" w:firstLineChars="200"/>
              <w:rPr>
                <w:rFonts w:hint="default" w:ascii="Times New Roman" w:hAnsi="Times New Roman" w:cs="Times New Roman"/>
                <w:color w:val="auto"/>
                <w:sz w:val="24"/>
                <w:lang w:eastAsia="zh-CN"/>
              </w:rPr>
            </w:pPr>
            <w:r>
              <w:rPr>
                <w:rFonts w:hint="default" w:ascii="Times New Roman" w:hAnsi="Times New Roman" w:cs="Times New Roman"/>
                <w:color w:val="000000" w:themeColor="text1"/>
                <w:sz w:val="24"/>
                <w:lang w:eastAsia="zh-CN"/>
                <w14:textFill>
                  <w14:solidFill>
                    <w14:schemeClr w14:val="tx1"/>
                  </w14:solidFill>
                </w14:textFill>
              </w:rPr>
              <w:t>综上所述，本验收项目各项环保设施建设到位，较好地落</w:t>
            </w:r>
            <w:r>
              <w:rPr>
                <w:rFonts w:hint="default" w:ascii="Times New Roman" w:hAnsi="Times New Roman" w:cs="Times New Roman"/>
                <w:color w:val="auto"/>
                <w:sz w:val="24"/>
                <w:lang w:eastAsia="zh-CN"/>
              </w:rPr>
              <w:t>实了环评及批复文件提出的环保要求。工程建设期间，未发生重大污染。现有环保设施能满足运营期污染物排放及处置要求，达到竣工环保验收条件，建议验收组通过工程竣工环境保护验收。</w:t>
            </w:r>
          </w:p>
          <w:p w14:paraId="5B92D2DA">
            <w:pPr>
              <w:numPr>
                <w:ilvl w:val="0"/>
                <w:numId w:val="0"/>
              </w:numPr>
              <w:spacing w:line="460" w:lineRule="atLeast"/>
              <w:rPr>
                <w:rFonts w:hint="default" w:ascii="Times New Roman" w:hAnsi="Times New Roman" w:cs="Times New Roman"/>
                <w:b/>
                <w:bCs/>
                <w:color w:val="auto"/>
                <w:sz w:val="24"/>
                <w:lang w:eastAsia="zh-CN"/>
              </w:rPr>
            </w:pPr>
            <w:r>
              <w:rPr>
                <w:rFonts w:hint="default" w:ascii="Times New Roman" w:hAnsi="Times New Roman" w:cs="Times New Roman"/>
                <w:b/>
                <w:bCs/>
                <w:color w:val="auto"/>
                <w:sz w:val="24"/>
                <w:lang w:eastAsia="zh-CN"/>
              </w:rPr>
              <w:t>8.7建议</w:t>
            </w:r>
          </w:p>
          <w:p w14:paraId="23469AF3">
            <w:pPr>
              <w:numPr>
                <w:ilvl w:val="0"/>
                <w:numId w:val="0"/>
              </w:numPr>
              <w:spacing w:line="460" w:lineRule="atLeast"/>
              <w:ind w:leftChars="0" w:firstLine="480" w:firstLineChars="200"/>
              <w:rPr>
                <w:rFonts w:hint="default" w:ascii="Times New Roman" w:hAnsi="Times New Roman" w:eastAsia="宋体" w:cs="Times New Roman"/>
                <w:bCs/>
                <w:iCs/>
                <w:color w:val="000000" w:themeColor="text1"/>
                <w:sz w:val="21"/>
                <w:szCs w:val="21"/>
                <w:lang w:val="en-US" w:eastAsia="zh-CN"/>
                <w14:textFill>
                  <w14:solidFill>
                    <w14:schemeClr w14:val="tx1"/>
                  </w14:solidFill>
                </w14:textFill>
              </w:rPr>
            </w:pPr>
            <w:r>
              <w:rPr>
                <w:rFonts w:hint="default" w:ascii="Times New Roman" w:hAnsi="Times New Roman" w:cs="Times New Roman"/>
                <w:color w:val="auto"/>
                <w:sz w:val="24"/>
                <w:lang w:eastAsia="zh-CN"/>
              </w:rPr>
              <w:t>企业应加强对各类环保设施的日常管理和维护，加强对企业员工的操作培训，保证环保设施的正常运行，完善环保设施运行记录，确保各项污染物长期稳定达标排放。</w:t>
            </w:r>
          </w:p>
        </w:tc>
      </w:tr>
    </w:tbl>
    <w:p w14:paraId="2E4B0042">
      <w:pPr>
        <w:pStyle w:val="10"/>
        <w:widowControl w:val="0"/>
        <w:numPr>
          <w:ilvl w:val="0"/>
          <w:numId w:val="0"/>
        </w:numPr>
        <w:jc w:val="both"/>
      </w:pPr>
    </w:p>
    <w:sectPr>
      <w:pgSz w:w="11906" w:h="16838"/>
      <w:pgMar w:top="1440" w:right="1803" w:bottom="1440" w:left="1803"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Dutch801 Rm BT">
    <w:altName w:val="Times New Roman"/>
    <w:panose1 w:val="02020603060505020304"/>
    <w:charset w:val="00"/>
    <w:family w:val="roman"/>
    <w:pitch w:val="default"/>
    <w:sig w:usb0="00000000" w:usb1="00000000" w:usb2="00000000" w:usb3="00000000" w:csb0="00000000" w:csb1="00000000"/>
  </w:font>
  <w:font w:name="Tahoma">
    <w:panose1 w:val="020B0604030504040204"/>
    <w:charset w:val="00"/>
    <w:family w:val="roman"/>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Narrow">
    <w:panose1 w:val="020B0606020202030204"/>
    <w:charset w:val="00"/>
    <w:family w:val="swiss"/>
    <w:pitch w:val="default"/>
    <w:sig w:usb0="00000287" w:usb1="00000800" w:usb2="00000000" w:usb3="00000000" w:csb0="2000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 w:name="Helvetica">
    <w:altName w:val="Arial"/>
    <w:panose1 w:val="00000000000000000000"/>
    <w:charset w:val="00"/>
    <w:family w:val="auto"/>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36F86B"/>
    <w:multiLevelType w:val="singleLevel"/>
    <w:tmpl w:val="A436F86B"/>
    <w:lvl w:ilvl="0" w:tentative="0">
      <w:start w:val="1"/>
      <w:numFmt w:val="decimal"/>
      <w:suff w:val="nothing"/>
      <w:lvlText w:val="（%1）"/>
      <w:lvlJc w:val="left"/>
    </w:lvl>
  </w:abstractNum>
  <w:abstractNum w:abstractNumId="1">
    <w:nsid w:val="30E336C9"/>
    <w:multiLevelType w:val="multilevel"/>
    <w:tmpl w:val="30E336C9"/>
    <w:lvl w:ilvl="0" w:tentative="0">
      <w:start w:val="1"/>
      <w:numFmt w:val="decimal"/>
      <w:lvlText w:val="%1"/>
      <w:lvlJc w:val="left"/>
      <w:pPr>
        <w:tabs>
          <w:tab w:val="left" w:pos="1568"/>
        </w:tabs>
        <w:ind w:left="1568" w:hanging="432"/>
      </w:pPr>
      <w:rPr>
        <w:rFonts w:ascii="Times New Roman" w:hAnsi="宋体" w:eastAsia="宋体"/>
      </w:rPr>
    </w:lvl>
    <w:lvl w:ilvl="1" w:tentative="0">
      <w:start w:val="1"/>
      <w:numFmt w:val="decimal"/>
      <w:lvlText w:val="%1.%2"/>
      <w:lvlJc w:val="left"/>
      <w:pPr>
        <w:tabs>
          <w:tab w:val="left" w:pos="636"/>
        </w:tabs>
        <w:ind w:left="1883" w:hanging="1247"/>
      </w:pPr>
      <w:rPr>
        <w:rFonts w:hint="default" w:ascii="Times New Roman" w:hAnsi="Times New Roman" w:cs="Times New Roman"/>
        <w:sz w:val="28"/>
        <w:szCs w:val="28"/>
      </w:rPr>
    </w:lvl>
    <w:lvl w:ilvl="2" w:tentative="0">
      <w:start w:val="1"/>
      <w:numFmt w:val="decimal"/>
      <w:pStyle w:val="3"/>
      <w:lvlText w:val="%1.%2.%3"/>
      <w:lvlJc w:val="left"/>
      <w:pPr>
        <w:tabs>
          <w:tab w:val="left" w:pos="1146"/>
        </w:tabs>
        <w:ind w:left="1146" w:hanging="720"/>
      </w:pPr>
      <w:rPr>
        <w:rFonts w:hint="default" w:ascii="Times New Roman" w:hAnsi="Times New Roman" w:cs="Times New Roman"/>
      </w:rPr>
    </w:lvl>
    <w:lvl w:ilvl="3" w:tentative="0">
      <w:start w:val="1"/>
      <w:numFmt w:val="decimal"/>
      <w:lvlText w:val="%1.%2.%3.%4"/>
      <w:lvlJc w:val="left"/>
      <w:pPr>
        <w:tabs>
          <w:tab w:val="left" w:pos="1600"/>
        </w:tabs>
        <w:ind w:left="1600" w:hanging="748"/>
      </w:pPr>
      <w:rPr>
        <w:rFonts w:hint="default" w:ascii="Times New Roman" w:hAnsi="Times New Roman" w:cs="Times New Roman"/>
      </w:rPr>
    </w:lvl>
    <w:lvl w:ilvl="4" w:tentative="0">
      <w:start w:val="1"/>
      <w:numFmt w:val="decimal"/>
      <w:lvlText w:val="%1.%2.%3.%4.%5"/>
      <w:lvlJc w:val="left"/>
      <w:pPr>
        <w:tabs>
          <w:tab w:val="left" w:pos="2144"/>
        </w:tabs>
        <w:ind w:left="2144" w:hanging="1008"/>
      </w:pPr>
      <w:rPr>
        <w:rFonts w:hint="eastAsia"/>
      </w:rPr>
    </w:lvl>
    <w:lvl w:ilvl="5" w:tentative="0">
      <w:start w:val="1"/>
      <w:numFmt w:val="decimal"/>
      <w:lvlText w:val="%1.%2.%3.%4.%5.%6"/>
      <w:lvlJc w:val="left"/>
      <w:pPr>
        <w:tabs>
          <w:tab w:val="left" w:pos="2288"/>
        </w:tabs>
        <w:ind w:left="2288" w:hanging="1152"/>
      </w:pPr>
      <w:rPr>
        <w:rFonts w:hint="eastAsia"/>
      </w:rPr>
    </w:lvl>
    <w:lvl w:ilvl="6" w:tentative="0">
      <w:start w:val="1"/>
      <w:numFmt w:val="decimal"/>
      <w:lvlText w:val="%1.%2.%3.%4.%5.%6.%7"/>
      <w:lvlJc w:val="left"/>
      <w:pPr>
        <w:tabs>
          <w:tab w:val="left" w:pos="2432"/>
        </w:tabs>
        <w:ind w:left="2432" w:hanging="1296"/>
      </w:pPr>
      <w:rPr>
        <w:rFonts w:hint="eastAsia"/>
      </w:rPr>
    </w:lvl>
    <w:lvl w:ilvl="7" w:tentative="0">
      <w:start w:val="1"/>
      <w:numFmt w:val="decimal"/>
      <w:lvlText w:val="%1.%2.%3.%4.%5.%6.%7.%8"/>
      <w:lvlJc w:val="left"/>
      <w:pPr>
        <w:tabs>
          <w:tab w:val="left" w:pos="2576"/>
        </w:tabs>
        <w:ind w:left="2576" w:hanging="1440"/>
      </w:pPr>
      <w:rPr>
        <w:rFonts w:hint="eastAsia"/>
      </w:rPr>
    </w:lvl>
    <w:lvl w:ilvl="8" w:tentative="0">
      <w:start w:val="1"/>
      <w:numFmt w:val="decimal"/>
      <w:lvlText w:val="%1.%2.%3.%4.%5.%6.%7.%8.%9"/>
      <w:lvlJc w:val="left"/>
      <w:pPr>
        <w:tabs>
          <w:tab w:val="left" w:pos="2720"/>
        </w:tabs>
        <w:ind w:left="2720" w:hanging="1584"/>
      </w:pPr>
      <w:rPr>
        <w:rFonts w:hint="eastAsia"/>
      </w:rPr>
    </w:lvl>
  </w:abstractNum>
  <w:abstractNum w:abstractNumId="2">
    <w:nsid w:val="4CFE41B0"/>
    <w:multiLevelType w:val="singleLevel"/>
    <w:tmpl w:val="4CFE41B0"/>
    <w:lvl w:ilvl="0" w:tentative="0">
      <w:start w:val="1"/>
      <w:numFmt w:val="bullet"/>
      <w:pStyle w:val="10"/>
      <w:lvlText w:val=""/>
      <w:lvlJc w:val="left"/>
      <w:pPr>
        <w:tabs>
          <w:tab w:val="left" w:pos="2040"/>
        </w:tabs>
        <w:ind w:left="2040" w:hanging="360"/>
      </w:pPr>
      <w:rPr>
        <w:rFonts w:hint="default" w:ascii="Wingdings" w:hAnsi="Wingdings"/>
      </w:rPr>
    </w:lvl>
  </w:abstractNum>
  <w:abstractNum w:abstractNumId="3">
    <w:nsid w:val="62054727"/>
    <w:multiLevelType w:val="singleLevel"/>
    <w:tmpl w:val="62054727"/>
    <w:lvl w:ilvl="0" w:tentative="0">
      <w:start w:val="2"/>
      <w:numFmt w:val="decimal"/>
      <w:suff w:val="nothing"/>
      <w:lvlText w:val="（%1）"/>
      <w:lvlJc w:val="left"/>
      <w:pPr>
        <w:ind w:left="-30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434677"/>
    <w:rsid w:val="01240AA4"/>
    <w:rsid w:val="02076F1C"/>
    <w:rsid w:val="03F139E0"/>
    <w:rsid w:val="04F73188"/>
    <w:rsid w:val="05B1176C"/>
    <w:rsid w:val="060956D7"/>
    <w:rsid w:val="06FA0DFD"/>
    <w:rsid w:val="11651569"/>
    <w:rsid w:val="121F5BBC"/>
    <w:rsid w:val="17125CEF"/>
    <w:rsid w:val="197724CB"/>
    <w:rsid w:val="199926F8"/>
    <w:rsid w:val="1A594561"/>
    <w:rsid w:val="1AEA3AAF"/>
    <w:rsid w:val="1C8F798F"/>
    <w:rsid w:val="1D2415E6"/>
    <w:rsid w:val="1DD46F68"/>
    <w:rsid w:val="1E696CF3"/>
    <w:rsid w:val="1FCC70CE"/>
    <w:rsid w:val="233F1C1A"/>
    <w:rsid w:val="2C2D2B07"/>
    <w:rsid w:val="2F121D17"/>
    <w:rsid w:val="302A7494"/>
    <w:rsid w:val="34BD0DD0"/>
    <w:rsid w:val="3DE04DAA"/>
    <w:rsid w:val="3F9B35F5"/>
    <w:rsid w:val="47CC7B2C"/>
    <w:rsid w:val="489E3978"/>
    <w:rsid w:val="4B92297F"/>
    <w:rsid w:val="4E3A2E66"/>
    <w:rsid w:val="54434677"/>
    <w:rsid w:val="54EC75A4"/>
    <w:rsid w:val="55782BE6"/>
    <w:rsid w:val="57330947"/>
    <w:rsid w:val="587F2D96"/>
    <w:rsid w:val="5A3D61AC"/>
    <w:rsid w:val="5B522B82"/>
    <w:rsid w:val="5BAA7871"/>
    <w:rsid w:val="5FB900C4"/>
    <w:rsid w:val="602039F4"/>
    <w:rsid w:val="63836F64"/>
    <w:rsid w:val="65920720"/>
    <w:rsid w:val="67F73E3E"/>
    <w:rsid w:val="68544E83"/>
    <w:rsid w:val="69360996"/>
    <w:rsid w:val="708752DE"/>
    <w:rsid w:val="7298621E"/>
    <w:rsid w:val="780F0D30"/>
    <w:rsid w:val="7BD007D6"/>
    <w:rsid w:val="7C2A25DC"/>
    <w:rsid w:val="7CD26923"/>
    <w:rsid w:val="7D4855D1"/>
    <w:rsid w:val="7DC20F14"/>
    <w:rsid w:val="7E692B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line="360" w:lineRule="auto"/>
      <w:outlineLvl w:val="1"/>
    </w:pPr>
    <w:rPr>
      <w:rFonts w:ascii="Times New Roman" w:hAnsi="Times New Roman"/>
      <w:b/>
      <w:bCs/>
      <w:sz w:val="28"/>
      <w:szCs w:val="32"/>
    </w:rPr>
  </w:style>
  <w:style w:type="paragraph" w:styleId="3">
    <w:name w:val="heading 3"/>
    <w:basedOn w:val="1"/>
    <w:next w:val="1"/>
    <w:qFormat/>
    <w:uiPriority w:val="99"/>
    <w:pPr>
      <w:keepNext/>
      <w:keepLines/>
      <w:numPr>
        <w:ilvl w:val="2"/>
        <w:numId w:val="1"/>
      </w:numPr>
      <w:spacing w:before="50" w:beforeLines="50" w:line="360" w:lineRule="auto"/>
      <w:ind w:left="0" w:firstLine="0"/>
      <w:jc w:val="left"/>
      <w:outlineLvl w:val="2"/>
    </w:pPr>
    <w:rPr>
      <w:rFonts w:ascii="Calibri" w:hAnsi="Calibri" w:eastAsia="宋体" w:cs="Times New Roman"/>
      <w:b/>
      <w:bCs/>
      <w:sz w:val="28"/>
      <w:szCs w:val="32"/>
    </w:rPr>
  </w:style>
  <w:style w:type="paragraph" w:styleId="4">
    <w:name w:val="heading 4"/>
    <w:basedOn w:val="1"/>
    <w:next w:val="1"/>
    <w:unhideWhenUsed/>
    <w:qFormat/>
    <w:uiPriority w:val="0"/>
    <w:pPr>
      <w:outlineLvl w:val="3"/>
    </w:pPr>
    <w:rPr>
      <w:rFonts w:ascii="宋体" w:hAnsi="宋体" w:eastAsia="宋体" w:cs="宋体"/>
      <w:b/>
      <w:bCs/>
      <w:sz w:val="24"/>
      <w:szCs w:val="24"/>
      <w:lang w:val="zh-CN" w:eastAsia="zh-CN" w:bidi="zh-CN"/>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5">
    <w:name w:val="List 3"/>
    <w:basedOn w:val="1"/>
    <w:next w:val="1"/>
    <w:qFormat/>
    <w:uiPriority w:val="0"/>
    <w:pPr>
      <w:autoSpaceDE w:val="0"/>
      <w:autoSpaceDN w:val="0"/>
      <w:adjustRightInd w:val="0"/>
      <w:spacing w:line="288" w:lineRule="auto"/>
      <w:ind w:left="1260" w:hanging="420"/>
      <w:jc w:val="left"/>
      <w:textAlignment w:val="baseline"/>
    </w:pPr>
    <w:rPr>
      <w:kern w:val="0"/>
      <w:sz w:val="24"/>
      <w:szCs w:val="20"/>
    </w:rPr>
  </w:style>
  <w:style w:type="paragraph" w:styleId="6">
    <w:name w:val="Normal Indent"/>
    <w:basedOn w:val="1"/>
    <w:next w:val="1"/>
    <w:qFormat/>
    <w:uiPriority w:val="0"/>
    <w:pPr>
      <w:spacing w:line="360" w:lineRule="auto"/>
      <w:ind w:left="0" w:firstLine="723" w:firstLineChars="200"/>
    </w:pPr>
    <w:rPr>
      <w:rFonts w:ascii="宋体" w:hAnsi="宋体" w:eastAsia="宋体"/>
      <w:kern w:val="18"/>
      <w:szCs w:val="20"/>
    </w:rPr>
  </w:style>
  <w:style w:type="paragraph" w:styleId="7">
    <w:name w:val="Body Text"/>
    <w:basedOn w:val="1"/>
    <w:next w:val="1"/>
    <w:qFormat/>
    <w:uiPriority w:val="1"/>
    <w:rPr>
      <w:rFonts w:ascii="宋体" w:hAnsi="宋体" w:eastAsia="宋体" w:cs="宋体"/>
      <w:sz w:val="24"/>
      <w:szCs w:val="24"/>
      <w:lang w:val="zh-CN" w:eastAsia="zh-CN" w:bidi="zh-CN"/>
    </w:rPr>
  </w:style>
  <w:style w:type="paragraph" w:styleId="8">
    <w:name w:val="Body Text Indent"/>
    <w:basedOn w:val="1"/>
    <w:qFormat/>
    <w:uiPriority w:val="0"/>
    <w:pPr>
      <w:spacing w:after="120"/>
      <w:ind w:left="420" w:leftChars="200"/>
    </w:pPr>
    <w:rPr>
      <w:kern w:val="0"/>
      <w:sz w:val="24"/>
      <w:szCs w:val="20"/>
    </w:rPr>
  </w:style>
  <w:style w:type="paragraph" w:styleId="9">
    <w:name w:val="Plain Text"/>
    <w:basedOn w:val="1"/>
    <w:qFormat/>
    <w:uiPriority w:val="0"/>
    <w:rPr>
      <w:rFonts w:ascii="宋体" w:hAnsi="Courier New" w:cs="Dutch801 Rm BT"/>
      <w:szCs w:val="20"/>
    </w:rPr>
  </w:style>
  <w:style w:type="paragraph" w:styleId="10">
    <w:name w:val="List Bullet 5"/>
    <w:basedOn w:val="1"/>
    <w:qFormat/>
    <w:uiPriority w:val="0"/>
    <w:pPr>
      <w:numPr>
        <w:ilvl w:val="0"/>
        <w:numId w:val="2"/>
      </w:numPr>
    </w:pPr>
  </w:style>
  <w:style w:type="paragraph" w:styleId="11">
    <w:name w:val="Balloon Text"/>
    <w:basedOn w:val="1"/>
    <w:qFormat/>
    <w:uiPriority w:val="0"/>
    <w:pPr>
      <w:ind w:firstLine="518" w:firstLineChars="200"/>
    </w:pPr>
    <w:rPr>
      <w:rFonts w:ascii="Calibri" w:hAnsi="Calibri" w:cs="Calibri"/>
      <w:sz w:val="18"/>
      <w:szCs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List"/>
    <w:basedOn w:val="1"/>
    <w:qFormat/>
    <w:uiPriority w:val="0"/>
    <w:pPr>
      <w:ind w:left="200" w:hanging="200" w:hangingChars="200"/>
    </w:pPr>
  </w:style>
  <w:style w:type="paragraph" w:styleId="14">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16">
    <w:name w:val="Table Grid"/>
    <w:basedOn w:val="15"/>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Hyperlink"/>
    <w:basedOn w:val="17"/>
    <w:qFormat/>
    <w:uiPriority w:val="0"/>
    <w:rPr>
      <w:color w:val="0000FF"/>
      <w:u w:val="single"/>
    </w:rPr>
  </w:style>
  <w:style w:type="character" w:styleId="19">
    <w:name w:val="annotation reference"/>
    <w:basedOn w:val="17"/>
    <w:qFormat/>
    <w:uiPriority w:val="0"/>
    <w:rPr>
      <w:sz w:val="21"/>
      <w:szCs w:val="21"/>
    </w:rPr>
  </w:style>
  <w:style w:type="paragraph" w:customStyle="1" w:styleId="20">
    <w:name w:val="xl31"/>
    <w:basedOn w:val="1"/>
    <w:qFormat/>
    <w:uiPriority w:val="0"/>
    <w:pPr>
      <w:widowControl/>
      <w:spacing w:before="100" w:beforeAutospacing="1" w:after="100" w:afterAutospacing="1"/>
      <w:jc w:val="center"/>
    </w:pPr>
    <w:rPr>
      <w:rFonts w:ascii="Times New Roman" w:hAnsi="Times New Roman" w:eastAsia="宋体" w:cs="Times New Roman"/>
      <w:kern w:val="0"/>
      <w:sz w:val="24"/>
      <w:szCs w:val="20"/>
    </w:rPr>
  </w:style>
  <w:style w:type="paragraph" w:customStyle="1" w:styleId="21">
    <w:name w:val="Z正文内容"/>
    <w:basedOn w:val="1"/>
    <w:link w:val="33"/>
    <w:qFormat/>
    <w:uiPriority w:val="0"/>
    <w:pPr>
      <w:spacing w:line="360" w:lineRule="auto"/>
      <w:ind w:firstLine="720" w:firstLineChars="200"/>
      <w:jc w:val="left"/>
    </w:pPr>
    <w:rPr>
      <w:rFonts w:ascii="Times New Roman" w:hAnsi="Times New Roman" w:eastAsia="宋体"/>
      <w:sz w:val="24"/>
    </w:rPr>
  </w:style>
  <w:style w:type="paragraph" w:customStyle="1" w:styleId="22">
    <w:name w:val="正文（首行缩进2字）"/>
    <w:basedOn w:val="1"/>
    <w:qFormat/>
    <w:uiPriority w:val="0"/>
    <w:pPr>
      <w:spacing w:line="360" w:lineRule="auto"/>
      <w:ind w:firstLine="560" w:firstLineChars="200"/>
    </w:pPr>
    <w:rPr>
      <w:rFonts w:ascii="宋体" w:hAnsi="宋体"/>
      <w:color w:val="000000"/>
      <w:sz w:val="24"/>
      <w:szCs w:val="28"/>
    </w:rPr>
  </w:style>
  <w:style w:type="paragraph" w:customStyle="1" w:styleId="23">
    <w:name w:val="Z图表号"/>
    <w:basedOn w:val="1"/>
    <w:next w:val="21"/>
    <w:link w:val="37"/>
    <w:qFormat/>
    <w:uiPriority w:val="0"/>
    <w:pPr>
      <w:spacing w:line="240" w:lineRule="auto"/>
      <w:ind w:firstLine="0" w:firstLineChars="0"/>
      <w:jc w:val="center"/>
    </w:pPr>
    <w:rPr>
      <w:rFonts w:ascii="Times New Roman" w:hAnsi="Times New Roman" w:eastAsia="宋体"/>
      <w:b/>
    </w:rPr>
  </w:style>
  <w:style w:type="paragraph" w:customStyle="1" w:styleId="24">
    <w:name w:val="Z一级标题"/>
    <w:basedOn w:val="1"/>
    <w:next w:val="25"/>
    <w:qFormat/>
    <w:uiPriority w:val="0"/>
    <w:pPr>
      <w:spacing w:line="360" w:lineRule="auto"/>
      <w:jc w:val="left"/>
      <w:outlineLvl w:val="1"/>
    </w:pPr>
    <w:rPr>
      <w:rFonts w:ascii="Times New Roman" w:hAnsi="Times New Roman" w:eastAsia="宋体"/>
      <w:b/>
      <w:color w:val="auto"/>
      <w:sz w:val="24"/>
    </w:rPr>
  </w:style>
  <w:style w:type="paragraph" w:customStyle="1" w:styleId="25">
    <w:name w:val="Z二级标题"/>
    <w:basedOn w:val="1"/>
    <w:next w:val="21"/>
    <w:qFormat/>
    <w:uiPriority w:val="0"/>
    <w:pPr>
      <w:spacing w:line="360" w:lineRule="auto"/>
      <w:ind w:firstLine="480" w:firstLineChars="200"/>
      <w:jc w:val="left"/>
    </w:pPr>
    <w:rPr>
      <w:rFonts w:ascii="Times New Roman" w:hAnsi="Times New Roman" w:eastAsia="宋体" w:cs="宋体"/>
      <w:b/>
      <w:sz w:val="24"/>
    </w:rPr>
  </w:style>
  <w:style w:type="paragraph" w:customStyle="1" w:styleId="26">
    <w:name w:val="张_gege的正文文本"/>
    <w:qFormat/>
    <w:uiPriority w:val="99"/>
    <w:pPr>
      <w:widowControl w:val="0"/>
      <w:spacing w:line="360" w:lineRule="auto"/>
      <w:ind w:firstLine="200" w:firstLineChars="200"/>
    </w:pPr>
    <w:rPr>
      <w:rFonts w:ascii="Times New Roman" w:hAnsi="Times New Roman" w:cs="Times New Roman" w:eastAsiaTheme="minorEastAsia"/>
      <w:bCs/>
      <w:color w:val="000000" w:themeColor="text1"/>
      <w:kern w:val="2"/>
      <w:sz w:val="24"/>
      <w:lang w:val="en-US" w:eastAsia="zh-CN" w:bidi="ar-SA"/>
      <w14:textFill>
        <w14:solidFill>
          <w14:schemeClr w14:val="tx1"/>
        </w14:solidFill>
      </w14:textFill>
    </w:rPr>
  </w:style>
  <w:style w:type="paragraph" w:customStyle="1" w:styleId="27">
    <w:name w:val="张_gege的表头和图号"/>
    <w:next w:val="1"/>
    <w:qFormat/>
    <w:uiPriority w:val="99"/>
    <w:pPr>
      <w:spacing w:before="120" w:beforeLines="50"/>
      <w:jc w:val="center"/>
    </w:pPr>
    <w:rPr>
      <w:rFonts w:ascii="Times New Roman" w:hAnsi="Times New Roman" w:eastAsia="宋体" w:cs="Arial"/>
      <w:b/>
      <w:kern w:val="2"/>
      <w:sz w:val="21"/>
      <w:szCs w:val="24"/>
      <w:lang w:val="en-US" w:eastAsia="zh-CN" w:bidi="ar-SA"/>
    </w:rPr>
  </w:style>
  <w:style w:type="paragraph" w:customStyle="1" w:styleId="28">
    <w:name w:val="表格"/>
    <w:basedOn w:val="13"/>
    <w:next w:val="1"/>
    <w:qFormat/>
    <w:uiPriority w:val="0"/>
    <w:pPr>
      <w:adjustRightInd w:val="0"/>
      <w:snapToGrid w:val="0"/>
      <w:spacing w:beforeLines="10" w:afterLines="10" w:line="259" w:lineRule="auto"/>
      <w:jc w:val="center"/>
    </w:pPr>
    <w:rPr>
      <w:rFonts w:ascii="宋体"/>
      <w:kern w:val="0"/>
      <w:szCs w:val="20"/>
    </w:rPr>
  </w:style>
  <w:style w:type="paragraph" w:customStyle="1" w:styleId="29">
    <w:name w:val="表头"/>
    <w:basedOn w:val="30"/>
    <w:next w:val="1"/>
    <w:qFormat/>
    <w:uiPriority w:val="0"/>
    <w:pPr>
      <w:adjustRightInd w:val="0"/>
      <w:snapToGrid w:val="0"/>
      <w:spacing w:before="100" w:beforeLines="100"/>
      <w:ind w:firstLine="200" w:firstLineChars="200"/>
    </w:pPr>
    <w:rPr>
      <w:b/>
      <w:sz w:val="22"/>
    </w:rPr>
  </w:style>
  <w:style w:type="paragraph" w:customStyle="1" w:styleId="30">
    <w:name w:val="表文"/>
    <w:basedOn w:val="7"/>
    <w:next w:val="6"/>
    <w:qFormat/>
    <w:uiPriority w:val="0"/>
    <w:pPr>
      <w:spacing w:before="62" w:beforeLines="20" w:after="62" w:afterLines="20" w:line="280" w:lineRule="exact"/>
      <w:jc w:val="center"/>
    </w:pPr>
    <w:rPr>
      <w:rFonts w:ascii="黑体" w:hAnsi="宋体"/>
    </w:rPr>
  </w:style>
  <w:style w:type="paragraph" w:customStyle="1" w:styleId="31">
    <w:name w:val="表格格式"/>
    <w:basedOn w:val="1"/>
    <w:qFormat/>
    <w:uiPriority w:val="0"/>
    <w:pPr>
      <w:widowControl/>
      <w:adjustRightInd w:val="0"/>
      <w:snapToGrid w:val="0"/>
      <w:spacing w:after="200"/>
      <w:jc w:val="center"/>
    </w:pPr>
    <w:rPr>
      <w:rFonts w:ascii="Tahoma" w:hAnsi="Tahoma" w:eastAsia="微软雅黑"/>
      <w:kern w:val="0"/>
    </w:rPr>
  </w:style>
  <w:style w:type="character" w:customStyle="1" w:styleId="32">
    <w:name w:val="15"/>
    <w:qFormat/>
    <w:uiPriority w:val="0"/>
    <w:rPr>
      <w:rFonts w:hint="default" w:ascii="Times New Roman" w:hAnsi="Times New Roman" w:cs="Times New Roman"/>
    </w:rPr>
  </w:style>
  <w:style w:type="character" w:customStyle="1" w:styleId="33">
    <w:name w:val="Z正文内容 Char"/>
    <w:link w:val="21"/>
    <w:qFormat/>
    <w:uiPriority w:val="0"/>
    <w:rPr>
      <w:rFonts w:ascii="Times New Roman" w:hAnsi="Times New Roman" w:eastAsia="宋体"/>
      <w:sz w:val="24"/>
    </w:rPr>
  </w:style>
  <w:style w:type="paragraph" w:customStyle="1" w:styleId="34">
    <w:name w:val="Z表内文字"/>
    <w:basedOn w:val="1"/>
    <w:next w:val="21"/>
    <w:link w:val="68"/>
    <w:qFormat/>
    <w:uiPriority w:val="0"/>
    <w:pPr>
      <w:adjustRightInd w:val="0"/>
      <w:snapToGrid w:val="0"/>
      <w:spacing w:beforeLines="0" w:afterLines="0"/>
      <w:jc w:val="center"/>
    </w:pPr>
    <w:rPr>
      <w:rFonts w:ascii="Times New Roman" w:hAnsi="Times New Roman" w:eastAsia="宋体"/>
      <w:bCs/>
      <w:szCs w:val="21"/>
    </w:rPr>
  </w:style>
  <w:style w:type="paragraph" w:customStyle="1" w:styleId="35">
    <w:name w:val="小四  缩进2 行距24"/>
    <w:basedOn w:val="1"/>
    <w:qFormat/>
    <w:uiPriority w:val="0"/>
    <w:pPr>
      <w:spacing w:line="480" w:lineRule="exact"/>
      <w:ind w:firstLine="480" w:firstLineChars="200"/>
    </w:pPr>
    <w:rPr>
      <w:rFonts w:cs="宋体"/>
      <w:sz w:val="24"/>
      <w:szCs w:val="20"/>
    </w:rPr>
  </w:style>
  <w:style w:type="paragraph" w:customStyle="1" w:styleId="36">
    <w:name w:val="小四  缩进5 行距24"/>
    <w:basedOn w:val="1"/>
    <w:qFormat/>
    <w:uiPriority w:val="0"/>
    <w:pPr>
      <w:spacing w:before="20" w:beforeLines="20" w:after="20" w:afterLines="20" w:line="480" w:lineRule="exact"/>
      <w:ind w:left="105" w:leftChars="50" w:right="105" w:rightChars="50" w:firstLine="1200" w:firstLineChars="500"/>
    </w:pPr>
    <w:rPr>
      <w:sz w:val="24"/>
    </w:rPr>
  </w:style>
  <w:style w:type="character" w:customStyle="1" w:styleId="37">
    <w:name w:val="Z图表号 Char"/>
    <w:link w:val="23"/>
    <w:qFormat/>
    <w:uiPriority w:val="0"/>
    <w:rPr>
      <w:rFonts w:ascii="Times New Roman" w:hAnsi="Times New Roman" w:eastAsia="宋体"/>
      <w:b/>
    </w:rPr>
  </w:style>
  <w:style w:type="paragraph" w:customStyle="1" w:styleId="38">
    <w:name w:val="表格1"/>
    <w:basedOn w:val="39"/>
    <w:qFormat/>
    <w:uiPriority w:val="0"/>
    <w:pPr>
      <w:spacing w:line="240" w:lineRule="auto"/>
      <w:ind w:firstLine="0" w:firstLineChars="0"/>
      <w:jc w:val="center"/>
    </w:pPr>
    <w:rPr>
      <w:sz w:val="21"/>
      <w:szCs w:val="21"/>
    </w:rPr>
  </w:style>
  <w:style w:type="paragraph" w:customStyle="1" w:styleId="39">
    <w:name w:val="表格格式1-2"/>
    <w:basedOn w:val="1"/>
    <w:qFormat/>
    <w:uiPriority w:val="0"/>
    <w:pPr>
      <w:jc w:val="center"/>
    </w:pPr>
    <w:rPr>
      <w:rFonts w:ascii="Times New Roman" w:hAnsi="Times New Roman"/>
      <w:szCs w:val="21"/>
    </w:rPr>
  </w:style>
  <w:style w:type="paragraph" w:customStyle="1" w:styleId="40">
    <w:name w:val="表格样式"/>
    <w:basedOn w:val="1"/>
    <w:qFormat/>
    <w:uiPriority w:val="0"/>
    <w:pPr>
      <w:spacing w:line="320" w:lineRule="exact"/>
      <w:contextualSpacing/>
    </w:pPr>
    <w:rPr>
      <w:sz w:val="22"/>
    </w:rPr>
  </w:style>
  <w:style w:type="paragraph" w:customStyle="1" w:styleId="41">
    <w:name w:val="Table Paragraph"/>
    <w:basedOn w:val="42"/>
    <w:next w:val="42"/>
    <w:qFormat/>
    <w:uiPriority w:val="0"/>
    <w:pPr>
      <w:spacing w:line="240" w:lineRule="auto"/>
      <w:ind w:firstLine="0" w:firstLineChars="0"/>
    </w:pPr>
    <w:rPr>
      <w:rFonts w:ascii="Calibri" w:hAnsi="Calibri" w:cs="Times New Roman"/>
      <w:sz w:val="21"/>
      <w:szCs w:val="21"/>
    </w:rPr>
  </w:style>
  <w:style w:type="paragraph" w:customStyle="1" w:styleId="42">
    <w:name w:val="Default"/>
    <w:basedOn w:val="43"/>
    <w:next w:val="5"/>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43">
    <w:name w:val="标题 段落4级"/>
    <w:qFormat/>
    <w:uiPriority w:val="0"/>
    <w:pPr>
      <w:spacing w:line="500" w:lineRule="exact"/>
      <w:outlineLvl w:val="3"/>
    </w:pPr>
    <w:rPr>
      <w:rFonts w:ascii="Times New Roman" w:hAnsi="Times New Roman" w:eastAsia="仿宋_GB2312" w:cs="Calibri"/>
      <w:b/>
      <w:kern w:val="2"/>
      <w:sz w:val="28"/>
      <w:szCs w:val="24"/>
      <w:lang w:val="en-US" w:eastAsia="zh-CN" w:bidi="ar-SA"/>
    </w:rPr>
  </w:style>
  <w:style w:type="paragraph" w:customStyle="1" w:styleId="44">
    <w:name w:val="纯文本1"/>
    <w:basedOn w:val="1"/>
    <w:qFormat/>
    <w:uiPriority w:val="0"/>
    <w:rPr>
      <w:rFonts w:ascii="宋体" w:hAnsi="Courier New"/>
      <w:szCs w:val="21"/>
    </w:rPr>
  </w:style>
  <w:style w:type="paragraph" w:customStyle="1" w:styleId="45">
    <w:name w:val="bw1"/>
    <w:basedOn w:val="1"/>
    <w:qFormat/>
    <w:uiPriority w:val="0"/>
    <w:pPr>
      <w:adjustRightInd w:val="0"/>
      <w:snapToGrid w:val="0"/>
      <w:spacing w:line="240" w:lineRule="atLeast"/>
      <w:ind w:left="6" w:right="6"/>
      <w:jc w:val="center"/>
    </w:pPr>
    <w:rPr>
      <w:rFonts w:ascii="Arial Narrow" w:hAnsi="Arial Narrow" w:eastAsia="楷体_GB2312"/>
      <w:color w:val="000000"/>
      <w:spacing w:val="-2"/>
      <w:w w:val="90"/>
      <w:sz w:val="20"/>
      <w:szCs w:val="18"/>
    </w:rPr>
  </w:style>
  <w:style w:type="paragraph" w:customStyle="1" w:styleId="46">
    <w:name w:val="表格字 居中"/>
    <w:basedOn w:val="1"/>
    <w:qFormat/>
    <w:uiPriority w:val="0"/>
    <w:pPr>
      <w:snapToGrid w:val="0"/>
      <w:spacing w:before="10" w:after="10"/>
      <w:jc w:val="center"/>
    </w:pPr>
    <w:rPr>
      <w:szCs w:val="21"/>
    </w:rPr>
  </w:style>
  <w:style w:type="paragraph" w:customStyle="1" w:styleId="47">
    <w:name w:val="L正文"/>
    <w:basedOn w:val="1"/>
    <w:qFormat/>
    <w:uiPriority w:val="0"/>
    <w:pPr>
      <w:adjustRightInd w:val="0"/>
      <w:snapToGrid w:val="0"/>
      <w:spacing w:line="360" w:lineRule="auto"/>
      <w:ind w:firstLine="200" w:firstLineChars="200"/>
      <w:jc w:val="left"/>
    </w:pPr>
    <w:rPr>
      <w:rFonts w:ascii="Times New Roman" w:hAnsi="Times New Roman"/>
      <w:sz w:val="24"/>
    </w:rPr>
  </w:style>
  <w:style w:type="paragraph" w:customStyle="1" w:styleId="48">
    <w:name w:val="内表表文"/>
    <w:basedOn w:val="1"/>
    <w:qFormat/>
    <w:uiPriority w:val="0"/>
    <w:pPr>
      <w:spacing w:before="100" w:beforeAutospacing="1" w:line="280" w:lineRule="exact"/>
      <w:jc w:val="center"/>
    </w:pPr>
    <w:rPr>
      <w:rFonts w:ascii="Times New Roman" w:hAnsi="Times New Roman"/>
      <w:szCs w:val="21"/>
    </w:rPr>
  </w:style>
  <w:style w:type="paragraph" w:customStyle="1" w:styleId="49">
    <w:name w:val="小表格"/>
    <w:basedOn w:val="1"/>
    <w:qFormat/>
    <w:uiPriority w:val="0"/>
    <w:pPr>
      <w:spacing w:line="320" w:lineRule="exact"/>
      <w:jc w:val="center"/>
    </w:pPr>
  </w:style>
  <w:style w:type="paragraph" w:customStyle="1" w:styleId="50">
    <w:name w:val="表格文字"/>
    <w:basedOn w:val="6"/>
    <w:qFormat/>
    <w:uiPriority w:val="0"/>
    <w:pPr>
      <w:snapToGrid/>
      <w:spacing w:line="240" w:lineRule="auto"/>
      <w:ind w:firstLine="0"/>
    </w:pPr>
    <w:rPr>
      <w:rFonts w:ascii="Times New Roman" w:hAnsi="Times New Roman" w:eastAsia="仿宋_GB2312"/>
      <w:szCs w:val="24"/>
    </w:rPr>
  </w:style>
  <w:style w:type="paragraph" w:customStyle="1" w:styleId="51">
    <w:name w:val="表体"/>
    <w:link w:val="58"/>
    <w:qFormat/>
    <w:uiPriority w:val="0"/>
    <w:pPr>
      <w:spacing w:line="240" w:lineRule="atLeast"/>
      <w:jc w:val="center"/>
    </w:pPr>
    <w:rPr>
      <w:rFonts w:ascii="Times New Roman" w:hAnsi="Times New Roman" w:eastAsia="宋体" w:cs="Times New Roman"/>
      <w:color w:val="000080"/>
      <w:kern w:val="2"/>
      <w:sz w:val="21"/>
      <w:szCs w:val="24"/>
      <w:lang w:val="en-US" w:eastAsia="zh-CN" w:bidi="ar-SA"/>
    </w:rPr>
  </w:style>
  <w:style w:type="paragraph" w:customStyle="1" w:styleId="52">
    <w:name w:val="p0"/>
    <w:basedOn w:val="1"/>
    <w:qFormat/>
    <w:uiPriority w:val="0"/>
    <w:pPr>
      <w:widowControl/>
    </w:pPr>
    <w:rPr>
      <w:rFonts w:ascii="Times New Roman" w:hAnsi="Times New Roman" w:cs="Times New Roman"/>
      <w:kern w:val="0"/>
      <w:szCs w:val="21"/>
    </w:rPr>
  </w:style>
  <w:style w:type="paragraph" w:styleId="53">
    <w:name w:val="List Paragraph"/>
    <w:basedOn w:val="1"/>
    <w:unhideWhenUsed/>
    <w:qFormat/>
    <w:uiPriority w:val="0"/>
    <w:pPr>
      <w:ind w:firstLine="420" w:firstLineChars="200"/>
    </w:pPr>
  </w:style>
  <w:style w:type="paragraph" w:customStyle="1" w:styleId="54">
    <w:name w:val="Z表一内容"/>
    <w:basedOn w:val="1"/>
    <w:link w:val="70"/>
    <w:qFormat/>
    <w:uiPriority w:val="0"/>
    <w:pPr>
      <w:jc w:val="center"/>
    </w:pPr>
    <w:rPr>
      <w:rFonts w:eastAsia="宋体"/>
      <w:color w:val="000000"/>
      <w:sz w:val="24"/>
    </w:rPr>
  </w:style>
  <w:style w:type="paragraph" w:customStyle="1" w:styleId="55">
    <w:name w:val="Default2"/>
    <w:qFormat/>
    <w:uiPriority w:val="0"/>
    <w:pPr>
      <w:widowControl w:val="0"/>
      <w:autoSpaceDE w:val="0"/>
      <w:autoSpaceDN w:val="0"/>
      <w:adjustRightInd w:val="0"/>
    </w:pPr>
    <w:rPr>
      <w:rFonts w:ascii="Tahoma" w:hAnsi="Tahoma" w:eastAsia="宋体" w:cs="Tahoma"/>
      <w:color w:val="000000"/>
      <w:sz w:val="24"/>
      <w:szCs w:val="24"/>
      <w:lang w:val="en-US" w:eastAsia="zh-CN" w:bidi="ar-SA"/>
    </w:rPr>
  </w:style>
  <w:style w:type="paragraph" w:customStyle="1" w:styleId="56">
    <w:name w:val="Table Text"/>
    <w:basedOn w:val="1"/>
    <w:semiHidden/>
    <w:qFormat/>
    <w:uiPriority w:val="0"/>
    <w:rPr>
      <w:rFonts w:ascii="宋体" w:hAnsi="宋体" w:eastAsia="宋体" w:cs="宋体"/>
      <w:sz w:val="28"/>
      <w:szCs w:val="28"/>
      <w:lang w:val="en-US" w:eastAsia="en-US" w:bidi="ar-SA"/>
    </w:rPr>
  </w:style>
  <w:style w:type="table" w:customStyle="1" w:styleId="57">
    <w:name w:val="Table Normal"/>
    <w:semiHidden/>
    <w:unhideWhenUsed/>
    <w:qFormat/>
    <w:uiPriority w:val="0"/>
    <w:tblPr>
      <w:tblCellMar>
        <w:top w:w="0" w:type="dxa"/>
        <w:left w:w="0" w:type="dxa"/>
        <w:bottom w:w="0" w:type="dxa"/>
        <w:right w:w="0" w:type="dxa"/>
      </w:tblCellMar>
    </w:tblPr>
  </w:style>
  <w:style w:type="character" w:customStyle="1" w:styleId="58">
    <w:name w:val="表体 Char"/>
    <w:link w:val="51"/>
    <w:qFormat/>
    <w:uiPriority w:val="0"/>
    <w:rPr>
      <w:rFonts w:ascii="Times New Roman" w:hAnsi="Times New Roman" w:eastAsia="宋体" w:cs="Times New Roman"/>
      <w:color w:val="000080"/>
      <w:kern w:val="2"/>
      <w:sz w:val="21"/>
      <w:szCs w:val="24"/>
      <w:lang w:val="en-US" w:eastAsia="zh-CN" w:bidi="ar-SA"/>
    </w:rPr>
  </w:style>
  <w:style w:type="paragraph" w:customStyle="1" w:styleId="59">
    <w:name w:val="小四  居中 加粗 1.3倍"/>
    <w:basedOn w:val="1"/>
    <w:next w:val="1"/>
    <w:autoRedefine/>
    <w:qFormat/>
    <w:uiPriority w:val="0"/>
    <w:pPr>
      <w:spacing w:before="30" w:beforeLines="30" w:after="10" w:afterLines="10" w:line="312" w:lineRule="auto"/>
      <w:ind w:left="105" w:leftChars="50" w:right="105" w:rightChars="50"/>
      <w:jc w:val="center"/>
    </w:pPr>
    <w:rPr>
      <w:rFonts w:ascii="Times New Roman" w:hAnsi="Times New Roman" w:eastAsia="仿宋_GB2312" w:cs="Times New Roman"/>
      <w:b/>
      <w:sz w:val="24"/>
      <w:szCs w:val="22"/>
    </w:rPr>
  </w:style>
  <w:style w:type="paragraph" w:customStyle="1" w:styleId="60">
    <w:name w:val="小四 加粗 行距 24 磅"/>
    <w:basedOn w:val="1"/>
    <w:unhideWhenUsed/>
    <w:qFormat/>
    <w:uiPriority w:val="99"/>
    <w:pPr>
      <w:spacing w:beforeLines="0" w:afterLines="0" w:line="480" w:lineRule="exact"/>
      <w:ind w:firstLine="482" w:firstLineChars="200"/>
    </w:pPr>
    <w:rPr>
      <w:rFonts w:hint="eastAsia"/>
      <w:b/>
      <w:sz w:val="24"/>
    </w:rPr>
  </w:style>
  <w:style w:type="paragraph" w:customStyle="1" w:styleId="61">
    <w:name w:val="1正文2"/>
    <w:basedOn w:val="1"/>
    <w:qFormat/>
    <w:uiPriority w:val="0"/>
    <w:pPr>
      <w:spacing w:line="460" w:lineRule="exact"/>
      <w:ind w:firstLine="200" w:firstLineChars="200"/>
    </w:pPr>
    <w:rPr>
      <w:bCs/>
      <w:sz w:val="24"/>
    </w:rPr>
  </w:style>
  <w:style w:type="paragraph" w:customStyle="1" w:styleId="62">
    <w:name w:val="4表格内容居中"/>
    <w:qFormat/>
    <w:uiPriority w:val="0"/>
    <w:pPr>
      <w:adjustRightInd w:val="0"/>
      <w:snapToGrid w:val="0"/>
      <w:jc w:val="center"/>
    </w:pPr>
    <w:rPr>
      <w:rFonts w:ascii="Times New Roman" w:hAnsi="Times New Roman" w:eastAsia="宋体" w:cs="Times New Roman"/>
      <w:snapToGrid w:val="0"/>
      <w:sz w:val="21"/>
      <w:szCs w:val="21"/>
      <w:lang w:val="en-US" w:eastAsia="zh-CN" w:bidi="ar-SA"/>
    </w:rPr>
  </w:style>
  <w:style w:type="paragraph" w:customStyle="1" w:styleId="63">
    <w:name w:val="3表头"/>
    <w:basedOn w:val="1"/>
    <w:qFormat/>
    <w:uiPriority w:val="0"/>
    <w:pPr>
      <w:spacing w:line="460" w:lineRule="exact"/>
      <w:jc w:val="center"/>
    </w:pPr>
    <w:rPr>
      <w:rFonts w:cs="宋体"/>
      <w:b/>
      <w:bCs/>
      <w:sz w:val="24"/>
    </w:rPr>
  </w:style>
  <w:style w:type="paragraph" w:customStyle="1" w:styleId="64">
    <w:name w:val="zwbtt1"/>
    <w:basedOn w:val="1"/>
    <w:autoRedefine/>
    <w:qFormat/>
    <w:uiPriority w:val="0"/>
    <w:pPr>
      <w:autoSpaceDE w:val="0"/>
      <w:autoSpaceDN w:val="0"/>
      <w:adjustRightInd w:val="0"/>
      <w:snapToGrid w:val="0"/>
      <w:spacing w:line="300" w:lineRule="exact"/>
      <w:ind w:firstLine="200" w:firstLineChars="200"/>
      <w:jc w:val="left"/>
    </w:pPr>
    <w:rPr>
      <w:rFonts w:cs="宋体"/>
      <w:b/>
      <w:kern w:val="0"/>
      <w:position w:val="-2"/>
      <w:szCs w:val="21"/>
    </w:rPr>
  </w:style>
  <w:style w:type="character" w:customStyle="1" w:styleId="65">
    <w:name w:val="font21"/>
    <w:basedOn w:val="17"/>
    <w:qFormat/>
    <w:uiPriority w:val="0"/>
    <w:rPr>
      <w:rFonts w:hint="default" w:ascii="Times New Roman" w:hAnsi="Times New Roman" w:cs="Times New Roman"/>
      <w:color w:val="000000"/>
      <w:sz w:val="24"/>
      <w:szCs w:val="24"/>
      <w:u w:val="none"/>
    </w:rPr>
  </w:style>
  <w:style w:type="character" w:customStyle="1" w:styleId="66">
    <w:name w:val="font31"/>
    <w:basedOn w:val="17"/>
    <w:qFormat/>
    <w:uiPriority w:val="0"/>
    <w:rPr>
      <w:rFonts w:hint="default" w:ascii="Times New Roman" w:hAnsi="Times New Roman" w:cs="Times New Roman"/>
      <w:color w:val="000000"/>
      <w:sz w:val="24"/>
      <w:szCs w:val="24"/>
      <w:u w:val="none"/>
      <w:vertAlign w:val="superscript"/>
    </w:rPr>
  </w:style>
  <w:style w:type="character" w:customStyle="1" w:styleId="67">
    <w:name w:val="font11"/>
    <w:basedOn w:val="17"/>
    <w:qFormat/>
    <w:uiPriority w:val="0"/>
    <w:rPr>
      <w:rFonts w:hint="default" w:ascii="Times New Roman" w:hAnsi="Times New Roman" w:cs="Times New Roman"/>
      <w:color w:val="000000"/>
      <w:sz w:val="24"/>
      <w:szCs w:val="24"/>
      <w:u w:val="none"/>
    </w:rPr>
  </w:style>
  <w:style w:type="character" w:customStyle="1" w:styleId="68">
    <w:name w:val="Z表内文字 Char"/>
    <w:link w:val="34"/>
    <w:qFormat/>
    <w:uiPriority w:val="0"/>
    <w:rPr>
      <w:rFonts w:ascii="Times New Roman" w:hAnsi="Times New Roman" w:eastAsia="宋体"/>
      <w:bCs/>
      <w:szCs w:val="21"/>
    </w:rPr>
  </w:style>
  <w:style w:type="paragraph" w:customStyle="1" w:styleId="69">
    <w:name w:val="Z表内多文字"/>
    <w:qFormat/>
    <w:uiPriority w:val="0"/>
    <w:pPr>
      <w:widowControl w:val="0"/>
      <w:autoSpaceDE w:val="0"/>
      <w:autoSpaceDN w:val="0"/>
      <w:adjustRightInd w:val="0"/>
      <w:ind w:firstLine="1440" w:firstLineChars="200"/>
    </w:pPr>
    <w:rPr>
      <w:rFonts w:ascii="Times New Roman" w:hAnsi="Times New Roman" w:eastAsia="宋体" w:cs="Times New Roman"/>
      <w:color w:val="000000"/>
      <w:sz w:val="21"/>
      <w:szCs w:val="24"/>
      <w:lang w:val="en-US" w:eastAsia="zh-CN" w:bidi="ar-SA"/>
    </w:rPr>
  </w:style>
  <w:style w:type="character" w:customStyle="1" w:styleId="70">
    <w:name w:val="Z表一内容 Char"/>
    <w:link w:val="54"/>
    <w:qFormat/>
    <w:uiPriority w:val="0"/>
    <w:rPr>
      <w:rFonts w:eastAsia="宋体"/>
      <w:color w:val="000000"/>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36</Pages>
  <Words>7833</Words>
  <Characters>9006</Characters>
  <Lines>0</Lines>
  <Paragraphs>0</Paragraphs>
  <TotalTime>3</TotalTime>
  <ScaleCrop>false</ScaleCrop>
  <LinksUpToDate>false</LinksUpToDate>
  <CharactersWithSpaces>9077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2025-08-27T12:37:00Z</dcterms:created>
  <dc:creator>周熊伟</dc:creator>
  <cp:lastModifiedBy>周熊伟</cp:lastModifiedBy>
  <dcterms:modified xsi:type="dcterms:W3CDTF">2026-06-05T05:54:05Z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3457CA4B20E84B23BDD407F2FFBE3F5C_13</vt:lpwstr>
  </property>
  <property fmtid="{D5CDD505-2E9C-101B-9397-08002B2CF9AE}" pid="4" name="KSOTemplateDocerSaveRecord">
    <vt:lpwstr>eyJoZGlkIjoiZjk0ZTg3MDQ2ZWE3NGJlNzZhNmY4MmU3NzY1MzYzNTIiLCJ1c2VySWQiOiI1NDczNzkwOTYifQ==</vt:lpwstr>
  </property>
</Properties>
</file>